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FEFB8" w14:textId="77777777" w:rsidR="00342AE5" w:rsidRPr="00EA6368" w:rsidRDefault="00342AE5" w:rsidP="00B073AA">
      <w:pPr>
        <w:jc w:val="both"/>
        <w:rPr>
          <w:rFonts w:ascii="Times New Roman" w:eastAsia="Arial" w:hAnsi="Times New Roman" w:cs="Times New Roman"/>
          <w:b/>
          <w:lang w:val="en-US"/>
        </w:rPr>
      </w:pPr>
    </w:p>
    <w:p w14:paraId="277E1E57" w14:textId="77777777" w:rsidR="00D21C3A" w:rsidRDefault="00D21C3A" w:rsidP="00035C78">
      <w:pPr>
        <w:jc w:val="center"/>
        <w:rPr>
          <w:rFonts w:ascii="Arial" w:eastAsia="Arial" w:hAnsi="Arial" w:cs="Arial"/>
          <w:bCs/>
          <w:lang w:val="en-US"/>
        </w:rPr>
      </w:pPr>
    </w:p>
    <w:p w14:paraId="4A37F989" w14:textId="77777777" w:rsidR="00D21C3A" w:rsidRDefault="00D21C3A" w:rsidP="00035C78">
      <w:pPr>
        <w:jc w:val="center"/>
        <w:rPr>
          <w:rFonts w:ascii="Arial" w:eastAsia="Arial" w:hAnsi="Arial" w:cs="Arial"/>
          <w:bCs/>
          <w:lang w:val="en-US"/>
        </w:rPr>
      </w:pPr>
    </w:p>
    <w:p w14:paraId="2C41F969" w14:textId="408455A6" w:rsidR="00401CD7" w:rsidRDefault="00401CD7" w:rsidP="00D21C3A">
      <w:pPr>
        <w:jc w:val="center"/>
        <w:rPr>
          <w:rFonts w:ascii="Arial" w:eastAsia="Arial" w:hAnsi="Arial" w:cs="Arial"/>
          <w:bCs/>
          <w:lang w:val="en-US"/>
        </w:rPr>
      </w:pPr>
      <w:r w:rsidRPr="00EA6368">
        <w:rPr>
          <w:rFonts w:ascii="Arial" w:eastAsia="Arial" w:hAnsi="Arial" w:cs="Arial"/>
          <w:bCs/>
          <w:lang w:val="en-US"/>
        </w:rPr>
        <w:t>Anxiety, Depression and Stress in people living with HIV during the COVID-19 pandemic.</w:t>
      </w:r>
    </w:p>
    <w:p w14:paraId="534ACDB0" w14:textId="77777777" w:rsidR="00D21C3A" w:rsidRDefault="00D21C3A" w:rsidP="00035C78">
      <w:pPr>
        <w:jc w:val="center"/>
        <w:rPr>
          <w:rFonts w:ascii="Arial" w:eastAsia="Arial" w:hAnsi="Arial" w:cs="Arial"/>
          <w:bCs/>
          <w:lang w:val="en-US"/>
        </w:rPr>
      </w:pPr>
    </w:p>
    <w:p w14:paraId="5D2DCB60" w14:textId="77777777" w:rsidR="00D21C3A" w:rsidRDefault="00D21C3A" w:rsidP="00035C78">
      <w:pPr>
        <w:jc w:val="center"/>
        <w:rPr>
          <w:rFonts w:ascii="Arial" w:eastAsia="Arial" w:hAnsi="Arial" w:cs="Arial"/>
          <w:bCs/>
          <w:lang w:val="en-US"/>
        </w:rPr>
      </w:pPr>
    </w:p>
    <w:p w14:paraId="709C758A" w14:textId="77777777" w:rsidR="00D21C3A" w:rsidRDefault="00D21C3A" w:rsidP="00035C78">
      <w:pPr>
        <w:jc w:val="center"/>
        <w:rPr>
          <w:rFonts w:ascii="Arial" w:eastAsia="Arial" w:hAnsi="Arial" w:cs="Arial"/>
          <w:bCs/>
          <w:lang w:val="en-US"/>
        </w:rPr>
      </w:pPr>
    </w:p>
    <w:p w14:paraId="2D37D571" w14:textId="77777777" w:rsidR="00D21C3A" w:rsidRDefault="00D21C3A" w:rsidP="00035C78">
      <w:pPr>
        <w:jc w:val="center"/>
        <w:rPr>
          <w:rFonts w:ascii="Arial" w:eastAsia="Arial" w:hAnsi="Arial" w:cs="Arial"/>
          <w:bCs/>
          <w:lang w:val="en-US"/>
        </w:rPr>
      </w:pPr>
    </w:p>
    <w:p w14:paraId="54C8E61B" w14:textId="77777777" w:rsidR="00D21C3A" w:rsidRPr="00EA6368" w:rsidRDefault="00D21C3A" w:rsidP="00D21C3A">
      <w:pPr>
        <w:spacing w:line="360" w:lineRule="auto"/>
        <w:jc w:val="both"/>
        <w:rPr>
          <w:rFonts w:ascii="Arial" w:eastAsia="Arial" w:hAnsi="Arial" w:cs="Arial"/>
          <w:bCs/>
          <w:lang w:val="en-US"/>
        </w:rPr>
      </w:pPr>
      <w:r w:rsidRPr="00EA6368">
        <w:rPr>
          <w:rFonts w:ascii="Arial" w:eastAsia="Arial" w:hAnsi="Arial" w:cs="Arial"/>
          <w:bCs/>
          <w:lang w:val="en-US"/>
        </w:rPr>
        <w:t>Keywords: Pandemic; Mental health; HIV; Psychological distress, COVID-19.</w:t>
      </w:r>
    </w:p>
    <w:p w14:paraId="14482094" w14:textId="77777777" w:rsidR="00D21C3A" w:rsidRDefault="00D21C3A" w:rsidP="00035C78">
      <w:pPr>
        <w:jc w:val="center"/>
        <w:rPr>
          <w:rFonts w:ascii="Arial" w:eastAsia="Arial" w:hAnsi="Arial" w:cs="Arial"/>
          <w:bCs/>
          <w:lang w:val="en-US"/>
        </w:rPr>
      </w:pPr>
    </w:p>
    <w:p w14:paraId="336B5689" w14:textId="77777777" w:rsidR="00D21C3A" w:rsidRDefault="00D21C3A" w:rsidP="00035C78">
      <w:pPr>
        <w:jc w:val="center"/>
        <w:rPr>
          <w:rFonts w:ascii="Arial" w:eastAsia="Arial" w:hAnsi="Arial" w:cs="Arial"/>
          <w:bCs/>
          <w:lang w:val="en-US"/>
        </w:rPr>
      </w:pPr>
    </w:p>
    <w:p w14:paraId="33942827" w14:textId="77777777" w:rsidR="00D21C3A" w:rsidRDefault="00D21C3A" w:rsidP="00035C78">
      <w:pPr>
        <w:jc w:val="center"/>
        <w:rPr>
          <w:rFonts w:ascii="Arial" w:eastAsia="Arial" w:hAnsi="Arial" w:cs="Arial"/>
          <w:bCs/>
          <w:lang w:val="en-US"/>
        </w:rPr>
      </w:pPr>
    </w:p>
    <w:p w14:paraId="704D2E54" w14:textId="77777777" w:rsidR="00D21C3A" w:rsidRDefault="00D21C3A" w:rsidP="00035C78">
      <w:pPr>
        <w:jc w:val="center"/>
        <w:rPr>
          <w:rFonts w:ascii="Arial" w:eastAsia="Arial" w:hAnsi="Arial" w:cs="Arial"/>
          <w:bCs/>
          <w:lang w:val="en-US"/>
        </w:rPr>
      </w:pPr>
    </w:p>
    <w:p w14:paraId="3513F0F6" w14:textId="77777777" w:rsidR="00D21C3A" w:rsidRDefault="00D21C3A" w:rsidP="00035C78">
      <w:pPr>
        <w:jc w:val="center"/>
        <w:rPr>
          <w:rFonts w:ascii="Arial" w:eastAsia="Arial" w:hAnsi="Arial" w:cs="Arial"/>
          <w:bCs/>
          <w:lang w:val="en-US"/>
        </w:rPr>
      </w:pPr>
    </w:p>
    <w:p w14:paraId="4E62B940" w14:textId="77777777" w:rsidR="00D21C3A" w:rsidRDefault="00D21C3A" w:rsidP="00035C78">
      <w:pPr>
        <w:jc w:val="center"/>
        <w:rPr>
          <w:rFonts w:ascii="Arial" w:eastAsia="Arial" w:hAnsi="Arial" w:cs="Arial"/>
          <w:bCs/>
          <w:lang w:val="en-US"/>
        </w:rPr>
      </w:pPr>
    </w:p>
    <w:p w14:paraId="3BF033B6" w14:textId="77777777" w:rsidR="00D21C3A" w:rsidRDefault="00D21C3A" w:rsidP="00035C78">
      <w:pPr>
        <w:jc w:val="center"/>
        <w:rPr>
          <w:rFonts w:ascii="Arial" w:eastAsia="Arial" w:hAnsi="Arial" w:cs="Arial"/>
          <w:bCs/>
          <w:lang w:val="en-US"/>
        </w:rPr>
      </w:pPr>
    </w:p>
    <w:p w14:paraId="5C145F69" w14:textId="77777777" w:rsidR="00D21C3A" w:rsidRDefault="00D21C3A" w:rsidP="00035C78">
      <w:pPr>
        <w:jc w:val="center"/>
        <w:rPr>
          <w:rFonts w:ascii="Arial" w:eastAsia="Arial" w:hAnsi="Arial" w:cs="Arial"/>
          <w:bCs/>
          <w:lang w:val="en-US"/>
        </w:rPr>
      </w:pPr>
    </w:p>
    <w:p w14:paraId="6E943683" w14:textId="77777777" w:rsidR="00D21C3A" w:rsidRDefault="00D21C3A" w:rsidP="00035C78">
      <w:pPr>
        <w:jc w:val="center"/>
        <w:rPr>
          <w:rFonts w:ascii="Arial" w:eastAsia="Arial" w:hAnsi="Arial" w:cs="Arial"/>
          <w:bCs/>
          <w:lang w:val="en-US"/>
        </w:rPr>
      </w:pPr>
    </w:p>
    <w:p w14:paraId="53901E4B" w14:textId="77777777" w:rsidR="00D21C3A" w:rsidRDefault="00D21C3A" w:rsidP="00035C78">
      <w:pPr>
        <w:jc w:val="center"/>
        <w:rPr>
          <w:rFonts w:ascii="Arial" w:eastAsia="Arial" w:hAnsi="Arial" w:cs="Arial"/>
          <w:bCs/>
          <w:lang w:val="en-US"/>
        </w:rPr>
      </w:pPr>
    </w:p>
    <w:p w14:paraId="6965B3B9" w14:textId="77777777" w:rsidR="00D21C3A" w:rsidRDefault="00D21C3A" w:rsidP="00035C78">
      <w:pPr>
        <w:jc w:val="center"/>
        <w:rPr>
          <w:rFonts w:ascii="Arial" w:eastAsia="Arial" w:hAnsi="Arial" w:cs="Arial"/>
          <w:bCs/>
          <w:lang w:val="en-US"/>
        </w:rPr>
      </w:pPr>
    </w:p>
    <w:p w14:paraId="666FB88C" w14:textId="77777777" w:rsidR="00D21C3A" w:rsidRDefault="00D21C3A" w:rsidP="00035C78">
      <w:pPr>
        <w:jc w:val="center"/>
        <w:rPr>
          <w:rFonts w:ascii="Arial" w:eastAsia="Arial" w:hAnsi="Arial" w:cs="Arial"/>
          <w:bCs/>
          <w:lang w:val="en-US"/>
        </w:rPr>
      </w:pPr>
    </w:p>
    <w:p w14:paraId="31AEE4B1" w14:textId="77777777" w:rsidR="00D21C3A" w:rsidRDefault="00D21C3A" w:rsidP="00035C78">
      <w:pPr>
        <w:jc w:val="center"/>
        <w:rPr>
          <w:rFonts w:ascii="Arial" w:eastAsia="Arial" w:hAnsi="Arial" w:cs="Arial"/>
          <w:bCs/>
          <w:lang w:val="en-US"/>
        </w:rPr>
      </w:pPr>
    </w:p>
    <w:p w14:paraId="0E19D12F" w14:textId="77777777" w:rsidR="00D21C3A" w:rsidRDefault="00D21C3A" w:rsidP="00035C78">
      <w:pPr>
        <w:jc w:val="center"/>
        <w:rPr>
          <w:rFonts w:ascii="Arial" w:eastAsia="Arial" w:hAnsi="Arial" w:cs="Arial"/>
          <w:bCs/>
          <w:lang w:val="en-US"/>
        </w:rPr>
      </w:pPr>
    </w:p>
    <w:p w14:paraId="704D8F4E" w14:textId="77777777" w:rsidR="00D21C3A" w:rsidRDefault="00D21C3A" w:rsidP="00035C78">
      <w:pPr>
        <w:jc w:val="center"/>
        <w:rPr>
          <w:rFonts w:ascii="Arial" w:eastAsia="Arial" w:hAnsi="Arial" w:cs="Arial"/>
          <w:bCs/>
          <w:lang w:val="en-US"/>
        </w:rPr>
      </w:pPr>
    </w:p>
    <w:p w14:paraId="3CC6017C" w14:textId="77777777" w:rsidR="00D21C3A" w:rsidRDefault="00D21C3A" w:rsidP="00035C78">
      <w:pPr>
        <w:jc w:val="center"/>
        <w:rPr>
          <w:rFonts w:ascii="Arial" w:eastAsia="Arial" w:hAnsi="Arial" w:cs="Arial"/>
          <w:bCs/>
          <w:lang w:val="en-US"/>
        </w:rPr>
      </w:pPr>
    </w:p>
    <w:p w14:paraId="4501F68F" w14:textId="77777777" w:rsidR="00D21C3A" w:rsidRDefault="00D21C3A" w:rsidP="00035C78">
      <w:pPr>
        <w:jc w:val="center"/>
        <w:rPr>
          <w:rFonts w:ascii="Arial" w:eastAsia="Arial" w:hAnsi="Arial" w:cs="Arial"/>
          <w:bCs/>
          <w:lang w:val="en-US"/>
        </w:rPr>
      </w:pPr>
    </w:p>
    <w:p w14:paraId="394B1CCE" w14:textId="77777777" w:rsidR="00D21C3A" w:rsidRDefault="00D21C3A" w:rsidP="00035C78">
      <w:pPr>
        <w:jc w:val="center"/>
        <w:rPr>
          <w:rFonts w:ascii="Arial" w:eastAsia="Arial" w:hAnsi="Arial" w:cs="Arial"/>
          <w:bCs/>
          <w:lang w:val="en-US"/>
        </w:rPr>
      </w:pPr>
    </w:p>
    <w:p w14:paraId="48F26A0E" w14:textId="77777777" w:rsidR="00D21C3A" w:rsidRDefault="00D21C3A" w:rsidP="00035C78">
      <w:pPr>
        <w:jc w:val="center"/>
        <w:rPr>
          <w:rFonts w:ascii="Arial" w:eastAsia="Arial" w:hAnsi="Arial" w:cs="Arial"/>
          <w:bCs/>
          <w:lang w:val="en-US"/>
        </w:rPr>
      </w:pPr>
    </w:p>
    <w:p w14:paraId="7F3AD612" w14:textId="77777777" w:rsidR="00D21C3A" w:rsidRDefault="00D21C3A" w:rsidP="00035C78">
      <w:pPr>
        <w:jc w:val="center"/>
        <w:rPr>
          <w:rFonts w:ascii="Arial" w:eastAsia="Arial" w:hAnsi="Arial" w:cs="Arial"/>
          <w:bCs/>
          <w:lang w:val="en-US"/>
        </w:rPr>
      </w:pPr>
    </w:p>
    <w:p w14:paraId="456D2444" w14:textId="77777777" w:rsidR="00D21C3A" w:rsidRDefault="00D21C3A" w:rsidP="00035C78">
      <w:pPr>
        <w:jc w:val="center"/>
        <w:rPr>
          <w:rFonts w:ascii="Arial" w:eastAsia="Arial" w:hAnsi="Arial" w:cs="Arial"/>
          <w:bCs/>
          <w:lang w:val="en-US"/>
        </w:rPr>
      </w:pPr>
    </w:p>
    <w:p w14:paraId="5301CC7B" w14:textId="77777777" w:rsidR="00D21C3A" w:rsidRDefault="00D21C3A" w:rsidP="00035C78">
      <w:pPr>
        <w:jc w:val="center"/>
        <w:rPr>
          <w:rFonts w:ascii="Arial" w:eastAsia="Arial" w:hAnsi="Arial" w:cs="Arial"/>
          <w:bCs/>
          <w:lang w:val="en-US"/>
        </w:rPr>
      </w:pPr>
    </w:p>
    <w:p w14:paraId="520D2DFE" w14:textId="77777777" w:rsidR="00D21C3A" w:rsidRDefault="00D21C3A" w:rsidP="00035C78">
      <w:pPr>
        <w:jc w:val="center"/>
        <w:rPr>
          <w:rFonts w:ascii="Arial" w:eastAsia="Arial" w:hAnsi="Arial" w:cs="Arial"/>
          <w:bCs/>
          <w:lang w:val="en-US"/>
        </w:rPr>
      </w:pPr>
    </w:p>
    <w:p w14:paraId="45AF57C4" w14:textId="77777777" w:rsidR="00D21C3A" w:rsidRDefault="00D21C3A" w:rsidP="00035C78">
      <w:pPr>
        <w:jc w:val="center"/>
        <w:rPr>
          <w:rFonts w:ascii="Arial" w:eastAsia="Arial" w:hAnsi="Arial" w:cs="Arial"/>
          <w:bCs/>
          <w:lang w:val="en-US"/>
        </w:rPr>
      </w:pPr>
    </w:p>
    <w:p w14:paraId="519911F8" w14:textId="77777777" w:rsidR="00D21C3A" w:rsidRDefault="00D21C3A" w:rsidP="00035C78">
      <w:pPr>
        <w:jc w:val="center"/>
        <w:rPr>
          <w:rFonts w:ascii="Arial" w:eastAsia="Arial" w:hAnsi="Arial" w:cs="Arial"/>
          <w:bCs/>
          <w:lang w:val="en-US"/>
        </w:rPr>
      </w:pPr>
    </w:p>
    <w:p w14:paraId="2A2756E5" w14:textId="77777777" w:rsidR="00D21C3A" w:rsidRDefault="00D21C3A" w:rsidP="00035C78">
      <w:pPr>
        <w:jc w:val="center"/>
        <w:rPr>
          <w:rFonts w:ascii="Arial" w:eastAsia="Arial" w:hAnsi="Arial" w:cs="Arial"/>
          <w:bCs/>
          <w:lang w:val="en-US"/>
        </w:rPr>
      </w:pPr>
    </w:p>
    <w:p w14:paraId="46E24160" w14:textId="77777777" w:rsidR="00D21C3A" w:rsidRDefault="00D21C3A" w:rsidP="00035C78">
      <w:pPr>
        <w:jc w:val="center"/>
        <w:rPr>
          <w:rFonts w:ascii="Arial" w:eastAsia="Arial" w:hAnsi="Arial" w:cs="Arial"/>
          <w:bCs/>
          <w:lang w:val="en-US"/>
        </w:rPr>
      </w:pPr>
    </w:p>
    <w:p w14:paraId="2E2CE373" w14:textId="77777777" w:rsidR="00D21C3A" w:rsidRDefault="00D21C3A" w:rsidP="00035C78">
      <w:pPr>
        <w:jc w:val="center"/>
        <w:rPr>
          <w:rFonts w:ascii="Arial" w:eastAsia="Arial" w:hAnsi="Arial" w:cs="Arial"/>
          <w:bCs/>
          <w:lang w:val="en-US"/>
        </w:rPr>
      </w:pPr>
    </w:p>
    <w:p w14:paraId="2B47FAA1" w14:textId="77777777" w:rsidR="00D21C3A" w:rsidRDefault="00D21C3A" w:rsidP="00035C78">
      <w:pPr>
        <w:jc w:val="center"/>
        <w:rPr>
          <w:rFonts w:ascii="Arial" w:eastAsia="Arial" w:hAnsi="Arial" w:cs="Arial"/>
          <w:bCs/>
          <w:lang w:val="en-US"/>
        </w:rPr>
      </w:pPr>
    </w:p>
    <w:p w14:paraId="151EF937" w14:textId="77777777" w:rsidR="00D21C3A" w:rsidRDefault="00D21C3A" w:rsidP="00035C78">
      <w:pPr>
        <w:jc w:val="center"/>
        <w:rPr>
          <w:rFonts w:ascii="Arial" w:eastAsia="Arial" w:hAnsi="Arial" w:cs="Arial"/>
          <w:bCs/>
          <w:lang w:val="en-US"/>
        </w:rPr>
      </w:pPr>
    </w:p>
    <w:p w14:paraId="47D4661B" w14:textId="77777777" w:rsidR="00D21C3A" w:rsidRDefault="00D21C3A" w:rsidP="00035C78">
      <w:pPr>
        <w:jc w:val="center"/>
        <w:rPr>
          <w:rFonts w:ascii="Arial" w:eastAsia="Arial" w:hAnsi="Arial" w:cs="Arial"/>
          <w:bCs/>
          <w:lang w:val="en-US"/>
        </w:rPr>
      </w:pPr>
    </w:p>
    <w:p w14:paraId="42E5A721" w14:textId="77777777" w:rsidR="00D21C3A" w:rsidRDefault="00D21C3A" w:rsidP="00035C78">
      <w:pPr>
        <w:jc w:val="center"/>
        <w:rPr>
          <w:rFonts w:ascii="Arial" w:eastAsia="Arial" w:hAnsi="Arial" w:cs="Arial"/>
          <w:bCs/>
          <w:lang w:val="en-US"/>
        </w:rPr>
      </w:pPr>
    </w:p>
    <w:p w14:paraId="4151E9D3" w14:textId="77777777" w:rsidR="00D21C3A" w:rsidRDefault="00D21C3A" w:rsidP="00035C78">
      <w:pPr>
        <w:jc w:val="center"/>
        <w:rPr>
          <w:rFonts w:ascii="Arial" w:eastAsia="Arial" w:hAnsi="Arial" w:cs="Arial"/>
          <w:bCs/>
          <w:lang w:val="en-US"/>
        </w:rPr>
      </w:pPr>
    </w:p>
    <w:p w14:paraId="2D387EC6" w14:textId="77777777" w:rsidR="00D21C3A" w:rsidRDefault="00D21C3A" w:rsidP="00035C78">
      <w:pPr>
        <w:jc w:val="center"/>
        <w:rPr>
          <w:rFonts w:ascii="Arial" w:eastAsia="Arial" w:hAnsi="Arial" w:cs="Arial"/>
          <w:bCs/>
          <w:lang w:val="en-US"/>
        </w:rPr>
      </w:pPr>
    </w:p>
    <w:p w14:paraId="01489B6A" w14:textId="77777777" w:rsidR="00D21C3A" w:rsidRDefault="00D21C3A" w:rsidP="00035C78">
      <w:pPr>
        <w:jc w:val="center"/>
        <w:rPr>
          <w:rFonts w:ascii="Arial" w:eastAsia="Arial" w:hAnsi="Arial" w:cs="Arial"/>
          <w:bCs/>
          <w:lang w:val="en-US"/>
        </w:rPr>
      </w:pPr>
    </w:p>
    <w:p w14:paraId="75C71656" w14:textId="77777777" w:rsidR="00D21C3A" w:rsidRDefault="00D21C3A" w:rsidP="00035C78">
      <w:pPr>
        <w:jc w:val="center"/>
        <w:rPr>
          <w:rFonts w:ascii="Arial" w:eastAsia="Arial" w:hAnsi="Arial" w:cs="Arial"/>
          <w:bCs/>
          <w:lang w:val="en-US"/>
        </w:rPr>
      </w:pPr>
    </w:p>
    <w:p w14:paraId="73273290" w14:textId="77777777" w:rsidR="00D21C3A" w:rsidRDefault="00D21C3A" w:rsidP="00035C78">
      <w:pPr>
        <w:jc w:val="center"/>
        <w:rPr>
          <w:rFonts w:ascii="Arial" w:eastAsia="Arial" w:hAnsi="Arial" w:cs="Arial"/>
          <w:bCs/>
          <w:lang w:val="en-US"/>
        </w:rPr>
      </w:pPr>
    </w:p>
    <w:p w14:paraId="40D43A10" w14:textId="77777777" w:rsidR="00D21C3A" w:rsidRPr="00EA6368" w:rsidRDefault="00D21C3A" w:rsidP="00035C78">
      <w:pPr>
        <w:jc w:val="center"/>
        <w:rPr>
          <w:rFonts w:ascii="Arial" w:eastAsia="Arial" w:hAnsi="Arial" w:cs="Arial"/>
          <w:bCs/>
          <w:lang w:val="en-US"/>
        </w:rPr>
      </w:pPr>
    </w:p>
    <w:p w14:paraId="211395EE" w14:textId="77777777" w:rsidR="00D21C3A" w:rsidRPr="00EA6368" w:rsidRDefault="00D21C3A" w:rsidP="00D21C3A">
      <w:pPr>
        <w:spacing w:line="360" w:lineRule="auto"/>
        <w:jc w:val="both"/>
        <w:rPr>
          <w:rFonts w:ascii="Arial" w:eastAsia="Arial" w:hAnsi="Arial" w:cs="Arial"/>
          <w:bCs/>
          <w:lang w:val="en-US"/>
        </w:rPr>
      </w:pPr>
      <w:r>
        <w:rPr>
          <w:rFonts w:ascii="Arial" w:eastAsia="Arial" w:hAnsi="Arial" w:cs="Arial"/>
          <w:bCs/>
          <w:lang w:val="en-US"/>
        </w:rPr>
        <w:br w:type="column"/>
      </w:r>
      <w:r w:rsidRPr="00EA6368">
        <w:rPr>
          <w:rFonts w:ascii="Arial" w:eastAsia="Arial" w:hAnsi="Arial" w:cs="Arial"/>
          <w:bCs/>
          <w:lang w:val="en-US"/>
        </w:rPr>
        <w:lastRenderedPageBreak/>
        <w:t>Abstract:</w:t>
      </w:r>
    </w:p>
    <w:p w14:paraId="5A96A24C" w14:textId="70414D97" w:rsidR="00BA11FA" w:rsidRDefault="00D21C3A" w:rsidP="00BA11FA">
      <w:pPr>
        <w:spacing w:line="360" w:lineRule="auto"/>
        <w:ind w:firstLine="708"/>
        <w:jc w:val="both"/>
        <w:rPr>
          <w:rFonts w:ascii="Arial" w:eastAsia="Arial" w:hAnsi="Arial" w:cs="Arial"/>
          <w:bCs/>
          <w:lang w:val="en-US"/>
        </w:rPr>
      </w:pPr>
      <w:r w:rsidRPr="00EA6368">
        <w:rPr>
          <w:rFonts w:ascii="Arial" w:eastAsia="Arial" w:hAnsi="Arial" w:cs="Arial"/>
          <w:bCs/>
          <w:lang w:val="en-US"/>
        </w:rPr>
        <w:t xml:space="preserve">During the COVID-19 pandemic, declared by the World Health Organization in March 2020, a cross-sectional and quantitative study evaluated the effects of social isolation on mental health, focusing on people living with HIV (PLHIV) compared to the general population. The objective of this </w:t>
      </w:r>
      <w:r w:rsidR="00BA11FA">
        <w:rPr>
          <w:rFonts w:ascii="Arial" w:eastAsia="Arial" w:hAnsi="Arial" w:cs="Arial"/>
          <w:bCs/>
          <w:lang w:val="en-US"/>
        </w:rPr>
        <w:t>study</w:t>
      </w:r>
      <w:r w:rsidRPr="00EA6368">
        <w:rPr>
          <w:rFonts w:ascii="Arial" w:eastAsia="Arial" w:hAnsi="Arial" w:cs="Arial"/>
          <w:bCs/>
          <w:lang w:val="en-US"/>
        </w:rPr>
        <w:t xml:space="preserve"> was to identify the predictors of anxiety, depression and stress </w:t>
      </w:r>
      <w:r w:rsidR="00BA11FA">
        <w:rPr>
          <w:rFonts w:ascii="Arial" w:eastAsia="Arial" w:hAnsi="Arial" w:cs="Arial"/>
          <w:bCs/>
          <w:lang w:val="en-US"/>
        </w:rPr>
        <w:t xml:space="preserve">and to estimate the marginal effect of HIV status on these outcomes. </w:t>
      </w:r>
      <w:r w:rsidR="00BA11FA">
        <w:rPr>
          <w:rFonts w:ascii="Arial" w:eastAsia="Arial" w:hAnsi="Arial" w:cs="Arial"/>
          <w:bCs/>
          <w:lang w:val="en-US"/>
        </w:rPr>
        <w:t>In this cross-sectional online survey, 1241 adults (281 PLHIV and 960 non-PLHIV) completed a sociodemographic and pandemic-related questionnaire and the Depression, Anxiety and Stress Scale (DASS-21). Overlap weighting based on age, sex and education was applied to balance the groups. Weighted Marginal Structural Models with Tweedie distribution (p=1.3) were fitted to estimate mean rations for each outcome. Robustness to unmeasured conf</w:t>
      </w:r>
      <w:r w:rsidR="00BA11FA">
        <w:rPr>
          <w:rFonts w:ascii="Arial" w:eastAsia="Arial" w:hAnsi="Arial" w:cs="Arial"/>
          <w:bCs/>
          <w:lang w:val="en-US"/>
        </w:rPr>
        <w:t>o</w:t>
      </w:r>
      <w:r w:rsidR="00BA11FA">
        <w:rPr>
          <w:rFonts w:ascii="Arial" w:eastAsia="Arial" w:hAnsi="Arial" w:cs="Arial"/>
          <w:bCs/>
          <w:lang w:val="en-US"/>
        </w:rPr>
        <w:t xml:space="preserve">unding was assessed using E-values. </w:t>
      </w:r>
      <w:r w:rsidR="00BA11FA">
        <w:rPr>
          <w:rFonts w:ascii="Arial" w:eastAsia="Arial" w:hAnsi="Arial" w:cs="Arial"/>
          <w:bCs/>
          <w:lang w:val="en-US"/>
        </w:rPr>
        <w:t>HIV status was not significantly associated with depression scores. In contrast PLHIV showed higher anxiety (mean ratio=1.12; 95%CI: 1.03-1.23; E-value=1.50) and lower stress levels (mean ratio=0.86; 95%CI:0.81-0.91; E-value=1.59) compared with non-PLHIV. Higher education, financial losses, working from home, perceived risk of COVID-19, frequency of information seeking and the number of leisure activities were additional predictors of psychological symptoms. Depression, anxiety and stress dimensions were positively intercorrelated in all models. The study emphasize that mental health outcomes were shaped by a complex interplay between clinical condition, work and financial context, information exposure and behavioral adaptation, underscoring the need for tailored psychosocial interventions for PLHIV and the general population.</w:t>
      </w:r>
    </w:p>
    <w:p w14:paraId="588A1487" w14:textId="77777777" w:rsidR="00D21C3A" w:rsidRPr="00D21C3A" w:rsidRDefault="00D21C3A" w:rsidP="00D21C3A">
      <w:pPr>
        <w:spacing w:line="360" w:lineRule="auto"/>
        <w:jc w:val="center"/>
        <w:rPr>
          <w:rFonts w:ascii="Arial" w:eastAsia="Arial" w:hAnsi="Arial" w:cs="Arial"/>
          <w:bCs/>
          <w:lang w:val="en-US"/>
        </w:rPr>
      </w:pPr>
      <w:r>
        <w:rPr>
          <w:rFonts w:ascii="Arial" w:eastAsia="Arial" w:hAnsi="Arial" w:cs="Arial"/>
          <w:bCs/>
          <w:lang w:val="en-US"/>
        </w:rPr>
        <w:br w:type="column"/>
      </w:r>
      <w:proofErr w:type="spellStart"/>
      <w:r w:rsidRPr="00D21C3A">
        <w:rPr>
          <w:rFonts w:ascii="Arial" w:eastAsia="Arial" w:hAnsi="Arial" w:cs="Arial"/>
          <w:bCs/>
          <w:lang w:val="en-US"/>
        </w:rPr>
        <w:lastRenderedPageBreak/>
        <w:t>Ansiedade</w:t>
      </w:r>
      <w:proofErr w:type="spellEnd"/>
      <w:r w:rsidRPr="00D21C3A">
        <w:rPr>
          <w:rFonts w:ascii="Arial" w:eastAsia="Arial" w:hAnsi="Arial" w:cs="Arial"/>
          <w:bCs/>
          <w:lang w:val="en-US"/>
        </w:rPr>
        <w:t xml:space="preserve">, </w:t>
      </w:r>
      <w:proofErr w:type="spellStart"/>
      <w:r w:rsidRPr="00D21C3A">
        <w:rPr>
          <w:rFonts w:ascii="Arial" w:eastAsia="Arial" w:hAnsi="Arial" w:cs="Arial"/>
          <w:bCs/>
          <w:lang w:val="en-US"/>
        </w:rPr>
        <w:t>Depressão</w:t>
      </w:r>
      <w:proofErr w:type="spellEnd"/>
      <w:r w:rsidRPr="00D21C3A">
        <w:rPr>
          <w:rFonts w:ascii="Arial" w:eastAsia="Arial" w:hAnsi="Arial" w:cs="Arial"/>
          <w:bCs/>
          <w:lang w:val="en-US"/>
        </w:rPr>
        <w:t xml:space="preserve"> e </w:t>
      </w:r>
      <w:proofErr w:type="spellStart"/>
      <w:r w:rsidRPr="00D21C3A">
        <w:rPr>
          <w:rFonts w:ascii="Arial" w:eastAsia="Arial" w:hAnsi="Arial" w:cs="Arial"/>
          <w:bCs/>
          <w:lang w:val="en-US"/>
        </w:rPr>
        <w:t>Estresse</w:t>
      </w:r>
      <w:proofErr w:type="spellEnd"/>
      <w:r w:rsidRPr="00D21C3A">
        <w:rPr>
          <w:rFonts w:ascii="Arial" w:eastAsia="Arial" w:hAnsi="Arial" w:cs="Arial"/>
          <w:bCs/>
          <w:lang w:val="en-US"/>
        </w:rPr>
        <w:t xml:space="preserve"> </w:t>
      </w:r>
      <w:proofErr w:type="spellStart"/>
      <w:r w:rsidRPr="00D21C3A">
        <w:rPr>
          <w:rFonts w:ascii="Arial" w:eastAsia="Arial" w:hAnsi="Arial" w:cs="Arial"/>
          <w:bCs/>
          <w:lang w:val="en-US"/>
        </w:rPr>
        <w:t>em</w:t>
      </w:r>
      <w:proofErr w:type="spellEnd"/>
      <w:r w:rsidRPr="00D21C3A">
        <w:rPr>
          <w:rFonts w:ascii="Arial" w:eastAsia="Arial" w:hAnsi="Arial" w:cs="Arial"/>
          <w:bCs/>
          <w:lang w:val="en-US"/>
        </w:rPr>
        <w:t xml:space="preserve"> </w:t>
      </w:r>
      <w:proofErr w:type="spellStart"/>
      <w:r w:rsidRPr="00D21C3A">
        <w:rPr>
          <w:rFonts w:ascii="Arial" w:eastAsia="Arial" w:hAnsi="Arial" w:cs="Arial"/>
          <w:bCs/>
          <w:lang w:val="en-US"/>
        </w:rPr>
        <w:t>Pessoas</w:t>
      </w:r>
      <w:proofErr w:type="spellEnd"/>
      <w:r w:rsidRPr="00D21C3A">
        <w:rPr>
          <w:rFonts w:ascii="Arial" w:eastAsia="Arial" w:hAnsi="Arial" w:cs="Arial"/>
          <w:bCs/>
          <w:lang w:val="en-US"/>
        </w:rPr>
        <w:t xml:space="preserve"> </w:t>
      </w:r>
      <w:proofErr w:type="spellStart"/>
      <w:r w:rsidRPr="00D21C3A">
        <w:rPr>
          <w:rFonts w:ascii="Arial" w:eastAsia="Arial" w:hAnsi="Arial" w:cs="Arial"/>
          <w:bCs/>
          <w:lang w:val="en-US"/>
        </w:rPr>
        <w:t>Vivendo</w:t>
      </w:r>
      <w:proofErr w:type="spellEnd"/>
      <w:r w:rsidRPr="00D21C3A">
        <w:rPr>
          <w:rFonts w:ascii="Arial" w:eastAsia="Arial" w:hAnsi="Arial" w:cs="Arial"/>
          <w:bCs/>
          <w:lang w:val="en-US"/>
        </w:rPr>
        <w:t xml:space="preserve"> com HIV </w:t>
      </w:r>
      <w:proofErr w:type="spellStart"/>
      <w:r w:rsidRPr="00D21C3A">
        <w:rPr>
          <w:rFonts w:ascii="Arial" w:eastAsia="Arial" w:hAnsi="Arial" w:cs="Arial"/>
          <w:bCs/>
          <w:lang w:val="en-US"/>
        </w:rPr>
        <w:t>durante</w:t>
      </w:r>
      <w:proofErr w:type="spellEnd"/>
      <w:r w:rsidRPr="00D21C3A">
        <w:rPr>
          <w:rFonts w:ascii="Arial" w:eastAsia="Arial" w:hAnsi="Arial" w:cs="Arial"/>
          <w:bCs/>
          <w:lang w:val="en-US"/>
        </w:rPr>
        <w:t xml:space="preserve"> a Pandemia de COVID-19.</w:t>
      </w:r>
    </w:p>
    <w:p w14:paraId="44426060" w14:textId="77777777" w:rsidR="00D21C3A" w:rsidRPr="00D21C3A" w:rsidRDefault="00D21C3A" w:rsidP="00D21C3A">
      <w:pPr>
        <w:spacing w:line="360" w:lineRule="auto"/>
        <w:jc w:val="center"/>
        <w:rPr>
          <w:rFonts w:ascii="Arial" w:eastAsia="Arial" w:hAnsi="Arial" w:cs="Arial"/>
          <w:bCs/>
          <w:lang w:val="en-US"/>
        </w:rPr>
      </w:pPr>
    </w:p>
    <w:p w14:paraId="37AA8D63" w14:textId="4C911170" w:rsidR="00D21C3A" w:rsidRPr="00D21C3A" w:rsidRDefault="00D21C3A" w:rsidP="004F0E5A">
      <w:pPr>
        <w:spacing w:line="360" w:lineRule="auto"/>
        <w:rPr>
          <w:rFonts w:ascii="Arial" w:eastAsia="Arial" w:hAnsi="Arial" w:cs="Arial"/>
          <w:bCs/>
          <w:lang w:val="en-US"/>
        </w:rPr>
      </w:pPr>
      <w:proofErr w:type="spellStart"/>
      <w:r w:rsidRPr="00D21C3A">
        <w:rPr>
          <w:rFonts w:ascii="Arial" w:eastAsia="Arial" w:hAnsi="Arial" w:cs="Arial"/>
          <w:bCs/>
          <w:lang w:val="en-US"/>
        </w:rPr>
        <w:t>Palavras-chave</w:t>
      </w:r>
      <w:proofErr w:type="spellEnd"/>
      <w:r w:rsidRPr="00D21C3A">
        <w:rPr>
          <w:rFonts w:ascii="Arial" w:eastAsia="Arial" w:hAnsi="Arial" w:cs="Arial"/>
          <w:bCs/>
          <w:lang w:val="en-US"/>
        </w:rPr>
        <w:t xml:space="preserve">: Pandemia; </w:t>
      </w:r>
      <w:proofErr w:type="spellStart"/>
      <w:r w:rsidRPr="00D21C3A">
        <w:rPr>
          <w:rFonts w:ascii="Arial" w:eastAsia="Arial" w:hAnsi="Arial" w:cs="Arial"/>
          <w:bCs/>
          <w:lang w:val="en-US"/>
        </w:rPr>
        <w:t>Saúde</w:t>
      </w:r>
      <w:proofErr w:type="spellEnd"/>
      <w:r w:rsidRPr="00D21C3A">
        <w:rPr>
          <w:rFonts w:ascii="Arial" w:eastAsia="Arial" w:hAnsi="Arial" w:cs="Arial"/>
          <w:bCs/>
          <w:lang w:val="en-US"/>
        </w:rPr>
        <w:t xml:space="preserve"> mental; HIV; </w:t>
      </w:r>
      <w:proofErr w:type="spellStart"/>
      <w:r w:rsidRPr="00D21C3A">
        <w:rPr>
          <w:rFonts w:ascii="Arial" w:eastAsia="Arial" w:hAnsi="Arial" w:cs="Arial"/>
          <w:bCs/>
          <w:lang w:val="en-US"/>
        </w:rPr>
        <w:t>Sofrimento</w:t>
      </w:r>
      <w:proofErr w:type="spellEnd"/>
      <w:r w:rsidRPr="00D21C3A">
        <w:rPr>
          <w:rFonts w:ascii="Arial" w:eastAsia="Arial" w:hAnsi="Arial" w:cs="Arial"/>
          <w:bCs/>
          <w:lang w:val="en-US"/>
        </w:rPr>
        <w:t xml:space="preserve"> </w:t>
      </w:r>
      <w:proofErr w:type="spellStart"/>
      <w:r w:rsidRPr="00D21C3A">
        <w:rPr>
          <w:rFonts w:ascii="Arial" w:eastAsia="Arial" w:hAnsi="Arial" w:cs="Arial"/>
          <w:bCs/>
          <w:lang w:val="en-US"/>
        </w:rPr>
        <w:t>psicológico</w:t>
      </w:r>
      <w:proofErr w:type="spellEnd"/>
      <w:r w:rsidRPr="00D21C3A">
        <w:rPr>
          <w:rFonts w:ascii="Arial" w:eastAsia="Arial" w:hAnsi="Arial" w:cs="Arial"/>
          <w:bCs/>
          <w:lang w:val="en-US"/>
        </w:rPr>
        <w:t>; COVID-19.</w:t>
      </w:r>
    </w:p>
    <w:p w14:paraId="238AFC58" w14:textId="77777777" w:rsidR="00B55798" w:rsidRDefault="00D21C3A" w:rsidP="00D21C3A">
      <w:pPr>
        <w:spacing w:line="360" w:lineRule="auto"/>
        <w:jc w:val="both"/>
        <w:rPr>
          <w:rFonts w:ascii="Arial" w:eastAsia="Arial" w:hAnsi="Arial" w:cs="Arial"/>
          <w:bCs/>
          <w:lang w:val="en-US"/>
        </w:rPr>
      </w:pPr>
      <w:proofErr w:type="spellStart"/>
      <w:r w:rsidRPr="00D21C3A">
        <w:rPr>
          <w:rFonts w:ascii="Arial" w:eastAsia="Arial" w:hAnsi="Arial" w:cs="Arial"/>
          <w:bCs/>
          <w:lang w:val="en-US"/>
        </w:rPr>
        <w:t>Resumo</w:t>
      </w:r>
      <w:proofErr w:type="spellEnd"/>
      <w:r w:rsidRPr="00D21C3A">
        <w:rPr>
          <w:rFonts w:ascii="Arial" w:eastAsia="Arial" w:hAnsi="Arial" w:cs="Arial"/>
          <w:bCs/>
          <w:lang w:val="en-US"/>
        </w:rPr>
        <w:t xml:space="preserve">: </w:t>
      </w:r>
    </w:p>
    <w:p w14:paraId="5E15FF7C" w14:textId="4E52889B" w:rsidR="00401CD7" w:rsidRPr="00EA6368" w:rsidRDefault="004F0E5A" w:rsidP="00C55FA2">
      <w:pPr>
        <w:spacing w:line="360" w:lineRule="auto"/>
        <w:jc w:val="both"/>
        <w:rPr>
          <w:rFonts w:ascii="Arial" w:eastAsia="Arial" w:hAnsi="Arial" w:cs="Arial"/>
          <w:bCs/>
          <w:lang w:val="en-US"/>
        </w:rPr>
      </w:pPr>
      <w:r w:rsidRPr="004F0E5A">
        <w:rPr>
          <w:rFonts w:ascii="Arial" w:eastAsia="Arial" w:hAnsi="Arial" w:cs="Arial"/>
          <w:bCs/>
          <w:lang w:val="en-US"/>
        </w:rPr>
        <w:t xml:space="preserve">Durante a pandemia de COVID-19, </w:t>
      </w:r>
      <w:proofErr w:type="spellStart"/>
      <w:r w:rsidRPr="004F0E5A">
        <w:rPr>
          <w:rFonts w:ascii="Arial" w:eastAsia="Arial" w:hAnsi="Arial" w:cs="Arial"/>
          <w:bCs/>
          <w:lang w:val="en-US"/>
        </w:rPr>
        <w:t>declarada</w:t>
      </w:r>
      <w:proofErr w:type="spellEnd"/>
      <w:r w:rsidRPr="004F0E5A">
        <w:rPr>
          <w:rFonts w:ascii="Arial" w:eastAsia="Arial" w:hAnsi="Arial" w:cs="Arial"/>
          <w:bCs/>
          <w:lang w:val="en-US"/>
        </w:rPr>
        <w:t xml:space="preserve"> pela </w:t>
      </w:r>
      <w:proofErr w:type="spellStart"/>
      <w:r w:rsidRPr="004F0E5A">
        <w:rPr>
          <w:rFonts w:ascii="Arial" w:eastAsia="Arial" w:hAnsi="Arial" w:cs="Arial"/>
          <w:bCs/>
          <w:lang w:val="en-US"/>
        </w:rPr>
        <w:t>Organização</w:t>
      </w:r>
      <w:proofErr w:type="spellEnd"/>
      <w:r w:rsidRPr="004F0E5A">
        <w:rPr>
          <w:rFonts w:ascii="Arial" w:eastAsia="Arial" w:hAnsi="Arial" w:cs="Arial"/>
          <w:bCs/>
          <w:lang w:val="en-US"/>
        </w:rPr>
        <w:t xml:space="preserve"> Mundial da </w:t>
      </w:r>
      <w:proofErr w:type="spellStart"/>
      <w:r w:rsidRPr="004F0E5A">
        <w:rPr>
          <w:rFonts w:ascii="Arial" w:eastAsia="Arial" w:hAnsi="Arial" w:cs="Arial"/>
          <w:bCs/>
          <w:lang w:val="en-US"/>
        </w:rPr>
        <w:t>Saúde</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em</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março</w:t>
      </w:r>
      <w:proofErr w:type="spellEnd"/>
      <w:r w:rsidRPr="004F0E5A">
        <w:rPr>
          <w:rFonts w:ascii="Arial" w:eastAsia="Arial" w:hAnsi="Arial" w:cs="Arial"/>
          <w:bCs/>
          <w:lang w:val="en-US"/>
        </w:rPr>
        <w:t xml:space="preserve"> de 2020, um </w:t>
      </w:r>
      <w:proofErr w:type="spellStart"/>
      <w:r w:rsidRPr="004F0E5A">
        <w:rPr>
          <w:rFonts w:ascii="Arial" w:eastAsia="Arial" w:hAnsi="Arial" w:cs="Arial"/>
          <w:bCs/>
          <w:lang w:val="en-US"/>
        </w:rPr>
        <w:t>estudo</w:t>
      </w:r>
      <w:proofErr w:type="spellEnd"/>
      <w:r w:rsidRPr="004F0E5A">
        <w:rPr>
          <w:rFonts w:ascii="Arial" w:eastAsia="Arial" w:hAnsi="Arial" w:cs="Arial"/>
          <w:bCs/>
          <w:lang w:val="en-US"/>
        </w:rPr>
        <w:t xml:space="preserve"> transversal e </w:t>
      </w:r>
      <w:proofErr w:type="spellStart"/>
      <w:r w:rsidRPr="004F0E5A">
        <w:rPr>
          <w:rFonts w:ascii="Arial" w:eastAsia="Arial" w:hAnsi="Arial" w:cs="Arial"/>
          <w:bCs/>
          <w:lang w:val="en-US"/>
        </w:rPr>
        <w:t>quantitativo</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avaliou</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os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efeitos</w:t>
      </w:r>
      <w:proofErr w:type="spellEnd"/>
      <w:r w:rsidRPr="004F0E5A">
        <w:rPr>
          <w:rFonts w:ascii="Arial" w:eastAsia="Arial" w:hAnsi="Arial" w:cs="Arial"/>
          <w:bCs/>
          <w:lang w:val="en-US"/>
        </w:rPr>
        <w:t xml:space="preserve"> do </w:t>
      </w:r>
      <w:proofErr w:type="spellStart"/>
      <w:r w:rsidRPr="004F0E5A">
        <w:rPr>
          <w:rFonts w:ascii="Arial" w:eastAsia="Arial" w:hAnsi="Arial" w:cs="Arial"/>
          <w:bCs/>
          <w:lang w:val="en-US"/>
        </w:rPr>
        <w:t>isolamento</w:t>
      </w:r>
      <w:proofErr w:type="spellEnd"/>
      <w:r w:rsidRPr="004F0E5A">
        <w:rPr>
          <w:rFonts w:ascii="Arial" w:eastAsia="Arial" w:hAnsi="Arial" w:cs="Arial"/>
          <w:bCs/>
          <w:lang w:val="en-US"/>
        </w:rPr>
        <w:t xml:space="preserve"> social </w:t>
      </w:r>
      <w:proofErr w:type="spellStart"/>
      <w:r w:rsidRPr="004F0E5A">
        <w:rPr>
          <w:rFonts w:ascii="Arial" w:eastAsia="Arial" w:hAnsi="Arial" w:cs="Arial"/>
          <w:bCs/>
          <w:lang w:val="en-US"/>
        </w:rPr>
        <w:t>na</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saúde</w:t>
      </w:r>
      <w:proofErr w:type="spellEnd"/>
      <w:r w:rsidRPr="004F0E5A">
        <w:rPr>
          <w:rFonts w:ascii="Arial" w:eastAsia="Arial" w:hAnsi="Arial" w:cs="Arial"/>
          <w:bCs/>
          <w:lang w:val="en-US"/>
        </w:rPr>
        <w:t xml:space="preserve"> mental, com </w:t>
      </w:r>
      <w:proofErr w:type="spellStart"/>
      <w:r w:rsidRPr="004F0E5A">
        <w:rPr>
          <w:rFonts w:ascii="Arial" w:eastAsia="Arial" w:hAnsi="Arial" w:cs="Arial"/>
          <w:bCs/>
          <w:lang w:val="en-US"/>
        </w:rPr>
        <w:t>foco</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em</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pessoas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vivendo</w:t>
      </w:r>
      <w:proofErr w:type="spellEnd"/>
      <w:r w:rsidRPr="004F0E5A">
        <w:rPr>
          <w:rFonts w:ascii="Arial" w:eastAsia="Arial" w:hAnsi="Arial" w:cs="Arial"/>
          <w:bCs/>
          <w:lang w:val="en-US"/>
        </w:rPr>
        <w:t xml:space="preserve"> com HIV (PVHIV) </w:t>
      </w:r>
      <w:proofErr w:type="spellStart"/>
      <w:r w:rsidRPr="004F0E5A">
        <w:rPr>
          <w:rFonts w:ascii="Arial" w:eastAsia="Arial" w:hAnsi="Arial" w:cs="Arial"/>
          <w:bCs/>
          <w:lang w:val="en-US"/>
        </w:rPr>
        <w:t>em</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comparação</w:t>
      </w:r>
      <w:proofErr w:type="spellEnd"/>
      <w:r w:rsidRPr="004F0E5A">
        <w:rPr>
          <w:rFonts w:ascii="Arial" w:eastAsia="Arial" w:hAnsi="Arial" w:cs="Arial"/>
          <w:bCs/>
          <w:lang w:val="en-US"/>
        </w:rPr>
        <w:t xml:space="preserve"> com a </w:t>
      </w:r>
      <w:proofErr w:type="spellStart"/>
      <w:r w:rsidRPr="004F0E5A">
        <w:rPr>
          <w:rFonts w:ascii="Arial" w:eastAsia="Arial" w:hAnsi="Arial" w:cs="Arial"/>
          <w:bCs/>
          <w:lang w:val="en-US"/>
        </w:rPr>
        <w:t>população</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em</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geral</w:t>
      </w:r>
      <w:proofErr w:type="spellEnd"/>
      <w:r w:rsidRPr="004F0E5A">
        <w:rPr>
          <w:rFonts w:ascii="Arial" w:eastAsia="Arial" w:hAnsi="Arial" w:cs="Arial"/>
          <w:bCs/>
          <w:lang w:val="en-US"/>
        </w:rPr>
        <w:t xml:space="preserve">. O </w:t>
      </w:r>
      <w:proofErr w:type="spellStart"/>
      <w:r w:rsidRPr="004F0E5A">
        <w:rPr>
          <w:rFonts w:ascii="Arial" w:eastAsia="Arial" w:hAnsi="Arial" w:cs="Arial"/>
          <w:bCs/>
          <w:lang w:val="en-US"/>
        </w:rPr>
        <w:t>objetivo</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deste</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estudo</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foi</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identificar</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os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preditores</w:t>
      </w:r>
      <w:proofErr w:type="spellEnd"/>
      <w:r w:rsidRPr="004F0E5A">
        <w:rPr>
          <w:rFonts w:ascii="Arial" w:eastAsia="Arial" w:hAnsi="Arial" w:cs="Arial"/>
          <w:bCs/>
          <w:lang w:val="en-US"/>
        </w:rPr>
        <w:t xml:space="preserve"> de </w:t>
      </w:r>
      <w:proofErr w:type="spellStart"/>
      <w:r w:rsidRPr="004F0E5A">
        <w:rPr>
          <w:rFonts w:ascii="Arial" w:eastAsia="Arial" w:hAnsi="Arial" w:cs="Arial"/>
          <w:bCs/>
          <w:lang w:val="en-US"/>
        </w:rPr>
        <w:t>ansiedade</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depressão</w:t>
      </w:r>
      <w:proofErr w:type="spellEnd"/>
      <w:r w:rsidRPr="004F0E5A">
        <w:rPr>
          <w:rFonts w:ascii="Arial" w:eastAsia="Arial" w:hAnsi="Arial" w:cs="Arial"/>
          <w:bCs/>
          <w:lang w:val="en-US"/>
        </w:rPr>
        <w:t xml:space="preserve"> e </w:t>
      </w:r>
      <w:proofErr w:type="spellStart"/>
      <w:r w:rsidRPr="004F0E5A">
        <w:rPr>
          <w:rFonts w:ascii="Arial" w:eastAsia="Arial" w:hAnsi="Arial" w:cs="Arial"/>
          <w:bCs/>
          <w:lang w:val="en-US"/>
        </w:rPr>
        <w:t>estresse</w:t>
      </w:r>
      <w:proofErr w:type="spellEnd"/>
      <w:r w:rsidRPr="004F0E5A">
        <w:rPr>
          <w:rFonts w:ascii="Arial" w:eastAsia="Arial" w:hAnsi="Arial" w:cs="Arial"/>
          <w:bCs/>
          <w:lang w:val="en-US"/>
        </w:rPr>
        <w:t xml:space="preserve"> e </w:t>
      </w:r>
      <w:proofErr w:type="spellStart"/>
      <w:r w:rsidRPr="004F0E5A">
        <w:rPr>
          <w:rFonts w:ascii="Arial" w:eastAsia="Arial" w:hAnsi="Arial" w:cs="Arial"/>
          <w:bCs/>
          <w:lang w:val="en-US"/>
        </w:rPr>
        <w:t>estimar</w:t>
      </w:r>
      <w:proofErr w:type="spellEnd"/>
      <w:r w:rsidRPr="004F0E5A">
        <w:rPr>
          <w:rFonts w:ascii="Arial" w:eastAsia="Arial" w:hAnsi="Arial" w:cs="Arial"/>
          <w:bCs/>
          <w:lang w:val="en-US"/>
        </w:rPr>
        <w:t xml:space="preserve"> o </w:t>
      </w:r>
      <w:proofErr w:type="spellStart"/>
      <w:r w:rsidRPr="004F0E5A">
        <w:rPr>
          <w:rFonts w:ascii="Arial" w:eastAsia="Arial" w:hAnsi="Arial" w:cs="Arial"/>
          <w:bCs/>
          <w:lang w:val="en-US"/>
        </w:rPr>
        <w:t>efeito</w:t>
      </w:r>
      <w:proofErr w:type="spellEnd"/>
      <w:r w:rsidRPr="004F0E5A">
        <w:rPr>
          <w:rFonts w:ascii="Arial" w:eastAsia="Arial" w:hAnsi="Arial" w:cs="Arial"/>
          <w:bCs/>
          <w:lang w:val="en-US"/>
        </w:rPr>
        <w:t xml:space="preserve"> marginal do status de HIV nesses </w:t>
      </w:r>
      <w:proofErr w:type="spellStart"/>
      <w:r w:rsidRPr="004F0E5A">
        <w:rPr>
          <w:rFonts w:ascii="Arial" w:eastAsia="Arial" w:hAnsi="Arial" w:cs="Arial"/>
          <w:bCs/>
          <w:lang w:val="en-US"/>
        </w:rPr>
        <w:t>desfechos</w:t>
      </w:r>
      <w:proofErr w:type="spellEnd"/>
      <w:r w:rsidRPr="004F0E5A">
        <w:rPr>
          <w:rFonts w:ascii="Arial" w:eastAsia="Arial" w:hAnsi="Arial" w:cs="Arial"/>
          <w:bCs/>
          <w:lang w:val="en-US"/>
        </w:rPr>
        <w:t xml:space="preserve">. Nesta </w:t>
      </w:r>
      <w:proofErr w:type="spellStart"/>
      <w:r w:rsidRPr="004F0E5A">
        <w:rPr>
          <w:rFonts w:ascii="Arial" w:eastAsia="Arial" w:hAnsi="Arial" w:cs="Arial"/>
          <w:bCs/>
          <w:lang w:val="en-US"/>
        </w:rPr>
        <w:t>pesquisa</w:t>
      </w:r>
      <w:proofErr w:type="spellEnd"/>
      <w:r w:rsidRPr="004F0E5A">
        <w:rPr>
          <w:rFonts w:ascii="Arial" w:eastAsia="Arial" w:hAnsi="Arial" w:cs="Arial"/>
          <w:bCs/>
          <w:lang w:val="en-US"/>
        </w:rPr>
        <w:t xml:space="preserve"> transversal online, 1241 </w:t>
      </w:r>
      <w:proofErr w:type="spellStart"/>
      <w:r w:rsidRPr="004F0E5A">
        <w:rPr>
          <w:rFonts w:ascii="Arial" w:eastAsia="Arial" w:hAnsi="Arial" w:cs="Arial"/>
          <w:bCs/>
          <w:lang w:val="en-US"/>
        </w:rPr>
        <w:t>adultos</w:t>
      </w:r>
      <w:proofErr w:type="spellEnd"/>
      <w:r w:rsidRPr="004F0E5A">
        <w:rPr>
          <w:rFonts w:ascii="Arial" w:eastAsia="Arial" w:hAnsi="Arial" w:cs="Arial"/>
          <w:bCs/>
          <w:lang w:val="en-US"/>
        </w:rPr>
        <w:t xml:space="preserve"> (281 PVHIV e 960 </w:t>
      </w:r>
      <w:proofErr w:type="spellStart"/>
      <w:r w:rsidRPr="004F0E5A">
        <w:rPr>
          <w:rFonts w:ascii="Arial" w:eastAsia="Arial" w:hAnsi="Arial" w:cs="Arial"/>
          <w:bCs/>
          <w:lang w:val="en-US"/>
        </w:rPr>
        <w:t>não</w:t>
      </w:r>
      <w:proofErr w:type="spellEnd"/>
      <w:r w:rsidRPr="004F0E5A">
        <w:rPr>
          <w:rFonts w:ascii="Arial" w:eastAsia="Arial" w:hAnsi="Arial" w:cs="Arial"/>
          <w:bCs/>
          <w:lang w:val="en-US"/>
        </w:rPr>
        <w:t xml:space="preserve"> PVHIV) </w:t>
      </w:r>
      <w:proofErr w:type="spellStart"/>
      <w:r w:rsidRPr="004F0E5A">
        <w:rPr>
          <w:rFonts w:ascii="Arial" w:eastAsia="Arial" w:hAnsi="Arial" w:cs="Arial"/>
          <w:bCs/>
          <w:lang w:val="en-US"/>
        </w:rPr>
        <w:t>responderam</w:t>
      </w:r>
      <w:proofErr w:type="spellEnd"/>
      <w:r w:rsidRPr="004F0E5A">
        <w:rPr>
          <w:rFonts w:ascii="Arial" w:eastAsia="Arial" w:hAnsi="Arial" w:cs="Arial"/>
          <w:bCs/>
          <w:lang w:val="en-US"/>
        </w:rPr>
        <w:t xml:space="preserve"> </w:t>
      </w:r>
      <w:proofErr w:type="gramStart"/>
      <w:r w:rsidRPr="004F0E5A">
        <w:rPr>
          <w:rFonts w:ascii="Arial" w:eastAsia="Arial" w:hAnsi="Arial" w:cs="Arial"/>
          <w:bCs/>
          <w:lang w:val="en-US"/>
        </w:rPr>
        <w:t>a</w:t>
      </w:r>
      <w:proofErr w:type="gramEnd"/>
      <w:r w:rsidRPr="004F0E5A">
        <w:rPr>
          <w:rFonts w:ascii="Arial" w:eastAsia="Arial" w:hAnsi="Arial" w:cs="Arial"/>
          <w:bCs/>
          <w:lang w:val="en-US"/>
        </w:rPr>
        <w:t xml:space="preserve"> um </w:t>
      </w:r>
      <w:proofErr w:type="spellStart"/>
      <w:r w:rsidRPr="004F0E5A">
        <w:rPr>
          <w:rFonts w:ascii="Arial" w:eastAsia="Arial" w:hAnsi="Arial" w:cs="Arial"/>
          <w:bCs/>
          <w:lang w:val="en-US"/>
        </w:rPr>
        <w:t>questionário</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sociodemográfico</w:t>
      </w:r>
      <w:proofErr w:type="spellEnd"/>
      <w:r w:rsidRPr="004F0E5A">
        <w:rPr>
          <w:rFonts w:ascii="Arial" w:eastAsia="Arial" w:hAnsi="Arial" w:cs="Arial"/>
          <w:bCs/>
          <w:lang w:val="en-US"/>
        </w:rPr>
        <w:t xml:space="preserve"> e </w:t>
      </w:r>
      <w:proofErr w:type="spellStart"/>
      <w:r w:rsidRPr="004F0E5A">
        <w:rPr>
          <w:rFonts w:ascii="Arial" w:eastAsia="Arial" w:hAnsi="Arial" w:cs="Arial"/>
          <w:bCs/>
          <w:lang w:val="en-US"/>
        </w:rPr>
        <w:t>relacionado</w:t>
      </w:r>
      <w:proofErr w:type="spellEnd"/>
      <w:r w:rsidRPr="004F0E5A">
        <w:rPr>
          <w:rFonts w:ascii="Arial" w:eastAsia="Arial" w:hAnsi="Arial" w:cs="Arial"/>
          <w:bCs/>
          <w:lang w:val="en-US"/>
        </w:rPr>
        <w:t xml:space="preserve"> à pandemia, </w:t>
      </w:r>
      <w:proofErr w:type="spellStart"/>
      <w:r w:rsidRPr="004F0E5A">
        <w:rPr>
          <w:rFonts w:ascii="Arial" w:eastAsia="Arial" w:hAnsi="Arial" w:cs="Arial"/>
          <w:bCs/>
          <w:lang w:val="en-US"/>
        </w:rPr>
        <w:t>além</w:t>
      </w:r>
      <w:proofErr w:type="spellEnd"/>
      <w:r w:rsidRPr="004F0E5A">
        <w:rPr>
          <w:rFonts w:ascii="Arial" w:eastAsia="Arial" w:hAnsi="Arial" w:cs="Arial"/>
          <w:bCs/>
          <w:lang w:val="en-US"/>
        </w:rPr>
        <w:t xml:space="preserve"> da Escala de </w:t>
      </w:r>
      <w:proofErr w:type="spellStart"/>
      <w:r w:rsidRPr="004F0E5A">
        <w:rPr>
          <w:rFonts w:ascii="Arial" w:eastAsia="Arial" w:hAnsi="Arial" w:cs="Arial"/>
          <w:bCs/>
          <w:lang w:val="en-US"/>
        </w:rPr>
        <w:t>Depressão</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Ansiedade</w:t>
      </w:r>
      <w:proofErr w:type="spellEnd"/>
      <w:r w:rsidRPr="004F0E5A">
        <w:rPr>
          <w:rFonts w:ascii="Arial" w:eastAsia="Arial" w:hAnsi="Arial" w:cs="Arial"/>
          <w:bCs/>
          <w:lang w:val="en-US"/>
        </w:rPr>
        <w:t xml:space="preserve"> e </w:t>
      </w:r>
      <w:proofErr w:type="spellStart"/>
      <w:r w:rsidRPr="004F0E5A">
        <w:rPr>
          <w:rFonts w:ascii="Arial" w:eastAsia="Arial" w:hAnsi="Arial" w:cs="Arial"/>
          <w:bCs/>
          <w:lang w:val="en-US"/>
        </w:rPr>
        <w:t>Estresse</w:t>
      </w:r>
      <w:proofErr w:type="spellEnd"/>
      <w:r w:rsidRPr="004F0E5A">
        <w:rPr>
          <w:rFonts w:ascii="Arial" w:eastAsia="Arial" w:hAnsi="Arial" w:cs="Arial"/>
          <w:bCs/>
          <w:lang w:val="en-US"/>
        </w:rPr>
        <w:t xml:space="preserve"> (DASS-21). A </w:t>
      </w:r>
      <w:proofErr w:type="spellStart"/>
      <w:r w:rsidRPr="004F0E5A">
        <w:rPr>
          <w:rFonts w:ascii="Arial" w:eastAsia="Arial" w:hAnsi="Arial" w:cs="Arial"/>
          <w:bCs/>
          <w:lang w:val="en-US"/>
        </w:rPr>
        <w:t>ponderação</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por</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sobreposição</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baseada</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em</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idade</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sexo</w:t>
      </w:r>
      <w:proofErr w:type="spellEnd"/>
      <w:r w:rsidRPr="004F0E5A">
        <w:rPr>
          <w:rFonts w:ascii="Arial" w:eastAsia="Arial" w:hAnsi="Arial" w:cs="Arial"/>
          <w:bCs/>
          <w:lang w:val="en-US"/>
        </w:rPr>
        <w:t xml:space="preserve"> e </w:t>
      </w:r>
      <w:proofErr w:type="spellStart"/>
      <w:r w:rsidRPr="004F0E5A">
        <w:rPr>
          <w:rFonts w:ascii="Arial" w:eastAsia="Arial" w:hAnsi="Arial" w:cs="Arial"/>
          <w:bCs/>
          <w:lang w:val="en-US"/>
        </w:rPr>
        <w:t>escolaridade</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foi</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aplicada</w:t>
      </w:r>
      <w:proofErr w:type="spellEnd"/>
      <w:r w:rsidRPr="004F0E5A">
        <w:rPr>
          <w:rFonts w:ascii="Arial" w:eastAsia="Arial" w:hAnsi="Arial" w:cs="Arial"/>
          <w:bCs/>
          <w:lang w:val="en-US"/>
        </w:rPr>
        <w:t xml:space="preserve"> para </w:t>
      </w:r>
      <w:proofErr w:type="spellStart"/>
      <w:r w:rsidRPr="004F0E5A">
        <w:rPr>
          <w:rFonts w:ascii="Arial" w:eastAsia="Arial" w:hAnsi="Arial" w:cs="Arial"/>
          <w:bCs/>
          <w:lang w:val="en-US"/>
        </w:rPr>
        <w:t>equilibrar</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os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grupos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Modelos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Estruturais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Marginais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Ponderados</w:t>
      </w:r>
      <w:proofErr w:type="spellEnd"/>
      <w:r w:rsidRPr="004F0E5A">
        <w:rPr>
          <w:rFonts w:ascii="Arial" w:eastAsia="Arial" w:hAnsi="Arial" w:cs="Arial"/>
          <w:bCs/>
          <w:lang w:val="en-US"/>
        </w:rPr>
        <w:t xml:space="preserve"> com </w:t>
      </w:r>
      <w:proofErr w:type="spellStart"/>
      <w:r w:rsidRPr="004F0E5A">
        <w:rPr>
          <w:rFonts w:ascii="Arial" w:eastAsia="Arial" w:hAnsi="Arial" w:cs="Arial"/>
          <w:bCs/>
          <w:lang w:val="en-US"/>
        </w:rPr>
        <w:t>distribuição</w:t>
      </w:r>
      <w:proofErr w:type="spellEnd"/>
      <w:r w:rsidRPr="004F0E5A">
        <w:rPr>
          <w:rFonts w:ascii="Arial" w:eastAsia="Arial" w:hAnsi="Arial" w:cs="Arial"/>
          <w:bCs/>
          <w:lang w:val="en-US"/>
        </w:rPr>
        <w:t xml:space="preserve"> de Tweedie (p=1,3) </w:t>
      </w:r>
      <w:proofErr w:type="spellStart"/>
      <w:r w:rsidRPr="004F0E5A">
        <w:rPr>
          <w:rFonts w:ascii="Arial" w:eastAsia="Arial" w:hAnsi="Arial" w:cs="Arial"/>
          <w:bCs/>
          <w:lang w:val="en-US"/>
        </w:rPr>
        <w:t>foram</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ajustados</w:t>
      </w:r>
      <w:proofErr w:type="spellEnd"/>
      <w:r w:rsidRPr="004F0E5A">
        <w:rPr>
          <w:rFonts w:ascii="Arial" w:eastAsia="Arial" w:hAnsi="Arial" w:cs="Arial"/>
          <w:bCs/>
          <w:lang w:val="en-US"/>
        </w:rPr>
        <w:t xml:space="preserve"> para </w:t>
      </w:r>
      <w:proofErr w:type="spellStart"/>
      <w:r w:rsidRPr="004F0E5A">
        <w:rPr>
          <w:rFonts w:ascii="Arial" w:eastAsia="Arial" w:hAnsi="Arial" w:cs="Arial"/>
          <w:bCs/>
          <w:lang w:val="en-US"/>
        </w:rPr>
        <w:t>estimar</w:t>
      </w:r>
      <w:proofErr w:type="spellEnd"/>
      <w:r w:rsidRPr="004F0E5A">
        <w:rPr>
          <w:rFonts w:ascii="Arial" w:eastAsia="Arial" w:hAnsi="Arial" w:cs="Arial"/>
          <w:bCs/>
          <w:lang w:val="en-US"/>
        </w:rPr>
        <w:t xml:space="preserve"> as </w:t>
      </w:r>
      <w:proofErr w:type="spellStart"/>
      <w:r w:rsidRPr="004F0E5A">
        <w:rPr>
          <w:rFonts w:ascii="Arial" w:eastAsia="Arial" w:hAnsi="Arial" w:cs="Arial"/>
          <w:bCs/>
          <w:lang w:val="en-US"/>
        </w:rPr>
        <w:t>razões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médias</w:t>
      </w:r>
      <w:proofErr w:type="spellEnd"/>
      <w:r w:rsidRPr="004F0E5A">
        <w:rPr>
          <w:rFonts w:ascii="Arial" w:eastAsia="Arial" w:hAnsi="Arial" w:cs="Arial"/>
          <w:bCs/>
          <w:lang w:val="en-US"/>
        </w:rPr>
        <w:t xml:space="preserve"> para </w:t>
      </w:r>
      <w:proofErr w:type="spellStart"/>
      <w:r w:rsidRPr="004F0E5A">
        <w:rPr>
          <w:rFonts w:ascii="Arial" w:eastAsia="Arial" w:hAnsi="Arial" w:cs="Arial"/>
          <w:bCs/>
          <w:lang w:val="en-US"/>
        </w:rPr>
        <w:t>cada</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desfecho</w:t>
      </w:r>
      <w:proofErr w:type="spellEnd"/>
      <w:r w:rsidRPr="004F0E5A">
        <w:rPr>
          <w:rFonts w:ascii="Arial" w:eastAsia="Arial" w:hAnsi="Arial" w:cs="Arial"/>
          <w:bCs/>
          <w:lang w:val="en-US"/>
        </w:rPr>
        <w:t xml:space="preserve">. A </w:t>
      </w:r>
      <w:proofErr w:type="spellStart"/>
      <w:r w:rsidRPr="004F0E5A">
        <w:rPr>
          <w:rFonts w:ascii="Arial" w:eastAsia="Arial" w:hAnsi="Arial" w:cs="Arial"/>
          <w:bCs/>
          <w:lang w:val="en-US"/>
        </w:rPr>
        <w:t>robustez</w:t>
      </w:r>
      <w:proofErr w:type="spellEnd"/>
      <w:r w:rsidRPr="004F0E5A">
        <w:rPr>
          <w:rFonts w:ascii="Arial" w:eastAsia="Arial" w:hAnsi="Arial" w:cs="Arial"/>
          <w:bCs/>
          <w:lang w:val="en-US"/>
        </w:rPr>
        <w:t xml:space="preserve"> a </w:t>
      </w:r>
      <w:proofErr w:type="spellStart"/>
      <w:r w:rsidRPr="004F0E5A">
        <w:rPr>
          <w:rFonts w:ascii="Arial" w:eastAsia="Arial" w:hAnsi="Arial" w:cs="Arial"/>
          <w:bCs/>
          <w:lang w:val="en-US"/>
        </w:rPr>
        <w:t>fatores</w:t>
      </w:r>
      <w:proofErr w:type="spellEnd"/>
      <w:r w:rsidRPr="004F0E5A">
        <w:rPr>
          <w:rFonts w:ascii="Arial" w:eastAsia="Arial" w:hAnsi="Arial" w:cs="Arial"/>
          <w:bCs/>
          <w:lang w:val="en-US"/>
        </w:rPr>
        <w:t xml:space="preserve"> de </w:t>
      </w:r>
      <w:proofErr w:type="spellStart"/>
      <w:r w:rsidRPr="004F0E5A">
        <w:rPr>
          <w:rFonts w:ascii="Arial" w:eastAsia="Arial" w:hAnsi="Arial" w:cs="Arial"/>
          <w:bCs/>
          <w:lang w:val="en-US"/>
        </w:rPr>
        <w:t>confusão</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não</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mensurados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foi</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avaliada</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utilizando</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valores</w:t>
      </w:r>
      <w:proofErr w:type="spellEnd"/>
      <w:r w:rsidRPr="004F0E5A">
        <w:rPr>
          <w:rFonts w:ascii="Arial" w:eastAsia="Arial" w:hAnsi="Arial" w:cs="Arial"/>
          <w:bCs/>
          <w:lang w:val="en-US"/>
        </w:rPr>
        <w:t xml:space="preserve"> E. O status de HIV </w:t>
      </w:r>
      <w:proofErr w:type="spellStart"/>
      <w:r w:rsidRPr="004F0E5A">
        <w:rPr>
          <w:rFonts w:ascii="Arial" w:eastAsia="Arial" w:hAnsi="Arial" w:cs="Arial"/>
          <w:bCs/>
          <w:lang w:val="en-US"/>
        </w:rPr>
        <w:t>não</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apresentou</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associação</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significativa</w:t>
      </w:r>
      <w:proofErr w:type="spellEnd"/>
      <w:r w:rsidRPr="004F0E5A">
        <w:rPr>
          <w:rFonts w:ascii="Arial" w:eastAsia="Arial" w:hAnsi="Arial" w:cs="Arial"/>
          <w:bCs/>
          <w:lang w:val="en-US"/>
        </w:rPr>
        <w:t xml:space="preserve"> com </w:t>
      </w:r>
      <w:proofErr w:type="spellStart"/>
      <w:r w:rsidRPr="004F0E5A">
        <w:rPr>
          <w:rFonts w:ascii="Arial" w:eastAsia="Arial" w:hAnsi="Arial" w:cs="Arial"/>
          <w:bCs/>
          <w:lang w:val="en-US"/>
        </w:rPr>
        <w:t>os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escores</w:t>
      </w:r>
      <w:proofErr w:type="spellEnd"/>
      <w:r w:rsidRPr="004F0E5A">
        <w:rPr>
          <w:rFonts w:ascii="Arial" w:eastAsia="Arial" w:hAnsi="Arial" w:cs="Arial"/>
          <w:bCs/>
          <w:lang w:val="en-US"/>
        </w:rPr>
        <w:t xml:space="preserve"> de </w:t>
      </w:r>
      <w:proofErr w:type="spellStart"/>
      <w:r w:rsidRPr="004F0E5A">
        <w:rPr>
          <w:rFonts w:ascii="Arial" w:eastAsia="Arial" w:hAnsi="Arial" w:cs="Arial"/>
          <w:bCs/>
          <w:lang w:val="en-US"/>
        </w:rPr>
        <w:t>depressão</w:t>
      </w:r>
      <w:proofErr w:type="spellEnd"/>
      <w:r w:rsidRPr="004F0E5A">
        <w:rPr>
          <w:rFonts w:ascii="Arial" w:eastAsia="Arial" w:hAnsi="Arial" w:cs="Arial"/>
          <w:bCs/>
          <w:lang w:val="en-US"/>
        </w:rPr>
        <w:t xml:space="preserve">. Em </w:t>
      </w:r>
      <w:proofErr w:type="spellStart"/>
      <w:r w:rsidRPr="004F0E5A">
        <w:rPr>
          <w:rFonts w:ascii="Arial" w:eastAsia="Arial" w:hAnsi="Arial" w:cs="Arial"/>
          <w:bCs/>
          <w:lang w:val="en-US"/>
        </w:rPr>
        <w:t>contraste</w:t>
      </w:r>
      <w:proofErr w:type="spellEnd"/>
      <w:r w:rsidRPr="004F0E5A">
        <w:rPr>
          <w:rFonts w:ascii="Arial" w:eastAsia="Arial" w:hAnsi="Arial" w:cs="Arial"/>
          <w:bCs/>
          <w:lang w:val="en-US"/>
        </w:rPr>
        <w:t xml:space="preserve">, as </w:t>
      </w:r>
      <w:proofErr w:type="spellStart"/>
      <w:r w:rsidRPr="004F0E5A">
        <w:rPr>
          <w:rFonts w:ascii="Arial" w:eastAsia="Arial" w:hAnsi="Arial" w:cs="Arial"/>
          <w:bCs/>
          <w:lang w:val="en-US"/>
        </w:rPr>
        <w:t>pessoas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vivendo</w:t>
      </w:r>
      <w:proofErr w:type="spellEnd"/>
      <w:r w:rsidRPr="004F0E5A">
        <w:rPr>
          <w:rFonts w:ascii="Arial" w:eastAsia="Arial" w:hAnsi="Arial" w:cs="Arial"/>
          <w:bCs/>
          <w:lang w:val="en-US"/>
        </w:rPr>
        <w:t xml:space="preserve"> com HIV (PVHIV) </w:t>
      </w:r>
      <w:proofErr w:type="spellStart"/>
      <w:r w:rsidRPr="004F0E5A">
        <w:rPr>
          <w:rFonts w:ascii="Arial" w:eastAsia="Arial" w:hAnsi="Arial" w:cs="Arial"/>
          <w:bCs/>
          <w:lang w:val="en-US"/>
        </w:rPr>
        <w:t>apresentaram</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níveis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mais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elevados</w:t>
      </w:r>
      <w:proofErr w:type="spellEnd"/>
      <w:r w:rsidRPr="004F0E5A">
        <w:rPr>
          <w:rFonts w:ascii="Arial" w:eastAsia="Arial" w:hAnsi="Arial" w:cs="Arial"/>
          <w:bCs/>
          <w:lang w:val="en-US"/>
        </w:rPr>
        <w:t xml:space="preserve"> de </w:t>
      </w:r>
      <w:proofErr w:type="spellStart"/>
      <w:r w:rsidRPr="004F0E5A">
        <w:rPr>
          <w:rFonts w:ascii="Arial" w:eastAsia="Arial" w:hAnsi="Arial" w:cs="Arial"/>
          <w:bCs/>
          <w:lang w:val="en-US"/>
        </w:rPr>
        <w:t>ansiedade</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razão</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média</w:t>
      </w:r>
      <w:proofErr w:type="spellEnd"/>
      <w:r w:rsidRPr="004F0E5A">
        <w:rPr>
          <w:rFonts w:ascii="Arial" w:eastAsia="Arial" w:hAnsi="Arial" w:cs="Arial"/>
          <w:bCs/>
          <w:lang w:val="en-US"/>
        </w:rPr>
        <w:t xml:space="preserve"> = 1,12; IC 95%: 1,03-1,23; valor E = 1,50) e </w:t>
      </w:r>
      <w:proofErr w:type="spellStart"/>
      <w:r w:rsidRPr="004F0E5A">
        <w:rPr>
          <w:rFonts w:ascii="Arial" w:eastAsia="Arial" w:hAnsi="Arial" w:cs="Arial"/>
          <w:bCs/>
          <w:lang w:val="en-US"/>
        </w:rPr>
        <w:t>níveis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mais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baixos</w:t>
      </w:r>
      <w:proofErr w:type="spellEnd"/>
      <w:r w:rsidRPr="004F0E5A">
        <w:rPr>
          <w:rFonts w:ascii="Arial" w:eastAsia="Arial" w:hAnsi="Arial" w:cs="Arial"/>
          <w:bCs/>
          <w:lang w:val="en-US"/>
        </w:rPr>
        <w:t xml:space="preserve"> de </w:t>
      </w:r>
      <w:proofErr w:type="spellStart"/>
      <w:r w:rsidRPr="004F0E5A">
        <w:rPr>
          <w:rFonts w:ascii="Arial" w:eastAsia="Arial" w:hAnsi="Arial" w:cs="Arial"/>
          <w:bCs/>
          <w:lang w:val="en-US"/>
        </w:rPr>
        <w:t>estresse</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razão</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média</w:t>
      </w:r>
      <w:proofErr w:type="spellEnd"/>
      <w:r w:rsidRPr="004F0E5A">
        <w:rPr>
          <w:rFonts w:ascii="Arial" w:eastAsia="Arial" w:hAnsi="Arial" w:cs="Arial"/>
          <w:bCs/>
          <w:lang w:val="en-US"/>
        </w:rPr>
        <w:t xml:space="preserve"> = 0,86; IC 95%: 0,81-0,91; valor E = 1,59) </w:t>
      </w:r>
      <w:proofErr w:type="spellStart"/>
      <w:r w:rsidRPr="004F0E5A">
        <w:rPr>
          <w:rFonts w:ascii="Arial" w:eastAsia="Arial" w:hAnsi="Arial" w:cs="Arial"/>
          <w:bCs/>
          <w:lang w:val="en-US"/>
        </w:rPr>
        <w:t>em</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comparação</w:t>
      </w:r>
      <w:proofErr w:type="spellEnd"/>
      <w:r w:rsidRPr="004F0E5A">
        <w:rPr>
          <w:rFonts w:ascii="Arial" w:eastAsia="Arial" w:hAnsi="Arial" w:cs="Arial"/>
          <w:bCs/>
          <w:lang w:val="en-US"/>
        </w:rPr>
        <w:t xml:space="preserve"> com as </w:t>
      </w:r>
      <w:proofErr w:type="spellStart"/>
      <w:r w:rsidRPr="004F0E5A">
        <w:rPr>
          <w:rFonts w:ascii="Arial" w:eastAsia="Arial" w:hAnsi="Arial" w:cs="Arial"/>
          <w:bCs/>
          <w:lang w:val="en-US"/>
        </w:rPr>
        <w:t>pessoas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sem</w:t>
      </w:r>
      <w:proofErr w:type="spellEnd"/>
      <w:r w:rsidRPr="004F0E5A">
        <w:rPr>
          <w:rFonts w:ascii="Arial" w:eastAsia="Arial" w:hAnsi="Arial" w:cs="Arial"/>
          <w:bCs/>
          <w:lang w:val="en-US"/>
        </w:rPr>
        <w:t xml:space="preserve"> HIV. </w:t>
      </w:r>
      <w:proofErr w:type="spellStart"/>
      <w:r w:rsidRPr="004F0E5A">
        <w:rPr>
          <w:rFonts w:ascii="Arial" w:eastAsia="Arial" w:hAnsi="Arial" w:cs="Arial"/>
          <w:bCs/>
          <w:lang w:val="en-US"/>
        </w:rPr>
        <w:t>Nível</w:t>
      </w:r>
      <w:proofErr w:type="spellEnd"/>
      <w:r w:rsidRPr="004F0E5A">
        <w:rPr>
          <w:rFonts w:ascii="Arial" w:eastAsia="Arial" w:hAnsi="Arial" w:cs="Arial"/>
          <w:bCs/>
          <w:lang w:val="en-US"/>
        </w:rPr>
        <w:t xml:space="preserve"> de </w:t>
      </w:r>
      <w:proofErr w:type="spellStart"/>
      <w:r w:rsidRPr="004F0E5A">
        <w:rPr>
          <w:rFonts w:ascii="Arial" w:eastAsia="Arial" w:hAnsi="Arial" w:cs="Arial"/>
          <w:bCs/>
          <w:lang w:val="en-US"/>
        </w:rPr>
        <w:t>escolaridade</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mais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elevado</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perdas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financeiras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trabalho</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remoto</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percepção</w:t>
      </w:r>
      <w:proofErr w:type="spellEnd"/>
      <w:r w:rsidRPr="004F0E5A">
        <w:rPr>
          <w:rFonts w:ascii="Arial" w:eastAsia="Arial" w:hAnsi="Arial" w:cs="Arial"/>
          <w:bCs/>
          <w:lang w:val="en-US"/>
        </w:rPr>
        <w:t xml:space="preserve"> de </w:t>
      </w:r>
      <w:proofErr w:type="spellStart"/>
      <w:r w:rsidRPr="004F0E5A">
        <w:rPr>
          <w:rFonts w:ascii="Arial" w:eastAsia="Arial" w:hAnsi="Arial" w:cs="Arial"/>
          <w:bCs/>
          <w:lang w:val="en-US"/>
        </w:rPr>
        <w:t>risco</w:t>
      </w:r>
      <w:proofErr w:type="spellEnd"/>
      <w:r w:rsidRPr="004F0E5A">
        <w:rPr>
          <w:rFonts w:ascii="Arial" w:eastAsia="Arial" w:hAnsi="Arial" w:cs="Arial"/>
          <w:bCs/>
          <w:lang w:val="en-US"/>
        </w:rPr>
        <w:t xml:space="preserve"> da COVID-19, </w:t>
      </w:r>
      <w:proofErr w:type="spellStart"/>
      <w:r w:rsidRPr="004F0E5A">
        <w:rPr>
          <w:rFonts w:ascii="Arial" w:eastAsia="Arial" w:hAnsi="Arial" w:cs="Arial"/>
          <w:bCs/>
          <w:lang w:val="en-US"/>
        </w:rPr>
        <w:t>frequência</w:t>
      </w:r>
      <w:proofErr w:type="spellEnd"/>
      <w:r w:rsidRPr="004F0E5A">
        <w:rPr>
          <w:rFonts w:ascii="Arial" w:eastAsia="Arial" w:hAnsi="Arial" w:cs="Arial"/>
          <w:bCs/>
          <w:lang w:val="en-US"/>
        </w:rPr>
        <w:t xml:space="preserve"> de </w:t>
      </w:r>
      <w:proofErr w:type="spellStart"/>
      <w:r w:rsidRPr="004F0E5A">
        <w:rPr>
          <w:rFonts w:ascii="Arial" w:eastAsia="Arial" w:hAnsi="Arial" w:cs="Arial"/>
          <w:bCs/>
          <w:lang w:val="en-US"/>
        </w:rPr>
        <w:t>busca</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por</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informações</w:t>
      </w:r>
      <w:proofErr w:type="spellEnd"/>
      <w:r w:rsidRPr="004F0E5A">
        <w:rPr>
          <w:rFonts w:ascii="Arial" w:eastAsia="Arial" w:hAnsi="Arial" w:cs="Arial"/>
          <w:bCs/>
          <w:lang w:val="en-US"/>
        </w:rPr>
        <w:t xml:space="preserve"> e </w:t>
      </w:r>
      <w:proofErr w:type="spellStart"/>
      <w:r w:rsidRPr="004F0E5A">
        <w:rPr>
          <w:rFonts w:ascii="Arial" w:eastAsia="Arial" w:hAnsi="Arial" w:cs="Arial"/>
          <w:bCs/>
          <w:lang w:val="en-US"/>
        </w:rPr>
        <w:t>número</w:t>
      </w:r>
      <w:proofErr w:type="spellEnd"/>
      <w:r w:rsidRPr="004F0E5A">
        <w:rPr>
          <w:rFonts w:ascii="Arial" w:eastAsia="Arial" w:hAnsi="Arial" w:cs="Arial"/>
          <w:bCs/>
          <w:lang w:val="en-US"/>
        </w:rPr>
        <w:t xml:space="preserve"> de </w:t>
      </w:r>
      <w:proofErr w:type="spellStart"/>
      <w:r w:rsidRPr="004F0E5A">
        <w:rPr>
          <w:rFonts w:ascii="Arial" w:eastAsia="Arial" w:hAnsi="Arial" w:cs="Arial"/>
          <w:bCs/>
          <w:lang w:val="en-US"/>
        </w:rPr>
        <w:t>atividades</w:t>
      </w:r>
      <w:proofErr w:type="spellEnd"/>
      <w:r w:rsidRPr="004F0E5A">
        <w:rPr>
          <w:rFonts w:ascii="Arial" w:eastAsia="Arial" w:hAnsi="Arial" w:cs="Arial"/>
          <w:bCs/>
          <w:lang w:val="en-US"/>
        </w:rPr>
        <w:t xml:space="preserve"> de </w:t>
      </w:r>
      <w:proofErr w:type="spellStart"/>
      <w:r w:rsidRPr="004F0E5A">
        <w:rPr>
          <w:rFonts w:ascii="Arial" w:eastAsia="Arial" w:hAnsi="Arial" w:cs="Arial"/>
          <w:bCs/>
          <w:lang w:val="en-US"/>
        </w:rPr>
        <w:t>lazer</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foram</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preditores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adicionais</w:t>
      </w:r>
      <w:proofErr w:type="spellEnd"/>
      <w:r w:rsidRPr="004F0E5A">
        <w:rPr>
          <w:rFonts w:ascii="Arial" w:eastAsia="Arial" w:hAnsi="Arial" w:cs="Arial"/>
          <w:bCs/>
          <w:lang w:val="en-US"/>
        </w:rPr>
        <w:t xml:space="preserve"> de </w:t>
      </w:r>
      <w:proofErr w:type="spellStart"/>
      <w:r w:rsidRPr="004F0E5A">
        <w:rPr>
          <w:rFonts w:ascii="Arial" w:eastAsia="Arial" w:hAnsi="Arial" w:cs="Arial"/>
          <w:bCs/>
          <w:lang w:val="en-US"/>
        </w:rPr>
        <w:t>sintomas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psicológicos</w:t>
      </w:r>
      <w:proofErr w:type="spellEnd"/>
      <w:r w:rsidRPr="004F0E5A">
        <w:rPr>
          <w:rFonts w:ascii="Arial" w:eastAsia="Arial" w:hAnsi="Arial" w:cs="Arial"/>
          <w:bCs/>
          <w:lang w:val="en-US"/>
        </w:rPr>
        <w:t xml:space="preserve">. As </w:t>
      </w:r>
      <w:proofErr w:type="spellStart"/>
      <w:r w:rsidRPr="004F0E5A">
        <w:rPr>
          <w:rFonts w:ascii="Arial" w:eastAsia="Arial" w:hAnsi="Arial" w:cs="Arial"/>
          <w:bCs/>
          <w:lang w:val="en-US"/>
        </w:rPr>
        <w:t>dimensões</w:t>
      </w:r>
      <w:proofErr w:type="spellEnd"/>
      <w:r w:rsidRPr="004F0E5A">
        <w:rPr>
          <w:rFonts w:ascii="Arial" w:eastAsia="Arial" w:hAnsi="Arial" w:cs="Arial"/>
          <w:bCs/>
          <w:lang w:val="en-US"/>
        </w:rPr>
        <w:t xml:space="preserve"> de </w:t>
      </w:r>
      <w:proofErr w:type="spellStart"/>
      <w:r w:rsidRPr="004F0E5A">
        <w:rPr>
          <w:rFonts w:ascii="Arial" w:eastAsia="Arial" w:hAnsi="Arial" w:cs="Arial"/>
          <w:bCs/>
          <w:lang w:val="en-US"/>
        </w:rPr>
        <w:t>depressão</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ansiedade</w:t>
      </w:r>
      <w:proofErr w:type="spellEnd"/>
      <w:r w:rsidRPr="004F0E5A">
        <w:rPr>
          <w:rFonts w:ascii="Arial" w:eastAsia="Arial" w:hAnsi="Arial" w:cs="Arial"/>
          <w:bCs/>
          <w:lang w:val="en-US"/>
        </w:rPr>
        <w:t xml:space="preserve"> e </w:t>
      </w:r>
      <w:proofErr w:type="spellStart"/>
      <w:r w:rsidRPr="004F0E5A">
        <w:rPr>
          <w:rFonts w:ascii="Arial" w:eastAsia="Arial" w:hAnsi="Arial" w:cs="Arial"/>
          <w:bCs/>
          <w:lang w:val="en-US"/>
        </w:rPr>
        <w:t>estresse</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apresentaram</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correlação</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positiva</w:t>
      </w:r>
      <w:proofErr w:type="spellEnd"/>
      <w:r w:rsidRPr="004F0E5A">
        <w:rPr>
          <w:rFonts w:ascii="Arial" w:eastAsia="Arial" w:hAnsi="Arial" w:cs="Arial"/>
          <w:bCs/>
          <w:lang w:val="en-US"/>
        </w:rPr>
        <w:t xml:space="preserve"> entre </w:t>
      </w:r>
      <w:proofErr w:type="spellStart"/>
      <w:r w:rsidRPr="004F0E5A">
        <w:rPr>
          <w:rFonts w:ascii="Arial" w:eastAsia="Arial" w:hAnsi="Arial" w:cs="Arial"/>
          <w:bCs/>
          <w:lang w:val="en-US"/>
        </w:rPr>
        <w:t>si</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em</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todos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os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modelos</w:t>
      </w:r>
      <w:proofErr w:type="spellEnd"/>
      <w:r w:rsidRPr="004F0E5A">
        <w:rPr>
          <w:rFonts w:ascii="Arial" w:eastAsia="Arial" w:hAnsi="Arial" w:cs="Arial"/>
          <w:bCs/>
          <w:lang w:val="en-US"/>
        </w:rPr>
        <w:t xml:space="preserve">. O </w:t>
      </w:r>
      <w:proofErr w:type="spellStart"/>
      <w:r w:rsidRPr="004F0E5A">
        <w:rPr>
          <w:rFonts w:ascii="Arial" w:eastAsia="Arial" w:hAnsi="Arial" w:cs="Arial"/>
          <w:bCs/>
          <w:lang w:val="en-US"/>
        </w:rPr>
        <w:t>estudo</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enfatiza</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que</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os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desfechos</w:t>
      </w:r>
      <w:proofErr w:type="spellEnd"/>
      <w:r w:rsidRPr="004F0E5A">
        <w:rPr>
          <w:rFonts w:ascii="Arial" w:eastAsia="Arial" w:hAnsi="Arial" w:cs="Arial"/>
          <w:bCs/>
          <w:lang w:val="en-US"/>
        </w:rPr>
        <w:t xml:space="preserve"> de </w:t>
      </w:r>
      <w:proofErr w:type="spellStart"/>
      <w:r w:rsidRPr="004F0E5A">
        <w:rPr>
          <w:rFonts w:ascii="Arial" w:eastAsia="Arial" w:hAnsi="Arial" w:cs="Arial"/>
          <w:bCs/>
          <w:lang w:val="en-US"/>
        </w:rPr>
        <w:t>saúde</w:t>
      </w:r>
      <w:proofErr w:type="spellEnd"/>
      <w:r w:rsidRPr="004F0E5A">
        <w:rPr>
          <w:rFonts w:ascii="Arial" w:eastAsia="Arial" w:hAnsi="Arial" w:cs="Arial"/>
          <w:bCs/>
          <w:lang w:val="en-US"/>
        </w:rPr>
        <w:t xml:space="preserve"> mental </w:t>
      </w:r>
      <w:proofErr w:type="spellStart"/>
      <w:r w:rsidRPr="004F0E5A">
        <w:rPr>
          <w:rFonts w:ascii="Arial" w:eastAsia="Arial" w:hAnsi="Arial" w:cs="Arial"/>
          <w:bCs/>
          <w:lang w:val="en-US"/>
        </w:rPr>
        <w:t>foram</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moldados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por</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uma</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interação</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complexa</w:t>
      </w:r>
      <w:proofErr w:type="spellEnd"/>
      <w:r w:rsidRPr="004F0E5A">
        <w:rPr>
          <w:rFonts w:ascii="Arial" w:eastAsia="Arial" w:hAnsi="Arial" w:cs="Arial"/>
          <w:bCs/>
          <w:lang w:val="en-US"/>
        </w:rPr>
        <w:t xml:space="preserve"> entre a </w:t>
      </w:r>
      <w:proofErr w:type="spellStart"/>
      <w:r w:rsidRPr="004F0E5A">
        <w:rPr>
          <w:rFonts w:ascii="Arial" w:eastAsia="Arial" w:hAnsi="Arial" w:cs="Arial"/>
          <w:bCs/>
          <w:lang w:val="en-US"/>
        </w:rPr>
        <w:t>condição</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clínica</w:t>
      </w:r>
      <w:proofErr w:type="spellEnd"/>
      <w:r w:rsidRPr="004F0E5A">
        <w:rPr>
          <w:rFonts w:ascii="Arial" w:eastAsia="Arial" w:hAnsi="Arial" w:cs="Arial"/>
          <w:bCs/>
          <w:lang w:val="en-US"/>
        </w:rPr>
        <w:t xml:space="preserve">, o </w:t>
      </w:r>
      <w:proofErr w:type="spellStart"/>
      <w:r w:rsidRPr="004F0E5A">
        <w:rPr>
          <w:rFonts w:ascii="Arial" w:eastAsia="Arial" w:hAnsi="Arial" w:cs="Arial"/>
          <w:bCs/>
          <w:lang w:val="en-US"/>
        </w:rPr>
        <w:t>contexto</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laboral</w:t>
      </w:r>
      <w:proofErr w:type="spellEnd"/>
      <w:r w:rsidRPr="004F0E5A">
        <w:rPr>
          <w:rFonts w:ascii="Arial" w:eastAsia="Arial" w:hAnsi="Arial" w:cs="Arial"/>
          <w:bCs/>
          <w:lang w:val="en-US"/>
        </w:rPr>
        <w:t xml:space="preserve"> e </w:t>
      </w:r>
      <w:proofErr w:type="spellStart"/>
      <w:r w:rsidRPr="004F0E5A">
        <w:rPr>
          <w:rFonts w:ascii="Arial" w:eastAsia="Arial" w:hAnsi="Arial" w:cs="Arial"/>
          <w:bCs/>
          <w:lang w:val="en-US"/>
        </w:rPr>
        <w:t>financeiro</w:t>
      </w:r>
      <w:proofErr w:type="spellEnd"/>
      <w:r w:rsidRPr="004F0E5A">
        <w:rPr>
          <w:rFonts w:ascii="Arial" w:eastAsia="Arial" w:hAnsi="Arial" w:cs="Arial"/>
          <w:bCs/>
          <w:lang w:val="en-US"/>
        </w:rPr>
        <w:t xml:space="preserve">, </w:t>
      </w:r>
      <w:proofErr w:type="gramStart"/>
      <w:r w:rsidRPr="004F0E5A">
        <w:rPr>
          <w:rFonts w:ascii="Arial" w:eastAsia="Arial" w:hAnsi="Arial" w:cs="Arial"/>
          <w:bCs/>
          <w:lang w:val="en-US"/>
        </w:rPr>
        <w:t>a</w:t>
      </w:r>
      <w:proofErr w:type="gramEnd"/>
      <w:r w:rsidRPr="004F0E5A">
        <w:rPr>
          <w:rFonts w:ascii="Arial" w:eastAsia="Arial" w:hAnsi="Arial" w:cs="Arial"/>
          <w:bCs/>
          <w:lang w:val="en-US"/>
        </w:rPr>
        <w:t xml:space="preserve"> </w:t>
      </w:r>
      <w:proofErr w:type="spellStart"/>
      <w:r w:rsidRPr="004F0E5A">
        <w:rPr>
          <w:rFonts w:ascii="Arial" w:eastAsia="Arial" w:hAnsi="Arial" w:cs="Arial"/>
          <w:bCs/>
          <w:lang w:val="en-US"/>
        </w:rPr>
        <w:t>exposição</w:t>
      </w:r>
      <w:proofErr w:type="spellEnd"/>
      <w:r w:rsidRPr="004F0E5A">
        <w:rPr>
          <w:rFonts w:ascii="Arial" w:eastAsia="Arial" w:hAnsi="Arial" w:cs="Arial"/>
          <w:bCs/>
          <w:lang w:val="en-US"/>
        </w:rPr>
        <w:t xml:space="preserve"> à </w:t>
      </w:r>
      <w:proofErr w:type="spellStart"/>
      <w:r w:rsidRPr="004F0E5A">
        <w:rPr>
          <w:rFonts w:ascii="Arial" w:eastAsia="Arial" w:hAnsi="Arial" w:cs="Arial"/>
          <w:bCs/>
          <w:lang w:val="en-US"/>
        </w:rPr>
        <w:t>informação</w:t>
      </w:r>
      <w:proofErr w:type="spellEnd"/>
      <w:r w:rsidRPr="004F0E5A">
        <w:rPr>
          <w:rFonts w:ascii="Arial" w:eastAsia="Arial" w:hAnsi="Arial" w:cs="Arial"/>
          <w:bCs/>
          <w:lang w:val="en-US"/>
        </w:rPr>
        <w:t xml:space="preserve"> e </w:t>
      </w:r>
      <w:proofErr w:type="gramStart"/>
      <w:r w:rsidRPr="004F0E5A">
        <w:rPr>
          <w:rFonts w:ascii="Arial" w:eastAsia="Arial" w:hAnsi="Arial" w:cs="Arial"/>
          <w:bCs/>
          <w:lang w:val="en-US"/>
        </w:rPr>
        <w:t>a</w:t>
      </w:r>
      <w:proofErr w:type="gramEnd"/>
      <w:r w:rsidRPr="004F0E5A">
        <w:rPr>
          <w:rFonts w:ascii="Arial" w:eastAsia="Arial" w:hAnsi="Arial" w:cs="Arial"/>
          <w:bCs/>
          <w:lang w:val="en-US"/>
        </w:rPr>
        <w:t xml:space="preserve"> </w:t>
      </w:r>
      <w:proofErr w:type="spellStart"/>
      <w:r w:rsidRPr="004F0E5A">
        <w:rPr>
          <w:rFonts w:ascii="Arial" w:eastAsia="Arial" w:hAnsi="Arial" w:cs="Arial"/>
          <w:bCs/>
          <w:lang w:val="en-US"/>
        </w:rPr>
        <w:t>adaptação</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comportamental</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ressaltando</w:t>
      </w:r>
      <w:proofErr w:type="spellEnd"/>
      <w:r w:rsidRPr="004F0E5A">
        <w:rPr>
          <w:rFonts w:ascii="Arial" w:eastAsia="Arial" w:hAnsi="Arial" w:cs="Arial"/>
          <w:bCs/>
          <w:lang w:val="en-US"/>
        </w:rPr>
        <w:t xml:space="preserve"> a </w:t>
      </w:r>
      <w:proofErr w:type="spellStart"/>
      <w:r w:rsidRPr="004F0E5A">
        <w:rPr>
          <w:rFonts w:ascii="Arial" w:eastAsia="Arial" w:hAnsi="Arial" w:cs="Arial"/>
          <w:bCs/>
          <w:lang w:val="en-US"/>
        </w:rPr>
        <w:t>necessidade</w:t>
      </w:r>
      <w:proofErr w:type="spellEnd"/>
      <w:r w:rsidRPr="004F0E5A">
        <w:rPr>
          <w:rFonts w:ascii="Arial" w:eastAsia="Arial" w:hAnsi="Arial" w:cs="Arial"/>
          <w:bCs/>
          <w:lang w:val="en-US"/>
        </w:rPr>
        <w:t xml:space="preserve"> de </w:t>
      </w:r>
      <w:proofErr w:type="spellStart"/>
      <w:r w:rsidRPr="004F0E5A">
        <w:rPr>
          <w:rFonts w:ascii="Arial" w:eastAsia="Arial" w:hAnsi="Arial" w:cs="Arial"/>
          <w:bCs/>
          <w:lang w:val="en-US"/>
        </w:rPr>
        <w:t>intervenções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psicossociais</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personalizadas</w:t>
      </w:r>
      <w:proofErr w:type="spellEnd"/>
      <w:r w:rsidRPr="004F0E5A">
        <w:rPr>
          <w:rFonts w:ascii="Arial" w:eastAsia="Arial" w:hAnsi="Arial" w:cs="Arial"/>
          <w:bCs/>
          <w:lang w:val="en-US"/>
        </w:rPr>
        <w:t xml:space="preserve"> para PVHIV e para a </w:t>
      </w:r>
      <w:proofErr w:type="spellStart"/>
      <w:r w:rsidRPr="004F0E5A">
        <w:rPr>
          <w:rFonts w:ascii="Arial" w:eastAsia="Arial" w:hAnsi="Arial" w:cs="Arial"/>
          <w:bCs/>
          <w:lang w:val="en-US"/>
        </w:rPr>
        <w:t>população</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em</w:t>
      </w:r>
      <w:proofErr w:type="spellEnd"/>
      <w:r w:rsidRPr="004F0E5A">
        <w:rPr>
          <w:rFonts w:ascii="Arial" w:eastAsia="Arial" w:hAnsi="Arial" w:cs="Arial"/>
          <w:bCs/>
          <w:lang w:val="en-US"/>
        </w:rPr>
        <w:t xml:space="preserve"> </w:t>
      </w:r>
      <w:proofErr w:type="spellStart"/>
      <w:r w:rsidRPr="004F0E5A">
        <w:rPr>
          <w:rFonts w:ascii="Arial" w:eastAsia="Arial" w:hAnsi="Arial" w:cs="Arial"/>
          <w:bCs/>
          <w:lang w:val="en-US"/>
        </w:rPr>
        <w:t>geral</w:t>
      </w:r>
      <w:proofErr w:type="spellEnd"/>
      <w:r w:rsidRPr="004F0E5A">
        <w:rPr>
          <w:rFonts w:ascii="Arial" w:eastAsia="Arial" w:hAnsi="Arial" w:cs="Arial"/>
          <w:bCs/>
          <w:lang w:val="en-US"/>
        </w:rPr>
        <w:t>.</w:t>
      </w:r>
      <w:r w:rsidR="00401CD7" w:rsidRPr="00EA6368">
        <w:rPr>
          <w:rFonts w:ascii="Arial" w:eastAsia="Arial" w:hAnsi="Arial" w:cs="Arial"/>
          <w:bCs/>
          <w:lang w:val="en-US"/>
        </w:rPr>
        <w:br w:type="page"/>
      </w:r>
    </w:p>
    <w:p w14:paraId="2BF5EBB5" w14:textId="6274E794" w:rsidR="00887782" w:rsidRPr="00677420" w:rsidRDefault="00887782" w:rsidP="00677420">
      <w:pPr>
        <w:pStyle w:val="Ttulo1"/>
      </w:pPr>
      <w:r w:rsidRPr="00677420">
        <w:lastRenderedPageBreak/>
        <w:t>Introduction</w:t>
      </w:r>
    </w:p>
    <w:p w14:paraId="14604A22" w14:textId="71064639" w:rsidR="00887782" w:rsidRPr="00EA6368" w:rsidRDefault="00887782" w:rsidP="008B380F">
      <w:pPr>
        <w:spacing w:line="360" w:lineRule="auto"/>
        <w:ind w:firstLine="708"/>
        <w:jc w:val="both"/>
        <w:rPr>
          <w:rFonts w:ascii="Arial" w:eastAsia="Arial" w:hAnsi="Arial" w:cs="Arial"/>
          <w:bCs/>
          <w:lang w:val="en-US"/>
        </w:rPr>
      </w:pPr>
      <w:r w:rsidRPr="00EA6368">
        <w:rPr>
          <w:rFonts w:ascii="Arial" w:eastAsia="Arial" w:hAnsi="Arial" w:cs="Arial"/>
          <w:bCs/>
          <w:lang w:val="en-US"/>
        </w:rPr>
        <w:t>On March 11, 2020, the World Health Organization declared the global spread of COVID-19</w:t>
      </w:r>
      <w:r w:rsidR="007827EA" w:rsidRPr="00EA6368">
        <w:rPr>
          <w:rFonts w:ascii="Arial" w:eastAsia="Arial" w:hAnsi="Arial" w:cs="Arial"/>
          <w:bCs/>
          <w:lang w:val="en-US"/>
        </w:rPr>
        <w:t xml:space="preserve"> (</w:t>
      </w:r>
      <w:r w:rsidRPr="00EA6368">
        <w:rPr>
          <w:rFonts w:ascii="Arial" w:eastAsia="Arial" w:hAnsi="Arial" w:cs="Arial"/>
          <w:bCs/>
          <w:lang w:val="en-US"/>
        </w:rPr>
        <w:t>respiratory infection caused by the SARS-CoV coronavirus</w:t>
      </w:r>
      <w:r w:rsidR="007827EA" w:rsidRPr="00EA6368">
        <w:rPr>
          <w:rFonts w:ascii="Arial" w:eastAsia="Arial" w:hAnsi="Arial" w:cs="Arial"/>
          <w:bCs/>
          <w:lang w:val="en-US"/>
        </w:rPr>
        <w:t>)</w:t>
      </w:r>
      <w:r w:rsidRPr="00EA6368">
        <w:rPr>
          <w:rFonts w:ascii="Arial" w:eastAsia="Arial" w:hAnsi="Arial" w:cs="Arial"/>
          <w:bCs/>
          <w:lang w:val="en-US"/>
        </w:rPr>
        <w:t xml:space="preserve"> a global pandemic. The virus emerged in December </w:t>
      </w:r>
      <w:proofErr w:type="gramStart"/>
      <w:r w:rsidRPr="00EA6368">
        <w:rPr>
          <w:rFonts w:ascii="Arial" w:eastAsia="Arial" w:hAnsi="Arial" w:cs="Arial"/>
          <w:bCs/>
          <w:lang w:val="en-US"/>
        </w:rPr>
        <w:t>2019</w:t>
      </w:r>
      <w:proofErr w:type="gramEnd"/>
      <w:r w:rsidRPr="00EA6368">
        <w:rPr>
          <w:rFonts w:ascii="Arial" w:eastAsia="Arial" w:hAnsi="Arial" w:cs="Arial"/>
          <w:bCs/>
          <w:lang w:val="en-US"/>
        </w:rPr>
        <w:t xml:space="preserve"> and its first cases were reported in Wuhan, China. Faced with this situation, many countries adopted social isolation as a measure to contain contamination </w:t>
      </w:r>
      <w:r w:rsidR="0044337F" w:rsidRPr="00EA6368">
        <w:rPr>
          <w:rFonts w:ascii="Arial" w:eastAsia="Arial" w:hAnsi="Arial" w:cs="Arial"/>
          <w:bCs/>
          <w:lang w:val="en-US"/>
        </w:rPr>
        <w:fldChar w:fldCharType="begin"/>
      </w:r>
      <w:r w:rsidR="00F74DF6">
        <w:rPr>
          <w:rFonts w:ascii="Arial" w:eastAsia="Arial" w:hAnsi="Arial" w:cs="Arial"/>
          <w:bCs/>
          <w:lang w:val="en-US"/>
        </w:rPr>
        <w:instrText xml:space="preserve"> ADDIN ZOTERO_ITEM CSL_CITATION {"citationID":"V1fo6GMs","properties":{"formattedCitation":"(Ornell et al., 2020)","plainCitation":"(Ornell et al., 2020)","noteIndex":0},"citationItems":[{"id":"qMjpNfT5/dTd8Qq4J","uris":["http://zotero.org/groups/5613385/items/RCXQYVBV"],"itemData":{"id":22,"type":"article-journal","container-title":"Revista Brasileira De Psiquiatria (Sao Paulo, Brazil: 1999)","DOI":"10.1590/1516-4446-2020-0008","ISSN":"1809-452X","issue":"3","journalAbbreviation":"Braz J Psychiatry","language":"eng","note":"PMID: 32267343\nPMCID: PMC7236170","page":"232-235","source":"PubMed","title":"\"Pandemic fear\" and COVID-19: mental health burden and strategies","title-short":"\"Pandemic fear\" and COVID-19","volume":"42","author":[{"family":"Ornell","given":"Felipe"},{"family":"Schuch","given":"Jaqueline B."},{"family":"Sordi","given":"Anne O."},{"family":"Kessler","given":"Felix Henrique Paim"}],"issued":{"date-parts":[["2020"]]}}}],"schema":"https://github.com/citation-style-language/schema/raw/master/csl-citation.json"} </w:instrText>
      </w:r>
      <w:r w:rsidR="0044337F" w:rsidRPr="00EA6368">
        <w:rPr>
          <w:rFonts w:ascii="Arial" w:eastAsia="Arial" w:hAnsi="Arial" w:cs="Arial"/>
          <w:bCs/>
          <w:lang w:val="en-US"/>
        </w:rPr>
        <w:fldChar w:fldCharType="separate"/>
      </w:r>
      <w:r w:rsidR="00F74DF6" w:rsidRPr="00F74DF6">
        <w:rPr>
          <w:rFonts w:ascii="Arial" w:eastAsia="Arial" w:hAnsi="Arial" w:cs="Arial"/>
          <w:bCs/>
          <w:noProof/>
          <w:lang w:val="en-US"/>
        </w:rPr>
        <w:t>(Ornell et al., 2020)</w:t>
      </w:r>
      <w:r w:rsidR="0044337F" w:rsidRPr="00EA6368">
        <w:rPr>
          <w:rFonts w:ascii="Arial" w:eastAsia="Arial" w:hAnsi="Arial" w:cs="Arial"/>
          <w:bCs/>
          <w:lang w:val="en-US"/>
        </w:rPr>
        <w:fldChar w:fldCharType="end"/>
      </w:r>
      <w:r w:rsidRPr="00EA6368">
        <w:rPr>
          <w:rFonts w:ascii="Arial" w:eastAsia="Arial" w:hAnsi="Arial" w:cs="Arial"/>
          <w:bCs/>
          <w:lang w:val="en-US"/>
        </w:rPr>
        <w:t>. Many aspects of the routine were changed such as family organization, closing of schools, businesses, public places, formalization of classes and work in virtual mode, among others. Feelings of anguish and insecurity related to the economy, health and the impossibility of maintaining physical and social contact with other people also emerged. These feelings, when exacerbated, can trigger a series of psychological and psychiatric disorders</w:t>
      </w:r>
      <w:r w:rsidR="0044337F" w:rsidRPr="00EA6368">
        <w:rPr>
          <w:rFonts w:ascii="Arial" w:eastAsia="Arial" w:hAnsi="Arial" w:cs="Arial"/>
          <w:bCs/>
          <w:lang w:val="en-US"/>
        </w:rPr>
        <w:t xml:space="preserve"> </w:t>
      </w:r>
      <w:r w:rsidR="0044337F" w:rsidRPr="00EA6368">
        <w:rPr>
          <w:rFonts w:ascii="Arial" w:eastAsia="Arial" w:hAnsi="Arial" w:cs="Arial"/>
          <w:bCs/>
          <w:lang w:val="en-US"/>
        </w:rPr>
        <w:fldChar w:fldCharType="begin"/>
      </w:r>
      <w:r w:rsidR="00F74DF6">
        <w:rPr>
          <w:rFonts w:ascii="Arial" w:eastAsia="Arial" w:hAnsi="Arial" w:cs="Arial"/>
          <w:bCs/>
          <w:lang w:val="en-US"/>
        </w:rPr>
        <w:instrText xml:space="preserve"> ADDIN ZOTERO_ITEM CSL_CITATION {"citationID":"IY34OVBu","properties":{"formattedCitation":"(Garcia, 2017)","plainCitation":"(Garcia, 2017)","noteIndex":0},"citationItems":[{"id":"qMjpNfT5/hq5Pr3K5","uris":["http://zotero.org/groups/5613385/items/IAYAVQ2D"],"itemData":{"id":30,"type":"article-journal","abstract":"Fear, which can be expressed innately or after conditioning, is triggered when a danger or a stimulus predicting immediate danger is perceived. Its role is to prepare the body to face this danger. However, dysfunction in fear processing can lead to psychiatric disorders in which fear outweighs the danger or possibility of harm. Although recognized as highly debilitating, pathological fear remains insufficiently treated, indicating the importance of research on fear processing. The neurobiological basis of normal and pathological fear reactions is reviewed in this article. Innate and learned fear mechanisms, particularly those involving the amygdala, are considered. These fear mechanisms are also distinguished in specific phobias, which can indeed be nonexperiential (implicating innate, learning-independent mechanisms) or experiential (implicating learning-dependent mechanisms). Poor habituation and poor extinction are presented as dysfunctional mechanisms contributing to persistence of nonexperiential and experiential phobias, respectively.","container-title":"Learning &amp; Memory (Cold Spring Harbor, N.Y.)","DOI":"10.1101/lm.044115.116","ISSN":"1549-5485","issue":"9","journalAbbreviation":"Learn Mem","language":"eng","note":"PMID: 28814472\nPMCID: PMC5580526","page":"462-471","source":"PubMed","title":"Neurobiology of fear and specific phobias","volume":"24","author":[{"family":"Garcia","given":"René"}],"issued":{"date-parts":[["2017",9]]}}}],"schema":"https://github.com/citation-style-language/schema/raw/master/csl-citation.json"} </w:instrText>
      </w:r>
      <w:r w:rsidR="0044337F" w:rsidRPr="00EA6368">
        <w:rPr>
          <w:rFonts w:ascii="Arial" w:eastAsia="Arial" w:hAnsi="Arial" w:cs="Arial"/>
          <w:bCs/>
          <w:lang w:val="en-US"/>
        </w:rPr>
        <w:fldChar w:fldCharType="separate"/>
      </w:r>
      <w:r w:rsidR="00F74DF6">
        <w:rPr>
          <w:rFonts w:ascii="Arial" w:eastAsia="Arial" w:hAnsi="Arial" w:cs="Arial"/>
          <w:bCs/>
          <w:noProof/>
          <w:lang w:val="en-US"/>
        </w:rPr>
        <w:t>(Garcia, 2017)</w:t>
      </w:r>
      <w:r w:rsidR="0044337F" w:rsidRPr="00EA6368">
        <w:rPr>
          <w:rFonts w:ascii="Arial" w:eastAsia="Arial" w:hAnsi="Arial" w:cs="Arial"/>
          <w:bCs/>
          <w:lang w:val="en-US"/>
        </w:rPr>
        <w:fldChar w:fldCharType="end"/>
      </w:r>
      <w:r w:rsidRPr="00EA6368">
        <w:rPr>
          <w:rFonts w:ascii="Arial" w:eastAsia="Arial" w:hAnsi="Arial" w:cs="Arial"/>
          <w:bCs/>
          <w:lang w:val="en-US"/>
        </w:rPr>
        <w:t>. The implications for mental health may last longer and be more prevalent than the epidemic itself, with the psychosocial and economic impacts being incalculable when considering the repercussions in different contexts</w:t>
      </w:r>
      <w:r w:rsidR="0044337F" w:rsidRPr="00EA6368">
        <w:rPr>
          <w:rFonts w:ascii="Arial" w:eastAsia="Arial" w:hAnsi="Arial" w:cs="Arial"/>
          <w:bCs/>
          <w:lang w:val="en-US"/>
        </w:rPr>
        <w:t xml:space="preserve"> </w:t>
      </w:r>
      <w:r w:rsidR="0044337F" w:rsidRPr="00EA6368">
        <w:rPr>
          <w:rFonts w:ascii="Arial" w:eastAsia="Arial" w:hAnsi="Arial" w:cs="Arial"/>
          <w:bCs/>
          <w:lang w:val="en-US"/>
        </w:rPr>
        <w:fldChar w:fldCharType="begin"/>
      </w:r>
      <w:r w:rsidR="00F74DF6">
        <w:rPr>
          <w:rFonts w:ascii="Arial" w:eastAsia="Arial" w:hAnsi="Arial" w:cs="Arial"/>
          <w:bCs/>
          <w:lang w:val="en-US"/>
        </w:rPr>
        <w:instrText xml:space="preserve"> ADDIN ZOTERO_ITEM CSL_CITATION {"citationID":"9XbTsWgi","properties":{"formattedCitation":"(Shigemura et al., 2020)","plainCitation":"(Shigemura et al., 2020)","noteIndex":0},"citationItems":[{"id":"qMjpNfT5/qbvamE4Y","uris":["http://zotero.org/groups/5613385/items/ZA3BZTYH"],"itemData":{"id":16,"type":"article-journal","container-title":"Psychiatry and Clinical Neurosciences","DOI":"10.1111/pcn.12988","ISSN":"1440-1819","issue":"4","journalAbbreviation":"Psychiatry Clin Neurosci","language":"eng","note":"PMID: 32034840\nPMCID: PMC7168047","page":"281-282","source":"PubMed","title":"Public responses to the novel 2019 coronavirus (2019-nCoV) in Japan: Mental health consequences and target populations","title-short":"Public responses to the novel 2019 coronavirus (2019-nCoV) in Japan","volume":"74","author":[{"family":"Shigemura","given":"Jun"},{"family":"Ursano","given":"Robert J."},{"family":"Morganstein","given":"Joshua C."},{"family":"Kurosawa","given":"Mie"},{"family":"Benedek","given":"David M."}],"issued":{"date-parts":[["2020",4]]}}}],"schema":"https://github.com/citation-style-language/schema/raw/master/csl-citation.json"} </w:instrText>
      </w:r>
      <w:r w:rsidR="0044337F" w:rsidRPr="00EA6368">
        <w:rPr>
          <w:rFonts w:ascii="Arial" w:eastAsia="Arial" w:hAnsi="Arial" w:cs="Arial"/>
          <w:bCs/>
          <w:lang w:val="en-US"/>
        </w:rPr>
        <w:fldChar w:fldCharType="separate"/>
      </w:r>
      <w:r w:rsidR="00F74DF6">
        <w:rPr>
          <w:rFonts w:ascii="Arial" w:eastAsia="Arial" w:hAnsi="Arial" w:cs="Arial"/>
          <w:bCs/>
          <w:noProof/>
          <w:lang w:val="en-US"/>
        </w:rPr>
        <w:t>(Shigemura et al., 2020)</w:t>
      </w:r>
      <w:r w:rsidR="0044337F" w:rsidRPr="00EA6368">
        <w:rPr>
          <w:rFonts w:ascii="Arial" w:eastAsia="Arial" w:hAnsi="Arial" w:cs="Arial"/>
          <w:bCs/>
          <w:lang w:val="en-US"/>
        </w:rPr>
        <w:fldChar w:fldCharType="end"/>
      </w:r>
      <w:r w:rsidR="0044337F" w:rsidRPr="00EA6368">
        <w:rPr>
          <w:rFonts w:ascii="Arial" w:eastAsia="Arial" w:hAnsi="Arial" w:cs="Arial"/>
          <w:bCs/>
          <w:lang w:val="en-US"/>
        </w:rPr>
        <w:t>.</w:t>
      </w:r>
    </w:p>
    <w:p w14:paraId="29CD3C6B" w14:textId="2FDFCB8C" w:rsidR="004C4711" w:rsidRPr="00EA6368" w:rsidRDefault="00887782" w:rsidP="008B380F">
      <w:pPr>
        <w:spacing w:line="360" w:lineRule="auto"/>
        <w:ind w:firstLine="708"/>
        <w:jc w:val="both"/>
        <w:rPr>
          <w:rFonts w:ascii="Arial" w:eastAsia="Arial" w:hAnsi="Arial" w:cs="Arial"/>
          <w:bCs/>
          <w:lang w:val="en-US"/>
        </w:rPr>
      </w:pPr>
      <w:r w:rsidRPr="00EA6368">
        <w:rPr>
          <w:rFonts w:ascii="Arial" w:eastAsia="Arial" w:hAnsi="Arial" w:cs="Arial"/>
          <w:bCs/>
          <w:lang w:val="en-US"/>
        </w:rPr>
        <w:t xml:space="preserve">Researchers from the Oswaldo Cruz Institute and the </w:t>
      </w:r>
      <w:r w:rsidR="004C4711" w:rsidRPr="00EA6368">
        <w:rPr>
          <w:rFonts w:ascii="Arial" w:eastAsia="Arial" w:hAnsi="Arial" w:cs="Arial"/>
          <w:bCs/>
          <w:lang w:val="en-US"/>
        </w:rPr>
        <w:t>Fluminense Federal</w:t>
      </w:r>
      <w:r w:rsidR="00EB4A97" w:rsidRPr="00EA6368">
        <w:rPr>
          <w:rFonts w:ascii="Arial" w:eastAsia="Arial" w:hAnsi="Arial" w:cs="Arial"/>
          <w:bCs/>
          <w:lang w:val="en-US"/>
        </w:rPr>
        <w:t xml:space="preserve"> University</w:t>
      </w:r>
      <w:r w:rsidR="004C4711" w:rsidRPr="00EA6368">
        <w:rPr>
          <w:rFonts w:ascii="Arial" w:eastAsia="Arial" w:hAnsi="Arial" w:cs="Arial"/>
          <w:bCs/>
          <w:lang w:val="en-US"/>
        </w:rPr>
        <w:t xml:space="preserve"> </w:t>
      </w:r>
      <w:r w:rsidR="0044337F" w:rsidRPr="00EA6368">
        <w:rPr>
          <w:rFonts w:ascii="Arial" w:eastAsia="Arial" w:hAnsi="Arial" w:cs="Arial"/>
          <w:bCs/>
          <w:lang w:val="en-US"/>
        </w:rPr>
        <w:fldChar w:fldCharType="begin"/>
      </w:r>
      <w:r w:rsidR="00F74DF6">
        <w:rPr>
          <w:rFonts w:ascii="Arial" w:eastAsia="Arial" w:hAnsi="Arial" w:cs="Arial"/>
          <w:bCs/>
          <w:lang w:val="en-US"/>
        </w:rPr>
        <w:instrText xml:space="preserve"> ADDIN ZOTERO_ITEM CSL_CITATION {"citationID":"pSJFs3FN","properties":{"formattedCitation":"(Raony et al., 2020)","plainCitation":"(Raony et al., 2020)","noteIndex":0},"citationItems":[{"id":"qMjpNfT5/VImNDd2H","uris":["http://zotero.org/groups/5613385/items/F8R9VWVA"],"itemData":{"id":33,"type":"article-journal","abstract":"Coronavirus disease 2019 (COVID-19) is caused by the Severe Acute Respiratory Syndrome Coronavirus 2 (SARS-CoV-2). The impacts of the disease may be beyond the respiratory system, also affecting mental health. Several factors may be involved in the association between COVID-19 and psychiatric outcomes, such as fear inherent in the pandemic, adverse effects of treatments, as well as financial stress, and social isolation. Herein we discuss the growing evidence suggesting that the relationship between SARS-CoV-2 and host may also trigger changes in brain and behavior. Based on the similarity of SARS-CoV-2 with other coronaviruses, it is conceivable that changes in endocrine and immune response in the periphery or in the central nervous system may be involved in the association between SARS-CoV-2 infection and impaired mental health. This is likely to be further enhanced, since millions of people worldwide are isolated in quarantine to minimize the transmission of SARS-CoV-2 and social isolation can also lead to neuroendocrine-immune changes. Accordingly, we highlight here the hypothesis that neuroendocrine-immune interactions may be involved in negative impacts of SARS-CoV-2 infection and social isolation on psychiatric issues.","container-title":"Frontiers in Immunology","DOI":"10.3389/fimmu.2020.01170","ISSN":"1664-3224","journalAbbreviation":"Front Immunol","language":"eng","note":"PMID: 32574266\nPMCID: PMC7267025","page":"1170","source":"PubMed","title":"Psycho-Neuroendocrine-Immune Interactions in COVID-19: Potential Impacts on Mental Health","title-short":"Psycho-Neuroendocrine-Immune Interactions in COVID-19","volume":"11","author":[{"family":"Raony","given":"Ícaro"},{"family":"Figueiredo","given":"Camila Saggioro","non-dropping-particle":"de"},{"family":"Pandolfo","given":"Pablo"},{"family":"Giestal-de-Araujo","given":"Elizabeth"},{"family":"Oliveira-Silva Bomfim","given":"Priscilla"},{"family":"Savino","given":"Wilson"}],"issued":{"date-parts":[["2020"]]}}}],"schema":"https://github.com/citation-style-language/schema/raw/master/csl-citation.json"} </w:instrText>
      </w:r>
      <w:r w:rsidR="0044337F" w:rsidRPr="00EA6368">
        <w:rPr>
          <w:rFonts w:ascii="Arial" w:eastAsia="Arial" w:hAnsi="Arial" w:cs="Arial"/>
          <w:bCs/>
          <w:lang w:val="en-US"/>
        </w:rPr>
        <w:fldChar w:fldCharType="separate"/>
      </w:r>
      <w:r w:rsidR="00F74DF6">
        <w:rPr>
          <w:rFonts w:ascii="Arial" w:eastAsia="Arial" w:hAnsi="Arial" w:cs="Arial"/>
          <w:bCs/>
          <w:noProof/>
          <w:lang w:val="en-US"/>
        </w:rPr>
        <w:t>(Raony et al., 2020)</w:t>
      </w:r>
      <w:r w:rsidR="0044337F" w:rsidRPr="00EA6368">
        <w:rPr>
          <w:rFonts w:ascii="Arial" w:eastAsia="Arial" w:hAnsi="Arial" w:cs="Arial"/>
          <w:bCs/>
          <w:lang w:val="en-US"/>
        </w:rPr>
        <w:fldChar w:fldCharType="end"/>
      </w:r>
      <w:r w:rsidRPr="00EA6368">
        <w:rPr>
          <w:rFonts w:ascii="Arial" w:eastAsia="Arial" w:hAnsi="Arial" w:cs="Arial"/>
          <w:bCs/>
          <w:lang w:val="en-US"/>
        </w:rPr>
        <w:t xml:space="preserve"> pointed out neural, immunological and endocrine changes related to COVID-19 infection and social distancing, contributing to the emergence or worsening of psychological disorders. Recently, a study of patients infected with COVID-19 (or suspected of being infected) showed that they can suffer intense emotional and behavioral reactions such as fear, boredom, loneliness, depression, anxiety, insomnia or anger </w:t>
      </w:r>
      <w:r w:rsidR="0044337F" w:rsidRPr="00EA6368">
        <w:rPr>
          <w:rFonts w:ascii="Arial" w:eastAsia="Arial" w:hAnsi="Arial" w:cs="Arial"/>
          <w:bCs/>
          <w:lang w:val="en-US"/>
        </w:rPr>
        <w:fldChar w:fldCharType="begin"/>
      </w:r>
      <w:r w:rsidR="00F74DF6">
        <w:rPr>
          <w:rFonts w:ascii="Arial" w:eastAsia="Arial" w:hAnsi="Arial" w:cs="Arial"/>
          <w:bCs/>
          <w:lang w:val="en-US"/>
        </w:rPr>
        <w:instrText xml:space="preserve"> ADDIN ZOTERO_ITEM CSL_CITATION {"citationID":"BxEfjK0V","properties":{"formattedCitation":"(Brooks et al., 2020; Shigemura et al., 2020)","plainCitation":"(Brooks et al., 2020; Shigemura et al., 2020)","noteIndex":0},"citationItems":[{"id":"qMjpNfT5/5oykjj0G","uris":["http://zotero.org/groups/5613385/items/UPRYAN3S"],"itemData":{"id":39,"type":"article-journal","abstract":"The December, 2019 coronavirus disease outbreak has seen many countries ask people who have potentially come into contact with the infection to isolate themselves at home or in a dedicated quarantine facility. Decisions on how to apply quarantine should be based on the best available evidence. We did a Review of the psychological impact of quarantine using three electronic databases. Of 3166 papers found, 24 are included in this Review. Most reviewed studies reported negative psychological effects including post-traumatic stress symptoms, confusion, and anger. Stressors included longer quarantine duration, infection fears, frustration, boredom, inadequate supplies, inadequate information, financial loss, and stigma. Some researchers have suggested long-lasting effects. In situations where quarantine is deemed necessary, officials should quarantine individuals for no longer than required, provide clear rationale for quarantine and information about protocols, and ensure sufficient supplies are provided. Appeals to altruism by reminding the public about the benefits of quarantine to wider society can be favourable.","container-title":"Lancet (London, England)","DOI":"10.1016/S0140-6736(20)30460-8","ISSN":"1474-547X","issue":"10227","journalAbbreviation":"Lancet","language":"eng","note":"PMID: 32112714\nPMCID: PMC7158942","page":"912-920","source":"PubMed","title":"The psychological impact of quarantine and how to reduce it: rapid review of the evidence","title-short":"The psychological impact of quarantine and how to reduce it","volume":"395","author":[{"family":"Brooks","given":"Samantha K."},{"family":"Webster","given":"Rebecca K."},{"family":"Smith","given":"Louise E."},{"family":"Woodland","given":"Lisa"},{"family":"Wessely","given":"Simon"},{"family":"Greenberg","given":"Neil"},{"family":"Rubin","given":"Gideon James"}],"issued":{"date-parts":[["2020",3,14]]}}},{"id":"qMjpNfT5/qbvamE4Y","uris":["http://zotero.org/groups/5613385/items/ZA3BZTYH"],"itemData":{"id":16,"type":"article-journal","container-title":"Psychiatry and Clinical Neurosciences","DOI":"10.1111/pcn.12988","ISSN":"1440-1819","issue":"4","journalAbbreviation":"Psychiatry Clin Neurosci","language":"eng","note":"PMID: 32034840\nPMCID: PMC7168047","page":"281-282","source":"PubMed","title":"Public responses to the novel 2019 coronavirus (2019-nCoV) in Japan: Mental health consequences and target populations","title-short":"Public responses to the novel 2019 coronavirus (2019-nCoV) in Japan","volume":"74","author":[{"family":"Shigemura","given":"Jun"},{"family":"Ursano","given":"Robert J."},{"family":"Morganstein","given":"Joshua C."},{"family":"Kurosawa","given":"Mie"},{"family":"Benedek","given":"David M."}],"issued":{"date-parts":[["2020",4]]}}}],"schema":"https://github.com/citation-style-language/schema/raw/master/csl-citation.json"} </w:instrText>
      </w:r>
      <w:r w:rsidR="0044337F" w:rsidRPr="00EA6368">
        <w:rPr>
          <w:rFonts w:ascii="Arial" w:eastAsia="Arial" w:hAnsi="Arial" w:cs="Arial"/>
          <w:bCs/>
          <w:lang w:val="en-US"/>
        </w:rPr>
        <w:fldChar w:fldCharType="separate"/>
      </w:r>
      <w:r w:rsidR="00F74DF6">
        <w:rPr>
          <w:rFonts w:ascii="Arial" w:eastAsia="Arial" w:hAnsi="Arial" w:cs="Arial"/>
          <w:bCs/>
          <w:noProof/>
          <w:lang w:val="en-US"/>
        </w:rPr>
        <w:t>(Brooks et al., 2020; Shigemura et al., 2020)</w:t>
      </w:r>
      <w:r w:rsidR="0044337F" w:rsidRPr="00EA6368">
        <w:rPr>
          <w:rFonts w:ascii="Arial" w:eastAsia="Arial" w:hAnsi="Arial" w:cs="Arial"/>
          <w:bCs/>
          <w:lang w:val="en-US"/>
        </w:rPr>
        <w:fldChar w:fldCharType="end"/>
      </w:r>
      <w:r w:rsidR="0044337F" w:rsidRPr="00EA6368">
        <w:rPr>
          <w:rFonts w:ascii="Arial" w:eastAsia="Arial" w:hAnsi="Arial" w:cs="Arial"/>
          <w:bCs/>
          <w:lang w:val="en-US"/>
        </w:rPr>
        <w:t>.</w:t>
      </w:r>
    </w:p>
    <w:p w14:paraId="06971BEF" w14:textId="527CB6EB" w:rsidR="004C4711" w:rsidRPr="00EA6368" w:rsidRDefault="004C4711" w:rsidP="008B380F">
      <w:pPr>
        <w:spacing w:line="360" w:lineRule="auto"/>
        <w:ind w:firstLine="708"/>
        <w:jc w:val="both"/>
        <w:rPr>
          <w:rFonts w:ascii="Arial" w:hAnsi="Arial" w:cs="Arial"/>
          <w:lang w:val="en-US"/>
        </w:rPr>
      </w:pPr>
      <w:r w:rsidRPr="00EA6368">
        <w:rPr>
          <w:rFonts w:ascii="Arial" w:hAnsi="Arial" w:cs="Arial"/>
          <w:lang w:val="en-US"/>
        </w:rPr>
        <w:t>Another study, carried out with 1</w:t>
      </w:r>
      <w:r w:rsidR="00D70B18" w:rsidRPr="00EA6368">
        <w:rPr>
          <w:rFonts w:ascii="Arial" w:hAnsi="Arial" w:cs="Arial"/>
          <w:lang w:val="en-US"/>
        </w:rPr>
        <w:t>,</w:t>
      </w:r>
      <w:r w:rsidRPr="00EA6368">
        <w:rPr>
          <w:rFonts w:ascii="Arial" w:hAnsi="Arial" w:cs="Arial"/>
          <w:lang w:val="en-US"/>
        </w:rPr>
        <w:t>639 people in Italy, a country highly impacted by the spread of the virus, revealed that 48% of those interviewed had low levels of psychological well-being, especially in women under 50 years of age and with risk factors for contagion. Even in patients with common flu-like symptoms, stress and fear, due to the similarity of symptoms, could generate mental suffering and trigger or worsen an existing psychiatric condition</w:t>
      </w:r>
      <w:r w:rsidR="0044337F" w:rsidRPr="00EA6368">
        <w:rPr>
          <w:rFonts w:ascii="Arial" w:hAnsi="Arial" w:cs="Arial"/>
          <w:lang w:val="en-US"/>
        </w:rPr>
        <w:t xml:space="preserve"> </w:t>
      </w:r>
      <w:r w:rsidR="0044337F" w:rsidRPr="00EA6368">
        <w:rPr>
          <w:rFonts w:ascii="Arial" w:hAnsi="Arial" w:cs="Arial"/>
          <w:lang w:val="en-US"/>
        </w:rPr>
        <w:fldChar w:fldCharType="begin"/>
      </w:r>
      <w:r w:rsidR="00F74DF6">
        <w:rPr>
          <w:rFonts w:ascii="Arial" w:hAnsi="Arial" w:cs="Arial"/>
          <w:lang w:val="en-US"/>
        </w:rPr>
        <w:instrText xml:space="preserve"> ADDIN ZOTERO_ITEM CSL_CITATION {"citationID":"dheBly3m","properties":{"formattedCitation":"(Park &amp; Park, 2020; Wang et al., 2020a)","plainCitation":"(Park &amp; Park, 2020; Wang et al., 2020a)","noteIndex":0},"citationItems":[{"id":"qMjpNfT5/bhbwr3FZ","uris":["http://zotero.org/groups/5613385/items/DQZ2JBBQ"],"itemData":{"id":21,"type":"article-journal","container-title":"Psychiatry Investigation","DOI":"10.30773/pi.2020.0058","ISSN":"1738-3684","issue":"2","journalAbbreviation":"Psychiatry Investig","language":"eng","note":"PMID: 32093458\nPMCID: PMC7047003","page":"85-86","source":"PubMed","title":"Mental Health Care Measures in Response to the 2019 Novel Coronavirus Outbreak in Korea","volume":"17","author":[{"family":"Park","given":"Seon-Cheol"},{"family":"Park","given":"Yong Chon"}],"issued":{"date-parts":[["2020",2]]}}},{"id":"qMjpNfT5/zQp6Ukdz","uris":["http://zotero.org/groups/5613385/items/EVM8QNPX"],"itemData":{"id":7,"type":"article-journal","abstract":"Background: The 2019 coronavirus disease (COVID-19) epidemic is a public health emergency of international concern and poses a challenge to psychological resilience. Research data are needed to develop evidence-driven strategies to reduce adverse psychological impacts and psychiatric symptoms during the epidemic. The aim of this study was to survey the general public in China to better understand their levels of psychological impact, anxiety, depression, and stress during the initial stage of the COVID-19 outbreak. The data will be used for future reference. Methods: From 31 January to 2 February 2020, we conducted an online survey using snowball sampling techniques. The online survey collected information on demographic data, physical symptoms in the past 14 days, contact history with COVID-19, knowledge and concerns about COVID-19, precautionary measures against COVID-19, and additional information required with respect to COVID-19. Psychological impact was assessed by the Impact of Event Scale-Revised (IES-R), and mental health status was assessed by the Depression, Anxiety and Stress Scale (DASS-21). Results: This study included 1210 respondents from 194 cities in China. In total, 53.8% of respondents rated the psychological impact of the outbreak as moderate or severe; 16.5% reported moderate to severe depressive symptoms; 28.8% reported moderate to severe anxiety symptoms; and 8.1% reported moderate to severe stress levels. Most respondents spent 20-24 h per day at home (84.7%); were worried about their family members contracting COVID-19 (75.2%); and were satisfied with the amount of health information available (75.1%). Female gender, student status, specific physical symptoms (e.g., myalgia, dizziness, coryza), and poor self-rated health status were significantly associated with a greater psychological impact of the outbreak and higher levels of stress, anxiety, and depression (p &lt; 0.05). Specific up-to-date and accurate health information (e.g., treatment, local outbreak situation) and particular precautionary measures (e.g., hand hygiene, wearing a mask) were associated with a lower psychological impact of the outbreak and lower levels of stress, anxiety, and depression (p &lt; 0.05). Conclusions: During the initial phase of the COVID-19 outbreak in China, more than half of the respondents rated the psychological impact as moderate-to-severe, and about one-third reported moderate-to-severe anxiety. Our findings identify factors associated with a lower level of psychological impact and better mental health status that can be used to formulate psychological interventions to improve the mental health of vulnerable groups during the COVID-19 epidemic.","container-title":"International Journal of Environmental Research and Public Health","DOI":"10.3390/ijerph17051729","ISSN":"1660-4601","issue":"5","journalAbbreviation":"Int J Environ Res Public Health","language":"eng","note":"PMID: 32155789\nPMCID: PMC7084952","page":"1729","source":"PubMed","title":"Immediate Psychological Responses and Associated Factors during the Initial Stage of the 2019 Coronavirus Disease (COVID-19) Epidemic among the General Population in China","volume":"17","author":[{"family":"Wang","given":"Cuiyan"},{"family":"Pan","given":"Riyu"},{"family":"Wan","given":"Xiaoyang"},{"family":"Tan","given":"Yilin"},{"family":"Xu","given":"Linkang"},{"family":"Ho","given":"Cyrus S."},{"family":"Ho","given":"Roger C."}],"issued":{"date-parts":[["2020",3,6]]}}}],"schema":"https://github.com/citation-style-language/schema/raw/master/csl-citation.json"} </w:instrText>
      </w:r>
      <w:r w:rsidR="0044337F" w:rsidRPr="00EA6368">
        <w:rPr>
          <w:rFonts w:ascii="Arial" w:hAnsi="Arial" w:cs="Arial"/>
          <w:lang w:val="en-US"/>
        </w:rPr>
        <w:fldChar w:fldCharType="separate"/>
      </w:r>
      <w:r w:rsidR="00F74DF6">
        <w:rPr>
          <w:rFonts w:ascii="Arial" w:hAnsi="Arial" w:cs="Arial"/>
          <w:noProof/>
          <w:lang w:val="en-US"/>
        </w:rPr>
        <w:t>(Park &amp; Park, 2020; Wang et al., 2020a)</w:t>
      </w:r>
      <w:r w:rsidR="0044337F" w:rsidRPr="00EA6368">
        <w:rPr>
          <w:rFonts w:ascii="Arial" w:hAnsi="Arial" w:cs="Arial"/>
          <w:lang w:val="en-US"/>
        </w:rPr>
        <w:fldChar w:fldCharType="end"/>
      </w:r>
      <w:r w:rsidR="0044337F" w:rsidRPr="00EA6368">
        <w:rPr>
          <w:rFonts w:ascii="Arial" w:hAnsi="Arial" w:cs="Arial"/>
          <w:lang w:val="en-US"/>
        </w:rPr>
        <w:t>.</w:t>
      </w:r>
    </w:p>
    <w:p w14:paraId="6E174F67" w14:textId="65777889" w:rsidR="004C4711" w:rsidRPr="00EA6368" w:rsidRDefault="004C4711" w:rsidP="008B380F">
      <w:pPr>
        <w:spacing w:line="360" w:lineRule="auto"/>
        <w:ind w:firstLine="708"/>
        <w:jc w:val="both"/>
        <w:rPr>
          <w:rFonts w:ascii="Arial" w:hAnsi="Arial" w:cs="Arial"/>
          <w:lang w:val="en-US"/>
        </w:rPr>
      </w:pPr>
      <w:r w:rsidRPr="00EA6368">
        <w:rPr>
          <w:rFonts w:ascii="Arial" w:hAnsi="Arial" w:cs="Arial"/>
          <w:lang w:val="en-US"/>
        </w:rPr>
        <w:t>Immunocompromised people are part of a group more vulnerable to coronavirus infection</w:t>
      </w:r>
      <w:r w:rsidR="00EB4A97" w:rsidRPr="00EA6368">
        <w:rPr>
          <w:rFonts w:ascii="Arial" w:hAnsi="Arial" w:cs="Arial"/>
          <w:lang w:val="en-US"/>
        </w:rPr>
        <w:t xml:space="preserve"> </w:t>
      </w:r>
      <w:r w:rsidRPr="00EA6368">
        <w:rPr>
          <w:rFonts w:ascii="Arial" w:hAnsi="Arial" w:cs="Arial"/>
          <w:lang w:val="en-US"/>
        </w:rPr>
        <w:t xml:space="preserve">such as those living with HIV </w:t>
      </w:r>
      <w:r w:rsidR="00EB4A97" w:rsidRPr="00EA6368">
        <w:rPr>
          <w:rFonts w:ascii="Arial" w:hAnsi="Arial" w:cs="Arial"/>
          <w:lang w:val="en-US"/>
        </w:rPr>
        <w:t>(</w:t>
      </w:r>
      <w:r w:rsidRPr="00EA6368">
        <w:rPr>
          <w:rFonts w:ascii="Arial" w:hAnsi="Arial" w:cs="Arial"/>
          <w:lang w:val="en-US"/>
        </w:rPr>
        <w:t>human immunodeficiency virus</w:t>
      </w:r>
      <w:r w:rsidR="00EB4A97" w:rsidRPr="00EA6368">
        <w:rPr>
          <w:rFonts w:ascii="Arial" w:hAnsi="Arial" w:cs="Arial"/>
          <w:lang w:val="en-US"/>
        </w:rPr>
        <w:t>)</w:t>
      </w:r>
      <w:r w:rsidRPr="00EA6368">
        <w:rPr>
          <w:rFonts w:ascii="Arial" w:hAnsi="Arial" w:cs="Arial"/>
          <w:lang w:val="en-US"/>
        </w:rPr>
        <w:t xml:space="preserve">. There are </w:t>
      </w:r>
      <w:r w:rsidR="00C55FA2" w:rsidRPr="00EA6368">
        <w:rPr>
          <w:rFonts w:ascii="Arial" w:hAnsi="Arial" w:cs="Arial"/>
          <w:lang w:val="en-US"/>
        </w:rPr>
        <w:t>approximately</w:t>
      </w:r>
      <w:r w:rsidRPr="00EA6368">
        <w:rPr>
          <w:rFonts w:ascii="Arial" w:hAnsi="Arial" w:cs="Arial"/>
          <w:lang w:val="en-US"/>
        </w:rPr>
        <w:t xml:space="preserve"> </w:t>
      </w:r>
      <w:r w:rsidR="00C55FA2" w:rsidRPr="00EA6368">
        <w:rPr>
          <w:rFonts w:ascii="Arial" w:hAnsi="Arial" w:cs="Arial"/>
          <w:lang w:val="en-US"/>
        </w:rPr>
        <w:t>39</w:t>
      </w:r>
      <w:r w:rsidRPr="00EA6368">
        <w:rPr>
          <w:rFonts w:ascii="Arial" w:hAnsi="Arial" w:cs="Arial"/>
          <w:lang w:val="en-US"/>
        </w:rPr>
        <w:t xml:space="preserve"> million </w:t>
      </w:r>
      <w:r w:rsidR="00C55FA2" w:rsidRPr="00EA6368">
        <w:rPr>
          <w:rFonts w:ascii="Arial" w:hAnsi="Arial" w:cs="Arial"/>
          <w:lang w:val="en-US"/>
        </w:rPr>
        <w:t xml:space="preserve">people in this condition </w:t>
      </w:r>
      <w:r w:rsidRPr="00EA6368">
        <w:rPr>
          <w:rFonts w:ascii="Arial" w:hAnsi="Arial" w:cs="Arial"/>
          <w:lang w:val="en-US"/>
        </w:rPr>
        <w:t>worldwide</w:t>
      </w:r>
      <w:r w:rsidR="00C55FA2" w:rsidRPr="00EA6368">
        <w:rPr>
          <w:rFonts w:ascii="Arial" w:hAnsi="Arial" w:cs="Arial"/>
          <w:lang w:val="en-US"/>
        </w:rPr>
        <w:t xml:space="preserve"> at </w:t>
      </w:r>
      <w:r w:rsidR="00C55FA2" w:rsidRPr="00EA6368">
        <w:rPr>
          <w:rFonts w:ascii="Arial" w:hAnsi="Arial" w:cs="Arial"/>
          <w:lang w:val="en-US"/>
        </w:rPr>
        <w:lastRenderedPageBreak/>
        <w:t>the moment</w:t>
      </w:r>
      <w:r w:rsidRPr="00EA6368">
        <w:rPr>
          <w:rFonts w:ascii="Arial" w:hAnsi="Arial" w:cs="Arial"/>
          <w:lang w:val="en-US"/>
        </w:rPr>
        <w:t>, of which 2</w:t>
      </w:r>
      <w:r w:rsidR="00C55FA2" w:rsidRPr="00EA6368">
        <w:rPr>
          <w:rFonts w:ascii="Arial" w:hAnsi="Arial" w:cs="Arial"/>
          <w:lang w:val="en-US"/>
        </w:rPr>
        <w:t>8.9</w:t>
      </w:r>
      <w:r w:rsidRPr="00EA6368">
        <w:rPr>
          <w:rFonts w:ascii="Arial" w:hAnsi="Arial" w:cs="Arial"/>
          <w:lang w:val="en-US"/>
        </w:rPr>
        <w:t xml:space="preserve"> million are on antiretroviral treatment</w:t>
      </w:r>
      <w:r w:rsidR="00C55FA2" w:rsidRPr="00EA6368">
        <w:rPr>
          <w:rFonts w:ascii="Arial" w:hAnsi="Arial" w:cs="Arial"/>
          <w:lang w:val="en-US"/>
        </w:rPr>
        <w:fldChar w:fldCharType="begin"/>
      </w:r>
      <w:r w:rsidR="00F74DF6">
        <w:rPr>
          <w:rFonts w:ascii="Arial" w:hAnsi="Arial" w:cs="Arial"/>
          <w:lang w:val="en-US"/>
        </w:rPr>
        <w:instrText xml:space="preserve"> ADDIN ZOTERO_ITEM CSL_CITATION {"citationID":"NfpGavh9","properties":{"formattedCitation":"(UNAIDS, 2023, 2024)","plainCitation":"(UNAIDS, 2023, 2024)","noteIndex":0},"citationItems":[{"id":233,"uris":["http://zotero.org/groups/5613385/items/XSFF428Z"],"itemData":{"id":233,"type":"document","title":"The path that ends AIDS","URL":"https://thepath.unaids.org/wp-content/themes/unaids2023/assets/files/2023_report.pdf","author":[{"family":"UNAIDS","given":""}],"accessed":{"date-parts":[["2024",8,9]]},"issued":{"date-parts":[["2023"]]}}},{"id":232,"uris":["http://zotero.org/groups/5613385/items/U89KEMXL"],"itemData":{"id":232,"type":"document","title":"Global AIDS Monitoring 2024","URL":"https://www.unaids.org/sites/default/files/media_asset/global-aids-monitoring_en.pdf","author":[{"family":"UNAIDS","given":""}],"accessed":{"date-parts":[["2024",8,9]]},"issued":{"date-parts":[["2024"]]}}}],"schema":"https://github.com/citation-style-language/schema/raw/master/csl-citation.json"} </w:instrText>
      </w:r>
      <w:r w:rsidR="00C55FA2" w:rsidRPr="00EA6368">
        <w:rPr>
          <w:rFonts w:ascii="Arial" w:hAnsi="Arial" w:cs="Arial"/>
          <w:lang w:val="en-US"/>
        </w:rPr>
        <w:fldChar w:fldCharType="separate"/>
      </w:r>
      <w:r w:rsidR="00F74DF6">
        <w:rPr>
          <w:rFonts w:ascii="Arial" w:hAnsi="Arial" w:cs="Arial"/>
          <w:noProof/>
          <w:lang w:val="en-US"/>
        </w:rPr>
        <w:t>(UNAIDS, 2023, 2024)</w:t>
      </w:r>
      <w:r w:rsidR="00C55FA2" w:rsidRPr="00EA6368">
        <w:rPr>
          <w:rFonts w:ascii="Arial" w:hAnsi="Arial" w:cs="Arial"/>
          <w:lang w:val="en-US"/>
        </w:rPr>
        <w:fldChar w:fldCharType="end"/>
      </w:r>
      <w:r w:rsidRPr="00EA6368">
        <w:rPr>
          <w:rFonts w:ascii="Arial" w:hAnsi="Arial" w:cs="Arial"/>
          <w:lang w:val="en-US"/>
        </w:rPr>
        <w:t xml:space="preserve">. In Brazil, the spread of HIV is still a very worrying epidemic that has been growing mainly among individuals in the younger age group </w:t>
      </w:r>
      <w:r w:rsidR="003445A1" w:rsidRPr="00EA6368">
        <w:rPr>
          <w:rFonts w:ascii="Arial" w:hAnsi="Arial" w:cs="Arial"/>
          <w:lang w:val="en-US"/>
        </w:rPr>
        <w:fldChar w:fldCharType="begin"/>
      </w:r>
      <w:r w:rsidR="00F74DF6">
        <w:rPr>
          <w:rFonts w:ascii="Arial" w:hAnsi="Arial" w:cs="Arial"/>
          <w:lang w:val="en-US"/>
        </w:rPr>
        <w:instrText xml:space="preserve"> ADDIN ZOTERO_ITEM CSL_CITATION {"citationID":"W0n5XgqO","properties":{"formattedCitation":"(Minist\\uc0\\u233{}rio da Sa\\uc0\\u250{}de, 2020)","plainCitation":"(Ministério da Saúde, 2020)","noteIndex":0},"citationItems":[{"id":122,"uris":["http://zotero.org/groups/5613385/items/6FYLUF8U"],"itemData":{"id":122,"type":"webpage","title":"Boletim Epidemiológico Especial-HIV/AIDS 2020.","URL":"https://www.gov.br/aids/pt-br/central-de-conteudo/boletins-epidemiologicos/2020/hiv- aids/boletim_hiv_aids_2020_com_marcas.pdf/view","author":[{"family":"Ministério da Saúde","given":""}],"accessed":{"date-parts":[["2023",10,9]]},"issued":{"date-parts":[["2020",12,1]]}}}],"schema":"https://github.com/citation-style-language/schema/raw/master/csl-citation.json"} </w:instrText>
      </w:r>
      <w:r w:rsidR="003445A1" w:rsidRPr="00EA6368">
        <w:rPr>
          <w:rFonts w:ascii="Arial" w:hAnsi="Arial" w:cs="Arial"/>
          <w:lang w:val="en-US"/>
        </w:rPr>
        <w:fldChar w:fldCharType="separate"/>
      </w:r>
      <w:r w:rsidR="00F74DF6" w:rsidRPr="00F74DF6">
        <w:rPr>
          <w:rFonts w:ascii="Arial" w:hAnsi="Arial" w:cs="Arial"/>
        </w:rPr>
        <w:t>(Ministério da Saúde, 2020)</w:t>
      </w:r>
      <w:r w:rsidR="003445A1" w:rsidRPr="00EA6368">
        <w:rPr>
          <w:rFonts w:ascii="Arial" w:hAnsi="Arial" w:cs="Arial"/>
          <w:lang w:val="en-US"/>
        </w:rPr>
        <w:fldChar w:fldCharType="end"/>
      </w:r>
      <w:r w:rsidR="003445A1" w:rsidRPr="00EA6368">
        <w:rPr>
          <w:rFonts w:ascii="Arial" w:hAnsi="Arial" w:cs="Arial"/>
          <w:lang w:val="en-US"/>
        </w:rPr>
        <w:t>.</w:t>
      </w:r>
    </w:p>
    <w:p w14:paraId="7AFE7547" w14:textId="7C726350" w:rsidR="004C4711" w:rsidRPr="00EA6368" w:rsidRDefault="004C4711" w:rsidP="008B380F">
      <w:pPr>
        <w:spacing w:line="360" w:lineRule="auto"/>
        <w:ind w:firstLine="708"/>
        <w:jc w:val="both"/>
        <w:rPr>
          <w:rFonts w:ascii="Arial" w:hAnsi="Arial" w:cs="Arial"/>
          <w:lang w:val="en-US"/>
        </w:rPr>
      </w:pPr>
      <w:r w:rsidRPr="00EA6368">
        <w:rPr>
          <w:rFonts w:ascii="Arial" w:hAnsi="Arial" w:cs="Arial"/>
          <w:lang w:val="en-US"/>
        </w:rPr>
        <w:t>Regarding psychological aspects, it is a fact that people living with HIV</w:t>
      </w:r>
      <w:r w:rsidR="005A1D51" w:rsidRPr="00EA6368">
        <w:rPr>
          <w:rFonts w:ascii="Arial" w:hAnsi="Arial" w:cs="Arial"/>
          <w:lang w:val="en-US"/>
        </w:rPr>
        <w:t xml:space="preserve"> (PLHIV)</w:t>
      </w:r>
      <w:r w:rsidRPr="00EA6368">
        <w:rPr>
          <w:rFonts w:ascii="Arial" w:hAnsi="Arial" w:cs="Arial"/>
          <w:lang w:val="en-US"/>
        </w:rPr>
        <w:t xml:space="preserve"> suffer emotional impacts due to their diagnosis </w:t>
      </w:r>
      <w:r w:rsidR="0044337F" w:rsidRPr="00EA6368">
        <w:rPr>
          <w:rFonts w:ascii="Arial" w:hAnsi="Arial" w:cs="Arial"/>
          <w:lang w:val="en-US"/>
        </w:rPr>
        <w:fldChar w:fldCharType="begin"/>
      </w:r>
      <w:r w:rsidR="00F74DF6">
        <w:rPr>
          <w:rFonts w:ascii="Arial" w:hAnsi="Arial" w:cs="Arial"/>
          <w:lang w:val="en-US"/>
        </w:rPr>
        <w:instrText xml:space="preserve"> ADDIN ZOTERO_ITEM CSL_CITATION {"citationID":"HlewLyHR","properties":{"formattedCitation":"(Costa et al., 2018; Wong et al., 2017)","plainCitation":"(Costa et al., 2018; Wong et al., 2017)","noteIndex":0},"citationItems":[{"id":"qMjpNfT5/CaYnC2ys","uris":["http://zotero.org/groups/5613385/items/E8J5SWPV"],"itemData":{"id":36,"type":"article-journal","container-title":"Revista da SBPH","ISSN":"1516-0858","issue":"1","language":"en","page":"06-35","source":"pepsic.bvsalud.org","title":"Personality characteristics and adherence to treatment in young patients with HIV","volume":"21","author":[{"family":"Costa","given":"Lívia Maria Cunha Bueno Villares"},{"family":"Casseb","given":"Jorge Simão do Rosário"},{"family":"Gascon","given":"Maria Rita Polo"},{"family":"Fonseca","given":"Luiz Augusto Marcondes"}],"issued":{"date-parts":[["2018",6]]}}},{"id":"qMjpNfT5/OU4Ls1CM","uris":["http://zotero.org/groups/5613385/items/93XD9QRI"],"itemData":{"id":5,"type":"article-journal","abstract":": The current low rates of HIV diagnosis and treatment initiation among adolescents and young people ages 15-24 continues to present a significant challenge to the epidemic control of HIV. With a 'business as usual' approach to HIV testing and linkage to treatment, new infections among adolescents and youth will likely increase, with the burden compounded by the increasing number of youth in Africa, expected to reach 293 million by 2025. Recent studies reveal significant gaps in the HIV clinical cascade among young people as the global community pursues the Joint United Nations Programme on HIV and AIDS 90-90-90 targets. This AIDS supplement was commissioned with the goal of informing program planners, researchers, policymakers, and funding agencies about the development and design of effective adolescent and youth programs, policies, and strategies for improving the first two 90s among adolescents and youth: HIV testing and diagnosis and linkage to care and treatment. Emerging evidence should inform efforts to better target the youth and adolescents who are most at risk, aiming for early diagnosis and treatment initiation for those who are HIV positive, while also ensuring appropriate primary prevention so that those identified as HIV negative remain so.","container-title":"AIDS (London, England)","DOI":"10.1097/QAD.0000000000001539","ISSN":"1473-5571","issue":"Suppl 3","journalAbbreviation":"AIDS","language":"eng","note":"PMID: 28665876\nPMCID: PMC5497776","page":"S191-S194","source":"PubMed","title":"Adolescents, young people, and the 90-90-90 goals: a call to improve HIV testing and linkage to treatment","title-short":"Adolescents, young people, and the 90-90-90 goals","volume":"31 Suppl 3","author":[{"family":"Wong","given":"Vincent J."},{"family":"Murray","given":"Kate R."},{"family":"Phelps","given":"B. Ryan"},{"family":"Vermund","given":"Sten H."},{"family":"McCarraher","given":"Donna R."}],"issued":{"date-parts":[["2017",7,1]]}}}],"schema":"https://github.com/citation-style-language/schema/raw/master/csl-citation.json"} </w:instrText>
      </w:r>
      <w:r w:rsidR="0044337F" w:rsidRPr="00EA6368">
        <w:rPr>
          <w:rFonts w:ascii="Arial" w:hAnsi="Arial" w:cs="Arial"/>
          <w:lang w:val="en-US"/>
        </w:rPr>
        <w:fldChar w:fldCharType="separate"/>
      </w:r>
      <w:r w:rsidR="00F74DF6">
        <w:rPr>
          <w:rFonts w:ascii="Arial" w:hAnsi="Arial" w:cs="Arial"/>
          <w:noProof/>
          <w:lang w:val="en-US"/>
        </w:rPr>
        <w:t>(Costa et al., 2018; Wong et al., 2017)</w:t>
      </w:r>
      <w:r w:rsidR="0044337F" w:rsidRPr="00EA6368">
        <w:rPr>
          <w:rFonts w:ascii="Arial" w:hAnsi="Arial" w:cs="Arial"/>
          <w:lang w:val="en-US"/>
        </w:rPr>
        <w:fldChar w:fldCharType="end"/>
      </w:r>
      <w:r w:rsidRPr="00EA6368">
        <w:rPr>
          <w:rFonts w:ascii="Arial" w:hAnsi="Arial" w:cs="Arial"/>
          <w:lang w:val="en-US"/>
        </w:rPr>
        <w:t>. Depression and anxiety disorders are the main psychiatric disorders concomitant with HIV infection, exerting a strong influence on patients' adherence to treatment, disease progression and risky sexual behavior. All of these aspects contribute to increased fragility and emotional instability which, when not assessed, can negatively influence treatment</w:t>
      </w:r>
      <w:r w:rsidR="0044337F" w:rsidRPr="00EA6368">
        <w:rPr>
          <w:rFonts w:ascii="Arial" w:hAnsi="Arial" w:cs="Arial"/>
          <w:lang w:val="en-US"/>
        </w:rPr>
        <w:t xml:space="preserve"> </w:t>
      </w:r>
      <w:r w:rsidR="0044337F" w:rsidRPr="00EA6368">
        <w:rPr>
          <w:rFonts w:ascii="Arial" w:hAnsi="Arial" w:cs="Arial"/>
          <w:lang w:val="en-US"/>
        </w:rPr>
        <w:fldChar w:fldCharType="begin"/>
      </w:r>
      <w:r w:rsidR="00F74DF6">
        <w:rPr>
          <w:rFonts w:ascii="Arial" w:hAnsi="Arial" w:cs="Arial"/>
          <w:lang w:val="en-US"/>
        </w:rPr>
        <w:instrText xml:space="preserve"> ADDIN ZOTERO_ITEM CSL_CITATION {"citationID":"OZK6NTCs","properties":{"formattedCitation":"(Choi et al., 2016; Poletto et al., 2015; Silveira et al., 2012)","plainCitation":"(Choi et al., 2016; Poletto et al., 2015; Silveira et al., 2012)","noteIndex":0},"citationItems":[{"id":"qMjpNfT5/MBL7Oc4A","uris":["http://zotero.org/groups/5613385/items/6IYG39XM"],"itemData":{"id":37,"type":"article-journal","abstract":"BACKGROUND: Major depression can profoundly impact clinical and quality-of-life outcomes of people living with HIV, and this disease is underdiagnosed and undertreated in many HIV-positive individuals. Here, we describe the prevalence of publicly funded primary and secondary mental health service use and antidepressant use, as well as mental health care for depression in accordance with existing Canadian guidelines for HIV-positive patients with depression in Ontario, Canada.\nMETHODS: We conducted a prospective cohort study linking data from the Ontario HIV Treatment Network Cohort Study with administrative health databases in the province of Ontario, Canada. Current depression was assessed using the Center for Epidemiologic Depression Scale or the Kessler Psychological Distress Scale. Multivariable regressions were used to characterize prevalence outcomes.\nRESULTS: Of 990 HIV-positive patients with depression, 493 (50%) patients used mental health services; 182 (18%) used primary services (general practitioners); 176 (18%) used secondary services (psychiatrists); and 135 (14%) used both. Antidepressants were used by 407 (39%) patients. Patients who identified as gay, lesbian, or bisexual, as having low income or educational attainment, or as non-native English speakers or immigrants to Canada were less likely to obtain care. Of 493 patients using mental health services, 250 (51%) received mental health care for depression in accordance with existing Canadian guidelines.\nCONCLUSIONS: Our results showed gaps in delivering publicly funded mental health services to depressed HIV-positive patients and identified unequal access to these services, particularly among vulnerable groups. More effective mental health policies and better access to mental health services are required to address HIV-positive patient needs and reduce depression's impact on their lives.","container-title":"PloS One","DOI":"10.1371/journal.pone.0156652","ISSN":"1932-6203","issue":"6","journalAbbreviation":"PLoS One","language":"eng","note":"PMID: 27280751\nPMCID: PMC4900603","page":"e0156652","source":"PubMed","title":"Adequacy of Mental Health Services for HIV-Positive Patients with Depression: Ontario HIV Treatment Network Cohort Study","title-short":"Adequacy of Mental Health Services for HIV-Positive Patients with Depression","volume":"11","author":[{"family":"Choi","given":"Stephanie K. Y."},{"family":"Boyle","given":"Eleanor"},{"family":"Cairney","given":"John"},{"family":"Gardner","given":"Sandra"},{"family":"Collins","given":"Evan J."},{"family":"Bacon","given":"Jean"},{"family":"Rourke","given":"Sean B."},{"literal":"OHTN Cohort Study Group"}],"issued":{"date-parts":[["2016"]]}}},{"id":"qMjpNfT5/yjPQs2u1","uris":["http://zotero.org/groups/5613385/items/VG35BWHJ"],"itemData":{"id":19,"type":"article-journal","container-title":"Temas em Psicologia","DOI":"10.9788/TP2015.2-01","ISSN":"1413-389X","issue":"2","language":"pt","page":"243-253","source":"pepsic.bvsalud.org","title":"Pensamentos automáticos e crenças centrais associados ao HIV/AIDS em indivíduos soropositivos","volume":"23","author":[{"family":"Poletto","given":"Mariana Pasquali"},{"family":"Heck","given":"Camila"},{"family":"Calsa","given":"Daniela da Cunha"},{"family":"Moskovics","given":"Jenny Milner"}],"issued":{"date-parts":[["2015",6]]}}},{"id":"qMjpNfT5/ULR9KSTg","uris":["http://zotero.org/groups/5613385/items/A47Q6Z5J"],"itemData":{"id":9,"type":"article-journal","abstract":"INTRODUCTION: The prevalence of depressive disorders in HIV-infected patients ranges from 12% to 66% and is undiagnosed in 50% to 60% of these patients. Depression in HIV-infected individuals may be associated with poor antiretroviral treatment (ART) outcomes, since it may direct influence compliance. OBJECTIVE: To assess the presence of symptoms and risk factors for depression in patients on ART. METHODS: Cross-sectional study. Certified interviewers administered questionnaires and the Beck Depression Inventory (BDI), and participants' self-reported compliance to ART. Clinical and laboratory variables were obtained from clinical records. Patients with BDI &gt; 12 were defined as depressed. RESULTS Out of the 250 patients invited to participate, 246 (98%) consented. Mean age was 41 ± 9.9 years; most were male (63%). Income ranged from 0-14 Brazilian minimum wages. AIDS (CDC stage C) had been diagnosed in 97%, and 81% were in stable immune status. One hundred ninety-one (78%) reported compliance, and 161 (68%) had undetectable viral loads. The prevalence of depressive symptoms was 32% (95% CI 26-40). In multivariate analysis, depressive symptoms were significantly associated with income (prevalence ratio [PR] = 0.85; 95% CI 0.74-0.97; p = 0.02). CONCLUSIONS: Depressive symptoms are frequent in patients on ART, and are associated with low income.","container-title":"Brazilian Journal of Psychiatry","DOI":"10.1590/S1516-44462012000200008","ISSN":"1516-4446, 1809-452X","journalAbbreviation":"Braz. J. Psychiatry","language":"en","note":"publisher: Associação Brasileira de Psiquiatria","page":"162-167","source":"SciELO","title":"Depressive symptoms in HIV-infected patients treated with highly active antiretroviral therapy","volume":"34","author":[{"family":"Silveira","given":"Marysabel Pinto Telis"},{"family":"Guttier","given":"Marília Cruz"},{"family":"Pinheiro","given":"Cezar Arthur Tavares"},{"family":"Pereira","given":"Tatiana Vanessa Silveira"},{"family":"Cruzeiro","given":"Ana Laura Sica"},{"family":"Moreira","given":"Leila Beltrami"}],"issued":{"date-parts":[["2012",6]]}}}],"schema":"https://github.com/citation-style-language/schema/raw/master/csl-citation.json"} </w:instrText>
      </w:r>
      <w:r w:rsidR="0044337F" w:rsidRPr="00EA6368">
        <w:rPr>
          <w:rFonts w:ascii="Arial" w:hAnsi="Arial" w:cs="Arial"/>
          <w:lang w:val="en-US"/>
        </w:rPr>
        <w:fldChar w:fldCharType="separate"/>
      </w:r>
      <w:r w:rsidR="00F74DF6">
        <w:rPr>
          <w:rFonts w:ascii="Arial" w:hAnsi="Arial" w:cs="Arial"/>
          <w:lang w:val="en-US"/>
        </w:rPr>
        <w:t>(Choi et al., 2016; Poletto et al., 2015; Silveira et al., 2012)</w:t>
      </w:r>
      <w:r w:rsidR="0044337F" w:rsidRPr="00EA6368">
        <w:rPr>
          <w:rFonts w:ascii="Arial" w:hAnsi="Arial" w:cs="Arial"/>
          <w:lang w:val="en-US"/>
        </w:rPr>
        <w:fldChar w:fldCharType="end"/>
      </w:r>
      <w:r w:rsidRPr="00EA6368">
        <w:rPr>
          <w:rFonts w:ascii="Arial" w:hAnsi="Arial" w:cs="Arial"/>
          <w:lang w:val="en-US"/>
        </w:rPr>
        <w:t>. This emotional fragility could be intensified when faced with the possibility of infection with a new virus, highlighting the need to assess the mental health condition of this specific population compared to the general population.</w:t>
      </w:r>
      <w:r w:rsidRPr="00EA6368">
        <w:rPr>
          <w:rFonts w:ascii="Arial" w:hAnsi="Arial" w:cs="Arial"/>
          <w:lang w:val="en-US"/>
        </w:rPr>
        <w:tab/>
      </w:r>
    </w:p>
    <w:p w14:paraId="279025D1" w14:textId="1F21E4EC" w:rsidR="004C4711" w:rsidRPr="00EA6368" w:rsidRDefault="004C4711" w:rsidP="008B380F">
      <w:pPr>
        <w:spacing w:line="360" w:lineRule="auto"/>
        <w:ind w:firstLine="708"/>
        <w:jc w:val="both"/>
        <w:rPr>
          <w:rFonts w:ascii="Arial" w:hAnsi="Arial" w:cs="Arial"/>
          <w:lang w:val="en-US"/>
        </w:rPr>
      </w:pPr>
      <w:r w:rsidRPr="00EA6368">
        <w:rPr>
          <w:rFonts w:ascii="Arial" w:hAnsi="Arial" w:cs="Arial"/>
          <w:lang w:val="en-US"/>
        </w:rPr>
        <w:t>Therefore, this study aimed to evaluate the predictors of anxiety, depression and stress in PL</w:t>
      </w:r>
      <w:r w:rsidR="005A1D51" w:rsidRPr="00EA6368">
        <w:rPr>
          <w:rFonts w:ascii="Arial" w:hAnsi="Arial" w:cs="Arial"/>
          <w:lang w:val="en-US"/>
        </w:rPr>
        <w:t>HIV</w:t>
      </w:r>
      <w:r w:rsidRPr="00EA6368">
        <w:rPr>
          <w:rFonts w:ascii="Arial" w:hAnsi="Arial" w:cs="Arial"/>
          <w:lang w:val="en-US"/>
        </w:rPr>
        <w:t>, compared to the general population, during the COVID-19 pandemic period.</w:t>
      </w:r>
    </w:p>
    <w:p w14:paraId="63E78319" w14:textId="56171173" w:rsidR="008B380F" w:rsidRPr="00EA6368" w:rsidRDefault="007827EA" w:rsidP="00677420">
      <w:pPr>
        <w:pStyle w:val="Ttulo1"/>
      </w:pPr>
      <w:r w:rsidRPr="00EA6368">
        <w:t>Methods:</w:t>
      </w:r>
    </w:p>
    <w:p w14:paraId="5A02FE17" w14:textId="77777777" w:rsidR="00691936" w:rsidRPr="00EA6368" w:rsidRDefault="00691936" w:rsidP="008B380F">
      <w:pPr>
        <w:jc w:val="both"/>
        <w:rPr>
          <w:rFonts w:ascii="Arial" w:eastAsia="Arial" w:hAnsi="Arial" w:cs="Arial"/>
          <w:bCs/>
          <w:lang w:val="en-US"/>
        </w:rPr>
      </w:pPr>
    </w:p>
    <w:p w14:paraId="5F29E8E5" w14:textId="77777777" w:rsidR="009B05BF" w:rsidRPr="00EA6368" w:rsidRDefault="009B05BF" w:rsidP="009B05BF">
      <w:pPr>
        <w:spacing w:line="360" w:lineRule="auto"/>
        <w:ind w:firstLine="708"/>
        <w:jc w:val="both"/>
        <w:rPr>
          <w:rFonts w:ascii="Arial" w:eastAsia="Arial" w:hAnsi="Arial" w:cs="Arial"/>
          <w:bCs/>
          <w:lang w:val="en-US"/>
        </w:rPr>
      </w:pPr>
      <w:r w:rsidRPr="00EA6368">
        <w:rPr>
          <w:rFonts w:ascii="Arial" w:eastAsia="Arial" w:hAnsi="Arial" w:cs="Arial"/>
          <w:lang w:val="en-US"/>
        </w:rPr>
        <w:t>Following the ethical principles in accordance with Resolution 466/12 of the National Health Council of Brazil, this project was subjected to evaluation and approved by the Research Ethics Committee of a quaternary hospital in São Paulo (CAAE:</w:t>
      </w:r>
      <w:r w:rsidRPr="00EA6368">
        <w:rPr>
          <w:rFonts w:ascii="Times New Roman" w:eastAsiaTheme="minorHAnsi" w:hAnsi="Times New Roman" w:cs="Times New Roman"/>
          <w:lang w:val="en-US" w:eastAsia="en-US"/>
          <w14:ligatures w14:val="standardContextual"/>
        </w:rPr>
        <w:t xml:space="preserve"> </w:t>
      </w:r>
      <w:r w:rsidRPr="00EA6368">
        <w:rPr>
          <w:rFonts w:ascii="Arial" w:eastAsiaTheme="minorHAnsi" w:hAnsi="Arial" w:cs="Arial"/>
          <w:lang w:val="en-US" w:eastAsia="en-US"/>
          <w14:ligatures w14:val="standardContextual"/>
        </w:rPr>
        <w:t xml:space="preserve">43040521.1.0000.0068, number of </w:t>
      </w:r>
      <w:proofErr w:type="gramStart"/>
      <w:r w:rsidRPr="00EA6368">
        <w:rPr>
          <w:rFonts w:ascii="Arial" w:eastAsiaTheme="minorHAnsi" w:hAnsi="Arial" w:cs="Arial"/>
          <w:lang w:val="en-US" w:eastAsia="en-US"/>
          <w14:ligatures w14:val="standardContextual"/>
        </w:rPr>
        <w:t>review</w:t>
      </w:r>
      <w:proofErr w:type="gramEnd"/>
      <w:r w:rsidRPr="00EA6368">
        <w:rPr>
          <w:rFonts w:ascii="Arial" w:eastAsiaTheme="minorHAnsi" w:hAnsi="Arial" w:cs="Arial"/>
          <w:lang w:val="en-US" w:eastAsia="en-US"/>
          <w14:ligatures w14:val="standardContextual"/>
        </w:rPr>
        <w:t xml:space="preserve">: 4.636.774). </w:t>
      </w:r>
      <w:r w:rsidRPr="00EA6368">
        <w:rPr>
          <w:rFonts w:ascii="Arial" w:eastAsia="Arial" w:hAnsi="Arial" w:cs="Arial"/>
          <w:lang w:val="en-US"/>
        </w:rPr>
        <w:t>A</w:t>
      </w:r>
      <w:r w:rsidRPr="00EA6368">
        <w:rPr>
          <w:rFonts w:ascii="Arial" w:eastAsia="Arial" w:hAnsi="Arial" w:cs="Arial"/>
          <w:bCs/>
          <w:lang w:val="en-US"/>
        </w:rPr>
        <w:t xml:space="preserve"> prospective cross-sectional study</w:t>
      </w:r>
      <w:r w:rsidRPr="00EA6368">
        <w:rPr>
          <w:rFonts w:ascii="Arial" w:eastAsia="Arial" w:hAnsi="Arial" w:cs="Arial"/>
          <w:lang w:val="en-US"/>
        </w:rPr>
        <w:t xml:space="preserve"> was conducted in the </w:t>
      </w:r>
      <w:r w:rsidRPr="00EA6368">
        <w:rPr>
          <w:rFonts w:ascii="Arial" w:eastAsia="Arial" w:hAnsi="Arial" w:cs="Arial"/>
          <w:bCs/>
          <w:lang w:val="en-US"/>
        </w:rPr>
        <w:t xml:space="preserve">Dermatological Manifestations Outpatient Clinic of the Specialized Dermatology Service of a quaternary hospital in São Paulo - Brazil. </w:t>
      </w:r>
    </w:p>
    <w:p w14:paraId="748A84E7" w14:textId="77777777" w:rsidR="003119E1" w:rsidRPr="00EA6368" w:rsidRDefault="00691936" w:rsidP="00EA106B">
      <w:pPr>
        <w:spacing w:line="360" w:lineRule="auto"/>
        <w:ind w:firstLine="708"/>
        <w:jc w:val="both"/>
        <w:rPr>
          <w:rFonts w:ascii="Arial" w:eastAsia="Arial" w:hAnsi="Arial" w:cs="Arial"/>
          <w:bCs/>
          <w:lang w:val="en-US"/>
        </w:rPr>
      </w:pPr>
      <w:r w:rsidRPr="00EA6368">
        <w:rPr>
          <w:rFonts w:ascii="Arial" w:eastAsia="Arial" w:hAnsi="Arial" w:cs="Arial"/>
          <w:bCs/>
          <w:lang w:val="en-US"/>
        </w:rPr>
        <w:t>PLHIV (</w:t>
      </w:r>
      <w:proofErr w:type="gramStart"/>
      <w:r w:rsidRPr="00EA6368">
        <w:rPr>
          <w:rFonts w:ascii="Arial" w:eastAsia="Arial" w:hAnsi="Arial" w:cs="Arial"/>
          <w:bCs/>
          <w:lang w:val="en-US"/>
        </w:rPr>
        <w:t>whether or not</w:t>
      </w:r>
      <w:proofErr w:type="gramEnd"/>
      <w:r w:rsidRPr="00EA6368">
        <w:rPr>
          <w:rFonts w:ascii="Arial" w:eastAsia="Arial" w:hAnsi="Arial" w:cs="Arial"/>
          <w:bCs/>
          <w:lang w:val="en-US"/>
        </w:rPr>
        <w:t xml:space="preserve"> they were part of the outpatient list) and not living with HIV from the general population (control group) were invited to participate. </w:t>
      </w:r>
      <w:r w:rsidR="003119E1" w:rsidRPr="00EA6368">
        <w:rPr>
          <w:rFonts w:ascii="Arial" w:eastAsia="Arial" w:hAnsi="Arial" w:cs="Arial"/>
          <w:bCs/>
          <w:lang w:val="en-US"/>
        </w:rPr>
        <w:t xml:space="preserve">The inclusion criteria </w:t>
      </w:r>
      <w:proofErr w:type="gramStart"/>
      <w:r w:rsidR="003119E1" w:rsidRPr="00EA6368">
        <w:rPr>
          <w:rFonts w:ascii="Arial" w:eastAsia="Arial" w:hAnsi="Arial" w:cs="Arial"/>
          <w:bCs/>
          <w:lang w:val="en-US"/>
        </w:rPr>
        <w:t>were:</w:t>
      </w:r>
      <w:proofErr w:type="gramEnd"/>
      <w:r w:rsidR="003119E1" w:rsidRPr="00EA6368">
        <w:rPr>
          <w:rFonts w:ascii="Arial" w:eastAsia="Arial" w:hAnsi="Arial" w:cs="Arial"/>
          <w:bCs/>
          <w:lang w:val="en-US"/>
        </w:rPr>
        <w:t xml:space="preserve"> individuals who responded to the online questionnaire during a period of 30 days and who were over 18 years old. The exclusion criteria </w:t>
      </w:r>
      <w:proofErr w:type="gramStart"/>
      <w:r w:rsidR="003119E1" w:rsidRPr="00EA6368">
        <w:rPr>
          <w:rFonts w:ascii="Arial" w:eastAsia="Arial" w:hAnsi="Arial" w:cs="Arial"/>
          <w:bCs/>
          <w:lang w:val="en-US"/>
        </w:rPr>
        <w:lastRenderedPageBreak/>
        <w:t>were:</w:t>
      </w:r>
      <w:proofErr w:type="gramEnd"/>
      <w:r w:rsidR="003119E1" w:rsidRPr="00EA6368">
        <w:rPr>
          <w:rFonts w:ascii="Arial" w:eastAsia="Arial" w:hAnsi="Arial" w:cs="Arial"/>
          <w:bCs/>
          <w:lang w:val="en-US"/>
        </w:rPr>
        <w:t xml:space="preserve"> individuals who refused to answer the questionnaire and/or who did not adhere to the informed consent form (ICF).</w:t>
      </w:r>
    </w:p>
    <w:p w14:paraId="02581981" w14:textId="600FCA34" w:rsidR="00691936" w:rsidRPr="00EA6368" w:rsidRDefault="00D70B18" w:rsidP="00EA106B">
      <w:pPr>
        <w:spacing w:line="360" w:lineRule="auto"/>
        <w:ind w:firstLine="708"/>
        <w:jc w:val="both"/>
        <w:rPr>
          <w:rFonts w:ascii="Arial" w:eastAsia="Arial" w:hAnsi="Arial" w:cs="Arial"/>
          <w:lang w:val="en-US"/>
        </w:rPr>
      </w:pPr>
      <w:r w:rsidRPr="00EA6368">
        <w:rPr>
          <w:rFonts w:ascii="Arial" w:eastAsia="Arial" w:hAnsi="Arial" w:cs="Arial"/>
          <w:lang w:val="en-US"/>
        </w:rPr>
        <w:t>ICF</w:t>
      </w:r>
      <w:r w:rsidR="00691936" w:rsidRPr="00EA6368">
        <w:rPr>
          <w:rFonts w:ascii="Arial" w:eastAsia="Arial" w:hAnsi="Arial" w:cs="Arial"/>
          <w:lang w:val="en-US"/>
        </w:rPr>
        <w:t xml:space="preserve"> was obtained from all the participants involved in the study before answering the online questionnaire.</w:t>
      </w:r>
      <w:r w:rsidR="00691936" w:rsidRPr="00EA6368">
        <w:rPr>
          <w:rFonts w:ascii="Arial" w:hAnsi="Arial" w:cs="Arial"/>
          <w:lang w:val="en-US"/>
        </w:rPr>
        <w:t xml:space="preserve"> </w:t>
      </w:r>
      <w:r w:rsidR="00691936" w:rsidRPr="00EA6368">
        <w:rPr>
          <w:rFonts w:ascii="Arial" w:eastAsia="Arial" w:hAnsi="Arial" w:cs="Arial"/>
          <w:lang w:val="en-US"/>
        </w:rPr>
        <w:t>The data collected cannot be shared openly to protect study participants privacy. However, the data are available from the authors upon reasonable request.</w:t>
      </w:r>
    </w:p>
    <w:p w14:paraId="0801E5AD" w14:textId="45BC8266" w:rsidR="00E4781F" w:rsidRPr="00EA6368" w:rsidRDefault="00691936" w:rsidP="00EA106B">
      <w:pPr>
        <w:spacing w:line="360" w:lineRule="auto"/>
        <w:ind w:firstLine="708"/>
        <w:jc w:val="both"/>
        <w:rPr>
          <w:rFonts w:ascii="Arial" w:eastAsia="Arial" w:hAnsi="Arial" w:cs="Arial"/>
          <w:lang w:val="en-US"/>
        </w:rPr>
      </w:pPr>
      <w:r w:rsidRPr="00EA6368">
        <w:rPr>
          <w:rFonts w:ascii="Arial" w:eastAsia="Arial" w:hAnsi="Arial" w:cs="Arial"/>
          <w:lang w:val="en-US"/>
        </w:rPr>
        <w:t>Participants answered an online questionnaire sent via cell phone text messages. The form was available on the “</w:t>
      </w:r>
      <w:r w:rsidRPr="00EA6368">
        <w:rPr>
          <w:rFonts w:ascii="Arial" w:eastAsia="Arial" w:hAnsi="Arial" w:cs="Arial"/>
          <w:i/>
          <w:iCs/>
          <w:lang w:val="en-US"/>
        </w:rPr>
        <w:t>Google Forms</w:t>
      </w:r>
      <w:r w:rsidRPr="00EA6368">
        <w:rPr>
          <w:rFonts w:ascii="Arial" w:eastAsia="Arial" w:hAnsi="Arial" w:cs="Arial"/>
          <w:lang w:val="en-US"/>
        </w:rPr>
        <w:t xml:space="preserve">” platform for individual completion. After acceptance, the sociodemographic questionnaire and DASS-21 were allowed to be completed. </w:t>
      </w:r>
      <w:r w:rsidR="00E4781F" w:rsidRPr="00EA6368">
        <w:rPr>
          <w:rFonts w:ascii="Arial" w:hAnsi="Arial" w:cs="Arial"/>
          <w:lang w:val="en-US"/>
        </w:rPr>
        <w:t>All the questions, along with their respective options, can be seen in detail in Table 1. Below is a summary of the questionnaire:</w:t>
      </w:r>
    </w:p>
    <w:p w14:paraId="2D7F8D76" w14:textId="77777777" w:rsidR="00E4781F" w:rsidRPr="00EA6368" w:rsidRDefault="00E4781F" w:rsidP="00EA106B">
      <w:pPr>
        <w:pStyle w:val="PargrafodaLista"/>
        <w:numPr>
          <w:ilvl w:val="0"/>
          <w:numId w:val="3"/>
        </w:numPr>
        <w:spacing w:before="100" w:beforeAutospacing="1" w:after="100" w:afterAutospacing="1" w:line="360" w:lineRule="auto"/>
        <w:jc w:val="both"/>
        <w:rPr>
          <w:rFonts w:ascii="Arial" w:eastAsia="Times New Roman" w:hAnsi="Arial" w:cs="Arial"/>
          <w:lang w:val="en-US"/>
        </w:rPr>
      </w:pPr>
      <w:r w:rsidRPr="00EA6368">
        <w:rPr>
          <w:rFonts w:ascii="Arial" w:eastAsia="Times New Roman" w:hAnsi="Arial" w:cs="Arial"/>
          <w:lang w:val="en-US"/>
        </w:rPr>
        <w:t>Demographics: Sex, age, and educational level.</w:t>
      </w:r>
    </w:p>
    <w:p w14:paraId="036031C3" w14:textId="77777777" w:rsidR="00E4781F" w:rsidRPr="00EA6368" w:rsidRDefault="00E4781F" w:rsidP="00EA106B">
      <w:pPr>
        <w:pStyle w:val="PargrafodaLista"/>
        <w:numPr>
          <w:ilvl w:val="0"/>
          <w:numId w:val="3"/>
        </w:numPr>
        <w:spacing w:before="100" w:beforeAutospacing="1" w:after="100" w:afterAutospacing="1" w:line="360" w:lineRule="auto"/>
        <w:jc w:val="both"/>
        <w:rPr>
          <w:rFonts w:ascii="Arial" w:eastAsia="Times New Roman" w:hAnsi="Arial" w:cs="Arial"/>
          <w:lang w:val="en-US"/>
        </w:rPr>
      </w:pPr>
      <w:r w:rsidRPr="00EA6368">
        <w:rPr>
          <w:rFonts w:ascii="Arial" w:eastAsia="Times New Roman" w:hAnsi="Arial" w:cs="Arial"/>
          <w:lang w:val="en-US"/>
        </w:rPr>
        <w:t>Work and financial situation: Employment status, financial stability (whether the participant was the primary source of income), and whether the participant experienced financial cuts or job losses during the pandemic.</w:t>
      </w:r>
    </w:p>
    <w:p w14:paraId="24402F8C" w14:textId="77777777" w:rsidR="00E4781F" w:rsidRPr="00EA6368" w:rsidRDefault="00E4781F" w:rsidP="00EA106B">
      <w:pPr>
        <w:pStyle w:val="PargrafodaLista"/>
        <w:numPr>
          <w:ilvl w:val="0"/>
          <w:numId w:val="3"/>
        </w:numPr>
        <w:spacing w:before="100" w:beforeAutospacing="1" w:after="100" w:afterAutospacing="1" w:line="360" w:lineRule="auto"/>
        <w:jc w:val="both"/>
        <w:rPr>
          <w:rFonts w:ascii="Arial" w:eastAsia="Times New Roman" w:hAnsi="Arial" w:cs="Arial"/>
          <w:lang w:val="en-US"/>
        </w:rPr>
      </w:pPr>
      <w:r w:rsidRPr="00EA6368">
        <w:rPr>
          <w:rFonts w:ascii="Arial" w:eastAsia="Times New Roman" w:hAnsi="Arial" w:cs="Arial"/>
          <w:lang w:val="en-US"/>
        </w:rPr>
        <w:t>Household characteristics: Number of people living in the household and the number of household members considered at risk for COVID-19.</w:t>
      </w:r>
    </w:p>
    <w:p w14:paraId="69802C20" w14:textId="77777777" w:rsidR="00E4781F" w:rsidRPr="00EA6368" w:rsidRDefault="00E4781F" w:rsidP="00EA106B">
      <w:pPr>
        <w:pStyle w:val="PargrafodaLista"/>
        <w:numPr>
          <w:ilvl w:val="0"/>
          <w:numId w:val="3"/>
        </w:numPr>
        <w:spacing w:before="100" w:beforeAutospacing="1" w:after="100" w:afterAutospacing="1" w:line="360" w:lineRule="auto"/>
        <w:jc w:val="both"/>
        <w:rPr>
          <w:rFonts w:ascii="Arial" w:eastAsia="Times New Roman" w:hAnsi="Arial" w:cs="Arial"/>
          <w:lang w:val="en-US"/>
        </w:rPr>
      </w:pPr>
      <w:r w:rsidRPr="00EA6368">
        <w:rPr>
          <w:rFonts w:ascii="Arial" w:eastAsia="Times New Roman" w:hAnsi="Arial" w:cs="Arial"/>
          <w:lang w:val="en-US"/>
        </w:rPr>
        <w:t>Pandemic-related behaviors: Frequency of seeking information about COVID-19, perceived sufficiency of information about COVID-19 prevention, and whether the participant was working from home.</w:t>
      </w:r>
    </w:p>
    <w:p w14:paraId="6CCA0F55" w14:textId="77777777" w:rsidR="00E4781F" w:rsidRPr="00EA6368" w:rsidRDefault="00E4781F" w:rsidP="00EA106B">
      <w:pPr>
        <w:pStyle w:val="PargrafodaLista"/>
        <w:numPr>
          <w:ilvl w:val="0"/>
          <w:numId w:val="3"/>
        </w:numPr>
        <w:spacing w:before="100" w:beforeAutospacing="1" w:after="100" w:afterAutospacing="1" w:line="360" w:lineRule="auto"/>
        <w:jc w:val="both"/>
        <w:rPr>
          <w:rFonts w:ascii="Arial" w:eastAsia="Times New Roman" w:hAnsi="Arial" w:cs="Arial"/>
          <w:lang w:val="en-US"/>
        </w:rPr>
      </w:pPr>
      <w:r w:rsidRPr="00EA6368">
        <w:rPr>
          <w:rFonts w:ascii="Arial" w:eastAsia="Times New Roman" w:hAnsi="Arial" w:cs="Arial"/>
          <w:lang w:val="en-US"/>
        </w:rPr>
        <w:t>Health and risk perception: Self-perception of being in a risk group for COVID-19 and whether the participant was living with HIV.</w:t>
      </w:r>
    </w:p>
    <w:p w14:paraId="0DC583F1" w14:textId="7DD1983B" w:rsidR="00E4781F" w:rsidRPr="00EA6368" w:rsidRDefault="00E4781F" w:rsidP="00EA106B">
      <w:pPr>
        <w:pStyle w:val="PargrafodaLista"/>
        <w:numPr>
          <w:ilvl w:val="0"/>
          <w:numId w:val="3"/>
        </w:numPr>
        <w:spacing w:before="100" w:beforeAutospacing="1" w:after="100" w:afterAutospacing="1" w:line="360" w:lineRule="auto"/>
        <w:jc w:val="both"/>
        <w:rPr>
          <w:rFonts w:ascii="Arial" w:eastAsia="Times New Roman" w:hAnsi="Arial" w:cs="Arial"/>
          <w:lang w:val="en-US"/>
        </w:rPr>
      </w:pPr>
      <w:r w:rsidRPr="00EA6368">
        <w:rPr>
          <w:rFonts w:ascii="Arial" w:eastAsia="Times New Roman" w:hAnsi="Arial" w:cs="Arial"/>
          <w:lang w:val="en-US"/>
        </w:rPr>
        <w:t>Leisure activities: Number of leisure activities practiced per week.</w:t>
      </w:r>
    </w:p>
    <w:p w14:paraId="53201BF3" w14:textId="7456D897" w:rsidR="00655FBA" w:rsidRDefault="00D7172F" w:rsidP="004F0E5A">
      <w:pPr>
        <w:spacing w:line="360" w:lineRule="auto"/>
        <w:ind w:firstLine="708"/>
        <w:jc w:val="both"/>
        <w:rPr>
          <w:rFonts w:ascii="Arial" w:eastAsia="Arial" w:hAnsi="Arial" w:cs="Arial"/>
          <w:lang w:val="en-US"/>
        </w:rPr>
      </w:pPr>
      <w:r w:rsidRPr="00EA6368">
        <w:rPr>
          <w:rFonts w:ascii="Arial" w:eastAsia="Arial" w:hAnsi="Arial" w:cs="Arial"/>
          <w:lang w:val="en-US"/>
        </w:rPr>
        <w:t>To</w:t>
      </w:r>
      <w:r w:rsidR="00C234F1" w:rsidRPr="00EA6368">
        <w:rPr>
          <w:rFonts w:ascii="Arial" w:eastAsia="Arial" w:hAnsi="Arial" w:cs="Arial"/>
          <w:lang w:val="en-US"/>
        </w:rPr>
        <w:t xml:space="preserve"> analyze emotional aspects the reduced version of the Anxiety, Depression and Stress Scale [DASS-21] was used developed from the original scale and validated for the Portuguese language </w:t>
      </w:r>
      <w:r w:rsidR="0044337F" w:rsidRPr="00EA6368">
        <w:rPr>
          <w:rFonts w:ascii="Arial" w:eastAsia="Arial" w:hAnsi="Arial" w:cs="Arial"/>
          <w:lang w:val="en-US"/>
        </w:rPr>
        <w:t xml:space="preserve"> </w:t>
      </w:r>
      <w:r w:rsidR="0044337F" w:rsidRPr="00EA6368">
        <w:rPr>
          <w:rFonts w:ascii="Arial" w:eastAsia="Arial" w:hAnsi="Arial" w:cs="Arial"/>
          <w:lang w:val="en-US"/>
        </w:rPr>
        <w:fldChar w:fldCharType="begin"/>
      </w:r>
      <w:r w:rsidR="00F74DF6">
        <w:rPr>
          <w:rFonts w:ascii="Arial" w:eastAsia="Arial" w:hAnsi="Arial" w:cs="Arial"/>
          <w:lang w:val="en-US"/>
        </w:rPr>
        <w:instrText xml:space="preserve"> ADDIN ZOTERO_ITEM CSL_CITATION {"citationID":"zAXaqVRV","properties":{"formattedCitation":"(Lovibond &amp; Lovibond, 2011; Vignola &amp; Tucci, 2014)","plainCitation":"(Lovibond &amp; Lovibond, 2011; Vignola &amp; Tucci, 2014)","noteIndex":0},"citationItems":[{"id":"qMjpNfT5/4TQ2wx1X","uris":["http://zotero.org/groups/5613385/items/LS9DGPX2"],"itemData":{"id":24,"type":"dataset","DOI":"10.1037/t01004-000","language":"en","note":"Institution: American Psychological Association","source":"DOI.org (Crossref)","title":"Depression Anxiety Stress Scales","URL":"https://doi.apa.org/doi/10.1037/t01004-000","author":[{"family":"Lovibond","given":"S. H."},{"family":"Lovibond","given":"P. F."}],"accessed":{"date-parts":[["2024",7,29]]},"issued":{"date-parts":[["2011",9,12]]}}},{"id":"qMjpNfT5/IQ9OVIy1","uris":["http://zotero.org/groups/5613385/items/K9KDU8JU"],"itemData":{"id":10,"type":"article-journal","abstract":"BACKGROUND: Depression and anxiety have been associated with a range of symptoms that often overlap. Depression, Anxiety and Stress Scale-21 (DASS-21) is a single instrument to assess symptoms of depression, anxiety and stress. This study aimed to adapt and validate the DASS-21 for use in the Brazilian Portuguese language.\nMETHODS: The DASS-21 has been adapted following the translation-back translation methodology from English to Portuguese. 242 subjects completed the following assessments: the DASS-21, the Beck Depression Index (BDI), Beck Anxiety Index (BAI) and the Inventory of Stress Symptoms of Lipp (ISSL).\nRESULTS: The Kaiser-Meyer-Olkin (KMO) result was .949, indicating that the adequacy of the model was high. Cronbach's alpha was .92 for the depression, .90 for the stress, and .86 for the anxiety, indicating a good internal consistency for each subscale. The correlations between DASS scale and BDI scale, BAI scale and ISSL inventory were strong. The factorial analysis and distribution of factors among the subscales indicated that the structure of three distinct factors is adequate.\nLIMITATIONS: Older subjects over 65 years of age were not largely represented in this sample. A study specific to this elderly population should be conducted. Another limitation of the study was education level. The impact of low education in its applicability should be considered.\nCONCLUSIONS: The findings support the validity of the Brazilian Portuguese version of the DASS-21 and add to the evidence of the DASS-21 quality and ability to assess emotional states separately, eliminating the use of different instruments to assess these states.","container-title":"Journal of Affective Disorders","DOI":"10.1016/j.jad.2013.10.031","ISSN":"1573-2517","journalAbbreviation":"J Affect Disord","language":"eng","note":"PMID: 24238871","page":"104-109","source":"PubMed","title":"Adaptation and validation of the depression, anxiety and stress scale (DASS) to Brazilian Portuguese","volume":"155","author":[{"family":"Vignola","given":"Rose Claudia Batistelli"},{"family":"Tucci","given":"Adriana Marcassa"}],"issued":{"date-parts":[["2014",2]]}}}],"schema":"https://github.com/citation-style-language/schema/raw/master/csl-citation.json"} </w:instrText>
      </w:r>
      <w:r w:rsidR="0044337F" w:rsidRPr="00EA6368">
        <w:rPr>
          <w:rFonts w:ascii="Arial" w:eastAsia="Arial" w:hAnsi="Arial" w:cs="Arial"/>
          <w:lang w:val="en-US"/>
        </w:rPr>
        <w:fldChar w:fldCharType="separate"/>
      </w:r>
      <w:r w:rsidR="00F74DF6">
        <w:rPr>
          <w:rFonts w:ascii="Arial" w:eastAsia="Arial" w:hAnsi="Arial" w:cs="Arial"/>
          <w:noProof/>
          <w:lang w:val="en-US"/>
        </w:rPr>
        <w:t>(Lovibond &amp; Lovibond, 2011; Vignola &amp; Tucci, 2014)</w:t>
      </w:r>
      <w:r w:rsidR="0044337F" w:rsidRPr="00EA6368">
        <w:rPr>
          <w:rFonts w:ascii="Arial" w:eastAsia="Arial" w:hAnsi="Arial" w:cs="Arial"/>
          <w:lang w:val="en-US"/>
        </w:rPr>
        <w:fldChar w:fldCharType="end"/>
      </w:r>
      <w:r w:rsidR="00C234F1" w:rsidRPr="00EA6368">
        <w:rPr>
          <w:rFonts w:ascii="Arial" w:eastAsia="Arial" w:hAnsi="Arial" w:cs="Arial"/>
          <w:lang w:val="en-US"/>
        </w:rPr>
        <w:t xml:space="preserve">. The scale consists of 21 four-point Likert questions, ranging from 0 (not at all applicable) to 3 (very applicable or most of the time). The anxiety, depression and stress dimensions are measured through seven questions for each of them. The scale is freely accessible and used for </w:t>
      </w:r>
      <w:r w:rsidR="00B65629" w:rsidRPr="00EA6368">
        <w:rPr>
          <w:rFonts w:ascii="Arial" w:eastAsia="Arial" w:hAnsi="Arial" w:cs="Arial"/>
          <w:lang w:val="en-US"/>
        </w:rPr>
        <w:t>research and</w:t>
      </w:r>
      <w:r w:rsidR="00C234F1" w:rsidRPr="00EA6368">
        <w:rPr>
          <w:rFonts w:ascii="Arial" w:eastAsia="Arial" w:hAnsi="Arial" w:cs="Arial"/>
          <w:lang w:val="en-US"/>
        </w:rPr>
        <w:t xml:space="preserve"> is not an instrument restricted to psychologists.</w:t>
      </w:r>
    </w:p>
    <w:p w14:paraId="224B769E" w14:textId="77777777" w:rsidR="00655FBA" w:rsidRPr="004F0E5A" w:rsidRDefault="00655FBA" w:rsidP="004F0E5A">
      <w:pPr>
        <w:pStyle w:val="Ttulo1"/>
      </w:pPr>
      <w:r w:rsidRPr="004F0E5A">
        <w:lastRenderedPageBreak/>
        <w:t>Statistical Analysis</w:t>
      </w:r>
    </w:p>
    <w:p w14:paraId="441CBE13" w14:textId="77777777" w:rsidR="00655FBA" w:rsidRPr="00655FBA" w:rsidRDefault="00655FBA" w:rsidP="00655FBA">
      <w:pPr>
        <w:pStyle w:val="Ttulo2"/>
        <w:spacing w:line="360" w:lineRule="auto"/>
        <w:ind w:firstLine="708"/>
        <w:jc w:val="both"/>
        <w:rPr>
          <w:rFonts w:cs="Arial"/>
          <w:b w:val="0"/>
          <w:bCs w:val="0"/>
          <w:i w:val="0"/>
          <w:iCs/>
          <w:lang w:val="pt-BR"/>
        </w:rPr>
      </w:pPr>
      <w:proofErr w:type="spellStart"/>
      <w:r w:rsidRPr="00655FBA">
        <w:rPr>
          <w:rFonts w:cs="Arial"/>
          <w:b w:val="0"/>
          <w:bCs w:val="0"/>
          <w:i w:val="0"/>
          <w:iCs/>
          <w:lang w:val="pt-BR"/>
        </w:rPr>
        <w:t>Descriptive</w:t>
      </w:r>
      <w:proofErr w:type="spellEnd"/>
      <w:r w:rsidRPr="00655FBA">
        <w:rPr>
          <w:rFonts w:cs="Arial"/>
          <w:b w:val="0"/>
          <w:bCs w:val="0"/>
          <w:i w:val="0"/>
          <w:iCs/>
          <w:lang w:val="pt-BR"/>
        </w:rPr>
        <w:t xml:space="preserve"> </w:t>
      </w:r>
      <w:proofErr w:type="spellStart"/>
      <w:r w:rsidRPr="00655FBA">
        <w:rPr>
          <w:rFonts w:cs="Arial"/>
          <w:b w:val="0"/>
          <w:bCs w:val="0"/>
          <w:i w:val="0"/>
          <w:iCs/>
          <w:lang w:val="pt-BR"/>
        </w:rPr>
        <w:t>analysis</w:t>
      </w:r>
      <w:proofErr w:type="spellEnd"/>
      <w:r w:rsidRPr="00655FBA">
        <w:rPr>
          <w:rFonts w:cs="Arial"/>
          <w:b w:val="0"/>
          <w:bCs w:val="0"/>
          <w:i w:val="0"/>
          <w:iCs/>
          <w:lang w:val="pt-BR"/>
        </w:rPr>
        <w:t xml:space="preserve"> </w:t>
      </w:r>
      <w:proofErr w:type="spellStart"/>
      <w:r w:rsidRPr="00655FBA">
        <w:rPr>
          <w:rFonts w:cs="Arial"/>
          <w:b w:val="0"/>
          <w:bCs w:val="0"/>
          <w:i w:val="0"/>
          <w:iCs/>
          <w:lang w:val="pt-BR"/>
        </w:rPr>
        <w:t>was</w:t>
      </w:r>
      <w:proofErr w:type="spellEnd"/>
      <w:r w:rsidRPr="00655FBA">
        <w:rPr>
          <w:rFonts w:cs="Arial"/>
          <w:b w:val="0"/>
          <w:bCs w:val="0"/>
          <w:i w:val="0"/>
          <w:iCs/>
          <w:lang w:val="pt-BR"/>
        </w:rPr>
        <w:t xml:space="preserve"> </w:t>
      </w:r>
      <w:proofErr w:type="spellStart"/>
      <w:r w:rsidRPr="00655FBA">
        <w:rPr>
          <w:rFonts w:cs="Arial"/>
          <w:b w:val="0"/>
          <w:bCs w:val="0"/>
          <w:i w:val="0"/>
          <w:iCs/>
          <w:lang w:val="pt-BR"/>
        </w:rPr>
        <w:t>conducted</w:t>
      </w:r>
      <w:proofErr w:type="spellEnd"/>
      <w:r w:rsidRPr="00655FBA">
        <w:rPr>
          <w:rFonts w:cs="Arial"/>
          <w:b w:val="0"/>
          <w:bCs w:val="0"/>
          <w:i w:val="0"/>
          <w:iCs/>
          <w:lang w:val="pt-BR"/>
        </w:rPr>
        <w:t xml:space="preserve"> </w:t>
      </w:r>
      <w:proofErr w:type="spellStart"/>
      <w:r w:rsidRPr="00655FBA">
        <w:rPr>
          <w:rFonts w:cs="Arial"/>
          <w:b w:val="0"/>
          <w:bCs w:val="0"/>
          <w:i w:val="0"/>
          <w:iCs/>
          <w:lang w:val="pt-BR"/>
        </w:rPr>
        <w:t>using</w:t>
      </w:r>
      <w:proofErr w:type="spellEnd"/>
      <w:r w:rsidRPr="00655FBA">
        <w:rPr>
          <w:rFonts w:cs="Arial"/>
          <w:b w:val="0"/>
          <w:bCs w:val="0"/>
          <w:i w:val="0"/>
          <w:iCs/>
          <w:lang w:val="pt-BR"/>
        </w:rPr>
        <w:t xml:space="preserve"> </w:t>
      </w:r>
      <w:proofErr w:type="spellStart"/>
      <w:r w:rsidRPr="00655FBA">
        <w:rPr>
          <w:rFonts w:cs="Arial"/>
          <w:b w:val="0"/>
          <w:bCs w:val="0"/>
          <w:i w:val="0"/>
          <w:iCs/>
          <w:lang w:val="pt-BR"/>
        </w:rPr>
        <w:t>means</w:t>
      </w:r>
      <w:proofErr w:type="spellEnd"/>
      <w:r w:rsidRPr="00655FBA">
        <w:rPr>
          <w:rFonts w:cs="Arial"/>
          <w:b w:val="0"/>
          <w:bCs w:val="0"/>
          <w:i w:val="0"/>
          <w:iCs/>
          <w:lang w:val="pt-BR"/>
        </w:rPr>
        <w:t xml:space="preserve"> </w:t>
      </w:r>
      <w:proofErr w:type="spellStart"/>
      <w:r w:rsidRPr="00655FBA">
        <w:rPr>
          <w:rFonts w:cs="Arial"/>
          <w:b w:val="0"/>
          <w:bCs w:val="0"/>
          <w:i w:val="0"/>
          <w:iCs/>
          <w:lang w:val="pt-BR"/>
        </w:rPr>
        <w:t>and</w:t>
      </w:r>
      <w:proofErr w:type="spellEnd"/>
      <w:r w:rsidRPr="00655FBA">
        <w:rPr>
          <w:rFonts w:cs="Arial"/>
          <w:b w:val="0"/>
          <w:bCs w:val="0"/>
          <w:i w:val="0"/>
          <w:iCs/>
          <w:lang w:val="pt-BR"/>
        </w:rPr>
        <w:t xml:space="preserve"> standard </w:t>
      </w:r>
      <w:proofErr w:type="spellStart"/>
      <w:r w:rsidRPr="00655FBA">
        <w:rPr>
          <w:rFonts w:cs="Arial"/>
          <w:b w:val="0"/>
          <w:bCs w:val="0"/>
          <w:i w:val="0"/>
          <w:iCs/>
          <w:lang w:val="pt-BR"/>
        </w:rPr>
        <w:t>deviations</w:t>
      </w:r>
      <w:proofErr w:type="spellEnd"/>
      <w:r w:rsidRPr="00655FBA">
        <w:rPr>
          <w:rFonts w:cs="Arial"/>
          <w:b w:val="0"/>
          <w:bCs w:val="0"/>
          <w:i w:val="0"/>
          <w:iCs/>
          <w:lang w:val="pt-BR"/>
        </w:rPr>
        <w:t xml:space="preserve"> for </w:t>
      </w:r>
      <w:proofErr w:type="spellStart"/>
      <w:r w:rsidRPr="00655FBA">
        <w:rPr>
          <w:rFonts w:cs="Arial"/>
          <w:b w:val="0"/>
          <w:bCs w:val="0"/>
          <w:i w:val="0"/>
          <w:iCs/>
          <w:lang w:val="pt-BR"/>
        </w:rPr>
        <w:t>continuous</w:t>
      </w:r>
      <w:proofErr w:type="spellEnd"/>
      <w:r w:rsidRPr="00655FBA">
        <w:rPr>
          <w:rFonts w:cs="Arial"/>
          <w:b w:val="0"/>
          <w:bCs w:val="0"/>
          <w:i w:val="0"/>
          <w:iCs/>
          <w:lang w:val="pt-BR"/>
        </w:rPr>
        <w:t xml:space="preserve"> </w:t>
      </w:r>
      <w:proofErr w:type="spellStart"/>
      <w:r w:rsidRPr="00655FBA">
        <w:rPr>
          <w:rFonts w:cs="Arial"/>
          <w:b w:val="0"/>
          <w:bCs w:val="0"/>
          <w:i w:val="0"/>
          <w:iCs/>
          <w:lang w:val="pt-BR"/>
        </w:rPr>
        <w:t>variables</w:t>
      </w:r>
      <w:proofErr w:type="spellEnd"/>
      <w:r w:rsidRPr="00655FBA">
        <w:rPr>
          <w:rFonts w:cs="Arial"/>
          <w:b w:val="0"/>
          <w:bCs w:val="0"/>
          <w:i w:val="0"/>
          <w:iCs/>
          <w:lang w:val="pt-BR"/>
        </w:rPr>
        <w:t xml:space="preserve"> </w:t>
      </w:r>
      <w:proofErr w:type="spellStart"/>
      <w:r w:rsidRPr="00655FBA">
        <w:rPr>
          <w:rFonts w:cs="Arial"/>
          <w:b w:val="0"/>
          <w:bCs w:val="0"/>
          <w:i w:val="0"/>
          <w:iCs/>
          <w:lang w:val="pt-BR"/>
        </w:rPr>
        <w:t>and</w:t>
      </w:r>
      <w:proofErr w:type="spellEnd"/>
      <w:r w:rsidRPr="00655FBA">
        <w:rPr>
          <w:rFonts w:cs="Arial"/>
          <w:b w:val="0"/>
          <w:bCs w:val="0"/>
          <w:i w:val="0"/>
          <w:iCs/>
          <w:lang w:val="pt-BR"/>
        </w:rPr>
        <w:t xml:space="preserve"> </w:t>
      </w:r>
      <w:proofErr w:type="spellStart"/>
      <w:r w:rsidRPr="00655FBA">
        <w:rPr>
          <w:rFonts w:cs="Arial"/>
          <w:b w:val="0"/>
          <w:bCs w:val="0"/>
          <w:i w:val="0"/>
          <w:iCs/>
          <w:lang w:val="pt-BR"/>
        </w:rPr>
        <w:t>counts</w:t>
      </w:r>
      <w:proofErr w:type="spellEnd"/>
      <w:r w:rsidRPr="00655FBA">
        <w:rPr>
          <w:rFonts w:cs="Arial"/>
          <w:b w:val="0"/>
          <w:bCs w:val="0"/>
          <w:i w:val="0"/>
          <w:iCs/>
          <w:lang w:val="pt-BR"/>
        </w:rPr>
        <w:t xml:space="preserve"> </w:t>
      </w:r>
      <w:proofErr w:type="spellStart"/>
      <w:r w:rsidRPr="00655FBA">
        <w:rPr>
          <w:rFonts w:cs="Arial"/>
          <w:b w:val="0"/>
          <w:bCs w:val="0"/>
          <w:i w:val="0"/>
          <w:iCs/>
          <w:lang w:val="pt-BR"/>
        </w:rPr>
        <w:t>and</w:t>
      </w:r>
      <w:proofErr w:type="spellEnd"/>
      <w:r w:rsidRPr="00655FBA">
        <w:rPr>
          <w:rFonts w:cs="Arial"/>
          <w:b w:val="0"/>
          <w:bCs w:val="0"/>
          <w:i w:val="0"/>
          <w:iCs/>
          <w:lang w:val="pt-BR"/>
        </w:rPr>
        <w:t xml:space="preserve"> </w:t>
      </w:r>
      <w:proofErr w:type="spellStart"/>
      <w:r w:rsidRPr="00655FBA">
        <w:rPr>
          <w:rFonts w:cs="Arial"/>
          <w:b w:val="0"/>
          <w:bCs w:val="0"/>
          <w:i w:val="0"/>
          <w:iCs/>
          <w:lang w:val="pt-BR"/>
        </w:rPr>
        <w:t>percentages</w:t>
      </w:r>
      <w:proofErr w:type="spellEnd"/>
      <w:r w:rsidRPr="00655FBA">
        <w:rPr>
          <w:rFonts w:cs="Arial"/>
          <w:b w:val="0"/>
          <w:bCs w:val="0"/>
          <w:i w:val="0"/>
          <w:iCs/>
          <w:lang w:val="pt-BR"/>
        </w:rPr>
        <w:t xml:space="preserve"> for </w:t>
      </w:r>
      <w:proofErr w:type="spellStart"/>
      <w:r w:rsidRPr="00655FBA">
        <w:rPr>
          <w:rFonts w:cs="Arial"/>
          <w:b w:val="0"/>
          <w:bCs w:val="0"/>
          <w:i w:val="0"/>
          <w:iCs/>
          <w:lang w:val="pt-BR"/>
        </w:rPr>
        <w:t>categorical</w:t>
      </w:r>
      <w:proofErr w:type="spellEnd"/>
      <w:r w:rsidRPr="00655FBA">
        <w:rPr>
          <w:rFonts w:cs="Arial"/>
          <w:b w:val="0"/>
          <w:bCs w:val="0"/>
          <w:i w:val="0"/>
          <w:iCs/>
          <w:lang w:val="pt-BR"/>
        </w:rPr>
        <w:t xml:space="preserve"> </w:t>
      </w:r>
      <w:proofErr w:type="spellStart"/>
      <w:r w:rsidRPr="00655FBA">
        <w:rPr>
          <w:rFonts w:cs="Arial"/>
          <w:b w:val="0"/>
          <w:bCs w:val="0"/>
          <w:i w:val="0"/>
          <w:iCs/>
          <w:lang w:val="pt-BR"/>
        </w:rPr>
        <w:t>variables</w:t>
      </w:r>
      <w:proofErr w:type="spellEnd"/>
      <w:r w:rsidRPr="00655FBA">
        <w:rPr>
          <w:rFonts w:cs="Arial"/>
          <w:b w:val="0"/>
          <w:bCs w:val="0"/>
          <w:i w:val="0"/>
          <w:iCs/>
          <w:lang w:val="pt-BR"/>
        </w:rPr>
        <w:t xml:space="preserve">. </w:t>
      </w:r>
      <w:proofErr w:type="spellStart"/>
      <w:r w:rsidRPr="00655FBA">
        <w:rPr>
          <w:rFonts w:cs="Arial"/>
          <w:b w:val="0"/>
          <w:bCs w:val="0"/>
          <w:i w:val="0"/>
          <w:iCs/>
          <w:lang w:val="pt-BR"/>
        </w:rPr>
        <w:t>Comparisons</w:t>
      </w:r>
      <w:proofErr w:type="spellEnd"/>
      <w:r w:rsidRPr="00655FBA">
        <w:rPr>
          <w:rFonts w:cs="Arial"/>
          <w:b w:val="0"/>
          <w:bCs w:val="0"/>
          <w:i w:val="0"/>
          <w:iCs/>
          <w:lang w:val="pt-BR"/>
        </w:rPr>
        <w:t xml:space="preserve"> </w:t>
      </w:r>
      <w:proofErr w:type="spellStart"/>
      <w:r w:rsidRPr="00655FBA">
        <w:rPr>
          <w:rFonts w:cs="Arial"/>
          <w:b w:val="0"/>
          <w:bCs w:val="0"/>
          <w:i w:val="0"/>
          <w:iCs/>
          <w:lang w:val="pt-BR"/>
        </w:rPr>
        <w:t>between</w:t>
      </w:r>
      <w:proofErr w:type="spellEnd"/>
      <w:r w:rsidRPr="00655FBA">
        <w:rPr>
          <w:rFonts w:cs="Arial"/>
          <w:b w:val="0"/>
          <w:bCs w:val="0"/>
          <w:i w:val="0"/>
          <w:iCs/>
          <w:lang w:val="pt-BR"/>
        </w:rPr>
        <w:t xml:space="preserve"> </w:t>
      </w:r>
      <w:proofErr w:type="spellStart"/>
      <w:r w:rsidRPr="00655FBA">
        <w:rPr>
          <w:rFonts w:cs="Arial"/>
          <w:b w:val="0"/>
          <w:bCs w:val="0"/>
          <w:i w:val="0"/>
          <w:iCs/>
          <w:lang w:val="pt-BR"/>
        </w:rPr>
        <w:t>groups</w:t>
      </w:r>
      <w:proofErr w:type="spellEnd"/>
      <w:r w:rsidRPr="00655FBA">
        <w:rPr>
          <w:rFonts w:cs="Arial"/>
          <w:b w:val="0"/>
          <w:bCs w:val="0"/>
          <w:i w:val="0"/>
          <w:iCs/>
          <w:lang w:val="pt-BR"/>
        </w:rPr>
        <w:t xml:space="preserve"> </w:t>
      </w:r>
      <w:proofErr w:type="spellStart"/>
      <w:r w:rsidRPr="00655FBA">
        <w:rPr>
          <w:rFonts w:cs="Arial"/>
          <w:b w:val="0"/>
          <w:bCs w:val="0"/>
          <w:i w:val="0"/>
          <w:iCs/>
          <w:lang w:val="pt-BR"/>
        </w:rPr>
        <w:t>were</w:t>
      </w:r>
      <w:proofErr w:type="spellEnd"/>
      <w:r w:rsidRPr="00655FBA">
        <w:rPr>
          <w:rFonts w:cs="Arial"/>
          <w:b w:val="0"/>
          <w:bCs w:val="0"/>
          <w:i w:val="0"/>
          <w:iCs/>
          <w:lang w:val="pt-BR"/>
        </w:rPr>
        <w:t xml:space="preserve"> </w:t>
      </w:r>
      <w:proofErr w:type="spellStart"/>
      <w:r w:rsidRPr="00655FBA">
        <w:rPr>
          <w:rFonts w:cs="Arial"/>
          <w:b w:val="0"/>
          <w:bCs w:val="0"/>
          <w:i w:val="0"/>
          <w:iCs/>
          <w:lang w:val="pt-BR"/>
        </w:rPr>
        <w:t>performed</w:t>
      </w:r>
      <w:proofErr w:type="spellEnd"/>
      <w:r w:rsidRPr="00655FBA">
        <w:rPr>
          <w:rFonts w:cs="Arial"/>
          <w:b w:val="0"/>
          <w:bCs w:val="0"/>
          <w:i w:val="0"/>
          <w:iCs/>
          <w:lang w:val="pt-BR"/>
        </w:rPr>
        <w:t xml:space="preserve"> </w:t>
      </w:r>
      <w:proofErr w:type="spellStart"/>
      <w:r w:rsidRPr="00655FBA">
        <w:rPr>
          <w:rFonts w:cs="Arial"/>
          <w:b w:val="0"/>
          <w:bCs w:val="0"/>
          <w:i w:val="0"/>
          <w:iCs/>
          <w:lang w:val="pt-BR"/>
        </w:rPr>
        <w:t>using</w:t>
      </w:r>
      <w:proofErr w:type="spellEnd"/>
      <w:r w:rsidRPr="00655FBA">
        <w:rPr>
          <w:rFonts w:cs="Arial"/>
          <w:b w:val="0"/>
          <w:bCs w:val="0"/>
          <w:i w:val="0"/>
          <w:iCs/>
          <w:lang w:val="pt-BR"/>
        </w:rPr>
        <w:t xml:space="preserve"> </w:t>
      </w:r>
      <w:proofErr w:type="spellStart"/>
      <w:r w:rsidRPr="00655FBA">
        <w:rPr>
          <w:rFonts w:cs="Arial"/>
          <w:b w:val="0"/>
          <w:bCs w:val="0"/>
          <w:i w:val="0"/>
          <w:iCs/>
          <w:lang w:val="pt-BR"/>
        </w:rPr>
        <w:t>the</w:t>
      </w:r>
      <w:proofErr w:type="spellEnd"/>
      <w:r w:rsidRPr="00655FBA">
        <w:rPr>
          <w:rFonts w:cs="Arial"/>
          <w:b w:val="0"/>
          <w:bCs w:val="0"/>
          <w:i w:val="0"/>
          <w:iCs/>
          <w:lang w:val="pt-BR"/>
        </w:rPr>
        <w:t xml:space="preserve"> </w:t>
      </w:r>
      <w:proofErr w:type="spellStart"/>
      <w:r w:rsidRPr="00655FBA">
        <w:rPr>
          <w:rFonts w:cs="Arial"/>
          <w:b w:val="0"/>
          <w:bCs w:val="0"/>
          <w:i w:val="0"/>
          <w:iCs/>
          <w:lang w:val="pt-BR"/>
        </w:rPr>
        <w:t>Student's</w:t>
      </w:r>
      <w:proofErr w:type="spellEnd"/>
      <w:r w:rsidRPr="00655FBA">
        <w:rPr>
          <w:rFonts w:cs="Arial"/>
          <w:b w:val="0"/>
          <w:bCs w:val="0"/>
          <w:i w:val="0"/>
          <w:iCs/>
          <w:lang w:val="pt-BR"/>
        </w:rPr>
        <w:t xml:space="preserve"> t-</w:t>
      </w:r>
      <w:proofErr w:type="spellStart"/>
      <w:r w:rsidRPr="00655FBA">
        <w:rPr>
          <w:rFonts w:cs="Arial"/>
          <w:b w:val="0"/>
          <w:bCs w:val="0"/>
          <w:i w:val="0"/>
          <w:iCs/>
          <w:lang w:val="pt-BR"/>
        </w:rPr>
        <w:t>test</w:t>
      </w:r>
      <w:proofErr w:type="spellEnd"/>
      <w:r w:rsidRPr="00655FBA">
        <w:rPr>
          <w:rFonts w:cs="Arial"/>
          <w:b w:val="0"/>
          <w:bCs w:val="0"/>
          <w:i w:val="0"/>
          <w:iCs/>
          <w:lang w:val="pt-BR"/>
        </w:rPr>
        <w:t xml:space="preserve"> </w:t>
      </w:r>
      <w:proofErr w:type="spellStart"/>
      <w:r w:rsidRPr="00655FBA">
        <w:rPr>
          <w:rFonts w:cs="Arial"/>
          <w:b w:val="0"/>
          <w:bCs w:val="0"/>
          <w:i w:val="0"/>
          <w:iCs/>
          <w:lang w:val="pt-BR"/>
        </w:rPr>
        <w:t>with</w:t>
      </w:r>
      <w:proofErr w:type="spellEnd"/>
      <w:r w:rsidRPr="00655FBA">
        <w:rPr>
          <w:rFonts w:cs="Arial"/>
          <w:b w:val="0"/>
          <w:bCs w:val="0"/>
          <w:i w:val="0"/>
          <w:iCs/>
          <w:lang w:val="pt-BR"/>
        </w:rPr>
        <w:t xml:space="preserve"> </w:t>
      </w:r>
      <w:proofErr w:type="spellStart"/>
      <w:r w:rsidRPr="00655FBA">
        <w:rPr>
          <w:rFonts w:cs="Arial"/>
          <w:b w:val="0"/>
          <w:bCs w:val="0"/>
          <w:i w:val="0"/>
          <w:iCs/>
          <w:lang w:val="pt-BR"/>
        </w:rPr>
        <w:t>bootstrap</w:t>
      </w:r>
      <w:proofErr w:type="spellEnd"/>
      <w:r w:rsidRPr="00655FBA">
        <w:rPr>
          <w:rFonts w:cs="Arial"/>
          <w:b w:val="0"/>
          <w:bCs w:val="0"/>
          <w:i w:val="0"/>
          <w:iCs/>
          <w:lang w:val="pt-BR"/>
        </w:rPr>
        <w:t xml:space="preserve"> </w:t>
      </w:r>
      <w:proofErr w:type="spellStart"/>
      <w:r w:rsidRPr="00655FBA">
        <w:rPr>
          <w:rFonts w:cs="Arial"/>
          <w:b w:val="0"/>
          <w:bCs w:val="0"/>
          <w:i w:val="0"/>
          <w:iCs/>
          <w:lang w:val="pt-BR"/>
        </w:rPr>
        <w:t>resampling</w:t>
      </w:r>
      <w:proofErr w:type="spellEnd"/>
      <w:r w:rsidRPr="00655FBA">
        <w:rPr>
          <w:rFonts w:cs="Arial"/>
          <w:b w:val="0"/>
          <w:bCs w:val="0"/>
          <w:i w:val="0"/>
          <w:iCs/>
          <w:lang w:val="pt-BR"/>
        </w:rPr>
        <w:t xml:space="preserve"> for </w:t>
      </w:r>
      <w:proofErr w:type="spellStart"/>
      <w:r w:rsidRPr="00655FBA">
        <w:rPr>
          <w:rFonts w:cs="Arial"/>
          <w:b w:val="0"/>
          <w:bCs w:val="0"/>
          <w:i w:val="0"/>
          <w:iCs/>
          <w:lang w:val="pt-BR"/>
        </w:rPr>
        <w:t>continuous</w:t>
      </w:r>
      <w:proofErr w:type="spellEnd"/>
      <w:r w:rsidRPr="00655FBA">
        <w:rPr>
          <w:rFonts w:cs="Arial"/>
          <w:b w:val="0"/>
          <w:bCs w:val="0"/>
          <w:i w:val="0"/>
          <w:iCs/>
          <w:lang w:val="pt-BR"/>
        </w:rPr>
        <w:t xml:space="preserve"> </w:t>
      </w:r>
      <w:proofErr w:type="spellStart"/>
      <w:r w:rsidRPr="00655FBA">
        <w:rPr>
          <w:rFonts w:cs="Arial"/>
          <w:b w:val="0"/>
          <w:bCs w:val="0"/>
          <w:i w:val="0"/>
          <w:iCs/>
          <w:lang w:val="pt-BR"/>
        </w:rPr>
        <w:t>variables</w:t>
      </w:r>
      <w:proofErr w:type="spellEnd"/>
      <w:r w:rsidRPr="00655FBA">
        <w:rPr>
          <w:rFonts w:cs="Arial"/>
          <w:b w:val="0"/>
          <w:bCs w:val="0"/>
          <w:i w:val="0"/>
          <w:iCs/>
          <w:lang w:val="pt-BR"/>
        </w:rPr>
        <w:t xml:space="preserve"> </w:t>
      </w:r>
      <w:proofErr w:type="spellStart"/>
      <w:r w:rsidRPr="00655FBA">
        <w:rPr>
          <w:rFonts w:cs="Arial"/>
          <w:b w:val="0"/>
          <w:bCs w:val="0"/>
          <w:i w:val="0"/>
          <w:iCs/>
          <w:lang w:val="pt-BR"/>
        </w:rPr>
        <w:t>and</w:t>
      </w:r>
      <w:proofErr w:type="spellEnd"/>
      <w:r w:rsidRPr="00655FBA">
        <w:rPr>
          <w:rFonts w:cs="Arial"/>
          <w:b w:val="0"/>
          <w:bCs w:val="0"/>
          <w:i w:val="0"/>
          <w:iCs/>
          <w:lang w:val="pt-BR"/>
        </w:rPr>
        <w:t xml:space="preserve"> </w:t>
      </w:r>
      <w:proofErr w:type="spellStart"/>
      <w:r w:rsidRPr="00655FBA">
        <w:rPr>
          <w:rFonts w:cs="Arial"/>
          <w:b w:val="0"/>
          <w:bCs w:val="0"/>
          <w:i w:val="0"/>
          <w:iCs/>
          <w:lang w:val="pt-BR"/>
        </w:rPr>
        <w:t>Fisher's</w:t>
      </w:r>
      <w:proofErr w:type="spellEnd"/>
      <w:r w:rsidRPr="00655FBA">
        <w:rPr>
          <w:rFonts w:cs="Arial"/>
          <w:b w:val="0"/>
          <w:bCs w:val="0"/>
          <w:i w:val="0"/>
          <w:iCs/>
          <w:lang w:val="pt-BR"/>
        </w:rPr>
        <w:t xml:space="preserve"> </w:t>
      </w:r>
      <w:proofErr w:type="spellStart"/>
      <w:r w:rsidRPr="00655FBA">
        <w:rPr>
          <w:rFonts w:cs="Arial"/>
          <w:b w:val="0"/>
          <w:bCs w:val="0"/>
          <w:i w:val="0"/>
          <w:iCs/>
          <w:lang w:val="pt-BR"/>
        </w:rPr>
        <w:t>exact</w:t>
      </w:r>
      <w:proofErr w:type="spellEnd"/>
      <w:r w:rsidRPr="00655FBA">
        <w:rPr>
          <w:rFonts w:cs="Arial"/>
          <w:b w:val="0"/>
          <w:bCs w:val="0"/>
          <w:i w:val="0"/>
          <w:iCs/>
          <w:lang w:val="pt-BR"/>
        </w:rPr>
        <w:t xml:space="preserve"> </w:t>
      </w:r>
      <w:proofErr w:type="spellStart"/>
      <w:r w:rsidRPr="00655FBA">
        <w:rPr>
          <w:rFonts w:cs="Arial"/>
          <w:b w:val="0"/>
          <w:bCs w:val="0"/>
          <w:i w:val="0"/>
          <w:iCs/>
          <w:lang w:val="pt-BR"/>
        </w:rPr>
        <w:t>test</w:t>
      </w:r>
      <w:proofErr w:type="spellEnd"/>
      <w:r w:rsidRPr="00655FBA">
        <w:rPr>
          <w:rFonts w:cs="Arial"/>
          <w:b w:val="0"/>
          <w:bCs w:val="0"/>
          <w:i w:val="0"/>
          <w:iCs/>
          <w:lang w:val="pt-BR"/>
        </w:rPr>
        <w:t xml:space="preserve"> </w:t>
      </w:r>
      <w:proofErr w:type="spellStart"/>
      <w:r w:rsidRPr="00655FBA">
        <w:rPr>
          <w:rFonts w:cs="Arial"/>
          <w:b w:val="0"/>
          <w:bCs w:val="0"/>
          <w:i w:val="0"/>
          <w:iCs/>
          <w:lang w:val="pt-BR"/>
        </w:rPr>
        <w:t>or</w:t>
      </w:r>
      <w:proofErr w:type="spellEnd"/>
      <w:r w:rsidRPr="00655FBA">
        <w:rPr>
          <w:rFonts w:cs="Arial"/>
          <w:b w:val="0"/>
          <w:bCs w:val="0"/>
          <w:i w:val="0"/>
          <w:iCs/>
          <w:lang w:val="pt-BR"/>
        </w:rPr>
        <w:t xml:space="preserve"> </w:t>
      </w:r>
      <w:proofErr w:type="spellStart"/>
      <w:r w:rsidRPr="00655FBA">
        <w:rPr>
          <w:rFonts w:cs="Arial"/>
          <w:b w:val="0"/>
          <w:bCs w:val="0"/>
          <w:i w:val="0"/>
          <w:iCs/>
          <w:lang w:val="pt-BR"/>
        </w:rPr>
        <w:t>Pearson's</w:t>
      </w:r>
      <w:proofErr w:type="spellEnd"/>
      <w:r w:rsidRPr="00655FBA">
        <w:rPr>
          <w:rFonts w:cs="Arial"/>
          <w:b w:val="0"/>
          <w:bCs w:val="0"/>
          <w:i w:val="0"/>
          <w:iCs/>
          <w:lang w:val="pt-BR"/>
        </w:rPr>
        <w:t xml:space="preserve"> chi-</w:t>
      </w:r>
      <w:proofErr w:type="spellStart"/>
      <w:r w:rsidRPr="00655FBA">
        <w:rPr>
          <w:rFonts w:cs="Arial"/>
          <w:b w:val="0"/>
          <w:bCs w:val="0"/>
          <w:i w:val="0"/>
          <w:iCs/>
          <w:lang w:val="pt-BR"/>
        </w:rPr>
        <w:t>square</w:t>
      </w:r>
      <w:proofErr w:type="spellEnd"/>
      <w:r w:rsidRPr="00655FBA">
        <w:rPr>
          <w:rFonts w:cs="Arial"/>
          <w:b w:val="0"/>
          <w:bCs w:val="0"/>
          <w:i w:val="0"/>
          <w:iCs/>
          <w:lang w:val="pt-BR"/>
        </w:rPr>
        <w:t xml:space="preserve"> </w:t>
      </w:r>
      <w:proofErr w:type="spellStart"/>
      <w:r w:rsidRPr="00655FBA">
        <w:rPr>
          <w:rFonts w:cs="Arial"/>
          <w:b w:val="0"/>
          <w:bCs w:val="0"/>
          <w:i w:val="0"/>
          <w:iCs/>
          <w:lang w:val="pt-BR"/>
        </w:rPr>
        <w:t>test</w:t>
      </w:r>
      <w:proofErr w:type="spellEnd"/>
      <w:r w:rsidRPr="00655FBA">
        <w:rPr>
          <w:rFonts w:cs="Arial"/>
          <w:b w:val="0"/>
          <w:bCs w:val="0"/>
          <w:i w:val="0"/>
          <w:iCs/>
          <w:lang w:val="pt-BR"/>
        </w:rPr>
        <w:t xml:space="preserve"> for </w:t>
      </w:r>
      <w:proofErr w:type="spellStart"/>
      <w:r w:rsidRPr="00655FBA">
        <w:rPr>
          <w:rFonts w:cs="Arial"/>
          <w:b w:val="0"/>
          <w:bCs w:val="0"/>
          <w:i w:val="0"/>
          <w:iCs/>
          <w:lang w:val="pt-BR"/>
        </w:rPr>
        <w:t>categorical</w:t>
      </w:r>
      <w:proofErr w:type="spellEnd"/>
      <w:r w:rsidRPr="00655FBA">
        <w:rPr>
          <w:rFonts w:cs="Arial"/>
          <w:b w:val="0"/>
          <w:bCs w:val="0"/>
          <w:i w:val="0"/>
          <w:iCs/>
          <w:lang w:val="pt-BR"/>
        </w:rPr>
        <w:t xml:space="preserve"> </w:t>
      </w:r>
      <w:proofErr w:type="spellStart"/>
      <w:r w:rsidRPr="00655FBA">
        <w:rPr>
          <w:rFonts w:cs="Arial"/>
          <w:b w:val="0"/>
          <w:bCs w:val="0"/>
          <w:i w:val="0"/>
          <w:iCs/>
          <w:lang w:val="pt-BR"/>
        </w:rPr>
        <w:t>variables</w:t>
      </w:r>
      <w:proofErr w:type="spellEnd"/>
      <w:r w:rsidRPr="00655FBA">
        <w:rPr>
          <w:rFonts w:cs="Arial"/>
          <w:b w:val="0"/>
          <w:bCs w:val="0"/>
          <w:i w:val="0"/>
          <w:iCs/>
          <w:lang w:val="pt-BR"/>
        </w:rPr>
        <w:t xml:space="preserve">. When </w:t>
      </w:r>
      <w:proofErr w:type="spellStart"/>
      <w:r w:rsidRPr="00655FBA">
        <w:rPr>
          <w:rFonts w:cs="Arial"/>
          <w:b w:val="0"/>
          <w:bCs w:val="0"/>
          <w:i w:val="0"/>
          <w:iCs/>
          <w:lang w:val="pt-BR"/>
        </w:rPr>
        <w:t>significant</w:t>
      </w:r>
      <w:proofErr w:type="spellEnd"/>
      <w:r w:rsidRPr="00655FBA">
        <w:rPr>
          <w:rFonts w:cs="Arial"/>
          <w:b w:val="0"/>
          <w:bCs w:val="0"/>
          <w:i w:val="0"/>
          <w:iCs/>
          <w:lang w:val="pt-BR"/>
        </w:rPr>
        <w:t xml:space="preserve">, </w:t>
      </w:r>
      <w:proofErr w:type="spellStart"/>
      <w:r w:rsidRPr="00655FBA">
        <w:rPr>
          <w:rFonts w:cs="Arial"/>
          <w:b w:val="0"/>
          <w:bCs w:val="0"/>
          <w:i w:val="0"/>
          <w:iCs/>
          <w:lang w:val="pt-BR"/>
        </w:rPr>
        <w:t>associations</w:t>
      </w:r>
      <w:proofErr w:type="spellEnd"/>
      <w:r w:rsidRPr="00655FBA">
        <w:rPr>
          <w:rFonts w:cs="Arial"/>
          <w:b w:val="0"/>
          <w:bCs w:val="0"/>
          <w:i w:val="0"/>
          <w:iCs/>
          <w:lang w:val="pt-BR"/>
        </w:rPr>
        <w:t xml:space="preserve"> </w:t>
      </w:r>
      <w:proofErr w:type="spellStart"/>
      <w:r w:rsidRPr="00655FBA">
        <w:rPr>
          <w:rFonts w:cs="Arial"/>
          <w:b w:val="0"/>
          <w:bCs w:val="0"/>
          <w:i w:val="0"/>
          <w:iCs/>
          <w:lang w:val="pt-BR"/>
        </w:rPr>
        <w:t>were</w:t>
      </w:r>
      <w:proofErr w:type="spellEnd"/>
      <w:r w:rsidRPr="00655FBA">
        <w:rPr>
          <w:rFonts w:cs="Arial"/>
          <w:b w:val="0"/>
          <w:bCs w:val="0"/>
          <w:i w:val="0"/>
          <w:iCs/>
          <w:lang w:val="pt-BR"/>
        </w:rPr>
        <w:t xml:space="preserve"> </w:t>
      </w:r>
      <w:proofErr w:type="spellStart"/>
      <w:r w:rsidRPr="00655FBA">
        <w:rPr>
          <w:rFonts w:cs="Arial"/>
          <w:b w:val="0"/>
          <w:bCs w:val="0"/>
          <w:i w:val="0"/>
          <w:iCs/>
          <w:lang w:val="pt-BR"/>
        </w:rPr>
        <w:t>accompanied</w:t>
      </w:r>
      <w:proofErr w:type="spellEnd"/>
      <w:r w:rsidRPr="00655FBA">
        <w:rPr>
          <w:rFonts w:cs="Arial"/>
          <w:b w:val="0"/>
          <w:bCs w:val="0"/>
          <w:i w:val="0"/>
          <w:iCs/>
          <w:lang w:val="pt-BR"/>
        </w:rPr>
        <w:t xml:space="preserve"> </w:t>
      </w:r>
      <w:proofErr w:type="spellStart"/>
      <w:r w:rsidRPr="00655FBA">
        <w:rPr>
          <w:rFonts w:cs="Arial"/>
          <w:b w:val="0"/>
          <w:bCs w:val="0"/>
          <w:i w:val="0"/>
          <w:iCs/>
          <w:lang w:val="pt-BR"/>
        </w:rPr>
        <w:t>by</w:t>
      </w:r>
      <w:proofErr w:type="spellEnd"/>
      <w:r w:rsidRPr="00655FBA">
        <w:rPr>
          <w:rFonts w:cs="Arial"/>
          <w:b w:val="0"/>
          <w:bCs w:val="0"/>
          <w:i w:val="0"/>
          <w:iCs/>
          <w:lang w:val="pt-BR"/>
        </w:rPr>
        <w:t xml:space="preserve"> </w:t>
      </w:r>
      <w:proofErr w:type="spellStart"/>
      <w:r w:rsidRPr="00655FBA">
        <w:rPr>
          <w:rFonts w:cs="Arial"/>
          <w:b w:val="0"/>
          <w:bCs w:val="0"/>
          <w:i w:val="0"/>
          <w:iCs/>
          <w:lang w:val="pt-BR"/>
        </w:rPr>
        <w:t>effect</w:t>
      </w:r>
      <w:proofErr w:type="spellEnd"/>
      <w:r w:rsidRPr="00655FBA">
        <w:rPr>
          <w:rFonts w:cs="Arial"/>
          <w:b w:val="0"/>
          <w:bCs w:val="0"/>
          <w:i w:val="0"/>
          <w:iCs/>
          <w:lang w:val="pt-BR"/>
        </w:rPr>
        <w:t xml:space="preserve"> </w:t>
      </w:r>
      <w:proofErr w:type="spellStart"/>
      <w:r w:rsidRPr="00655FBA">
        <w:rPr>
          <w:rFonts w:cs="Arial"/>
          <w:b w:val="0"/>
          <w:bCs w:val="0"/>
          <w:i w:val="0"/>
          <w:iCs/>
          <w:lang w:val="pt-BR"/>
        </w:rPr>
        <w:t>sizes</w:t>
      </w:r>
      <w:proofErr w:type="spellEnd"/>
      <w:r w:rsidRPr="00655FBA">
        <w:rPr>
          <w:rFonts w:cs="Arial"/>
          <w:b w:val="0"/>
          <w:bCs w:val="0"/>
          <w:i w:val="0"/>
          <w:iCs/>
          <w:lang w:val="pt-BR"/>
        </w:rPr>
        <w:t xml:space="preserve"> — </w:t>
      </w:r>
      <w:proofErr w:type="spellStart"/>
      <w:r w:rsidRPr="00655FBA">
        <w:rPr>
          <w:rFonts w:cs="Arial"/>
          <w:b w:val="0"/>
          <w:bCs w:val="0"/>
          <w:i w:val="0"/>
          <w:iCs/>
          <w:lang w:val="pt-BR"/>
        </w:rPr>
        <w:t>Cohen's</w:t>
      </w:r>
      <w:proofErr w:type="spellEnd"/>
      <w:r w:rsidRPr="00655FBA">
        <w:rPr>
          <w:rFonts w:cs="Arial"/>
          <w:b w:val="0"/>
          <w:bCs w:val="0"/>
          <w:i w:val="0"/>
          <w:iCs/>
          <w:lang w:val="pt-BR"/>
        </w:rPr>
        <w:t xml:space="preserve"> d for t-</w:t>
      </w:r>
      <w:proofErr w:type="spellStart"/>
      <w:r w:rsidRPr="00655FBA">
        <w:rPr>
          <w:rFonts w:cs="Arial"/>
          <w:b w:val="0"/>
          <w:bCs w:val="0"/>
          <w:i w:val="0"/>
          <w:iCs/>
          <w:lang w:val="pt-BR"/>
        </w:rPr>
        <w:t>tests</w:t>
      </w:r>
      <w:proofErr w:type="spellEnd"/>
      <w:r w:rsidRPr="00655FBA">
        <w:rPr>
          <w:rFonts w:cs="Arial"/>
          <w:b w:val="0"/>
          <w:bCs w:val="0"/>
          <w:i w:val="0"/>
          <w:iCs/>
          <w:lang w:val="pt-BR"/>
        </w:rPr>
        <w:t xml:space="preserve"> </w:t>
      </w:r>
      <w:proofErr w:type="spellStart"/>
      <w:r w:rsidRPr="00655FBA">
        <w:rPr>
          <w:rFonts w:cs="Arial"/>
          <w:b w:val="0"/>
          <w:bCs w:val="0"/>
          <w:i w:val="0"/>
          <w:iCs/>
          <w:lang w:val="pt-BR"/>
        </w:rPr>
        <w:t>and</w:t>
      </w:r>
      <w:proofErr w:type="spellEnd"/>
      <w:r w:rsidRPr="00655FBA">
        <w:rPr>
          <w:rFonts w:cs="Arial"/>
          <w:b w:val="0"/>
          <w:bCs w:val="0"/>
          <w:i w:val="0"/>
          <w:iCs/>
          <w:lang w:val="pt-BR"/>
        </w:rPr>
        <w:t xml:space="preserve"> </w:t>
      </w:r>
      <w:proofErr w:type="spellStart"/>
      <w:r w:rsidRPr="00655FBA">
        <w:rPr>
          <w:rFonts w:cs="Arial"/>
          <w:b w:val="0"/>
          <w:bCs w:val="0"/>
          <w:i w:val="0"/>
          <w:iCs/>
          <w:lang w:val="pt-BR"/>
        </w:rPr>
        <w:t>phi</w:t>
      </w:r>
      <w:proofErr w:type="spellEnd"/>
      <w:r w:rsidRPr="00655FBA">
        <w:rPr>
          <w:rFonts w:cs="Arial"/>
          <w:b w:val="0"/>
          <w:bCs w:val="0"/>
          <w:i w:val="0"/>
          <w:iCs/>
          <w:lang w:val="pt-BR"/>
        </w:rPr>
        <w:t xml:space="preserve"> </w:t>
      </w:r>
      <w:proofErr w:type="spellStart"/>
      <w:r w:rsidRPr="00655FBA">
        <w:rPr>
          <w:rFonts w:cs="Arial"/>
          <w:b w:val="0"/>
          <w:bCs w:val="0"/>
          <w:i w:val="0"/>
          <w:iCs/>
          <w:lang w:val="pt-BR"/>
        </w:rPr>
        <w:t>or</w:t>
      </w:r>
      <w:proofErr w:type="spellEnd"/>
      <w:r w:rsidRPr="00655FBA">
        <w:rPr>
          <w:rFonts w:cs="Arial"/>
          <w:b w:val="0"/>
          <w:bCs w:val="0"/>
          <w:i w:val="0"/>
          <w:iCs/>
          <w:lang w:val="pt-BR"/>
        </w:rPr>
        <w:t xml:space="preserve"> </w:t>
      </w:r>
      <w:proofErr w:type="spellStart"/>
      <w:r w:rsidRPr="00655FBA">
        <w:rPr>
          <w:rFonts w:cs="Arial"/>
          <w:b w:val="0"/>
          <w:bCs w:val="0"/>
          <w:i w:val="0"/>
          <w:iCs/>
          <w:lang w:val="pt-BR"/>
        </w:rPr>
        <w:t>Cramer's</w:t>
      </w:r>
      <w:proofErr w:type="spellEnd"/>
      <w:r w:rsidRPr="00655FBA">
        <w:rPr>
          <w:rFonts w:cs="Arial"/>
          <w:b w:val="0"/>
          <w:bCs w:val="0"/>
          <w:i w:val="0"/>
          <w:iCs/>
          <w:lang w:val="pt-BR"/>
        </w:rPr>
        <w:t xml:space="preserve"> V for </w:t>
      </w:r>
      <w:proofErr w:type="spellStart"/>
      <w:r w:rsidRPr="00655FBA">
        <w:rPr>
          <w:rFonts w:cs="Arial"/>
          <w:b w:val="0"/>
          <w:bCs w:val="0"/>
          <w:i w:val="0"/>
          <w:iCs/>
          <w:lang w:val="pt-BR"/>
        </w:rPr>
        <w:t>categorical</w:t>
      </w:r>
      <w:proofErr w:type="spellEnd"/>
      <w:r w:rsidRPr="00655FBA">
        <w:rPr>
          <w:rFonts w:cs="Arial"/>
          <w:b w:val="0"/>
          <w:bCs w:val="0"/>
          <w:i w:val="0"/>
          <w:iCs/>
          <w:lang w:val="pt-BR"/>
        </w:rPr>
        <w:t xml:space="preserve"> </w:t>
      </w:r>
      <w:proofErr w:type="spellStart"/>
      <w:r w:rsidRPr="00655FBA">
        <w:rPr>
          <w:rFonts w:cs="Arial"/>
          <w:b w:val="0"/>
          <w:bCs w:val="0"/>
          <w:i w:val="0"/>
          <w:iCs/>
          <w:lang w:val="pt-BR"/>
        </w:rPr>
        <w:t>variables</w:t>
      </w:r>
      <w:proofErr w:type="spellEnd"/>
      <w:r w:rsidRPr="00655FBA">
        <w:rPr>
          <w:rFonts w:cs="Arial"/>
          <w:b w:val="0"/>
          <w:bCs w:val="0"/>
          <w:i w:val="0"/>
          <w:iCs/>
          <w:lang w:val="pt-BR"/>
        </w:rPr>
        <w:t>.</w:t>
      </w:r>
    </w:p>
    <w:p w14:paraId="427DFA10" w14:textId="77777777" w:rsidR="00655FBA" w:rsidRPr="00655FBA" w:rsidRDefault="00655FBA" w:rsidP="00655FBA">
      <w:pPr>
        <w:pStyle w:val="Ttulo2"/>
        <w:spacing w:before="0" w:line="360" w:lineRule="auto"/>
        <w:ind w:firstLine="709"/>
        <w:jc w:val="both"/>
        <w:rPr>
          <w:rFonts w:cs="Arial"/>
          <w:b w:val="0"/>
          <w:bCs w:val="0"/>
          <w:i w:val="0"/>
          <w:iCs/>
          <w:lang w:val="pt-BR"/>
        </w:rPr>
      </w:pPr>
      <w:proofErr w:type="spellStart"/>
      <w:r w:rsidRPr="00655FBA">
        <w:rPr>
          <w:rFonts w:cs="Arial"/>
          <w:b w:val="0"/>
          <w:bCs w:val="0"/>
          <w:i w:val="0"/>
          <w:iCs/>
          <w:lang w:val="pt-BR"/>
        </w:rPr>
        <w:t>Given</w:t>
      </w:r>
      <w:proofErr w:type="spellEnd"/>
      <w:r w:rsidRPr="00655FBA">
        <w:rPr>
          <w:rFonts w:cs="Arial"/>
          <w:b w:val="0"/>
          <w:bCs w:val="0"/>
          <w:i w:val="0"/>
          <w:iCs/>
          <w:lang w:val="pt-BR"/>
        </w:rPr>
        <w:t xml:space="preserve"> </w:t>
      </w:r>
      <w:proofErr w:type="spellStart"/>
      <w:r w:rsidRPr="00655FBA">
        <w:rPr>
          <w:rFonts w:cs="Arial"/>
          <w:b w:val="0"/>
          <w:bCs w:val="0"/>
          <w:i w:val="0"/>
          <w:iCs/>
          <w:lang w:val="pt-BR"/>
        </w:rPr>
        <w:t>the</w:t>
      </w:r>
      <w:proofErr w:type="spellEnd"/>
      <w:r w:rsidRPr="00655FBA">
        <w:rPr>
          <w:rFonts w:cs="Arial"/>
          <w:b w:val="0"/>
          <w:bCs w:val="0"/>
          <w:i w:val="0"/>
          <w:iCs/>
          <w:lang w:val="pt-BR"/>
        </w:rPr>
        <w:t xml:space="preserve"> </w:t>
      </w:r>
      <w:proofErr w:type="spellStart"/>
      <w:r w:rsidRPr="00655FBA">
        <w:rPr>
          <w:rFonts w:cs="Arial"/>
          <w:b w:val="0"/>
          <w:bCs w:val="0"/>
          <w:i w:val="0"/>
          <w:iCs/>
          <w:lang w:val="pt-BR"/>
        </w:rPr>
        <w:t>observational</w:t>
      </w:r>
      <w:proofErr w:type="spellEnd"/>
      <w:r w:rsidRPr="00655FBA">
        <w:rPr>
          <w:rFonts w:cs="Arial"/>
          <w:b w:val="0"/>
          <w:bCs w:val="0"/>
          <w:i w:val="0"/>
          <w:iCs/>
          <w:lang w:val="pt-BR"/>
        </w:rPr>
        <w:t xml:space="preserve"> </w:t>
      </w:r>
      <w:proofErr w:type="spellStart"/>
      <w:r w:rsidRPr="00655FBA">
        <w:rPr>
          <w:rFonts w:cs="Arial"/>
          <w:b w:val="0"/>
          <w:bCs w:val="0"/>
          <w:i w:val="0"/>
          <w:iCs/>
          <w:lang w:val="pt-BR"/>
        </w:rPr>
        <w:t>and</w:t>
      </w:r>
      <w:proofErr w:type="spellEnd"/>
      <w:r w:rsidRPr="00655FBA">
        <w:rPr>
          <w:rFonts w:cs="Arial"/>
          <w:b w:val="0"/>
          <w:bCs w:val="0"/>
          <w:i w:val="0"/>
          <w:iCs/>
          <w:lang w:val="pt-BR"/>
        </w:rPr>
        <w:t xml:space="preserve"> </w:t>
      </w:r>
      <w:proofErr w:type="spellStart"/>
      <w:r w:rsidRPr="00655FBA">
        <w:rPr>
          <w:rFonts w:cs="Arial"/>
          <w:b w:val="0"/>
          <w:bCs w:val="0"/>
          <w:i w:val="0"/>
          <w:iCs/>
          <w:lang w:val="pt-BR"/>
        </w:rPr>
        <w:t>cross-sectional</w:t>
      </w:r>
      <w:proofErr w:type="spellEnd"/>
      <w:r w:rsidRPr="00655FBA">
        <w:rPr>
          <w:rFonts w:cs="Arial"/>
          <w:b w:val="0"/>
          <w:bCs w:val="0"/>
          <w:i w:val="0"/>
          <w:iCs/>
          <w:lang w:val="pt-BR"/>
        </w:rPr>
        <w:t xml:space="preserve"> </w:t>
      </w:r>
      <w:proofErr w:type="spellStart"/>
      <w:r w:rsidRPr="00655FBA">
        <w:rPr>
          <w:rFonts w:cs="Arial"/>
          <w:b w:val="0"/>
          <w:bCs w:val="0"/>
          <w:i w:val="0"/>
          <w:iCs/>
          <w:lang w:val="pt-BR"/>
        </w:rPr>
        <w:t>nature</w:t>
      </w:r>
      <w:proofErr w:type="spellEnd"/>
      <w:r w:rsidRPr="00655FBA">
        <w:rPr>
          <w:rFonts w:cs="Arial"/>
          <w:b w:val="0"/>
          <w:bCs w:val="0"/>
          <w:i w:val="0"/>
          <w:iCs/>
          <w:lang w:val="pt-BR"/>
        </w:rPr>
        <w:t xml:space="preserve"> </w:t>
      </w:r>
      <w:proofErr w:type="spellStart"/>
      <w:r w:rsidRPr="00655FBA">
        <w:rPr>
          <w:rFonts w:cs="Arial"/>
          <w:b w:val="0"/>
          <w:bCs w:val="0"/>
          <w:i w:val="0"/>
          <w:iCs/>
          <w:lang w:val="pt-BR"/>
        </w:rPr>
        <w:t>of</w:t>
      </w:r>
      <w:proofErr w:type="spellEnd"/>
      <w:r w:rsidRPr="00655FBA">
        <w:rPr>
          <w:rFonts w:cs="Arial"/>
          <w:b w:val="0"/>
          <w:bCs w:val="0"/>
          <w:i w:val="0"/>
          <w:iCs/>
          <w:lang w:val="pt-BR"/>
        </w:rPr>
        <w:t xml:space="preserve"> </w:t>
      </w:r>
      <w:proofErr w:type="spellStart"/>
      <w:r w:rsidRPr="00655FBA">
        <w:rPr>
          <w:rFonts w:cs="Arial"/>
          <w:b w:val="0"/>
          <w:bCs w:val="0"/>
          <w:i w:val="0"/>
          <w:iCs/>
          <w:lang w:val="pt-BR"/>
        </w:rPr>
        <w:t>the</w:t>
      </w:r>
      <w:proofErr w:type="spellEnd"/>
      <w:r w:rsidRPr="00655FBA">
        <w:rPr>
          <w:rFonts w:cs="Arial"/>
          <w:b w:val="0"/>
          <w:bCs w:val="0"/>
          <w:i w:val="0"/>
          <w:iCs/>
          <w:lang w:val="pt-BR"/>
        </w:rPr>
        <w:t xml:space="preserve"> </w:t>
      </w:r>
      <w:proofErr w:type="spellStart"/>
      <w:r w:rsidRPr="00655FBA">
        <w:rPr>
          <w:rFonts w:cs="Arial"/>
          <w:b w:val="0"/>
          <w:bCs w:val="0"/>
          <w:i w:val="0"/>
          <w:iCs/>
          <w:lang w:val="pt-BR"/>
        </w:rPr>
        <w:t>dataset</w:t>
      </w:r>
      <w:proofErr w:type="spellEnd"/>
      <w:r w:rsidRPr="00655FBA">
        <w:rPr>
          <w:rFonts w:cs="Arial"/>
          <w:b w:val="0"/>
          <w:bCs w:val="0"/>
          <w:i w:val="0"/>
          <w:iCs/>
          <w:lang w:val="pt-BR"/>
        </w:rPr>
        <w:t xml:space="preserve">, </w:t>
      </w:r>
      <w:proofErr w:type="spellStart"/>
      <w:r w:rsidRPr="00655FBA">
        <w:rPr>
          <w:rFonts w:cs="Arial"/>
          <w:b w:val="0"/>
          <w:bCs w:val="0"/>
          <w:i w:val="0"/>
          <w:iCs/>
          <w:lang w:val="pt-BR"/>
        </w:rPr>
        <w:t>overlap</w:t>
      </w:r>
      <w:proofErr w:type="spellEnd"/>
      <w:r w:rsidRPr="00655FBA">
        <w:rPr>
          <w:rFonts w:cs="Arial"/>
          <w:b w:val="0"/>
          <w:bCs w:val="0"/>
          <w:i w:val="0"/>
          <w:iCs/>
          <w:lang w:val="pt-BR"/>
        </w:rPr>
        <w:t xml:space="preserve"> </w:t>
      </w:r>
      <w:proofErr w:type="spellStart"/>
      <w:r w:rsidRPr="00655FBA">
        <w:rPr>
          <w:rFonts w:cs="Arial"/>
          <w:b w:val="0"/>
          <w:bCs w:val="0"/>
          <w:i w:val="0"/>
          <w:iCs/>
          <w:lang w:val="pt-BR"/>
        </w:rPr>
        <w:t>weighting</w:t>
      </w:r>
      <w:proofErr w:type="spellEnd"/>
      <w:r w:rsidRPr="00655FBA">
        <w:rPr>
          <w:rFonts w:cs="Arial"/>
          <w:b w:val="0"/>
          <w:bCs w:val="0"/>
          <w:i w:val="0"/>
          <w:iCs/>
          <w:lang w:val="pt-BR"/>
        </w:rPr>
        <w:t xml:space="preserve"> (OW) </w:t>
      </w:r>
      <w:proofErr w:type="spellStart"/>
      <w:r w:rsidRPr="00655FBA">
        <w:rPr>
          <w:rFonts w:cs="Arial"/>
          <w:b w:val="0"/>
          <w:bCs w:val="0"/>
          <w:i w:val="0"/>
          <w:iCs/>
          <w:lang w:val="pt-BR"/>
        </w:rPr>
        <w:t>was</w:t>
      </w:r>
      <w:proofErr w:type="spellEnd"/>
      <w:r w:rsidRPr="00655FBA">
        <w:rPr>
          <w:rFonts w:cs="Arial"/>
          <w:b w:val="0"/>
          <w:bCs w:val="0"/>
          <w:i w:val="0"/>
          <w:iCs/>
          <w:lang w:val="pt-BR"/>
        </w:rPr>
        <w:t xml:space="preserve"> </w:t>
      </w:r>
      <w:proofErr w:type="spellStart"/>
      <w:r w:rsidRPr="00655FBA">
        <w:rPr>
          <w:rFonts w:cs="Arial"/>
          <w:b w:val="0"/>
          <w:bCs w:val="0"/>
          <w:i w:val="0"/>
          <w:iCs/>
          <w:lang w:val="pt-BR"/>
        </w:rPr>
        <w:t>conducted</w:t>
      </w:r>
      <w:proofErr w:type="spellEnd"/>
      <w:r w:rsidRPr="00655FBA">
        <w:rPr>
          <w:rFonts w:cs="Arial"/>
          <w:b w:val="0"/>
          <w:bCs w:val="0"/>
          <w:i w:val="0"/>
          <w:iCs/>
          <w:lang w:val="pt-BR"/>
        </w:rPr>
        <w:t xml:space="preserve">, </w:t>
      </w:r>
      <w:proofErr w:type="spellStart"/>
      <w:r w:rsidRPr="00655FBA">
        <w:rPr>
          <w:rFonts w:cs="Arial"/>
          <w:b w:val="0"/>
          <w:bCs w:val="0"/>
          <w:i w:val="0"/>
          <w:iCs/>
          <w:lang w:val="pt-BR"/>
        </w:rPr>
        <w:t>obtained</w:t>
      </w:r>
      <w:proofErr w:type="spellEnd"/>
      <w:r w:rsidRPr="00655FBA">
        <w:rPr>
          <w:rFonts w:cs="Arial"/>
          <w:b w:val="0"/>
          <w:bCs w:val="0"/>
          <w:i w:val="0"/>
          <w:iCs/>
          <w:lang w:val="pt-BR"/>
        </w:rPr>
        <w:t xml:space="preserve"> </w:t>
      </w:r>
      <w:proofErr w:type="spellStart"/>
      <w:r w:rsidRPr="00655FBA">
        <w:rPr>
          <w:rFonts w:cs="Arial"/>
          <w:b w:val="0"/>
          <w:bCs w:val="0"/>
          <w:i w:val="0"/>
          <w:iCs/>
          <w:lang w:val="pt-BR"/>
        </w:rPr>
        <w:t>from</w:t>
      </w:r>
      <w:proofErr w:type="spellEnd"/>
      <w:r w:rsidRPr="00655FBA">
        <w:rPr>
          <w:rFonts w:cs="Arial"/>
          <w:b w:val="0"/>
          <w:bCs w:val="0"/>
          <w:i w:val="0"/>
          <w:iCs/>
          <w:lang w:val="pt-BR"/>
        </w:rPr>
        <w:t xml:space="preserve"> a </w:t>
      </w:r>
      <w:proofErr w:type="spellStart"/>
      <w:r w:rsidRPr="00655FBA">
        <w:rPr>
          <w:rFonts w:cs="Arial"/>
          <w:b w:val="0"/>
          <w:bCs w:val="0"/>
          <w:i w:val="0"/>
          <w:iCs/>
          <w:lang w:val="pt-BR"/>
        </w:rPr>
        <w:t>propensity</w:t>
      </w:r>
      <w:proofErr w:type="spellEnd"/>
      <w:r w:rsidRPr="00655FBA">
        <w:rPr>
          <w:rFonts w:cs="Arial"/>
          <w:b w:val="0"/>
          <w:bCs w:val="0"/>
          <w:i w:val="0"/>
          <w:iCs/>
          <w:lang w:val="pt-BR"/>
        </w:rPr>
        <w:t xml:space="preserve"> score model </w:t>
      </w:r>
      <w:proofErr w:type="spellStart"/>
      <w:r w:rsidRPr="00655FBA">
        <w:rPr>
          <w:rFonts w:cs="Arial"/>
          <w:b w:val="0"/>
          <w:bCs w:val="0"/>
          <w:i w:val="0"/>
          <w:iCs/>
          <w:lang w:val="pt-BR"/>
        </w:rPr>
        <w:t>constructed</w:t>
      </w:r>
      <w:proofErr w:type="spellEnd"/>
      <w:r w:rsidRPr="00655FBA">
        <w:rPr>
          <w:rFonts w:cs="Arial"/>
          <w:b w:val="0"/>
          <w:bCs w:val="0"/>
          <w:i w:val="0"/>
          <w:iCs/>
          <w:lang w:val="pt-BR"/>
        </w:rPr>
        <w:t xml:space="preserve"> </w:t>
      </w:r>
      <w:proofErr w:type="spellStart"/>
      <w:r w:rsidRPr="00655FBA">
        <w:rPr>
          <w:rFonts w:cs="Arial"/>
          <w:b w:val="0"/>
          <w:bCs w:val="0"/>
          <w:i w:val="0"/>
          <w:iCs/>
          <w:lang w:val="pt-BR"/>
        </w:rPr>
        <w:t>with</w:t>
      </w:r>
      <w:proofErr w:type="spellEnd"/>
      <w:r w:rsidRPr="00655FBA">
        <w:rPr>
          <w:rFonts w:cs="Arial"/>
          <w:b w:val="0"/>
          <w:bCs w:val="0"/>
          <w:i w:val="0"/>
          <w:iCs/>
          <w:lang w:val="pt-BR"/>
        </w:rPr>
        <w:t xml:space="preserve"> </w:t>
      </w:r>
      <w:proofErr w:type="spellStart"/>
      <w:r w:rsidRPr="00655FBA">
        <w:rPr>
          <w:rFonts w:cs="Arial"/>
          <w:b w:val="0"/>
          <w:bCs w:val="0"/>
          <w:i w:val="0"/>
          <w:iCs/>
          <w:lang w:val="pt-BR"/>
        </w:rPr>
        <w:t>the</w:t>
      </w:r>
      <w:proofErr w:type="spellEnd"/>
      <w:r w:rsidRPr="00655FBA">
        <w:rPr>
          <w:rFonts w:cs="Arial"/>
          <w:b w:val="0"/>
          <w:bCs w:val="0"/>
          <w:i w:val="0"/>
          <w:iCs/>
          <w:lang w:val="pt-BR"/>
        </w:rPr>
        <w:t xml:space="preserve"> </w:t>
      </w:r>
      <w:proofErr w:type="spellStart"/>
      <w:r w:rsidRPr="00655FBA">
        <w:rPr>
          <w:rFonts w:cs="Arial"/>
          <w:b w:val="0"/>
          <w:bCs w:val="0"/>
          <w:i w:val="0"/>
          <w:iCs/>
          <w:lang w:val="pt-BR"/>
        </w:rPr>
        <w:t>covariates</w:t>
      </w:r>
      <w:proofErr w:type="spellEnd"/>
      <w:r w:rsidRPr="00655FBA">
        <w:rPr>
          <w:rFonts w:cs="Arial"/>
          <w:b w:val="0"/>
          <w:bCs w:val="0"/>
          <w:i w:val="0"/>
          <w:iCs/>
          <w:lang w:val="pt-BR"/>
        </w:rPr>
        <w:t xml:space="preserve"> age, sex, </w:t>
      </w:r>
      <w:proofErr w:type="spellStart"/>
      <w:r w:rsidRPr="00655FBA">
        <w:rPr>
          <w:rFonts w:cs="Arial"/>
          <w:b w:val="0"/>
          <w:bCs w:val="0"/>
          <w:i w:val="0"/>
          <w:iCs/>
          <w:lang w:val="pt-BR"/>
        </w:rPr>
        <w:t>and</w:t>
      </w:r>
      <w:proofErr w:type="spellEnd"/>
      <w:r w:rsidRPr="00655FBA">
        <w:rPr>
          <w:rFonts w:cs="Arial"/>
          <w:b w:val="0"/>
          <w:bCs w:val="0"/>
          <w:i w:val="0"/>
          <w:iCs/>
          <w:lang w:val="pt-BR"/>
        </w:rPr>
        <w:t xml:space="preserve"> </w:t>
      </w:r>
      <w:proofErr w:type="spellStart"/>
      <w:r w:rsidRPr="00655FBA">
        <w:rPr>
          <w:rFonts w:cs="Arial"/>
          <w:b w:val="0"/>
          <w:bCs w:val="0"/>
          <w:i w:val="0"/>
          <w:iCs/>
          <w:lang w:val="pt-BR"/>
        </w:rPr>
        <w:t>education</w:t>
      </w:r>
      <w:proofErr w:type="spellEnd"/>
      <w:r w:rsidRPr="00655FBA">
        <w:rPr>
          <w:rFonts w:cs="Arial"/>
          <w:b w:val="0"/>
          <w:bCs w:val="0"/>
          <w:i w:val="0"/>
          <w:iCs/>
          <w:lang w:val="pt-BR"/>
        </w:rPr>
        <w:t xml:space="preserve">, </w:t>
      </w:r>
      <w:proofErr w:type="spellStart"/>
      <w:r w:rsidRPr="00655FBA">
        <w:rPr>
          <w:rFonts w:cs="Arial"/>
          <w:b w:val="0"/>
          <w:bCs w:val="0"/>
          <w:i w:val="0"/>
          <w:iCs/>
          <w:lang w:val="pt-BR"/>
        </w:rPr>
        <w:t>identified</w:t>
      </w:r>
      <w:proofErr w:type="spellEnd"/>
      <w:r w:rsidRPr="00655FBA">
        <w:rPr>
          <w:rFonts w:cs="Arial"/>
          <w:b w:val="0"/>
          <w:bCs w:val="0"/>
          <w:i w:val="0"/>
          <w:iCs/>
          <w:lang w:val="pt-BR"/>
        </w:rPr>
        <w:t xml:space="preserve"> as </w:t>
      </w:r>
      <w:proofErr w:type="spellStart"/>
      <w:r w:rsidRPr="00655FBA">
        <w:rPr>
          <w:rFonts w:cs="Arial"/>
          <w:b w:val="0"/>
          <w:bCs w:val="0"/>
          <w:i w:val="0"/>
          <w:iCs/>
          <w:lang w:val="pt-BR"/>
        </w:rPr>
        <w:t>potential</w:t>
      </w:r>
      <w:proofErr w:type="spellEnd"/>
      <w:r w:rsidRPr="00655FBA">
        <w:rPr>
          <w:rFonts w:cs="Arial"/>
          <w:b w:val="0"/>
          <w:bCs w:val="0"/>
          <w:i w:val="0"/>
          <w:iCs/>
          <w:lang w:val="pt-BR"/>
        </w:rPr>
        <w:t xml:space="preserve"> </w:t>
      </w:r>
      <w:proofErr w:type="spellStart"/>
      <w:r w:rsidRPr="00655FBA">
        <w:rPr>
          <w:rFonts w:cs="Arial"/>
          <w:b w:val="0"/>
          <w:bCs w:val="0"/>
          <w:i w:val="0"/>
          <w:iCs/>
          <w:lang w:val="pt-BR"/>
        </w:rPr>
        <w:t>confounders</w:t>
      </w:r>
      <w:proofErr w:type="spellEnd"/>
      <w:r w:rsidRPr="00655FBA">
        <w:rPr>
          <w:rFonts w:cs="Arial"/>
          <w:b w:val="0"/>
          <w:bCs w:val="0"/>
          <w:i w:val="0"/>
          <w:iCs/>
          <w:lang w:val="pt-BR"/>
        </w:rPr>
        <w:t xml:space="preserve"> </w:t>
      </w:r>
      <w:proofErr w:type="spellStart"/>
      <w:r w:rsidRPr="00655FBA">
        <w:rPr>
          <w:rFonts w:cs="Arial"/>
          <w:b w:val="0"/>
          <w:bCs w:val="0"/>
          <w:i w:val="0"/>
          <w:iCs/>
          <w:lang w:val="pt-BR"/>
        </w:rPr>
        <w:t>based</w:t>
      </w:r>
      <w:proofErr w:type="spellEnd"/>
      <w:r w:rsidRPr="00655FBA">
        <w:rPr>
          <w:rFonts w:cs="Arial"/>
          <w:b w:val="0"/>
          <w:bCs w:val="0"/>
          <w:i w:val="0"/>
          <w:iCs/>
          <w:lang w:val="pt-BR"/>
        </w:rPr>
        <w:t xml:space="preserve"> </w:t>
      </w:r>
      <w:proofErr w:type="spellStart"/>
      <w:r w:rsidRPr="00655FBA">
        <w:rPr>
          <w:rFonts w:cs="Arial"/>
          <w:b w:val="0"/>
          <w:bCs w:val="0"/>
          <w:i w:val="0"/>
          <w:iCs/>
          <w:lang w:val="pt-BR"/>
        </w:rPr>
        <w:t>on</w:t>
      </w:r>
      <w:proofErr w:type="spellEnd"/>
      <w:r w:rsidRPr="00655FBA">
        <w:rPr>
          <w:rFonts w:cs="Arial"/>
          <w:b w:val="0"/>
          <w:bCs w:val="0"/>
          <w:i w:val="0"/>
          <w:iCs/>
          <w:lang w:val="pt-BR"/>
        </w:rPr>
        <w:t xml:space="preserve"> causal </w:t>
      </w:r>
      <w:proofErr w:type="spellStart"/>
      <w:r w:rsidRPr="00655FBA">
        <w:rPr>
          <w:rFonts w:cs="Arial"/>
          <w:b w:val="0"/>
          <w:bCs w:val="0"/>
          <w:i w:val="0"/>
          <w:iCs/>
          <w:lang w:val="pt-BR"/>
        </w:rPr>
        <w:t>diagrams</w:t>
      </w:r>
      <w:proofErr w:type="spellEnd"/>
      <w:r w:rsidRPr="00655FBA">
        <w:rPr>
          <w:rFonts w:cs="Arial"/>
          <w:b w:val="0"/>
          <w:bCs w:val="0"/>
          <w:i w:val="0"/>
          <w:iCs/>
          <w:lang w:val="pt-BR"/>
        </w:rPr>
        <w:t xml:space="preserve"> (</w:t>
      </w:r>
      <w:proofErr w:type="spellStart"/>
      <w:r w:rsidRPr="00655FBA">
        <w:rPr>
          <w:rFonts w:cs="Arial"/>
          <w:b w:val="0"/>
          <w:bCs w:val="0"/>
          <w:i w:val="0"/>
          <w:iCs/>
          <w:lang w:val="pt-BR"/>
        </w:rPr>
        <w:t>DAGs</w:t>
      </w:r>
      <w:proofErr w:type="spellEnd"/>
      <w:r w:rsidRPr="00655FBA">
        <w:rPr>
          <w:rFonts w:cs="Arial"/>
          <w:b w:val="0"/>
          <w:bCs w:val="0"/>
          <w:i w:val="0"/>
          <w:iCs/>
          <w:lang w:val="pt-BR"/>
        </w:rPr>
        <w:t xml:space="preserve">) </w:t>
      </w:r>
      <w:proofErr w:type="spellStart"/>
      <w:r w:rsidRPr="00655FBA">
        <w:rPr>
          <w:rFonts w:cs="Arial"/>
          <w:b w:val="0"/>
          <w:bCs w:val="0"/>
          <w:i w:val="0"/>
          <w:iCs/>
          <w:lang w:val="pt-BR"/>
        </w:rPr>
        <w:t>developed</w:t>
      </w:r>
      <w:proofErr w:type="spellEnd"/>
      <w:r w:rsidRPr="00655FBA">
        <w:rPr>
          <w:rFonts w:cs="Arial"/>
          <w:b w:val="0"/>
          <w:bCs w:val="0"/>
          <w:i w:val="0"/>
          <w:iCs/>
          <w:lang w:val="pt-BR"/>
        </w:rPr>
        <w:t xml:space="preserve"> </w:t>
      </w:r>
      <w:proofErr w:type="spellStart"/>
      <w:r w:rsidRPr="00655FBA">
        <w:rPr>
          <w:rFonts w:cs="Arial"/>
          <w:b w:val="0"/>
          <w:bCs w:val="0"/>
          <w:i w:val="0"/>
          <w:iCs/>
          <w:lang w:val="pt-BR"/>
        </w:rPr>
        <w:t>using</w:t>
      </w:r>
      <w:proofErr w:type="spellEnd"/>
      <w:r w:rsidRPr="00655FBA">
        <w:rPr>
          <w:rFonts w:cs="Arial"/>
          <w:b w:val="0"/>
          <w:bCs w:val="0"/>
          <w:i w:val="0"/>
          <w:iCs/>
          <w:lang w:val="pt-BR"/>
        </w:rPr>
        <w:t xml:space="preserve"> </w:t>
      </w:r>
      <w:proofErr w:type="spellStart"/>
      <w:r w:rsidRPr="00655FBA">
        <w:rPr>
          <w:rFonts w:cs="Arial"/>
          <w:b w:val="0"/>
          <w:bCs w:val="0"/>
          <w:i w:val="0"/>
          <w:iCs/>
          <w:lang w:val="pt-BR"/>
        </w:rPr>
        <w:t>theoretical</w:t>
      </w:r>
      <w:proofErr w:type="spellEnd"/>
      <w:r w:rsidRPr="00655FBA">
        <w:rPr>
          <w:rFonts w:cs="Arial"/>
          <w:b w:val="0"/>
          <w:bCs w:val="0"/>
          <w:i w:val="0"/>
          <w:iCs/>
          <w:lang w:val="pt-BR"/>
        </w:rPr>
        <w:t xml:space="preserve"> </w:t>
      </w:r>
      <w:proofErr w:type="spellStart"/>
      <w:r w:rsidRPr="00655FBA">
        <w:rPr>
          <w:rFonts w:cs="Arial"/>
          <w:b w:val="0"/>
          <w:bCs w:val="0"/>
          <w:i w:val="0"/>
          <w:iCs/>
          <w:lang w:val="pt-BR"/>
        </w:rPr>
        <w:t>rationale</w:t>
      </w:r>
      <w:proofErr w:type="spellEnd"/>
      <w:r w:rsidRPr="00655FBA">
        <w:rPr>
          <w:rFonts w:cs="Arial"/>
          <w:b w:val="0"/>
          <w:bCs w:val="0"/>
          <w:i w:val="0"/>
          <w:iCs/>
          <w:lang w:val="pt-BR"/>
        </w:rPr>
        <w:t xml:space="preserve"> in </w:t>
      </w:r>
      <w:proofErr w:type="spellStart"/>
      <w:r w:rsidRPr="00655FBA">
        <w:rPr>
          <w:rFonts w:cs="Arial"/>
          <w:b w:val="0"/>
          <w:bCs w:val="0"/>
          <w:i w:val="0"/>
          <w:iCs/>
          <w:lang w:val="pt-BR"/>
        </w:rPr>
        <w:t>the</w:t>
      </w:r>
      <w:proofErr w:type="spellEnd"/>
      <w:r w:rsidRPr="00655FBA">
        <w:rPr>
          <w:rFonts w:cs="Arial"/>
          <w:b w:val="0"/>
          <w:bCs w:val="0"/>
          <w:i w:val="0"/>
          <w:iCs/>
          <w:lang w:val="pt-BR"/>
        </w:rPr>
        <w:t xml:space="preserve"> </w:t>
      </w:r>
      <w:proofErr w:type="spellStart"/>
      <w:r w:rsidRPr="00655FBA">
        <w:rPr>
          <w:rFonts w:cs="Arial"/>
          <w:b w:val="0"/>
          <w:bCs w:val="0"/>
          <w:i w:val="0"/>
          <w:iCs/>
          <w:lang w:val="pt-BR"/>
        </w:rPr>
        <w:t>Dagitty</w:t>
      </w:r>
      <w:proofErr w:type="spellEnd"/>
      <w:r w:rsidRPr="00655FBA">
        <w:rPr>
          <w:rFonts w:cs="Arial"/>
          <w:b w:val="0"/>
          <w:bCs w:val="0"/>
          <w:i w:val="0"/>
          <w:iCs/>
          <w:lang w:val="pt-BR"/>
        </w:rPr>
        <w:t xml:space="preserve"> software (https://www.dagitty.net/) </w:t>
      </w:r>
      <w:proofErr w:type="spellStart"/>
      <w:r w:rsidRPr="00655FBA">
        <w:rPr>
          <w:rFonts w:cs="Arial"/>
          <w:b w:val="0"/>
          <w:bCs w:val="0"/>
          <w:i w:val="0"/>
          <w:iCs/>
          <w:lang w:val="pt-BR"/>
        </w:rPr>
        <w:t>and</w:t>
      </w:r>
      <w:proofErr w:type="spellEnd"/>
      <w:r w:rsidRPr="00655FBA">
        <w:rPr>
          <w:rFonts w:cs="Arial"/>
          <w:b w:val="0"/>
          <w:bCs w:val="0"/>
          <w:i w:val="0"/>
          <w:iCs/>
          <w:lang w:val="pt-BR"/>
        </w:rPr>
        <w:t xml:space="preserve"> </w:t>
      </w:r>
      <w:proofErr w:type="spellStart"/>
      <w:r w:rsidRPr="00655FBA">
        <w:rPr>
          <w:rFonts w:cs="Arial"/>
          <w:b w:val="0"/>
          <w:bCs w:val="0"/>
          <w:i w:val="0"/>
          <w:iCs/>
          <w:lang w:val="pt-BR"/>
        </w:rPr>
        <w:t>subsequently</w:t>
      </w:r>
      <w:proofErr w:type="spellEnd"/>
      <w:r w:rsidRPr="00655FBA">
        <w:rPr>
          <w:rFonts w:cs="Arial"/>
          <w:b w:val="0"/>
          <w:bCs w:val="0"/>
          <w:i w:val="0"/>
          <w:iCs/>
          <w:lang w:val="pt-BR"/>
        </w:rPr>
        <w:t xml:space="preserve"> </w:t>
      </w:r>
      <w:proofErr w:type="spellStart"/>
      <w:r w:rsidRPr="00655FBA">
        <w:rPr>
          <w:rFonts w:cs="Arial"/>
          <w:b w:val="0"/>
          <w:bCs w:val="0"/>
          <w:i w:val="0"/>
          <w:iCs/>
          <w:lang w:val="pt-BR"/>
        </w:rPr>
        <w:t>statistically</w:t>
      </w:r>
      <w:proofErr w:type="spellEnd"/>
      <w:r w:rsidRPr="00655FBA">
        <w:rPr>
          <w:rFonts w:cs="Arial"/>
          <w:b w:val="0"/>
          <w:bCs w:val="0"/>
          <w:i w:val="0"/>
          <w:iCs/>
          <w:lang w:val="pt-BR"/>
        </w:rPr>
        <w:t xml:space="preserve"> </w:t>
      </w:r>
      <w:proofErr w:type="spellStart"/>
      <w:r w:rsidRPr="00655FBA">
        <w:rPr>
          <w:rFonts w:cs="Arial"/>
          <w:b w:val="0"/>
          <w:bCs w:val="0"/>
          <w:i w:val="0"/>
          <w:iCs/>
          <w:lang w:val="pt-BR"/>
        </w:rPr>
        <w:t>validated</w:t>
      </w:r>
      <w:proofErr w:type="spellEnd"/>
      <w:r w:rsidRPr="00655FBA">
        <w:rPr>
          <w:rFonts w:cs="Arial"/>
          <w:b w:val="0"/>
          <w:bCs w:val="0"/>
          <w:i w:val="0"/>
          <w:iCs/>
          <w:lang w:val="pt-BR"/>
        </w:rPr>
        <w:t xml:space="preserve">. The balance </w:t>
      </w:r>
      <w:proofErr w:type="spellStart"/>
      <w:r w:rsidRPr="00655FBA">
        <w:rPr>
          <w:rFonts w:cs="Arial"/>
          <w:b w:val="0"/>
          <w:bCs w:val="0"/>
          <w:i w:val="0"/>
          <w:iCs/>
          <w:lang w:val="pt-BR"/>
        </w:rPr>
        <w:t>between</w:t>
      </w:r>
      <w:proofErr w:type="spellEnd"/>
      <w:r w:rsidRPr="00655FBA">
        <w:rPr>
          <w:rFonts w:cs="Arial"/>
          <w:b w:val="0"/>
          <w:bCs w:val="0"/>
          <w:i w:val="0"/>
          <w:iCs/>
          <w:lang w:val="pt-BR"/>
        </w:rPr>
        <w:t xml:space="preserve"> </w:t>
      </w:r>
      <w:proofErr w:type="spellStart"/>
      <w:r w:rsidRPr="00655FBA">
        <w:rPr>
          <w:rFonts w:cs="Arial"/>
          <w:b w:val="0"/>
          <w:bCs w:val="0"/>
          <w:i w:val="0"/>
          <w:iCs/>
          <w:lang w:val="pt-BR"/>
        </w:rPr>
        <w:t>the</w:t>
      </w:r>
      <w:proofErr w:type="spellEnd"/>
      <w:r w:rsidRPr="00655FBA">
        <w:rPr>
          <w:rFonts w:cs="Arial"/>
          <w:b w:val="0"/>
          <w:bCs w:val="0"/>
          <w:i w:val="0"/>
          <w:iCs/>
          <w:lang w:val="pt-BR"/>
        </w:rPr>
        <w:t xml:space="preserve"> HIV </w:t>
      </w:r>
      <w:proofErr w:type="spellStart"/>
      <w:r w:rsidRPr="00655FBA">
        <w:rPr>
          <w:rFonts w:cs="Arial"/>
          <w:b w:val="0"/>
          <w:bCs w:val="0"/>
          <w:i w:val="0"/>
          <w:iCs/>
          <w:lang w:val="pt-BR"/>
        </w:rPr>
        <w:t>and</w:t>
      </w:r>
      <w:proofErr w:type="spellEnd"/>
      <w:r w:rsidRPr="00655FBA">
        <w:rPr>
          <w:rFonts w:cs="Arial"/>
          <w:b w:val="0"/>
          <w:bCs w:val="0"/>
          <w:i w:val="0"/>
          <w:iCs/>
          <w:lang w:val="pt-BR"/>
        </w:rPr>
        <w:t xml:space="preserve"> non-HIV </w:t>
      </w:r>
      <w:proofErr w:type="spellStart"/>
      <w:r w:rsidRPr="00655FBA">
        <w:rPr>
          <w:rFonts w:cs="Arial"/>
          <w:b w:val="0"/>
          <w:bCs w:val="0"/>
          <w:i w:val="0"/>
          <w:iCs/>
          <w:lang w:val="pt-BR"/>
        </w:rPr>
        <w:t>groups</w:t>
      </w:r>
      <w:proofErr w:type="spellEnd"/>
      <w:r w:rsidRPr="00655FBA">
        <w:rPr>
          <w:rFonts w:cs="Arial"/>
          <w:b w:val="0"/>
          <w:bCs w:val="0"/>
          <w:i w:val="0"/>
          <w:iCs/>
          <w:lang w:val="pt-BR"/>
        </w:rPr>
        <w:t xml:space="preserve"> (</w:t>
      </w:r>
      <w:proofErr w:type="spellStart"/>
      <w:r w:rsidRPr="00655FBA">
        <w:rPr>
          <w:rFonts w:cs="Arial"/>
          <w:b w:val="0"/>
          <w:bCs w:val="0"/>
          <w:i w:val="0"/>
          <w:iCs/>
          <w:lang w:val="pt-BR"/>
        </w:rPr>
        <w:t>exposure</w:t>
      </w:r>
      <w:proofErr w:type="spellEnd"/>
      <w:r w:rsidRPr="00655FBA">
        <w:rPr>
          <w:rFonts w:cs="Arial"/>
          <w:b w:val="0"/>
          <w:bCs w:val="0"/>
          <w:i w:val="0"/>
          <w:iCs/>
          <w:lang w:val="pt-BR"/>
        </w:rPr>
        <w:t xml:space="preserve"> </w:t>
      </w:r>
      <w:proofErr w:type="spellStart"/>
      <w:r w:rsidRPr="00655FBA">
        <w:rPr>
          <w:rFonts w:cs="Arial"/>
          <w:b w:val="0"/>
          <w:bCs w:val="0"/>
          <w:i w:val="0"/>
          <w:iCs/>
          <w:lang w:val="pt-BR"/>
        </w:rPr>
        <w:t>group</w:t>
      </w:r>
      <w:proofErr w:type="spellEnd"/>
      <w:r w:rsidRPr="00655FBA">
        <w:rPr>
          <w:rFonts w:cs="Arial"/>
          <w:b w:val="0"/>
          <w:bCs w:val="0"/>
          <w:i w:val="0"/>
          <w:iCs/>
          <w:lang w:val="pt-BR"/>
        </w:rPr>
        <w:t xml:space="preserve">) </w:t>
      </w:r>
      <w:proofErr w:type="spellStart"/>
      <w:r w:rsidRPr="00655FBA">
        <w:rPr>
          <w:rFonts w:cs="Arial"/>
          <w:b w:val="0"/>
          <w:bCs w:val="0"/>
          <w:i w:val="0"/>
          <w:iCs/>
          <w:lang w:val="pt-BR"/>
        </w:rPr>
        <w:t>was</w:t>
      </w:r>
      <w:proofErr w:type="spellEnd"/>
      <w:r w:rsidRPr="00655FBA">
        <w:rPr>
          <w:rFonts w:cs="Arial"/>
          <w:b w:val="0"/>
          <w:bCs w:val="0"/>
          <w:i w:val="0"/>
          <w:iCs/>
          <w:lang w:val="pt-BR"/>
        </w:rPr>
        <w:t xml:space="preserve"> </w:t>
      </w:r>
      <w:proofErr w:type="spellStart"/>
      <w:r w:rsidRPr="00655FBA">
        <w:rPr>
          <w:rFonts w:cs="Arial"/>
          <w:b w:val="0"/>
          <w:bCs w:val="0"/>
          <w:i w:val="0"/>
          <w:iCs/>
          <w:lang w:val="pt-BR"/>
        </w:rPr>
        <w:t>assessed</w:t>
      </w:r>
      <w:proofErr w:type="spellEnd"/>
      <w:r w:rsidRPr="00655FBA">
        <w:rPr>
          <w:rFonts w:cs="Arial"/>
          <w:b w:val="0"/>
          <w:bCs w:val="0"/>
          <w:i w:val="0"/>
          <w:iCs/>
          <w:lang w:val="pt-BR"/>
        </w:rPr>
        <w:t xml:space="preserve">, </w:t>
      </w:r>
      <w:proofErr w:type="spellStart"/>
      <w:r w:rsidRPr="00655FBA">
        <w:rPr>
          <w:rFonts w:cs="Arial"/>
          <w:b w:val="0"/>
          <w:bCs w:val="0"/>
          <w:i w:val="0"/>
          <w:iCs/>
          <w:lang w:val="pt-BR"/>
        </w:rPr>
        <w:t>confirming</w:t>
      </w:r>
      <w:proofErr w:type="spellEnd"/>
      <w:r w:rsidRPr="00655FBA">
        <w:rPr>
          <w:rFonts w:cs="Arial"/>
          <w:b w:val="0"/>
          <w:bCs w:val="0"/>
          <w:i w:val="0"/>
          <w:iCs/>
          <w:lang w:val="pt-BR"/>
        </w:rPr>
        <w:t xml:space="preserve"> </w:t>
      </w:r>
      <w:proofErr w:type="spellStart"/>
      <w:r w:rsidRPr="00655FBA">
        <w:rPr>
          <w:rFonts w:cs="Arial"/>
          <w:b w:val="0"/>
          <w:bCs w:val="0"/>
          <w:i w:val="0"/>
          <w:iCs/>
          <w:lang w:val="pt-BR"/>
        </w:rPr>
        <w:t>standardized</w:t>
      </w:r>
      <w:proofErr w:type="spellEnd"/>
      <w:r w:rsidRPr="00655FBA">
        <w:rPr>
          <w:rFonts w:cs="Arial"/>
          <w:b w:val="0"/>
          <w:bCs w:val="0"/>
          <w:i w:val="0"/>
          <w:iCs/>
          <w:lang w:val="pt-BR"/>
        </w:rPr>
        <w:t xml:space="preserve"> </w:t>
      </w:r>
      <w:proofErr w:type="spellStart"/>
      <w:r w:rsidRPr="00655FBA">
        <w:rPr>
          <w:rFonts w:cs="Arial"/>
          <w:b w:val="0"/>
          <w:bCs w:val="0"/>
          <w:i w:val="0"/>
          <w:iCs/>
          <w:lang w:val="pt-BR"/>
        </w:rPr>
        <w:t>mean</w:t>
      </w:r>
      <w:proofErr w:type="spellEnd"/>
      <w:r w:rsidRPr="00655FBA">
        <w:rPr>
          <w:rFonts w:cs="Arial"/>
          <w:b w:val="0"/>
          <w:bCs w:val="0"/>
          <w:i w:val="0"/>
          <w:iCs/>
          <w:lang w:val="pt-BR"/>
        </w:rPr>
        <w:t xml:space="preserve"> </w:t>
      </w:r>
      <w:proofErr w:type="spellStart"/>
      <w:r w:rsidRPr="00655FBA">
        <w:rPr>
          <w:rFonts w:cs="Arial"/>
          <w:b w:val="0"/>
          <w:bCs w:val="0"/>
          <w:i w:val="0"/>
          <w:iCs/>
          <w:lang w:val="pt-BR"/>
        </w:rPr>
        <w:t>differences</w:t>
      </w:r>
      <w:proofErr w:type="spellEnd"/>
      <w:r w:rsidRPr="00655FBA">
        <w:rPr>
          <w:rFonts w:cs="Arial"/>
          <w:b w:val="0"/>
          <w:bCs w:val="0"/>
          <w:i w:val="0"/>
          <w:iCs/>
          <w:lang w:val="pt-BR"/>
        </w:rPr>
        <w:t xml:space="preserve"> (SMD) </w:t>
      </w:r>
      <w:proofErr w:type="spellStart"/>
      <w:r w:rsidRPr="00655FBA">
        <w:rPr>
          <w:rFonts w:cs="Arial"/>
          <w:b w:val="0"/>
          <w:bCs w:val="0"/>
          <w:i w:val="0"/>
          <w:iCs/>
          <w:lang w:val="pt-BR"/>
        </w:rPr>
        <w:t>of</w:t>
      </w:r>
      <w:proofErr w:type="spellEnd"/>
      <w:r w:rsidRPr="00655FBA">
        <w:rPr>
          <w:rFonts w:cs="Arial"/>
          <w:b w:val="0"/>
          <w:bCs w:val="0"/>
          <w:i w:val="0"/>
          <w:iCs/>
          <w:lang w:val="pt-BR"/>
        </w:rPr>
        <w:t xml:space="preserve"> </w:t>
      </w:r>
      <w:proofErr w:type="spellStart"/>
      <w:r w:rsidRPr="00655FBA">
        <w:rPr>
          <w:rFonts w:cs="Arial"/>
          <w:b w:val="0"/>
          <w:bCs w:val="0"/>
          <w:i w:val="0"/>
          <w:iCs/>
          <w:lang w:val="pt-BR"/>
        </w:rPr>
        <w:t>less</w:t>
      </w:r>
      <w:proofErr w:type="spellEnd"/>
      <w:r w:rsidRPr="00655FBA">
        <w:rPr>
          <w:rFonts w:cs="Arial"/>
          <w:b w:val="0"/>
          <w:bCs w:val="0"/>
          <w:i w:val="0"/>
          <w:iCs/>
          <w:lang w:val="pt-BR"/>
        </w:rPr>
        <w:t xml:space="preserve"> </w:t>
      </w:r>
      <w:proofErr w:type="spellStart"/>
      <w:r w:rsidRPr="00655FBA">
        <w:rPr>
          <w:rFonts w:cs="Arial"/>
          <w:b w:val="0"/>
          <w:bCs w:val="0"/>
          <w:i w:val="0"/>
          <w:iCs/>
          <w:lang w:val="pt-BR"/>
        </w:rPr>
        <w:t>than</w:t>
      </w:r>
      <w:proofErr w:type="spellEnd"/>
      <w:r w:rsidRPr="00655FBA">
        <w:rPr>
          <w:rFonts w:cs="Arial"/>
          <w:b w:val="0"/>
          <w:bCs w:val="0"/>
          <w:i w:val="0"/>
          <w:iCs/>
          <w:lang w:val="pt-BR"/>
        </w:rPr>
        <w:t xml:space="preserve"> 0.1 for </w:t>
      </w:r>
      <w:proofErr w:type="spellStart"/>
      <w:r w:rsidRPr="00655FBA">
        <w:rPr>
          <w:rFonts w:cs="Arial"/>
          <w:b w:val="0"/>
          <w:bCs w:val="0"/>
          <w:i w:val="0"/>
          <w:iCs/>
          <w:lang w:val="pt-BR"/>
        </w:rPr>
        <w:t>all</w:t>
      </w:r>
      <w:proofErr w:type="spellEnd"/>
      <w:r w:rsidRPr="00655FBA">
        <w:rPr>
          <w:rFonts w:cs="Arial"/>
          <w:b w:val="0"/>
          <w:bCs w:val="0"/>
          <w:i w:val="0"/>
          <w:iCs/>
          <w:lang w:val="pt-BR"/>
        </w:rPr>
        <w:t xml:space="preserve"> </w:t>
      </w:r>
      <w:proofErr w:type="spellStart"/>
      <w:r w:rsidRPr="00655FBA">
        <w:rPr>
          <w:rFonts w:cs="Arial"/>
          <w:b w:val="0"/>
          <w:bCs w:val="0"/>
          <w:i w:val="0"/>
          <w:iCs/>
          <w:lang w:val="pt-BR"/>
        </w:rPr>
        <w:t>covariates</w:t>
      </w:r>
      <w:proofErr w:type="spellEnd"/>
      <w:r w:rsidRPr="00655FBA">
        <w:rPr>
          <w:rFonts w:cs="Arial"/>
          <w:b w:val="0"/>
          <w:bCs w:val="0"/>
          <w:i w:val="0"/>
          <w:iCs/>
          <w:lang w:val="pt-BR"/>
        </w:rPr>
        <w:t xml:space="preserve">, </w:t>
      </w:r>
      <w:proofErr w:type="spellStart"/>
      <w:r w:rsidRPr="00655FBA">
        <w:rPr>
          <w:rFonts w:cs="Arial"/>
          <w:b w:val="0"/>
          <w:bCs w:val="0"/>
          <w:i w:val="0"/>
          <w:iCs/>
          <w:lang w:val="pt-BR"/>
        </w:rPr>
        <w:t>indicating</w:t>
      </w:r>
      <w:proofErr w:type="spellEnd"/>
      <w:r w:rsidRPr="00655FBA">
        <w:rPr>
          <w:rFonts w:cs="Arial"/>
          <w:b w:val="0"/>
          <w:bCs w:val="0"/>
          <w:i w:val="0"/>
          <w:iCs/>
          <w:lang w:val="pt-BR"/>
        </w:rPr>
        <w:t xml:space="preserve"> </w:t>
      </w:r>
      <w:proofErr w:type="spellStart"/>
      <w:r w:rsidRPr="00655FBA">
        <w:rPr>
          <w:rFonts w:cs="Arial"/>
          <w:b w:val="0"/>
          <w:bCs w:val="0"/>
          <w:i w:val="0"/>
          <w:iCs/>
          <w:lang w:val="pt-BR"/>
        </w:rPr>
        <w:t>excellent</w:t>
      </w:r>
      <w:proofErr w:type="spellEnd"/>
      <w:r w:rsidRPr="00655FBA">
        <w:rPr>
          <w:rFonts w:cs="Arial"/>
          <w:b w:val="0"/>
          <w:bCs w:val="0"/>
          <w:i w:val="0"/>
          <w:iCs/>
          <w:lang w:val="pt-BR"/>
        </w:rPr>
        <w:t xml:space="preserve"> </w:t>
      </w:r>
      <w:proofErr w:type="spellStart"/>
      <w:r w:rsidRPr="00655FBA">
        <w:rPr>
          <w:rFonts w:cs="Arial"/>
          <w:b w:val="0"/>
          <w:bCs w:val="0"/>
          <w:i w:val="0"/>
          <w:iCs/>
          <w:lang w:val="pt-BR"/>
        </w:rPr>
        <w:t>overlap</w:t>
      </w:r>
      <w:proofErr w:type="spellEnd"/>
      <w:r w:rsidRPr="00655FBA">
        <w:rPr>
          <w:rFonts w:cs="Arial"/>
          <w:b w:val="0"/>
          <w:bCs w:val="0"/>
          <w:i w:val="0"/>
          <w:iCs/>
          <w:lang w:val="pt-BR"/>
        </w:rPr>
        <w:t xml:space="preserve"> </w:t>
      </w:r>
      <w:proofErr w:type="spellStart"/>
      <w:r w:rsidRPr="00655FBA">
        <w:rPr>
          <w:rFonts w:cs="Arial"/>
          <w:b w:val="0"/>
          <w:bCs w:val="0"/>
          <w:i w:val="0"/>
          <w:iCs/>
          <w:lang w:val="pt-BR"/>
        </w:rPr>
        <w:t>and</w:t>
      </w:r>
      <w:proofErr w:type="spellEnd"/>
      <w:r w:rsidRPr="00655FBA">
        <w:rPr>
          <w:rFonts w:cs="Arial"/>
          <w:b w:val="0"/>
          <w:bCs w:val="0"/>
          <w:i w:val="0"/>
          <w:iCs/>
          <w:lang w:val="pt-BR"/>
        </w:rPr>
        <w:t xml:space="preserve"> </w:t>
      </w:r>
      <w:proofErr w:type="spellStart"/>
      <w:r w:rsidRPr="00655FBA">
        <w:rPr>
          <w:rFonts w:cs="Arial"/>
          <w:b w:val="0"/>
          <w:bCs w:val="0"/>
          <w:i w:val="0"/>
          <w:iCs/>
          <w:lang w:val="pt-BR"/>
        </w:rPr>
        <w:t>control</w:t>
      </w:r>
      <w:proofErr w:type="spellEnd"/>
      <w:r w:rsidRPr="00655FBA">
        <w:rPr>
          <w:rFonts w:cs="Arial"/>
          <w:b w:val="0"/>
          <w:bCs w:val="0"/>
          <w:i w:val="0"/>
          <w:iCs/>
          <w:lang w:val="pt-BR"/>
        </w:rPr>
        <w:t xml:space="preserve"> </w:t>
      </w:r>
      <w:proofErr w:type="spellStart"/>
      <w:r w:rsidRPr="00655FBA">
        <w:rPr>
          <w:rFonts w:cs="Arial"/>
          <w:b w:val="0"/>
          <w:bCs w:val="0"/>
          <w:i w:val="0"/>
          <w:iCs/>
          <w:lang w:val="pt-BR"/>
        </w:rPr>
        <w:t>of</w:t>
      </w:r>
      <w:proofErr w:type="spellEnd"/>
      <w:r w:rsidRPr="00655FBA">
        <w:rPr>
          <w:rFonts w:cs="Arial"/>
          <w:b w:val="0"/>
          <w:bCs w:val="0"/>
          <w:i w:val="0"/>
          <w:iCs/>
          <w:lang w:val="pt-BR"/>
        </w:rPr>
        <w:t xml:space="preserve"> residual </w:t>
      </w:r>
      <w:proofErr w:type="spellStart"/>
      <w:r w:rsidRPr="00655FBA">
        <w:rPr>
          <w:rFonts w:cs="Arial"/>
          <w:b w:val="0"/>
          <w:bCs w:val="0"/>
          <w:i w:val="0"/>
          <w:iCs/>
          <w:lang w:val="pt-BR"/>
        </w:rPr>
        <w:t>confounding</w:t>
      </w:r>
      <w:proofErr w:type="spellEnd"/>
      <w:r w:rsidRPr="00655FBA">
        <w:rPr>
          <w:rFonts w:cs="Arial"/>
          <w:b w:val="0"/>
          <w:bCs w:val="0"/>
          <w:i w:val="0"/>
          <w:iCs/>
          <w:lang w:val="pt-BR"/>
        </w:rPr>
        <w:t>.</w:t>
      </w:r>
    </w:p>
    <w:p w14:paraId="59145038" w14:textId="5F80ED23" w:rsidR="00655FBA" w:rsidRPr="00655FBA" w:rsidRDefault="00655FBA" w:rsidP="00655FBA">
      <w:pPr>
        <w:pStyle w:val="Ttulo2"/>
        <w:spacing w:before="0" w:line="360" w:lineRule="auto"/>
        <w:ind w:firstLine="709"/>
        <w:jc w:val="both"/>
        <w:rPr>
          <w:rFonts w:cs="Arial"/>
          <w:b w:val="0"/>
          <w:bCs w:val="0"/>
          <w:i w:val="0"/>
          <w:iCs/>
          <w:lang w:val="pt-BR"/>
        </w:rPr>
      </w:pPr>
      <w:proofErr w:type="spellStart"/>
      <w:r w:rsidRPr="00655FBA">
        <w:rPr>
          <w:rFonts w:cs="Arial"/>
          <w:b w:val="0"/>
          <w:bCs w:val="0"/>
          <w:i w:val="0"/>
          <w:iCs/>
          <w:lang w:val="pt-BR"/>
        </w:rPr>
        <w:t>To</w:t>
      </w:r>
      <w:proofErr w:type="spellEnd"/>
      <w:r w:rsidRPr="00655FBA">
        <w:rPr>
          <w:rFonts w:cs="Arial"/>
          <w:b w:val="0"/>
          <w:bCs w:val="0"/>
          <w:i w:val="0"/>
          <w:iCs/>
          <w:lang w:val="pt-BR"/>
        </w:rPr>
        <w:t xml:space="preserve"> </w:t>
      </w:r>
      <w:proofErr w:type="spellStart"/>
      <w:r w:rsidRPr="00655FBA">
        <w:rPr>
          <w:rFonts w:cs="Arial"/>
          <w:b w:val="0"/>
          <w:bCs w:val="0"/>
          <w:i w:val="0"/>
          <w:iCs/>
          <w:lang w:val="pt-BR"/>
        </w:rPr>
        <w:t>estimate</w:t>
      </w:r>
      <w:proofErr w:type="spellEnd"/>
      <w:r w:rsidRPr="00655FBA">
        <w:rPr>
          <w:rFonts w:cs="Arial"/>
          <w:b w:val="0"/>
          <w:bCs w:val="0"/>
          <w:i w:val="0"/>
          <w:iCs/>
          <w:lang w:val="pt-BR"/>
        </w:rPr>
        <w:t xml:space="preserve"> </w:t>
      </w:r>
      <w:proofErr w:type="spellStart"/>
      <w:r w:rsidRPr="00655FBA">
        <w:rPr>
          <w:rFonts w:cs="Arial"/>
          <w:b w:val="0"/>
          <w:bCs w:val="0"/>
          <w:i w:val="0"/>
          <w:iCs/>
          <w:lang w:val="pt-BR"/>
        </w:rPr>
        <w:t>the</w:t>
      </w:r>
      <w:proofErr w:type="spellEnd"/>
      <w:r w:rsidRPr="00655FBA">
        <w:rPr>
          <w:rFonts w:cs="Arial"/>
          <w:b w:val="0"/>
          <w:bCs w:val="0"/>
          <w:i w:val="0"/>
          <w:iCs/>
          <w:lang w:val="pt-BR"/>
        </w:rPr>
        <w:t xml:space="preserve"> marginal </w:t>
      </w:r>
      <w:proofErr w:type="spellStart"/>
      <w:r w:rsidRPr="00655FBA">
        <w:rPr>
          <w:rFonts w:cs="Arial"/>
          <w:b w:val="0"/>
          <w:bCs w:val="0"/>
          <w:i w:val="0"/>
          <w:iCs/>
          <w:lang w:val="pt-BR"/>
        </w:rPr>
        <w:t>effect</w:t>
      </w:r>
      <w:proofErr w:type="spellEnd"/>
      <w:r w:rsidRPr="00655FBA">
        <w:rPr>
          <w:rFonts w:cs="Arial"/>
          <w:b w:val="0"/>
          <w:bCs w:val="0"/>
          <w:i w:val="0"/>
          <w:iCs/>
          <w:lang w:val="pt-BR"/>
        </w:rPr>
        <w:t xml:space="preserve"> </w:t>
      </w:r>
      <w:proofErr w:type="spellStart"/>
      <w:r w:rsidRPr="00655FBA">
        <w:rPr>
          <w:rFonts w:cs="Arial"/>
          <w:b w:val="0"/>
          <w:bCs w:val="0"/>
          <w:i w:val="0"/>
          <w:iCs/>
          <w:lang w:val="pt-BR"/>
        </w:rPr>
        <w:t>of</w:t>
      </w:r>
      <w:proofErr w:type="spellEnd"/>
      <w:r w:rsidRPr="00655FBA">
        <w:rPr>
          <w:rFonts w:cs="Arial"/>
          <w:b w:val="0"/>
          <w:bCs w:val="0"/>
          <w:i w:val="0"/>
          <w:iCs/>
          <w:lang w:val="pt-BR"/>
        </w:rPr>
        <w:t xml:space="preserve"> HIV </w:t>
      </w:r>
      <w:proofErr w:type="spellStart"/>
      <w:r w:rsidRPr="00655FBA">
        <w:rPr>
          <w:rFonts w:cs="Arial"/>
          <w:b w:val="0"/>
          <w:bCs w:val="0"/>
          <w:i w:val="0"/>
          <w:iCs/>
          <w:lang w:val="pt-BR"/>
        </w:rPr>
        <w:t>on</w:t>
      </w:r>
      <w:proofErr w:type="spellEnd"/>
      <w:r w:rsidRPr="00655FBA">
        <w:rPr>
          <w:rFonts w:cs="Arial"/>
          <w:b w:val="0"/>
          <w:bCs w:val="0"/>
          <w:i w:val="0"/>
          <w:iCs/>
          <w:lang w:val="pt-BR"/>
        </w:rPr>
        <w:t xml:space="preserve"> </w:t>
      </w:r>
      <w:proofErr w:type="spellStart"/>
      <w:r w:rsidRPr="00655FBA">
        <w:rPr>
          <w:rFonts w:cs="Arial"/>
          <w:b w:val="0"/>
          <w:bCs w:val="0"/>
          <w:i w:val="0"/>
          <w:iCs/>
          <w:lang w:val="pt-BR"/>
        </w:rPr>
        <w:t>psychological</w:t>
      </w:r>
      <w:proofErr w:type="spellEnd"/>
      <w:r w:rsidRPr="00655FBA">
        <w:rPr>
          <w:rFonts w:cs="Arial"/>
          <w:b w:val="0"/>
          <w:bCs w:val="0"/>
          <w:i w:val="0"/>
          <w:iCs/>
          <w:lang w:val="pt-BR"/>
        </w:rPr>
        <w:t xml:space="preserve"> </w:t>
      </w:r>
      <w:proofErr w:type="spellStart"/>
      <w:r w:rsidRPr="00655FBA">
        <w:rPr>
          <w:rFonts w:cs="Arial"/>
          <w:b w:val="0"/>
          <w:bCs w:val="0"/>
          <w:i w:val="0"/>
          <w:iCs/>
          <w:lang w:val="pt-BR"/>
        </w:rPr>
        <w:t>symptom</w:t>
      </w:r>
      <w:proofErr w:type="spellEnd"/>
      <w:r w:rsidRPr="00655FBA">
        <w:rPr>
          <w:rFonts w:cs="Arial"/>
          <w:b w:val="0"/>
          <w:bCs w:val="0"/>
          <w:i w:val="0"/>
          <w:iCs/>
          <w:lang w:val="pt-BR"/>
        </w:rPr>
        <w:t xml:space="preserve"> scores, OW-</w:t>
      </w:r>
      <w:proofErr w:type="spellStart"/>
      <w:r w:rsidRPr="00655FBA">
        <w:rPr>
          <w:rFonts w:cs="Arial"/>
          <w:b w:val="0"/>
          <w:bCs w:val="0"/>
          <w:i w:val="0"/>
          <w:iCs/>
          <w:lang w:val="pt-BR"/>
        </w:rPr>
        <w:t>weighted</w:t>
      </w:r>
      <w:proofErr w:type="spellEnd"/>
      <w:r w:rsidRPr="00655FBA">
        <w:rPr>
          <w:rFonts w:cs="Arial"/>
          <w:b w:val="0"/>
          <w:bCs w:val="0"/>
          <w:i w:val="0"/>
          <w:iCs/>
          <w:lang w:val="pt-BR"/>
        </w:rPr>
        <w:t xml:space="preserve"> Marginal </w:t>
      </w:r>
      <w:proofErr w:type="spellStart"/>
      <w:r w:rsidRPr="00655FBA">
        <w:rPr>
          <w:rFonts w:cs="Arial"/>
          <w:b w:val="0"/>
          <w:bCs w:val="0"/>
          <w:i w:val="0"/>
          <w:iCs/>
          <w:lang w:val="pt-BR"/>
        </w:rPr>
        <w:t>Structural</w:t>
      </w:r>
      <w:proofErr w:type="spellEnd"/>
      <w:r w:rsidRPr="00655FBA">
        <w:rPr>
          <w:rFonts w:cs="Arial"/>
          <w:b w:val="0"/>
          <w:bCs w:val="0"/>
          <w:i w:val="0"/>
          <w:iCs/>
          <w:lang w:val="pt-BR"/>
        </w:rPr>
        <w:t xml:space="preserve"> Models (</w:t>
      </w:r>
      <w:proofErr w:type="spellStart"/>
      <w:r w:rsidRPr="00655FBA">
        <w:rPr>
          <w:rFonts w:cs="Arial"/>
          <w:b w:val="0"/>
          <w:bCs w:val="0"/>
          <w:i w:val="0"/>
          <w:iCs/>
          <w:lang w:val="pt-BR"/>
        </w:rPr>
        <w:t>MSMs</w:t>
      </w:r>
      <w:proofErr w:type="spellEnd"/>
      <w:r w:rsidRPr="00655FBA">
        <w:rPr>
          <w:rFonts w:cs="Arial"/>
          <w:b w:val="0"/>
          <w:bCs w:val="0"/>
          <w:i w:val="0"/>
          <w:iCs/>
          <w:lang w:val="pt-BR"/>
        </w:rPr>
        <w:t xml:space="preserve">) </w:t>
      </w:r>
      <w:proofErr w:type="spellStart"/>
      <w:r w:rsidRPr="00655FBA">
        <w:rPr>
          <w:rFonts w:cs="Arial"/>
          <w:b w:val="0"/>
          <w:bCs w:val="0"/>
          <w:i w:val="0"/>
          <w:iCs/>
          <w:lang w:val="pt-BR"/>
        </w:rPr>
        <w:t>suitable</w:t>
      </w:r>
      <w:proofErr w:type="spellEnd"/>
      <w:r w:rsidRPr="00655FBA">
        <w:rPr>
          <w:rFonts w:cs="Arial"/>
          <w:b w:val="0"/>
          <w:bCs w:val="0"/>
          <w:i w:val="0"/>
          <w:iCs/>
          <w:lang w:val="pt-BR"/>
        </w:rPr>
        <w:t xml:space="preserve"> for </w:t>
      </w:r>
      <w:proofErr w:type="spellStart"/>
      <w:r w:rsidRPr="00655FBA">
        <w:rPr>
          <w:rFonts w:cs="Arial"/>
          <w:b w:val="0"/>
          <w:bCs w:val="0"/>
          <w:i w:val="0"/>
          <w:iCs/>
          <w:lang w:val="pt-BR"/>
        </w:rPr>
        <w:t>asymmetric</w:t>
      </w:r>
      <w:proofErr w:type="spellEnd"/>
      <w:r w:rsidRPr="00655FBA">
        <w:rPr>
          <w:rFonts w:cs="Arial"/>
          <w:b w:val="0"/>
          <w:bCs w:val="0"/>
          <w:i w:val="0"/>
          <w:iCs/>
          <w:lang w:val="pt-BR"/>
        </w:rPr>
        <w:t xml:space="preserve"> </w:t>
      </w:r>
      <w:proofErr w:type="spellStart"/>
      <w:r w:rsidRPr="00655FBA">
        <w:rPr>
          <w:rFonts w:cs="Arial"/>
          <w:b w:val="0"/>
          <w:bCs w:val="0"/>
          <w:i w:val="0"/>
          <w:iCs/>
          <w:lang w:val="pt-BR"/>
        </w:rPr>
        <w:t>continuous</w:t>
      </w:r>
      <w:proofErr w:type="spellEnd"/>
      <w:r w:rsidRPr="00655FBA">
        <w:rPr>
          <w:rFonts w:cs="Arial"/>
          <w:b w:val="0"/>
          <w:bCs w:val="0"/>
          <w:i w:val="0"/>
          <w:iCs/>
          <w:lang w:val="pt-BR"/>
        </w:rPr>
        <w:t xml:space="preserve"> data </w:t>
      </w:r>
      <w:proofErr w:type="spellStart"/>
      <w:r w:rsidRPr="00655FBA">
        <w:rPr>
          <w:rFonts w:cs="Arial"/>
          <w:b w:val="0"/>
          <w:bCs w:val="0"/>
          <w:i w:val="0"/>
          <w:iCs/>
          <w:lang w:val="pt-BR"/>
        </w:rPr>
        <w:t>were</w:t>
      </w:r>
      <w:proofErr w:type="spellEnd"/>
      <w:r w:rsidRPr="00655FBA">
        <w:rPr>
          <w:rFonts w:cs="Arial"/>
          <w:b w:val="0"/>
          <w:bCs w:val="0"/>
          <w:i w:val="0"/>
          <w:iCs/>
          <w:lang w:val="pt-BR"/>
        </w:rPr>
        <w:t xml:space="preserve"> </w:t>
      </w:r>
      <w:proofErr w:type="spellStart"/>
      <w:r w:rsidRPr="00655FBA">
        <w:rPr>
          <w:rFonts w:cs="Arial"/>
          <w:b w:val="0"/>
          <w:bCs w:val="0"/>
          <w:i w:val="0"/>
          <w:iCs/>
          <w:lang w:val="pt-BR"/>
        </w:rPr>
        <w:t>fitted</w:t>
      </w:r>
      <w:proofErr w:type="spellEnd"/>
      <w:r w:rsidRPr="00655FBA">
        <w:rPr>
          <w:rFonts w:cs="Arial"/>
          <w:b w:val="0"/>
          <w:bCs w:val="0"/>
          <w:i w:val="0"/>
          <w:iCs/>
          <w:lang w:val="pt-BR"/>
        </w:rPr>
        <w:t xml:space="preserve">. </w:t>
      </w:r>
      <w:proofErr w:type="spellStart"/>
      <w:r w:rsidRPr="00655FBA">
        <w:rPr>
          <w:rFonts w:cs="Arial"/>
          <w:b w:val="0"/>
          <w:bCs w:val="0"/>
          <w:i w:val="0"/>
          <w:iCs/>
          <w:lang w:val="pt-BR"/>
        </w:rPr>
        <w:t>To</w:t>
      </w:r>
      <w:proofErr w:type="spellEnd"/>
      <w:r w:rsidRPr="00655FBA">
        <w:rPr>
          <w:rFonts w:cs="Arial"/>
          <w:b w:val="0"/>
          <w:bCs w:val="0"/>
          <w:i w:val="0"/>
          <w:iCs/>
          <w:lang w:val="pt-BR"/>
        </w:rPr>
        <w:t xml:space="preserve"> </w:t>
      </w:r>
      <w:proofErr w:type="spellStart"/>
      <w:r w:rsidRPr="00655FBA">
        <w:rPr>
          <w:rFonts w:cs="Arial"/>
          <w:b w:val="0"/>
          <w:bCs w:val="0"/>
          <w:i w:val="0"/>
          <w:iCs/>
          <w:lang w:val="pt-BR"/>
        </w:rPr>
        <w:t>estimate</w:t>
      </w:r>
      <w:proofErr w:type="spellEnd"/>
      <w:r w:rsidRPr="00655FBA">
        <w:rPr>
          <w:rFonts w:cs="Arial"/>
          <w:b w:val="0"/>
          <w:bCs w:val="0"/>
          <w:i w:val="0"/>
          <w:iCs/>
          <w:lang w:val="pt-BR"/>
        </w:rPr>
        <w:t xml:space="preserve"> </w:t>
      </w:r>
      <w:proofErr w:type="spellStart"/>
      <w:r w:rsidRPr="00655FBA">
        <w:rPr>
          <w:rFonts w:cs="Arial"/>
          <w:b w:val="0"/>
          <w:bCs w:val="0"/>
          <w:i w:val="0"/>
          <w:iCs/>
          <w:lang w:val="pt-BR"/>
        </w:rPr>
        <w:t>the</w:t>
      </w:r>
      <w:proofErr w:type="spellEnd"/>
      <w:r w:rsidRPr="00655FBA">
        <w:rPr>
          <w:rFonts w:cs="Arial"/>
          <w:b w:val="0"/>
          <w:bCs w:val="0"/>
          <w:i w:val="0"/>
          <w:iCs/>
          <w:lang w:val="pt-BR"/>
        </w:rPr>
        <w:t xml:space="preserve"> marginal </w:t>
      </w:r>
      <w:proofErr w:type="spellStart"/>
      <w:r w:rsidRPr="00655FBA">
        <w:rPr>
          <w:rFonts w:cs="Arial"/>
          <w:b w:val="0"/>
          <w:bCs w:val="0"/>
          <w:i w:val="0"/>
          <w:iCs/>
          <w:lang w:val="pt-BR"/>
        </w:rPr>
        <w:t>effect</w:t>
      </w:r>
      <w:proofErr w:type="spellEnd"/>
      <w:r w:rsidRPr="00655FBA">
        <w:rPr>
          <w:rFonts w:cs="Arial"/>
          <w:b w:val="0"/>
          <w:bCs w:val="0"/>
          <w:i w:val="0"/>
          <w:iCs/>
          <w:lang w:val="pt-BR"/>
        </w:rPr>
        <w:t xml:space="preserve"> </w:t>
      </w:r>
      <w:proofErr w:type="spellStart"/>
      <w:r w:rsidRPr="00655FBA">
        <w:rPr>
          <w:rFonts w:cs="Arial"/>
          <w:b w:val="0"/>
          <w:bCs w:val="0"/>
          <w:i w:val="0"/>
          <w:iCs/>
          <w:lang w:val="pt-BR"/>
        </w:rPr>
        <w:t>of</w:t>
      </w:r>
      <w:proofErr w:type="spellEnd"/>
      <w:r w:rsidRPr="00655FBA">
        <w:rPr>
          <w:rFonts w:cs="Arial"/>
          <w:b w:val="0"/>
          <w:bCs w:val="0"/>
          <w:i w:val="0"/>
          <w:iCs/>
          <w:lang w:val="pt-BR"/>
        </w:rPr>
        <w:t xml:space="preserve"> HIV </w:t>
      </w:r>
      <w:proofErr w:type="spellStart"/>
      <w:r w:rsidRPr="00655FBA">
        <w:rPr>
          <w:rFonts w:cs="Arial"/>
          <w:b w:val="0"/>
          <w:bCs w:val="0"/>
          <w:i w:val="0"/>
          <w:iCs/>
          <w:lang w:val="pt-BR"/>
        </w:rPr>
        <w:t>on</w:t>
      </w:r>
      <w:proofErr w:type="spellEnd"/>
      <w:r w:rsidRPr="00655FBA">
        <w:rPr>
          <w:rFonts w:cs="Arial"/>
          <w:b w:val="0"/>
          <w:bCs w:val="0"/>
          <w:i w:val="0"/>
          <w:iCs/>
          <w:lang w:val="pt-BR"/>
        </w:rPr>
        <w:t xml:space="preserve"> </w:t>
      </w:r>
      <w:proofErr w:type="spellStart"/>
      <w:r w:rsidRPr="00655FBA">
        <w:rPr>
          <w:rFonts w:cs="Arial"/>
          <w:b w:val="0"/>
          <w:bCs w:val="0"/>
          <w:i w:val="0"/>
          <w:iCs/>
          <w:lang w:val="pt-BR"/>
        </w:rPr>
        <w:t>psychological</w:t>
      </w:r>
      <w:proofErr w:type="spellEnd"/>
      <w:r w:rsidRPr="00655FBA">
        <w:rPr>
          <w:rFonts w:cs="Arial"/>
          <w:b w:val="0"/>
          <w:bCs w:val="0"/>
          <w:i w:val="0"/>
          <w:iCs/>
          <w:lang w:val="pt-BR"/>
        </w:rPr>
        <w:t xml:space="preserve"> </w:t>
      </w:r>
      <w:proofErr w:type="spellStart"/>
      <w:r w:rsidRPr="00655FBA">
        <w:rPr>
          <w:rFonts w:cs="Arial"/>
          <w:b w:val="0"/>
          <w:bCs w:val="0"/>
          <w:i w:val="0"/>
          <w:iCs/>
          <w:lang w:val="pt-BR"/>
        </w:rPr>
        <w:t>symptom</w:t>
      </w:r>
      <w:proofErr w:type="spellEnd"/>
      <w:r w:rsidRPr="00655FBA">
        <w:rPr>
          <w:rFonts w:cs="Arial"/>
          <w:b w:val="0"/>
          <w:bCs w:val="0"/>
          <w:i w:val="0"/>
          <w:iCs/>
          <w:lang w:val="pt-BR"/>
        </w:rPr>
        <w:t xml:space="preserve"> scores, OW-</w:t>
      </w:r>
      <w:proofErr w:type="spellStart"/>
      <w:r w:rsidRPr="00655FBA">
        <w:rPr>
          <w:rFonts w:cs="Arial"/>
          <w:b w:val="0"/>
          <w:bCs w:val="0"/>
          <w:i w:val="0"/>
          <w:iCs/>
          <w:lang w:val="pt-BR"/>
        </w:rPr>
        <w:t>weighted</w:t>
      </w:r>
      <w:proofErr w:type="spellEnd"/>
      <w:r w:rsidRPr="00655FBA">
        <w:rPr>
          <w:rFonts w:cs="Arial"/>
          <w:b w:val="0"/>
          <w:bCs w:val="0"/>
          <w:i w:val="0"/>
          <w:iCs/>
          <w:lang w:val="pt-BR"/>
        </w:rPr>
        <w:t xml:space="preserve"> Marginal </w:t>
      </w:r>
      <w:proofErr w:type="spellStart"/>
      <w:r w:rsidRPr="00655FBA">
        <w:rPr>
          <w:rFonts w:cs="Arial"/>
          <w:b w:val="0"/>
          <w:bCs w:val="0"/>
          <w:i w:val="0"/>
          <w:iCs/>
          <w:lang w:val="pt-BR"/>
        </w:rPr>
        <w:t>Structural</w:t>
      </w:r>
      <w:proofErr w:type="spellEnd"/>
      <w:r w:rsidRPr="00655FBA">
        <w:rPr>
          <w:rFonts w:cs="Arial"/>
          <w:b w:val="0"/>
          <w:bCs w:val="0"/>
          <w:i w:val="0"/>
          <w:iCs/>
          <w:lang w:val="pt-BR"/>
        </w:rPr>
        <w:t xml:space="preserve"> Models (</w:t>
      </w:r>
      <w:proofErr w:type="spellStart"/>
      <w:r w:rsidRPr="00655FBA">
        <w:rPr>
          <w:rFonts w:cs="Arial"/>
          <w:b w:val="0"/>
          <w:bCs w:val="0"/>
          <w:i w:val="0"/>
          <w:iCs/>
          <w:lang w:val="pt-BR"/>
        </w:rPr>
        <w:t>MSMs</w:t>
      </w:r>
      <w:proofErr w:type="spellEnd"/>
      <w:r w:rsidRPr="00655FBA">
        <w:rPr>
          <w:rFonts w:cs="Arial"/>
          <w:b w:val="0"/>
          <w:bCs w:val="0"/>
          <w:i w:val="0"/>
          <w:iCs/>
          <w:lang w:val="pt-BR"/>
        </w:rPr>
        <w:t xml:space="preserve">) </w:t>
      </w:r>
      <w:proofErr w:type="spellStart"/>
      <w:r w:rsidRPr="00655FBA">
        <w:rPr>
          <w:rFonts w:cs="Arial"/>
          <w:b w:val="0"/>
          <w:bCs w:val="0"/>
          <w:i w:val="0"/>
          <w:iCs/>
          <w:lang w:val="pt-BR"/>
        </w:rPr>
        <w:t>fitted</w:t>
      </w:r>
      <w:proofErr w:type="spellEnd"/>
      <w:r w:rsidRPr="00655FBA">
        <w:rPr>
          <w:rFonts w:cs="Arial"/>
          <w:b w:val="0"/>
          <w:bCs w:val="0"/>
          <w:i w:val="0"/>
          <w:iCs/>
          <w:lang w:val="pt-BR"/>
        </w:rPr>
        <w:t xml:space="preserve"> </w:t>
      </w:r>
      <w:proofErr w:type="spellStart"/>
      <w:r w:rsidRPr="00655FBA">
        <w:rPr>
          <w:rFonts w:cs="Arial"/>
          <w:b w:val="0"/>
          <w:bCs w:val="0"/>
          <w:i w:val="0"/>
          <w:iCs/>
          <w:lang w:val="pt-BR"/>
        </w:rPr>
        <w:t>with</w:t>
      </w:r>
      <w:proofErr w:type="spellEnd"/>
      <w:r w:rsidRPr="00655FBA">
        <w:rPr>
          <w:rFonts w:cs="Arial"/>
          <w:b w:val="0"/>
          <w:bCs w:val="0"/>
          <w:i w:val="0"/>
          <w:iCs/>
          <w:lang w:val="pt-BR"/>
        </w:rPr>
        <w:t xml:space="preserve"> a </w:t>
      </w:r>
      <w:proofErr w:type="spellStart"/>
      <w:r w:rsidRPr="00655FBA">
        <w:rPr>
          <w:rFonts w:cs="Arial"/>
          <w:b w:val="0"/>
          <w:bCs w:val="0"/>
          <w:i w:val="0"/>
          <w:iCs/>
          <w:lang w:val="pt-BR"/>
        </w:rPr>
        <w:t>Tweedie</w:t>
      </w:r>
      <w:proofErr w:type="spellEnd"/>
      <w:r w:rsidRPr="00655FBA">
        <w:rPr>
          <w:rFonts w:cs="Arial"/>
          <w:b w:val="0"/>
          <w:bCs w:val="0"/>
          <w:i w:val="0"/>
          <w:iCs/>
          <w:lang w:val="pt-BR"/>
        </w:rPr>
        <w:t xml:space="preserve"> </w:t>
      </w:r>
      <w:proofErr w:type="spellStart"/>
      <w:r w:rsidRPr="00655FBA">
        <w:rPr>
          <w:rFonts w:cs="Arial"/>
          <w:b w:val="0"/>
          <w:bCs w:val="0"/>
          <w:i w:val="0"/>
          <w:iCs/>
          <w:lang w:val="pt-BR"/>
        </w:rPr>
        <w:t>distribution</w:t>
      </w:r>
      <w:proofErr w:type="spellEnd"/>
      <w:r w:rsidRPr="00655FBA">
        <w:rPr>
          <w:rFonts w:cs="Arial"/>
          <w:b w:val="0"/>
          <w:bCs w:val="0"/>
          <w:i w:val="0"/>
          <w:iCs/>
          <w:lang w:val="pt-BR"/>
        </w:rPr>
        <w:t xml:space="preserve"> (</w:t>
      </w:r>
      <w:proofErr w:type="spellStart"/>
      <w:r w:rsidRPr="00655FBA">
        <w:rPr>
          <w:rFonts w:cs="Arial"/>
          <w:b w:val="0"/>
          <w:bCs w:val="0"/>
          <w:i w:val="0"/>
          <w:iCs/>
          <w:lang w:val="pt-BR"/>
        </w:rPr>
        <w:t>optimal</w:t>
      </w:r>
      <w:proofErr w:type="spellEnd"/>
      <w:r w:rsidRPr="00655FBA">
        <w:rPr>
          <w:rFonts w:cs="Arial"/>
          <w:b w:val="0"/>
          <w:bCs w:val="0"/>
          <w:i w:val="0"/>
          <w:iCs/>
          <w:lang w:val="pt-BR"/>
        </w:rPr>
        <w:t xml:space="preserve"> p-</w:t>
      </w:r>
      <w:proofErr w:type="spellStart"/>
      <w:r w:rsidRPr="00655FBA">
        <w:rPr>
          <w:rFonts w:cs="Arial"/>
          <w:b w:val="0"/>
          <w:bCs w:val="0"/>
          <w:i w:val="0"/>
          <w:iCs/>
          <w:lang w:val="pt-BR"/>
        </w:rPr>
        <w:t>value</w:t>
      </w:r>
      <w:proofErr w:type="spellEnd"/>
      <w:r w:rsidRPr="00655FBA">
        <w:rPr>
          <w:rFonts w:cs="Arial"/>
          <w:b w:val="0"/>
          <w:bCs w:val="0"/>
          <w:i w:val="0"/>
          <w:iCs/>
          <w:lang w:val="pt-BR"/>
        </w:rPr>
        <w:t xml:space="preserve"> = 1.3 </w:t>
      </w:r>
      <w:proofErr w:type="spellStart"/>
      <w:r w:rsidRPr="00655FBA">
        <w:rPr>
          <w:rFonts w:cs="Arial"/>
          <w:b w:val="0"/>
          <w:bCs w:val="0"/>
          <w:i w:val="0"/>
          <w:iCs/>
          <w:lang w:val="pt-BR"/>
        </w:rPr>
        <w:t>was</w:t>
      </w:r>
      <w:proofErr w:type="spellEnd"/>
      <w:r w:rsidRPr="00655FBA">
        <w:rPr>
          <w:rFonts w:cs="Arial"/>
          <w:b w:val="0"/>
          <w:bCs w:val="0"/>
          <w:i w:val="0"/>
          <w:iCs/>
          <w:lang w:val="pt-BR"/>
        </w:rPr>
        <w:t xml:space="preserve"> common </w:t>
      </w:r>
      <w:proofErr w:type="spellStart"/>
      <w:r w:rsidRPr="00655FBA">
        <w:rPr>
          <w:rFonts w:cs="Arial"/>
          <w:b w:val="0"/>
          <w:bCs w:val="0"/>
          <w:i w:val="0"/>
          <w:iCs/>
          <w:lang w:val="pt-BR"/>
        </w:rPr>
        <w:t>to</w:t>
      </w:r>
      <w:proofErr w:type="spellEnd"/>
      <w:r w:rsidRPr="00655FBA">
        <w:rPr>
          <w:rFonts w:cs="Arial"/>
          <w:b w:val="0"/>
          <w:bCs w:val="0"/>
          <w:i w:val="0"/>
          <w:iCs/>
          <w:lang w:val="pt-BR"/>
        </w:rPr>
        <w:t xml:space="preserve"> </w:t>
      </w:r>
      <w:proofErr w:type="spellStart"/>
      <w:r w:rsidRPr="00655FBA">
        <w:rPr>
          <w:rFonts w:cs="Arial"/>
          <w:b w:val="0"/>
          <w:bCs w:val="0"/>
          <w:i w:val="0"/>
          <w:iCs/>
          <w:lang w:val="pt-BR"/>
        </w:rPr>
        <w:t>all</w:t>
      </w:r>
      <w:proofErr w:type="spellEnd"/>
      <w:r w:rsidRPr="00655FBA">
        <w:rPr>
          <w:rFonts w:cs="Arial"/>
          <w:b w:val="0"/>
          <w:bCs w:val="0"/>
          <w:i w:val="0"/>
          <w:iCs/>
          <w:lang w:val="pt-BR"/>
        </w:rPr>
        <w:t xml:space="preserve"> </w:t>
      </w:r>
      <w:proofErr w:type="spellStart"/>
      <w:r w:rsidRPr="00655FBA">
        <w:rPr>
          <w:rFonts w:cs="Arial"/>
          <w:b w:val="0"/>
          <w:bCs w:val="0"/>
          <w:i w:val="0"/>
          <w:iCs/>
          <w:lang w:val="pt-BR"/>
        </w:rPr>
        <w:t>three</w:t>
      </w:r>
      <w:proofErr w:type="spellEnd"/>
      <w:r w:rsidRPr="00655FBA">
        <w:rPr>
          <w:rFonts w:cs="Arial"/>
          <w:b w:val="0"/>
          <w:bCs w:val="0"/>
          <w:i w:val="0"/>
          <w:iCs/>
          <w:lang w:val="pt-BR"/>
        </w:rPr>
        <w:t xml:space="preserve"> </w:t>
      </w:r>
      <w:proofErr w:type="spellStart"/>
      <w:r w:rsidRPr="00655FBA">
        <w:rPr>
          <w:rFonts w:cs="Arial"/>
          <w:b w:val="0"/>
          <w:bCs w:val="0"/>
          <w:i w:val="0"/>
          <w:iCs/>
          <w:lang w:val="pt-BR"/>
        </w:rPr>
        <w:t>outcomes</w:t>
      </w:r>
      <w:proofErr w:type="spellEnd"/>
      <w:r w:rsidRPr="00655FBA">
        <w:rPr>
          <w:rFonts w:cs="Arial"/>
          <w:b w:val="0"/>
          <w:bCs w:val="0"/>
          <w:i w:val="0"/>
          <w:iCs/>
          <w:lang w:val="pt-BR"/>
        </w:rPr>
        <w:t xml:space="preserve"> </w:t>
      </w:r>
      <w:proofErr w:type="spellStart"/>
      <w:r w:rsidRPr="00655FBA">
        <w:rPr>
          <w:rFonts w:cs="Arial"/>
          <w:b w:val="0"/>
          <w:bCs w:val="0"/>
          <w:i w:val="0"/>
          <w:iCs/>
          <w:lang w:val="pt-BR"/>
        </w:rPr>
        <w:t>and</w:t>
      </w:r>
      <w:proofErr w:type="spellEnd"/>
      <w:r w:rsidRPr="00655FBA">
        <w:rPr>
          <w:rFonts w:cs="Arial"/>
          <w:b w:val="0"/>
          <w:bCs w:val="0"/>
          <w:i w:val="0"/>
          <w:iCs/>
          <w:lang w:val="pt-BR"/>
        </w:rPr>
        <w:t xml:space="preserve"> </w:t>
      </w:r>
      <w:proofErr w:type="spellStart"/>
      <w:r w:rsidRPr="00655FBA">
        <w:rPr>
          <w:rFonts w:cs="Arial"/>
          <w:b w:val="0"/>
          <w:bCs w:val="0"/>
          <w:i w:val="0"/>
          <w:iCs/>
          <w:lang w:val="pt-BR"/>
        </w:rPr>
        <w:t>robust</w:t>
      </w:r>
      <w:proofErr w:type="spellEnd"/>
      <w:r w:rsidRPr="00655FBA">
        <w:rPr>
          <w:rFonts w:cs="Arial"/>
          <w:b w:val="0"/>
          <w:bCs w:val="0"/>
          <w:i w:val="0"/>
          <w:iCs/>
          <w:lang w:val="pt-BR"/>
        </w:rPr>
        <w:t xml:space="preserve"> standard </w:t>
      </w:r>
      <w:proofErr w:type="spellStart"/>
      <w:r w:rsidRPr="00655FBA">
        <w:rPr>
          <w:rFonts w:cs="Arial"/>
          <w:b w:val="0"/>
          <w:bCs w:val="0"/>
          <w:i w:val="0"/>
          <w:iCs/>
          <w:lang w:val="pt-BR"/>
        </w:rPr>
        <w:t>error</w:t>
      </w:r>
      <w:proofErr w:type="spellEnd"/>
      <w:r w:rsidRPr="00655FBA">
        <w:rPr>
          <w:rFonts w:cs="Arial"/>
          <w:b w:val="0"/>
          <w:bCs w:val="0"/>
          <w:i w:val="0"/>
          <w:iCs/>
          <w:lang w:val="pt-BR"/>
        </w:rPr>
        <w:t xml:space="preserve">). The final </w:t>
      </w:r>
      <w:proofErr w:type="spellStart"/>
      <w:r w:rsidRPr="00655FBA">
        <w:rPr>
          <w:rFonts w:cs="Arial"/>
          <w:b w:val="0"/>
          <w:bCs w:val="0"/>
          <w:i w:val="0"/>
          <w:iCs/>
          <w:lang w:val="pt-BR"/>
        </w:rPr>
        <w:t>estimates</w:t>
      </w:r>
      <w:proofErr w:type="spellEnd"/>
      <w:r w:rsidRPr="00655FBA">
        <w:rPr>
          <w:rFonts w:cs="Arial"/>
          <w:b w:val="0"/>
          <w:bCs w:val="0"/>
          <w:i w:val="0"/>
          <w:iCs/>
          <w:lang w:val="pt-BR"/>
        </w:rPr>
        <w:t xml:space="preserve"> </w:t>
      </w:r>
      <w:proofErr w:type="spellStart"/>
      <w:r w:rsidRPr="00655FBA">
        <w:rPr>
          <w:rFonts w:cs="Arial"/>
          <w:b w:val="0"/>
          <w:bCs w:val="0"/>
          <w:i w:val="0"/>
          <w:iCs/>
          <w:lang w:val="pt-BR"/>
        </w:rPr>
        <w:t>were</w:t>
      </w:r>
      <w:proofErr w:type="spellEnd"/>
      <w:r w:rsidRPr="00655FBA">
        <w:rPr>
          <w:rFonts w:cs="Arial"/>
          <w:b w:val="0"/>
          <w:bCs w:val="0"/>
          <w:i w:val="0"/>
          <w:iCs/>
          <w:lang w:val="pt-BR"/>
        </w:rPr>
        <w:t xml:space="preserve"> </w:t>
      </w:r>
      <w:proofErr w:type="spellStart"/>
      <w:r w:rsidRPr="00655FBA">
        <w:rPr>
          <w:rFonts w:cs="Arial"/>
          <w:b w:val="0"/>
          <w:bCs w:val="0"/>
          <w:i w:val="0"/>
          <w:iCs/>
          <w:lang w:val="pt-BR"/>
        </w:rPr>
        <w:t>expressed</w:t>
      </w:r>
      <w:proofErr w:type="spellEnd"/>
      <w:r w:rsidRPr="00655FBA">
        <w:rPr>
          <w:rFonts w:cs="Arial"/>
          <w:b w:val="0"/>
          <w:bCs w:val="0"/>
          <w:i w:val="0"/>
          <w:iCs/>
          <w:lang w:val="pt-BR"/>
        </w:rPr>
        <w:t xml:space="preserve"> as a </w:t>
      </w:r>
      <w:proofErr w:type="spellStart"/>
      <w:r w:rsidRPr="00655FBA">
        <w:rPr>
          <w:rFonts w:cs="Arial"/>
          <w:b w:val="0"/>
          <w:bCs w:val="0"/>
          <w:i w:val="0"/>
          <w:iCs/>
          <w:lang w:val="pt-BR"/>
        </w:rPr>
        <w:t>weighted</w:t>
      </w:r>
      <w:proofErr w:type="spellEnd"/>
      <w:r w:rsidRPr="00655FBA">
        <w:rPr>
          <w:rFonts w:cs="Arial"/>
          <w:b w:val="0"/>
          <w:bCs w:val="0"/>
          <w:i w:val="0"/>
          <w:iCs/>
          <w:lang w:val="pt-BR"/>
        </w:rPr>
        <w:t xml:space="preserve"> </w:t>
      </w:r>
      <w:proofErr w:type="spellStart"/>
      <w:r w:rsidRPr="00655FBA">
        <w:rPr>
          <w:rFonts w:cs="Arial"/>
          <w:b w:val="0"/>
          <w:bCs w:val="0"/>
          <w:i w:val="0"/>
          <w:iCs/>
          <w:lang w:val="pt-BR"/>
        </w:rPr>
        <w:t>mean</w:t>
      </w:r>
      <w:proofErr w:type="spellEnd"/>
      <w:r w:rsidRPr="00655FBA">
        <w:rPr>
          <w:rFonts w:cs="Arial"/>
          <w:b w:val="0"/>
          <w:bCs w:val="0"/>
          <w:i w:val="0"/>
          <w:iCs/>
          <w:lang w:val="pt-BR"/>
        </w:rPr>
        <w:t xml:space="preserve"> </w:t>
      </w:r>
      <w:proofErr w:type="spellStart"/>
      <w:r w:rsidRPr="00655FBA">
        <w:rPr>
          <w:rFonts w:cs="Arial"/>
          <w:b w:val="0"/>
          <w:bCs w:val="0"/>
          <w:i w:val="0"/>
          <w:iCs/>
          <w:lang w:val="pt-BR"/>
        </w:rPr>
        <w:t>ratio</w:t>
      </w:r>
      <w:proofErr w:type="spellEnd"/>
      <w:r w:rsidRPr="00655FBA">
        <w:rPr>
          <w:rFonts w:cs="Arial"/>
          <w:b w:val="0"/>
          <w:bCs w:val="0"/>
          <w:i w:val="0"/>
          <w:iCs/>
          <w:lang w:val="pt-BR"/>
        </w:rPr>
        <w:t xml:space="preserve"> (</w:t>
      </w:r>
      <w:proofErr w:type="spellStart"/>
      <w:r w:rsidRPr="00655FBA">
        <w:rPr>
          <w:rFonts w:cs="Arial"/>
          <w:b w:val="0"/>
          <w:bCs w:val="0"/>
          <w:i w:val="0"/>
          <w:iCs/>
          <w:lang w:val="pt-BR"/>
        </w:rPr>
        <w:t>exp</w:t>
      </w:r>
      <w:proofErr w:type="spellEnd"/>
      <w:r w:rsidRPr="00655FBA">
        <w:rPr>
          <w:rFonts w:cs="Arial"/>
          <w:b w:val="0"/>
          <w:bCs w:val="0"/>
          <w:i w:val="0"/>
          <w:iCs/>
          <w:lang w:val="pt-BR"/>
        </w:rPr>
        <w:t xml:space="preserve">(β)) </w:t>
      </w:r>
      <w:proofErr w:type="spellStart"/>
      <w:r w:rsidRPr="00655FBA">
        <w:rPr>
          <w:rFonts w:cs="Arial"/>
          <w:b w:val="0"/>
          <w:bCs w:val="0"/>
          <w:i w:val="0"/>
          <w:iCs/>
          <w:lang w:val="pt-BR"/>
        </w:rPr>
        <w:t>and</w:t>
      </w:r>
      <w:proofErr w:type="spellEnd"/>
      <w:r w:rsidRPr="00655FBA">
        <w:rPr>
          <w:rFonts w:cs="Arial"/>
          <w:b w:val="0"/>
          <w:bCs w:val="0"/>
          <w:i w:val="0"/>
          <w:iCs/>
          <w:lang w:val="pt-BR"/>
        </w:rPr>
        <w:t xml:space="preserve"> </w:t>
      </w:r>
      <w:proofErr w:type="spellStart"/>
      <w:r w:rsidRPr="00655FBA">
        <w:rPr>
          <w:rFonts w:cs="Arial"/>
          <w:b w:val="0"/>
          <w:bCs w:val="0"/>
          <w:i w:val="0"/>
          <w:iCs/>
          <w:lang w:val="pt-BR"/>
        </w:rPr>
        <w:t>respective</w:t>
      </w:r>
      <w:proofErr w:type="spellEnd"/>
      <w:r w:rsidRPr="00655FBA">
        <w:rPr>
          <w:rFonts w:cs="Arial"/>
          <w:b w:val="0"/>
          <w:bCs w:val="0"/>
          <w:i w:val="0"/>
          <w:iCs/>
          <w:lang w:val="pt-BR"/>
        </w:rPr>
        <w:t xml:space="preserve"> 95% </w:t>
      </w:r>
      <w:proofErr w:type="spellStart"/>
      <w:r w:rsidRPr="00655FBA">
        <w:rPr>
          <w:rFonts w:cs="Arial"/>
          <w:b w:val="0"/>
          <w:bCs w:val="0"/>
          <w:i w:val="0"/>
          <w:iCs/>
          <w:lang w:val="pt-BR"/>
        </w:rPr>
        <w:t>confidence</w:t>
      </w:r>
      <w:proofErr w:type="spellEnd"/>
      <w:r w:rsidRPr="00655FBA">
        <w:rPr>
          <w:rFonts w:cs="Arial"/>
          <w:b w:val="0"/>
          <w:bCs w:val="0"/>
          <w:i w:val="0"/>
          <w:iCs/>
          <w:lang w:val="pt-BR"/>
        </w:rPr>
        <w:t xml:space="preserve"> </w:t>
      </w:r>
      <w:proofErr w:type="spellStart"/>
      <w:r w:rsidRPr="00655FBA">
        <w:rPr>
          <w:rFonts w:cs="Arial"/>
          <w:b w:val="0"/>
          <w:bCs w:val="0"/>
          <w:i w:val="0"/>
          <w:iCs/>
          <w:lang w:val="pt-BR"/>
        </w:rPr>
        <w:t>intervals</w:t>
      </w:r>
      <w:proofErr w:type="spellEnd"/>
      <w:r w:rsidRPr="00655FBA">
        <w:rPr>
          <w:rFonts w:cs="Arial"/>
          <w:b w:val="0"/>
          <w:bCs w:val="0"/>
          <w:i w:val="0"/>
          <w:iCs/>
          <w:lang w:val="pt-BR"/>
        </w:rPr>
        <w:t xml:space="preserve">, </w:t>
      </w:r>
      <w:proofErr w:type="spellStart"/>
      <w:r w:rsidRPr="00655FBA">
        <w:rPr>
          <w:rFonts w:cs="Arial"/>
          <w:b w:val="0"/>
          <w:bCs w:val="0"/>
          <w:i w:val="0"/>
          <w:iCs/>
          <w:lang w:val="pt-BR"/>
        </w:rPr>
        <w:t>representing</w:t>
      </w:r>
      <w:proofErr w:type="spellEnd"/>
      <w:r w:rsidRPr="00655FBA">
        <w:rPr>
          <w:rFonts w:cs="Arial"/>
          <w:b w:val="0"/>
          <w:bCs w:val="0"/>
          <w:i w:val="0"/>
          <w:iCs/>
          <w:lang w:val="pt-BR"/>
        </w:rPr>
        <w:t xml:space="preserve"> </w:t>
      </w:r>
      <w:proofErr w:type="spellStart"/>
      <w:r w:rsidRPr="00655FBA">
        <w:rPr>
          <w:rFonts w:cs="Arial"/>
          <w:b w:val="0"/>
          <w:bCs w:val="0"/>
          <w:i w:val="0"/>
          <w:iCs/>
          <w:lang w:val="pt-BR"/>
        </w:rPr>
        <w:t>the</w:t>
      </w:r>
      <w:proofErr w:type="spellEnd"/>
      <w:r w:rsidRPr="00655FBA">
        <w:rPr>
          <w:rFonts w:cs="Arial"/>
          <w:b w:val="0"/>
          <w:bCs w:val="0"/>
          <w:i w:val="0"/>
          <w:iCs/>
          <w:lang w:val="pt-BR"/>
        </w:rPr>
        <w:t xml:space="preserve"> marginal </w:t>
      </w:r>
      <w:proofErr w:type="spellStart"/>
      <w:r w:rsidRPr="00655FBA">
        <w:rPr>
          <w:rFonts w:cs="Arial"/>
          <w:b w:val="0"/>
          <w:bCs w:val="0"/>
          <w:i w:val="0"/>
          <w:iCs/>
          <w:lang w:val="pt-BR"/>
        </w:rPr>
        <w:t>effect</w:t>
      </w:r>
      <w:proofErr w:type="spellEnd"/>
      <w:r w:rsidRPr="00655FBA">
        <w:rPr>
          <w:rFonts w:cs="Arial"/>
          <w:b w:val="0"/>
          <w:bCs w:val="0"/>
          <w:i w:val="0"/>
          <w:iCs/>
          <w:lang w:val="pt-BR"/>
        </w:rPr>
        <w:t xml:space="preserve"> </w:t>
      </w:r>
      <w:proofErr w:type="spellStart"/>
      <w:r w:rsidRPr="00655FBA">
        <w:rPr>
          <w:rFonts w:cs="Arial"/>
          <w:b w:val="0"/>
          <w:bCs w:val="0"/>
          <w:i w:val="0"/>
          <w:iCs/>
          <w:lang w:val="pt-BR"/>
        </w:rPr>
        <w:t>of</w:t>
      </w:r>
      <w:proofErr w:type="spellEnd"/>
      <w:r w:rsidRPr="00655FBA">
        <w:rPr>
          <w:rFonts w:cs="Arial"/>
          <w:b w:val="0"/>
          <w:bCs w:val="0"/>
          <w:i w:val="0"/>
          <w:iCs/>
          <w:lang w:val="pt-BR"/>
        </w:rPr>
        <w:t xml:space="preserve"> HIV </w:t>
      </w:r>
      <w:proofErr w:type="spellStart"/>
      <w:r w:rsidRPr="00655FBA">
        <w:rPr>
          <w:rFonts w:cs="Arial"/>
          <w:b w:val="0"/>
          <w:bCs w:val="0"/>
          <w:i w:val="0"/>
          <w:iCs/>
          <w:lang w:val="pt-BR"/>
        </w:rPr>
        <w:t>on</w:t>
      </w:r>
      <w:proofErr w:type="spellEnd"/>
      <w:r w:rsidRPr="00655FBA">
        <w:rPr>
          <w:rFonts w:cs="Arial"/>
          <w:b w:val="0"/>
          <w:bCs w:val="0"/>
          <w:i w:val="0"/>
          <w:iCs/>
          <w:lang w:val="pt-BR"/>
        </w:rPr>
        <w:t xml:space="preserve"> </w:t>
      </w:r>
      <w:proofErr w:type="spellStart"/>
      <w:r w:rsidRPr="00655FBA">
        <w:rPr>
          <w:rFonts w:cs="Arial"/>
          <w:b w:val="0"/>
          <w:bCs w:val="0"/>
          <w:i w:val="0"/>
          <w:iCs/>
          <w:lang w:val="pt-BR"/>
        </w:rPr>
        <w:t>each</w:t>
      </w:r>
      <w:proofErr w:type="spellEnd"/>
      <w:r w:rsidRPr="00655FBA">
        <w:rPr>
          <w:rFonts w:cs="Arial"/>
          <w:b w:val="0"/>
          <w:bCs w:val="0"/>
          <w:i w:val="0"/>
          <w:iCs/>
          <w:lang w:val="pt-BR"/>
        </w:rPr>
        <w:t xml:space="preserve"> </w:t>
      </w:r>
      <w:proofErr w:type="spellStart"/>
      <w:r w:rsidRPr="00655FBA">
        <w:rPr>
          <w:rFonts w:cs="Arial"/>
          <w:b w:val="0"/>
          <w:bCs w:val="0"/>
          <w:i w:val="0"/>
          <w:iCs/>
          <w:lang w:val="pt-BR"/>
        </w:rPr>
        <w:t>psychological</w:t>
      </w:r>
      <w:proofErr w:type="spellEnd"/>
      <w:r w:rsidRPr="00655FBA">
        <w:rPr>
          <w:rFonts w:cs="Arial"/>
          <w:b w:val="0"/>
          <w:bCs w:val="0"/>
          <w:i w:val="0"/>
          <w:iCs/>
          <w:lang w:val="pt-BR"/>
        </w:rPr>
        <w:t xml:space="preserve"> </w:t>
      </w:r>
      <w:proofErr w:type="spellStart"/>
      <w:r w:rsidRPr="00655FBA">
        <w:rPr>
          <w:rFonts w:cs="Arial"/>
          <w:b w:val="0"/>
          <w:bCs w:val="0"/>
          <w:i w:val="0"/>
          <w:iCs/>
          <w:lang w:val="pt-BR"/>
        </w:rPr>
        <w:t>outcome</w:t>
      </w:r>
      <w:proofErr w:type="spellEnd"/>
      <w:r w:rsidRPr="00655FBA">
        <w:rPr>
          <w:rFonts w:cs="Arial"/>
          <w:b w:val="0"/>
          <w:bCs w:val="0"/>
          <w:i w:val="0"/>
          <w:iCs/>
          <w:lang w:val="pt-BR"/>
        </w:rPr>
        <w:t xml:space="preserve"> </w:t>
      </w:r>
      <w:proofErr w:type="spellStart"/>
      <w:r w:rsidRPr="00655FBA">
        <w:rPr>
          <w:rFonts w:cs="Arial"/>
          <w:b w:val="0"/>
          <w:bCs w:val="0"/>
          <w:i w:val="0"/>
          <w:iCs/>
          <w:lang w:val="pt-BR"/>
        </w:rPr>
        <w:t>after</w:t>
      </w:r>
      <w:proofErr w:type="spellEnd"/>
      <w:r w:rsidRPr="00655FBA">
        <w:rPr>
          <w:rFonts w:cs="Arial"/>
          <w:b w:val="0"/>
          <w:bCs w:val="0"/>
          <w:i w:val="0"/>
          <w:iCs/>
          <w:lang w:val="pt-BR"/>
        </w:rPr>
        <w:t xml:space="preserve"> </w:t>
      </w:r>
      <w:proofErr w:type="spellStart"/>
      <w:r w:rsidRPr="00655FBA">
        <w:rPr>
          <w:rFonts w:cs="Arial"/>
          <w:b w:val="0"/>
          <w:bCs w:val="0"/>
          <w:i w:val="0"/>
          <w:iCs/>
          <w:lang w:val="pt-BR"/>
        </w:rPr>
        <w:t>controlling</w:t>
      </w:r>
      <w:proofErr w:type="spellEnd"/>
      <w:r w:rsidRPr="00655FBA">
        <w:rPr>
          <w:rFonts w:cs="Arial"/>
          <w:b w:val="0"/>
          <w:bCs w:val="0"/>
          <w:i w:val="0"/>
          <w:iCs/>
          <w:lang w:val="pt-BR"/>
        </w:rPr>
        <w:t xml:space="preserve"> for </w:t>
      </w:r>
      <w:proofErr w:type="spellStart"/>
      <w:r w:rsidRPr="00655FBA">
        <w:rPr>
          <w:rFonts w:cs="Arial"/>
          <w:b w:val="0"/>
          <w:bCs w:val="0"/>
          <w:i w:val="0"/>
          <w:iCs/>
          <w:lang w:val="pt-BR"/>
        </w:rPr>
        <w:t>confounding</w:t>
      </w:r>
      <w:proofErr w:type="spellEnd"/>
      <w:r w:rsidRPr="00655FBA">
        <w:rPr>
          <w:rFonts w:cs="Arial"/>
          <w:b w:val="0"/>
          <w:bCs w:val="0"/>
          <w:i w:val="0"/>
          <w:iCs/>
          <w:lang w:val="pt-BR"/>
        </w:rPr>
        <w:t xml:space="preserve">. </w:t>
      </w:r>
      <w:proofErr w:type="spellStart"/>
      <w:r w:rsidRPr="00655FBA">
        <w:rPr>
          <w:rFonts w:cs="Arial"/>
          <w:b w:val="0"/>
          <w:bCs w:val="0"/>
          <w:i w:val="0"/>
          <w:iCs/>
          <w:lang w:val="pt-BR"/>
        </w:rPr>
        <w:t>Robustness</w:t>
      </w:r>
      <w:proofErr w:type="spellEnd"/>
      <w:r w:rsidRPr="00655FBA">
        <w:rPr>
          <w:rFonts w:cs="Arial"/>
          <w:b w:val="0"/>
          <w:bCs w:val="0"/>
          <w:i w:val="0"/>
          <w:iCs/>
          <w:lang w:val="pt-BR"/>
        </w:rPr>
        <w:t xml:space="preserve"> </w:t>
      </w:r>
      <w:proofErr w:type="spellStart"/>
      <w:r w:rsidRPr="00655FBA">
        <w:rPr>
          <w:rFonts w:cs="Arial"/>
          <w:b w:val="0"/>
          <w:bCs w:val="0"/>
          <w:i w:val="0"/>
          <w:iCs/>
          <w:lang w:val="pt-BR"/>
        </w:rPr>
        <w:t>analysis</w:t>
      </w:r>
      <w:proofErr w:type="spellEnd"/>
      <w:r w:rsidRPr="00655FBA">
        <w:rPr>
          <w:rFonts w:cs="Arial"/>
          <w:b w:val="0"/>
          <w:bCs w:val="0"/>
          <w:i w:val="0"/>
          <w:iCs/>
          <w:lang w:val="pt-BR"/>
        </w:rPr>
        <w:t xml:space="preserve"> </w:t>
      </w:r>
      <w:proofErr w:type="spellStart"/>
      <w:r w:rsidRPr="00655FBA">
        <w:rPr>
          <w:rFonts w:cs="Arial"/>
          <w:b w:val="0"/>
          <w:bCs w:val="0"/>
          <w:i w:val="0"/>
          <w:iCs/>
          <w:lang w:val="pt-BR"/>
        </w:rPr>
        <w:t>to</w:t>
      </w:r>
      <w:proofErr w:type="spellEnd"/>
      <w:r w:rsidRPr="00655FBA">
        <w:rPr>
          <w:rFonts w:cs="Arial"/>
          <w:b w:val="0"/>
          <w:bCs w:val="0"/>
          <w:i w:val="0"/>
          <w:iCs/>
          <w:lang w:val="pt-BR"/>
        </w:rPr>
        <w:t xml:space="preserve"> </w:t>
      </w:r>
      <w:proofErr w:type="spellStart"/>
      <w:r w:rsidRPr="00655FBA">
        <w:rPr>
          <w:rFonts w:cs="Arial"/>
          <w:b w:val="0"/>
          <w:bCs w:val="0"/>
          <w:i w:val="0"/>
          <w:iCs/>
          <w:lang w:val="pt-BR"/>
        </w:rPr>
        <w:t>unmeasured</w:t>
      </w:r>
      <w:proofErr w:type="spellEnd"/>
      <w:r w:rsidRPr="00655FBA">
        <w:rPr>
          <w:rFonts w:cs="Arial"/>
          <w:b w:val="0"/>
          <w:bCs w:val="0"/>
          <w:i w:val="0"/>
          <w:iCs/>
          <w:lang w:val="pt-BR"/>
        </w:rPr>
        <w:t xml:space="preserve"> </w:t>
      </w:r>
      <w:proofErr w:type="spellStart"/>
      <w:r w:rsidRPr="00655FBA">
        <w:rPr>
          <w:rFonts w:cs="Arial"/>
          <w:b w:val="0"/>
          <w:bCs w:val="0"/>
          <w:i w:val="0"/>
          <w:iCs/>
          <w:lang w:val="pt-BR"/>
        </w:rPr>
        <w:t>confounding</w:t>
      </w:r>
      <w:proofErr w:type="spellEnd"/>
      <w:r w:rsidRPr="00655FBA">
        <w:rPr>
          <w:rFonts w:cs="Arial"/>
          <w:b w:val="0"/>
          <w:bCs w:val="0"/>
          <w:i w:val="0"/>
          <w:iCs/>
          <w:lang w:val="pt-BR"/>
        </w:rPr>
        <w:t xml:space="preserve"> (E-</w:t>
      </w:r>
      <w:proofErr w:type="spellStart"/>
      <w:r w:rsidRPr="00655FBA">
        <w:rPr>
          <w:rFonts w:cs="Arial"/>
          <w:b w:val="0"/>
          <w:bCs w:val="0"/>
          <w:i w:val="0"/>
          <w:iCs/>
          <w:lang w:val="pt-BR"/>
        </w:rPr>
        <w:t>values</w:t>
      </w:r>
      <w:proofErr w:type="spellEnd"/>
      <w:r w:rsidRPr="00655FBA">
        <w:rPr>
          <w:rFonts w:cs="Arial"/>
          <w:b w:val="0"/>
          <w:bCs w:val="0"/>
          <w:i w:val="0"/>
          <w:iCs/>
          <w:lang w:val="pt-BR"/>
        </w:rPr>
        <w:t xml:space="preserve">) </w:t>
      </w:r>
      <w:proofErr w:type="spellStart"/>
      <w:r w:rsidRPr="00655FBA">
        <w:rPr>
          <w:rFonts w:cs="Arial"/>
          <w:b w:val="0"/>
          <w:bCs w:val="0"/>
          <w:i w:val="0"/>
          <w:iCs/>
          <w:lang w:val="pt-BR"/>
        </w:rPr>
        <w:t>was</w:t>
      </w:r>
      <w:proofErr w:type="spellEnd"/>
      <w:r w:rsidRPr="00655FBA">
        <w:rPr>
          <w:rFonts w:cs="Arial"/>
          <w:b w:val="0"/>
          <w:bCs w:val="0"/>
          <w:i w:val="0"/>
          <w:iCs/>
          <w:lang w:val="pt-BR"/>
        </w:rPr>
        <w:t xml:space="preserve"> </w:t>
      </w:r>
      <w:proofErr w:type="spellStart"/>
      <w:r w:rsidRPr="00655FBA">
        <w:rPr>
          <w:rFonts w:cs="Arial"/>
          <w:b w:val="0"/>
          <w:bCs w:val="0"/>
          <w:i w:val="0"/>
          <w:iCs/>
          <w:lang w:val="pt-BR"/>
        </w:rPr>
        <w:t>performed</w:t>
      </w:r>
      <w:proofErr w:type="spellEnd"/>
      <w:r w:rsidRPr="00655FBA">
        <w:rPr>
          <w:rFonts w:cs="Arial"/>
          <w:b w:val="0"/>
          <w:bCs w:val="0"/>
          <w:i w:val="0"/>
          <w:iCs/>
          <w:lang w:val="pt-BR"/>
        </w:rPr>
        <w:t>. E-</w:t>
      </w:r>
      <w:proofErr w:type="spellStart"/>
      <w:proofErr w:type="gramStart"/>
      <w:r w:rsidRPr="00655FBA">
        <w:rPr>
          <w:rFonts w:cs="Arial"/>
          <w:b w:val="0"/>
          <w:bCs w:val="0"/>
          <w:i w:val="0"/>
          <w:iCs/>
          <w:lang w:val="pt-BR"/>
        </w:rPr>
        <w:t>values</w:t>
      </w:r>
      <w:proofErr w:type="spellEnd"/>
      <w:proofErr w:type="gramEnd"/>
      <w:r w:rsidRPr="00655FBA">
        <w:rPr>
          <w:rFonts w:cs="Arial"/>
          <w:b w:val="0"/>
          <w:bCs w:val="0"/>
          <w:i w:val="0"/>
          <w:iCs/>
          <w:lang w:val="pt-BR"/>
        </w:rPr>
        <w:t xml:space="preserve"> ​​</w:t>
      </w:r>
      <w:proofErr w:type="spellStart"/>
      <w:r w:rsidRPr="00655FBA">
        <w:rPr>
          <w:rFonts w:cs="Arial"/>
          <w:b w:val="0"/>
          <w:bCs w:val="0"/>
          <w:i w:val="0"/>
          <w:iCs/>
          <w:lang w:val="pt-BR"/>
        </w:rPr>
        <w:t>were</w:t>
      </w:r>
      <w:proofErr w:type="spellEnd"/>
      <w:r w:rsidRPr="00655FBA">
        <w:rPr>
          <w:rFonts w:cs="Arial"/>
          <w:b w:val="0"/>
          <w:bCs w:val="0"/>
          <w:i w:val="0"/>
          <w:iCs/>
          <w:lang w:val="pt-BR"/>
        </w:rPr>
        <w:t xml:space="preserve"> </w:t>
      </w:r>
      <w:proofErr w:type="spellStart"/>
      <w:r w:rsidRPr="00655FBA">
        <w:rPr>
          <w:rFonts w:cs="Arial"/>
          <w:b w:val="0"/>
          <w:bCs w:val="0"/>
          <w:i w:val="0"/>
          <w:iCs/>
          <w:lang w:val="pt-BR"/>
        </w:rPr>
        <w:t>calculated</w:t>
      </w:r>
      <w:proofErr w:type="spellEnd"/>
      <w:r w:rsidRPr="00655FBA">
        <w:rPr>
          <w:rFonts w:cs="Arial"/>
          <w:b w:val="0"/>
          <w:bCs w:val="0"/>
          <w:i w:val="0"/>
          <w:iCs/>
          <w:lang w:val="pt-BR"/>
        </w:rPr>
        <w:t xml:space="preserve"> </w:t>
      </w:r>
      <w:proofErr w:type="spellStart"/>
      <w:r w:rsidRPr="00655FBA">
        <w:rPr>
          <w:rFonts w:cs="Arial"/>
          <w:b w:val="0"/>
          <w:bCs w:val="0"/>
          <w:i w:val="0"/>
          <w:iCs/>
          <w:lang w:val="pt-BR"/>
        </w:rPr>
        <w:t>according</w:t>
      </w:r>
      <w:proofErr w:type="spellEnd"/>
      <w:r w:rsidRPr="00655FBA">
        <w:rPr>
          <w:rFonts w:cs="Arial"/>
          <w:b w:val="0"/>
          <w:bCs w:val="0"/>
          <w:i w:val="0"/>
          <w:iCs/>
          <w:lang w:val="pt-BR"/>
        </w:rPr>
        <w:t xml:space="preserve"> </w:t>
      </w:r>
      <w:proofErr w:type="spellStart"/>
      <w:r w:rsidRPr="00655FBA">
        <w:rPr>
          <w:rFonts w:cs="Arial"/>
          <w:b w:val="0"/>
          <w:bCs w:val="0"/>
          <w:i w:val="0"/>
          <w:iCs/>
          <w:lang w:val="pt-BR"/>
        </w:rPr>
        <w:t>to</w:t>
      </w:r>
      <w:proofErr w:type="spellEnd"/>
      <w:r w:rsidRPr="00655FBA">
        <w:rPr>
          <w:rFonts w:cs="Arial"/>
          <w:b w:val="0"/>
          <w:bCs w:val="0"/>
          <w:i w:val="0"/>
          <w:iCs/>
          <w:lang w:val="pt-BR"/>
        </w:rPr>
        <w:t xml:space="preserve"> </w:t>
      </w:r>
      <w:proofErr w:type="spellStart"/>
      <w:r w:rsidRPr="00655FBA">
        <w:rPr>
          <w:rFonts w:cs="Arial"/>
          <w:b w:val="0"/>
          <w:bCs w:val="0"/>
          <w:i w:val="0"/>
          <w:iCs/>
          <w:lang w:val="pt-BR"/>
        </w:rPr>
        <w:t>VanderWeele</w:t>
      </w:r>
      <w:proofErr w:type="spellEnd"/>
      <w:r w:rsidRPr="00655FBA">
        <w:rPr>
          <w:rFonts w:cs="Arial"/>
          <w:b w:val="0"/>
          <w:bCs w:val="0"/>
          <w:i w:val="0"/>
          <w:iCs/>
          <w:lang w:val="pt-BR"/>
        </w:rPr>
        <w:t xml:space="preserve"> &amp; Ding (2017). For </w:t>
      </w:r>
      <w:proofErr w:type="spellStart"/>
      <w:r w:rsidRPr="00655FBA">
        <w:rPr>
          <w:rFonts w:cs="Arial"/>
          <w:b w:val="0"/>
          <w:bCs w:val="0"/>
          <w:i w:val="0"/>
          <w:iCs/>
          <w:lang w:val="pt-BR"/>
        </w:rPr>
        <w:t>ratios</w:t>
      </w:r>
      <w:proofErr w:type="spellEnd"/>
      <w:r w:rsidRPr="00655FBA">
        <w:rPr>
          <w:rFonts w:cs="Arial"/>
          <w:b w:val="0"/>
          <w:bCs w:val="0"/>
          <w:i w:val="0"/>
          <w:iCs/>
          <w:lang w:val="pt-BR"/>
        </w:rPr>
        <w:t xml:space="preserve"> &lt; 1, </w:t>
      </w:r>
      <w:proofErr w:type="spellStart"/>
      <w:r w:rsidRPr="00655FBA">
        <w:rPr>
          <w:rFonts w:cs="Arial"/>
          <w:b w:val="0"/>
          <w:bCs w:val="0"/>
          <w:i w:val="0"/>
          <w:iCs/>
          <w:lang w:val="pt-BR"/>
        </w:rPr>
        <w:t>the</w:t>
      </w:r>
      <w:proofErr w:type="spellEnd"/>
      <w:r w:rsidRPr="00655FBA">
        <w:rPr>
          <w:rFonts w:cs="Arial"/>
          <w:b w:val="0"/>
          <w:bCs w:val="0"/>
          <w:i w:val="0"/>
          <w:iCs/>
          <w:lang w:val="pt-BR"/>
        </w:rPr>
        <w:t xml:space="preserve"> </w:t>
      </w:r>
      <w:proofErr w:type="spellStart"/>
      <w:r w:rsidRPr="00655FBA">
        <w:rPr>
          <w:rFonts w:cs="Arial"/>
          <w:b w:val="0"/>
          <w:bCs w:val="0"/>
          <w:i w:val="0"/>
          <w:iCs/>
          <w:lang w:val="pt-BR"/>
        </w:rPr>
        <w:t>inverse</w:t>
      </w:r>
      <w:proofErr w:type="spellEnd"/>
      <w:r w:rsidRPr="00655FBA">
        <w:rPr>
          <w:rFonts w:cs="Arial"/>
          <w:b w:val="0"/>
          <w:bCs w:val="0"/>
          <w:i w:val="0"/>
          <w:iCs/>
          <w:lang w:val="pt-BR"/>
        </w:rPr>
        <w:t xml:space="preserve"> </w:t>
      </w:r>
      <w:proofErr w:type="spellStart"/>
      <w:r w:rsidRPr="00655FBA">
        <w:rPr>
          <w:rFonts w:cs="Arial"/>
          <w:b w:val="0"/>
          <w:bCs w:val="0"/>
          <w:i w:val="0"/>
          <w:iCs/>
          <w:lang w:val="pt-BR"/>
        </w:rPr>
        <w:t>transformation</w:t>
      </w:r>
      <w:proofErr w:type="spellEnd"/>
      <w:r w:rsidRPr="00655FBA">
        <w:rPr>
          <w:rFonts w:cs="Arial"/>
          <w:b w:val="0"/>
          <w:bCs w:val="0"/>
          <w:i w:val="0"/>
          <w:iCs/>
          <w:lang w:val="pt-BR"/>
        </w:rPr>
        <w:t xml:space="preserve"> (1/RR) </w:t>
      </w:r>
      <w:proofErr w:type="spellStart"/>
      <w:r w:rsidRPr="00655FBA">
        <w:rPr>
          <w:rFonts w:cs="Arial"/>
          <w:b w:val="0"/>
          <w:bCs w:val="0"/>
          <w:i w:val="0"/>
          <w:iCs/>
          <w:lang w:val="pt-BR"/>
        </w:rPr>
        <w:t>was</w:t>
      </w:r>
      <w:proofErr w:type="spellEnd"/>
      <w:r w:rsidRPr="00655FBA">
        <w:rPr>
          <w:rFonts w:cs="Arial"/>
          <w:b w:val="0"/>
          <w:bCs w:val="0"/>
          <w:i w:val="0"/>
          <w:iCs/>
          <w:lang w:val="pt-BR"/>
        </w:rPr>
        <w:t xml:space="preserve"> </w:t>
      </w:r>
      <w:proofErr w:type="spellStart"/>
      <w:r w:rsidRPr="00655FBA">
        <w:rPr>
          <w:rFonts w:cs="Arial"/>
          <w:b w:val="0"/>
          <w:bCs w:val="0"/>
          <w:i w:val="0"/>
          <w:iCs/>
          <w:lang w:val="pt-BR"/>
        </w:rPr>
        <w:t>applied</w:t>
      </w:r>
      <w:proofErr w:type="spellEnd"/>
      <w:r w:rsidRPr="00655FBA">
        <w:rPr>
          <w:rFonts w:cs="Arial"/>
          <w:b w:val="0"/>
          <w:bCs w:val="0"/>
          <w:i w:val="0"/>
          <w:iCs/>
          <w:lang w:val="pt-BR"/>
        </w:rPr>
        <w:t xml:space="preserve"> </w:t>
      </w:r>
      <w:proofErr w:type="spellStart"/>
      <w:r w:rsidRPr="00655FBA">
        <w:rPr>
          <w:rFonts w:cs="Arial"/>
          <w:b w:val="0"/>
          <w:bCs w:val="0"/>
          <w:i w:val="0"/>
          <w:iCs/>
          <w:lang w:val="pt-BR"/>
        </w:rPr>
        <w:t>before</w:t>
      </w:r>
      <w:proofErr w:type="spellEnd"/>
      <w:r w:rsidRPr="00655FBA">
        <w:rPr>
          <w:rFonts w:cs="Arial"/>
          <w:b w:val="0"/>
          <w:bCs w:val="0"/>
          <w:i w:val="0"/>
          <w:iCs/>
          <w:lang w:val="pt-BR"/>
        </w:rPr>
        <w:t xml:space="preserve"> </w:t>
      </w:r>
      <w:proofErr w:type="spellStart"/>
      <w:r w:rsidRPr="00655FBA">
        <w:rPr>
          <w:rFonts w:cs="Arial"/>
          <w:b w:val="0"/>
          <w:bCs w:val="0"/>
          <w:i w:val="0"/>
          <w:iCs/>
          <w:lang w:val="pt-BR"/>
        </w:rPr>
        <w:t>calculation</w:t>
      </w:r>
      <w:proofErr w:type="spellEnd"/>
      <w:r w:rsidRPr="00655FBA">
        <w:rPr>
          <w:rFonts w:cs="Arial"/>
          <w:b w:val="0"/>
          <w:bCs w:val="0"/>
          <w:i w:val="0"/>
          <w:iCs/>
          <w:lang w:val="pt-BR"/>
        </w:rPr>
        <w:t>.</w:t>
      </w:r>
    </w:p>
    <w:p w14:paraId="75CF3319" w14:textId="77777777" w:rsidR="00655FBA" w:rsidRPr="00655FBA" w:rsidRDefault="00655FBA" w:rsidP="00655FBA">
      <w:pPr>
        <w:pStyle w:val="Ttulo2"/>
        <w:spacing w:before="0" w:line="360" w:lineRule="auto"/>
        <w:ind w:firstLine="709"/>
        <w:jc w:val="both"/>
        <w:rPr>
          <w:rFonts w:cs="Arial"/>
          <w:b w:val="0"/>
          <w:bCs w:val="0"/>
          <w:i w:val="0"/>
          <w:iCs/>
          <w:lang w:val="pt-BR"/>
        </w:rPr>
      </w:pPr>
      <w:r w:rsidRPr="00655FBA">
        <w:rPr>
          <w:rFonts w:cs="Arial"/>
          <w:b w:val="0"/>
          <w:bCs w:val="0"/>
          <w:i w:val="0"/>
          <w:iCs/>
          <w:lang w:val="pt-BR"/>
        </w:rPr>
        <w:lastRenderedPageBreak/>
        <w:t xml:space="preserve">The </w:t>
      </w:r>
      <w:proofErr w:type="spellStart"/>
      <w:r w:rsidRPr="00655FBA">
        <w:rPr>
          <w:rFonts w:cs="Arial"/>
          <w:b w:val="0"/>
          <w:bCs w:val="0"/>
          <w:i w:val="0"/>
          <w:iCs/>
          <w:lang w:val="pt-BR"/>
        </w:rPr>
        <w:t>selection</w:t>
      </w:r>
      <w:proofErr w:type="spellEnd"/>
      <w:r w:rsidRPr="00655FBA">
        <w:rPr>
          <w:rFonts w:cs="Arial"/>
          <w:b w:val="0"/>
          <w:bCs w:val="0"/>
          <w:i w:val="0"/>
          <w:iCs/>
          <w:lang w:val="pt-BR"/>
        </w:rPr>
        <w:t xml:space="preserve"> </w:t>
      </w:r>
      <w:proofErr w:type="spellStart"/>
      <w:r w:rsidRPr="00655FBA">
        <w:rPr>
          <w:rFonts w:cs="Arial"/>
          <w:b w:val="0"/>
          <w:bCs w:val="0"/>
          <w:i w:val="0"/>
          <w:iCs/>
          <w:lang w:val="pt-BR"/>
        </w:rPr>
        <w:t>of</w:t>
      </w:r>
      <w:proofErr w:type="spellEnd"/>
      <w:r w:rsidRPr="00655FBA">
        <w:rPr>
          <w:rFonts w:cs="Arial"/>
          <w:b w:val="0"/>
          <w:bCs w:val="0"/>
          <w:i w:val="0"/>
          <w:iCs/>
          <w:lang w:val="pt-BR"/>
        </w:rPr>
        <w:t xml:space="preserve"> </w:t>
      </w:r>
      <w:proofErr w:type="spellStart"/>
      <w:r w:rsidRPr="00655FBA">
        <w:rPr>
          <w:rFonts w:cs="Arial"/>
          <w:b w:val="0"/>
          <w:bCs w:val="0"/>
          <w:i w:val="0"/>
          <w:iCs/>
          <w:lang w:val="pt-BR"/>
        </w:rPr>
        <w:t>independent</w:t>
      </w:r>
      <w:proofErr w:type="spellEnd"/>
      <w:r w:rsidRPr="00655FBA">
        <w:rPr>
          <w:rFonts w:cs="Arial"/>
          <w:b w:val="0"/>
          <w:bCs w:val="0"/>
          <w:i w:val="0"/>
          <w:iCs/>
          <w:lang w:val="pt-BR"/>
        </w:rPr>
        <w:t xml:space="preserve"> </w:t>
      </w:r>
      <w:proofErr w:type="spellStart"/>
      <w:r w:rsidRPr="00655FBA">
        <w:rPr>
          <w:rFonts w:cs="Arial"/>
          <w:b w:val="0"/>
          <w:bCs w:val="0"/>
          <w:i w:val="0"/>
          <w:iCs/>
          <w:lang w:val="pt-BR"/>
        </w:rPr>
        <w:t>variables</w:t>
      </w:r>
      <w:proofErr w:type="spellEnd"/>
      <w:r w:rsidRPr="00655FBA">
        <w:rPr>
          <w:rFonts w:cs="Arial"/>
          <w:b w:val="0"/>
          <w:bCs w:val="0"/>
          <w:i w:val="0"/>
          <w:iCs/>
          <w:lang w:val="pt-BR"/>
        </w:rPr>
        <w:t xml:space="preserve"> </w:t>
      </w:r>
      <w:proofErr w:type="spellStart"/>
      <w:r w:rsidRPr="00655FBA">
        <w:rPr>
          <w:rFonts w:cs="Arial"/>
          <w:b w:val="0"/>
          <w:bCs w:val="0"/>
          <w:i w:val="0"/>
          <w:iCs/>
          <w:lang w:val="pt-BR"/>
        </w:rPr>
        <w:t>was</w:t>
      </w:r>
      <w:proofErr w:type="spellEnd"/>
      <w:r w:rsidRPr="00655FBA">
        <w:rPr>
          <w:rFonts w:cs="Arial"/>
          <w:b w:val="0"/>
          <w:bCs w:val="0"/>
          <w:i w:val="0"/>
          <w:iCs/>
          <w:lang w:val="pt-BR"/>
        </w:rPr>
        <w:t xml:space="preserve"> </w:t>
      </w:r>
      <w:proofErr w:type="spellStart"/>
      <w:r w:rsidRPr="00655FBA">
        <w:rPr>
          <w:rFonts w:cs="Arial"/>
          <w:b w:val="0"/>
          <w:bCs w:val="0"/>
          <w:i w:val="0"/>
          <w:iCs/>
          <w:lang w:val="pt-BR"/>
        </w:rPr>
        <w:t>conducted</w:t>
      </w:r>
      <w:proofErr w:type="spellEnd"/>
      <w:r w:rsidRPr="00655FBA">
        <w:rPr>
          <w:rFonts w:cs="Arial"/>
          <w:b w:val="0"/>
          <w:bCs w:val="0"/>
          <w:i w:val="0"/>
          <w:iCs/>
          <w:lang w:val="pt-BR"/>
        </w:rPr>
        <w:t xml:space="preserve"> </w:t>
      </w:r>
      <w:proofErr w:type="spellStart"/>
      <w:r w:rsidRPr="00655FBA">
        <w:rPr>
          <w:rFonts w:cs="Arial"/>
          <w:b w:val="0"/>
          <w:bCs w:val="0"/>
          <w:i w:val="0"/>
          <w:iCs/>
          <w:lang w:val="pt-BR"/>
        </w:rPr>
        <w:t>using</w:t>
      </w:r>
      <w:proofErr w:type="spellEnd"/>
      <w:r w:rsidRPr="00655FBA">
        <w:rPr>
          <w:rFonts w:cs="Arial"/>
          <w:b w:val="0"/>
          <w:bCs w:val="0"/>
          <w:i w:val="0"/>
          <w:iCs/>
          <w:lang w:val="pt-BR"/>
        </w:rPr>
        <w:t xml:space="preserve"> </w:t>
      </w:r>
      <w:proofErr w:type="spellStart"/>
      <w:r w:rsidRPr="00655FBA">
        <w:rPr>
          <w:rFonts w:cs="Arial"/>
          <w:b w:val="0"/>
          <w:bCs w:val="0"/>
          <w:i w:val="0"/>
          <w:iCs/>
          <w:lang w:val="pt-BR"/>
        </w:rPr>
        <w:t>the</w:t>
      </w:r>
      <w:proofErr w:type="spellEnd"/>
      <w:r w:rsidRPr="00655FBA">
        <w:rPr>
          <w:rFonts w:cs="Arial"/>
          <w:b w:val="0"/>
          <w:bCs w:val="0"/>
          <w:i w:val="0"/>
          <w:iCs/>
          <w:lang w:val="pt-BR"/>
        </w:rPr>
        <w:t xml:space="preserve"> </w:t>
      </w:r>
      <w:proofErr w:type="spellStart"/>
      <w:r w:rsidRPr="00655FBA">
        <w:rPr>
          <w:rFonts w:cs="Arial"/>
          <w:b w:val="0"/>
          <w:bCs w:val="0"/>
          <w:i w:val="0"/>
          <w:iCs/>
          <w:lang w:val="pt-BR"/>
        </w:rPr>
        <w:t>backward</w:t>
      </w:r>
      <w:proofErr w:type="spellEnd"/>
      <w:r w:rsidRPr="00655FBA">
        <w:rPr>
          <w:rFonts w:cs="Arial"/>
          <w:b w:val="0"/>
          <w:bCs w:val="0"/>
          <w:i w:val="0"/>
          <w:iCs/>
          <w:lang w:val="pt-BR"/>
        </w:rPr>
        <w:t xml:space="preserve"> </w:t>
      </w:r>
      <w:proofErr w:type="spellStart"/>
      <w:r w:rsidRPr="00655FBA">
        <w:rPr>
          <w:rFonts w:cs="Arial"/>
          <w:b w:val="0"/>
          <w:bCs w:val="0"/>
          <w:i w:val="0"/>
          <w:iCs/>
          <w:lang w:val="pt-BR"/>
        </w:rPr>
        <w:t>stepwise</w:t>
      </w:r>
      <w:proofErr w:type="spellEnd"/>
      <w:r w:rsidRPr="00655FBA">
        <w:rPr>
          <w:rFonts w:cs="Arial"/>
          <w:b w:val="0"/>
          <w:bCs w:val="0"/>
          <w:i w:val="0"/>
          <w:iCs/>
          <w:lang w:val="pt-BR"/>
        </w:rPr>
        <w:t xml:space="preserve"> </w:t>
      </w:r>
      <w:proofErr w:type="spellStart"/>
      <w:r w:rsidRPr="00655FBA">
        <w:rPr>
          <w:rFonts w:cs="Arial"/>
          <w:b w:val="0"/>
          <w:bCs w:val="0"/>
          <w:i w:val="0"/>
          <w:iCs/>
          <w:lang w:val="pt-BR"/>
        </w:rPr>
        <w:t>method</w:t>
      </w:r>
      <w:proofErr w:type="spellEnd"/>
      <w:r w:rsidRPr="00655FBA">
        <w:rPr>
          <w:rFonts w:cs="Arial"/>
          <w:b w:val="0"/>
          <w:bCs w:val="0"/>
          <w:i w:val="0"/>
          <w:iCs/>
          <w:lang w:val="pt-BR"/>
        </w:rPr>
        <w:t xml:space="preserve">, </w:t>
      </w:r>
      <w:proofErr w:type="spellStart"/>
      <w:r w:rsidRPr="00655FBA">
        <w:rPr>
          <w:rFonts w:cs="Arial"/>
          <w:b w:val="0"/>
          <w:bCs w:val="0"/>
          <w:i w:val="0"/>
          <w:iCs/>
          <w:lang w:val="pt-BR"/>
        </w:rPr>
        <w:t>keeping</w:t>
      </w:r>
      <w:proofErr w:type="spellEnd"/>
      <w:r w:rsidRPr="00655FBA">
        <w:rPr>
          <w:rFonts w:cs="Arial"/>
          <w:b w:val="0"/>
          <w:bCs w:val="0"/>
          <w:i w:val="0"/>
          <w:iCs/>
          <w:lang w:val="pt-BR"/>
        </w:rPr>
        <w:t xml:space="preserve"> in </w:t>
      </w:r>
      <w:proofErr w:type="spellStart"/>
      <w:r w:rsidRPr="00655FBA">
        <w:rPr>
          <w:rFonts w:cs="Arial"/>
          <w:b w:val="0"/>
          <w:bCs w:val="0"/>
          <w:i w:val="0"/>
          <w:iCs/>
          <w:lang w:val="pt-BR"/>
        </w:rPr>
        <w:t>the</w:t>
      </w:r>
      <w:proofErr w:type="spellEnd"/>
      <w:r w:rsidRPr="00655FBA">
        <w:rPr>
          <w:rFonts w:cs="Arial"/>
          <w:b w:val="0"/>
          <w:bCs w:val="0"/>
          <w:i w:val="0"/>
          <w:iCs/>
          <w:lang w:val="pt-BR"/>
        </w:rPr>
        <w:t xml:space="preserve"> final model </w:t>
      </w:r>
      <w:proofErr w:type="spellStart"/>
      <w:r w:rsidRPr="00655FBA">
        <w:rPr>
          <w:rFonts w:cs="Arial"/>
          <w:b w:val="0"/>
          <w:bCs w:val="0"/>
          <w:i w:val="0"/>
          <w:iCs/>
          <w:lang w:val="pt-BR"/>
        </w:rPr>
        <w:t>the</w:t>
      </w:r>
      <w:proofErr w:type="spellEnd"/>
      <w:r w:rsidRPr="00655FBA">
        <w:rPr>
          <w:rFonts w:cs="Arial"/>
          <w:b w:val="0"/>
          <w:bCs w:val="0"/>
          <w:i w:val="0"/>
          <w:iCs/>
          <w:lang w:val="pt-BR"/>
        </w:rPr>
        <w:t xml:space="preserve"> </w:t>
      </w:r>
      <w:proofErr w:type="spellStart"/>
      <w:r w:rsidRPr="00655FBA">
        <w:rPr>
          <w:rFonts w:cs="Arial"/>
          <w:b w:val="0"/>
          <w:bCs w:val="0"/>
          <w:i w:val="0"/>
          <w:iCs/>
          <w:lang w:val="pt-BR"/>
        </w:rPr>
        <w:t>variables</w:t>
      </w:r>
      <w:proofErr w:type="spellEnd"/>
      <w:r w:rsidRPr="00655FBA">
        <w:rPr>
          <w:rFonts w:cs="Arial"/>
          <w:b w:val="0"/>
          <w:bCs w:val="0"/>
          <w:i w:val="0"/>
          <w:iCs/>
          <w:lang w:val="pt-BR"/>
        </w:rPr>
        <w:t xml:space="preserve"> </w:t>
      </w:r>
      <w:proofErr w:type="spellStart"/>
      <w:r w:rsidRPr="00655FBA">
        <w:rPr>
          <w:rFonts w:cs="Arial"/>
          <w:b w:val="0"/>
          <w:bCs w:val="0"/>
          <w:i w:val="0"/>
          <w:iCs/>
          <w:lang w:val="pt-BR"/>
        </w:rPr>
        <w:t>that</w:t>
      </w:r>
      <w:proofErr w:type="spellEnd"/>
      <w:r w:rsidRPr="00655FBA">
        <w:rPr>
          <w:rFonts w:cs="Arial"/>
          <w:b w:val="0"/>
          <w:bCs w:val="0"/>
          <w:i w:val="0"/>
          <w:iCs/>
          <w:lang w:val="pt-BR"/>
        </w:rPr>
        <w:t xml:space="preserve"> </w:t>
      </w:r>
      <w:proofErr w:type="spellStart"/>
      <w:r w:rsidRPr="00655FBA">
        <w:rPr>
          <w:rFonts w:cs="Arial"/>
          <w:b w:val="0"/>
          <w:bCs w:val="0"/>
          <w:i w:val="0"/>
          <w:iCs/>
          <w:lang w:val="pt-BR"/>
        </w:rPr>
        <w:t>were</w:t>
      </w:r>
      <w:proofErr w:type="spellEnd"/>
      <w:r w:rsidRPr="00655FBA">
        <w:rPr>
          <w:rFonts w:cs="Arial"/>
          <w:b w:val="0"/>
          <w:bCs w:val="0"/>
          <w:i w:val="0"/>
          <w:iCs/>
          <w:lang w:val="pt-BR"/>
        </w:rPr>
        <w:t xml:space="preserve"> </w:t>
      </w:r>
      <w:proofErr w:type="spellStart"/>
      <w:r w:rsidRPr="00655FBA">
        <w:rPr>
          <w:rFonts w:cs="Arial"/>
          <w:b w:val="0"/>
          <w:bCs w:val="0"/>
          <w:i w:val="0"/>
          <w:iCs/>
          <w:lang w:val="pt-BR"/>
        </w:rPr>
        <w:t>statistically</w:t>
      </w:r>
      <w:proofErr w:type="spellEnd"/>
      <w:r w:rsidRPr="00655FBA">
        <w:rPr>
          <w:rFonts w:cs="Arial"/>
          <w:b w:val="0"/>
          <w:bCs w:val="0"/>
          <w:i w:val="0"/>
          <w:iCs/>
          <w:lang w:val="pt-BR"/>
        </w:rPr>
        <w:t xml:space="preserve"> </w:t>
      </w:r>
      <w:proofErr w:type="spellStart"/>
      <w:r w:rsidRPr="00655FBA">
        <w:rPr>
          <w:rFonts w:cs="Arial"/>
          <w:b w:val="0"/>
          <w:bCs w:val="0"/>
          <w:i w:val="0"/>
          <w:iCs/>
          <w:lang w:val="pt-BR"/>
        </w:rPr>
        <w:t>significant</w:t>
      </w:r>
      <w:proofErr w:type="spellEnd"/>
      <w:r w:rsidRPr="00655FBA">
        <w:rPr>
          <w:rFonts w:cs="Arial"/>
          <w:b w:val="0"/>
          <w:bCs w:val="0"/>
          <w:i w:val="0"/>
          <w:iCs/>
          <w:lang w:val="pt-BR"/>
        </w:rPr>
        <w:t xml:space="preserve"> in </w:t>
      </w:r>
      <w:proofErr w:type="spellStart"/>
      <w:r w:rsidRPr="00655FBA">
        <w:rPr>
          <w:rFonts w:cs="Arial"/>
          <w:b w:val="0"/>
          <w:bCs w:val="0"/>
          <w:i w:val="0"/>
          <w:iCs/>
          <w:lang w:val="pt-BR"/>
        </w:rPr>
        <w:t>the</w:t>
      </w:r>
      <w:proofErr w:type="spellEnd"/>
      <w:r w:rsidRPr="00655FBA">
        <w:rPr>
          <w:rFonts w:cs="Arial"/>
          <w:b w:val="0"/>
          <w:bCs w:val="0"/>
          <w:i w:val="0"/>
          <w:iCs/>
          <w:lang w:val="pt-BR"/>
        </w:rPr>
        <w:t xml:space="preserve"> </w:t>
      </w:r>
      <w:proofErr w:type="spellStart"/>
      <w:r w:rsidRPr="00655FBA">
        <w:rPr>
          <w:rFonts w:cs="Arial"/>
          <w:b w:val="0"/>
          <w:bCs w:val="0"/>
          <w:i w:val="0"/>
          <w:iCs/>
          <w:lang w:val="pt-BR"/>
        </w:rPr>
        <w:t>association</w:t>
      </w:r>
      <w:proofErr w:type="spellEnd"/>
      <w:r w:rsidRPr="00655FBA">
        <w:rPr>
          <w:rFonts w:cs="Arial"/>
          <w:b w:val="0"/>
          <w:bCs w:val="0"/>
          <w:i w:val="0"/>
          <w:iCs/>
          <w:lang w:val="pt-BR"/>
        </w:rPr>
        <w:t xml:space="preserve"> </w:t>
      </w:r>
      <w:proofErr w:type="spellStart"/>
      <w:r w:rsidRPr="00655FBA">
        <w:rPr>
          <w:rFonts w:cs="Arial"/>
          <w:b w:val="0"/>
          <w:bCs w:val="0"/>
          <w:i w:val="0"/>
          <w:iCs/>
          <w:lang w:val="pt-BR"/>
        </w:rPr>
        <w:t>tests</w:t>
      </w:r>
      <w:proofErr w:type="spellEnd"/>
      <w:r w:rsidRPr="00655FBA">
        <w:rPr>
          <w:rFonts w:cs="Arial"/>
          <w:b w:val="0"/>
          <w:bCs w:val="0"/>
          <w:i w:val="0"/>
          <w:iCs/>
          <w:lang w:val="pt-BR"/>
        </w:rPr>
        <w:t xml:space="preserve"> (p &lt; 0.05) </w:t>
      </w:r>
      <w:proofErr w:type="spellStart"/>
      <w:r w:rsidRPr="00655FBA">
        <w:rPr>
          <w:rFonts w:cs="Arial"/>
          <w:b w:val="0"/>
          <w:bCs w:val="0"/>
          <w:i w:val="0"/>
          <w:iCs/>
          <w:lang w:val="pt-BR"/>
        </w:rPr>
        <w:t>or</w:t>
      </w:r>
      <w:proofErr w:type="spellEnd"/>
      <w:r w:rsidRPr="00655FBA">
        <w:rPr>
          <w:rFonts w:cs="Arial"/>
          <w:b w:val="0"/>
          <w:bCs w:val="0"/>
          <w:i w:val="0"/>
          <w:iCs/>
          <w:lang w:val="pt-BR"/>
        </w:rPr>
        <w:t xml:space="preserve"> </w:t>
      </w:r>
      <w:proofErr w:type="spellStart"/>
      <w:r w:rsidRPr="00655FBA">
        <w:rPr>
          <w:rFonts w:cs="Arial"/>
          <w:b w:val="0"/>
          <w:bCs w:val="0"/>
          <w:i w:val="0"/>
          <w:iCs/>
          <w:lang w:val="pt-BR"/>
        </w:rPr>
        <w:t>theoretically</w:t>
      </w:r>
      <w:proofErr w:type="spellEnd"/>
      <w:r w:rsidRPr="00655FBA">
        <w:rPr>
          <w:rFonts w:cs="Arial"/>
          <w:b w:val="0"/>
          <w:bCs w:val="0"/>
          <w:i w:val="0"/>
          <w:iCs/>
          <w:lang w:val="pt-BR"/>
        </w:rPr>
        <w:t xml:space="preserve"> </w:t>
      </w:r>
      <w:proofErr w:type="spellStart"/>
      <w:r w:rsidRPr="00655FBA">
        <w:rPr>
          <w:rFonts w:cs="Arial"/>
          <w:b w:val="0"/>
          <w:bCs w:val="0"/>
          <w:i w:val="0"/>
          <w:iCs/>
          <w:lang w:val="pt-BR"/>
        </w:rPr>
        <w:t>justified</w:t>
      </w:r>
      <w:proofErr w:type="spellEnd"/>
      <w:r w:rsidRPr="00655FBA">
        <w:rPr>
          <w:rFonts w:cs="Arial"/>
          <w:b w:val="0"/>
          <w:bCs w:val="0"/>
          <w:i w:val="0"/>
          <w:iCs/>
          <w:lang w:val="pt-BR"/>
        </w:rPr>
        <w:t xml:space="preserve"> </w:t>
      </w:r>
      <w:proofErr w:type="spellStart"/>
      <w:r w:rsidRPr="00655FBA">
        <w:rPr>
          <w:rFonts w:cs="Arial"/>
          <w:b w:val="0"/>
          <w:bCs w:val="0"/>
          <w:i w:val="0"/>
          <w:iCs/>
          <w:lang w:val="pt-BR"/>
        </w:rPr>
        <w:t>by</w:t>
      </w:r>
      <w:proofErr w:type="spellEnd"/>
      <w:r w:rsidRPr="00655FBA">
        <w:rPr>
          <w:rFonts w:cs="Arial"/>
          <w:b w:val="0"/>
          <w:bCs w:val="0"/>
          <w:i w:val="0"/>
          <w:iCs/>
          <w:lang w:val="pt-BR"/>
        </w:rPr>
        <w:t xml:space="preserve"> </w:t>
      </w:r>
      <w:proofErr w:type="spellStart"/>
      <w:r w:rsidRPr="00655FBA">
        <w:rPr>
          <w:rFonts w:cs="Arial"/>
          <w:b w:val="0"/>
          <w:bCs w:val="0"/>
          <w:i w:val="0"/>
          <w:iCs/>
          <w:lang w:val="pt-BR"/>
        </w:rPr>
        <w:t>the</w:t>
      </w:r>
      <w:proofErr w:type="spellEnd"/>
      <w:r w:rsidRPr="00655FBA">
        <w:rPr>
          <w:rFonts w:cs="Arial"/>
          <w:b w:val="0"/>
          <w:bCs w:val="0"/>
          <w:i w:val="0"/>
          <w:iCs/>
          <w:lang w:val="pt-BR"/>
        </w:rPr>
        <w:t xml:space="preserve"> </w:t>
      </w:r>
      <w:proofErr w:type="spellStart"/>
      <w:r w:rsidRPr="00655FBA">
        <w:rPr>
          <w:rFonts w:cs="Arial"/>
          <w:b w:val="0"/>
          <w:bCs w:val="0"/>
          <w:i w:val="0"/>
          <w:iCs/>
          <w:lang w:val="pt-BR"/>
        </w:rPr>
        <w:t>DAGs</w:t>
      </w:r>
      <w:proofErr w:type="spellEnd"/>
      <w:r w:rsidRPr="00655FBA">
        <w:rPr>
          <w:rFonts w:cs="Arial"/>
          <w:b w:val="0"/>
          <w:bCs w:val="0"/>
          <w:i w:val="0"/>
          <w:iCs/>
          <w:lang w:val="pt-BR"/>
        </w:rPr>
        <w:t xml:space="preserve">. The models </w:t>
      </w:r>
      <w:proofErr w:type="spellStart"/>
      <w:r w:rsidRPr="00655FBA">
        <w:rPr>
          <w:rFonts w:cs="Arial"/>
          <w:b w:val="0"/>
          <w:bCs w:val="0"/>
          <w:i w:val="0"/>
          <w:iCs/>
          <w:lang w:val="pt-BR"/>
        </w:rPr>
        <w:t>were</w:t>
      </w:r>
      <w:proofErr w:type="spellEnd"/>
      <w:r w:rsidRPr="00655FBA">
        <w:rPr>
          <w:rFonts w:cs="Arial"/>
          <w:b w:val="0"/>
          <w:bCs w:val="0"/>
          <w:i w:val="0"/>
          <w:iCs/>
          <w:lang w:val="pt-BR"/>
        </w:rPr>
        <w:t xml:space="preserve"> </w:t>
      </w:r>
      <w:proofErr w:type="spellStart"/>
      <w:r w:rsidRPr="00655FBA">
        <w:rPr>
          <w:rFonts w:cs="Arial"/>
          <w:b w:val="0"/>
          <w:bCs w:val="0"/>
          <w:i w:val="0"/>
          <w:iCs/>
          <w:lang w:val="pt-BR"/>
        </w:rPr>
        <w:t>fitted</w:t>
      </w:r>
      <w:proofErr w:type="spellEnd"/>
      <w:r w:rsidRPr="00655FBA">
        <w:rPr>
          <w:rFonts w:cs="Arial"/>
          <w:b w:val="0"/>
          <w:bCs w:val="0"/>
          <w:i w:val="0"/>
          <w:iCs/>
          <w:lang w:val="pt-BR"/>
        </w:rPr>
        <w:t xml:space="preserve"> </w:t>
      </w:r>
      <w:proofErr w:type="spellStart"/>
      <w:r w:rsidRPr="00655FBA">
        <w:rPr>
          <w:rFonts w:cs="Arial"/>
          <w:b w:val="0"/>
          <w:bCs w:val="0"/>
          <w:i w:val="0"/>
          <w:iCs/>
          <w:lang w:val="pt-BR"/>
        </w:rPr>
        <w:t>by</w:t>
      </w:r>
      <w:proofErr w:type="spellEnd"/>
      <w:r w:rsidRPr="00655FBA">
        <w:rPr>
          <w:rFonts w:cs="Arial"/>
          <w:b w:val="0"/>
          <w:bCs w:val="0"/>
          <w:i w:val="0"/>
          <w:iCs/>
          <w:lang w:val="pt-BR"/>
        </w:rPr>
        <w:t xml:space="preserve"> </w:t>
      </w:r>
      <w:proofErr w:type="spellStart"/>
      <w:r w:rsidRPr="00655FBA">
        <w:rPr>
          <w:rFonts w:cs="Arial"/>
          <w:b w:val="0"/>
          <w:bCs w:val="0"/>
          <w:i w:val="0"/>
          <w:iCs/>
          <w:lang w:val="pt-BR"/>
        </w:rPr>
        <w:t>weighted</w:t>
      </w:r>
      <w:proofErr w:type="spellEnd"/>
      <w:r w:rsidRPr="00655FBA">
        <w:rPr>
          <w:rFonts w:cs="Arial"/>
          <w:b w:val="0"/>
          <w:bCs w:val="0"/>
          <w:i w:val="0"/>
          <w:iCs/>
          <w:lang w:val="pt-BR"/>
        </w:rPr>
        <w:t xml:space="preserve"> </w:t>
      </w:r>
      <w:proofErr w:type="spellStart"/>
      <w:r w:rsidRPr="00655FBA">
        <w:rPr>
          <w:rFonts w:cs="Arial"/>
          <w:b w:val="0"/>
          <w:bCs w:val="0"/>
          <w:i w:val="0"/>
          <w:iCs/>
          <w:lang w:val="pt-BR"/>
        </w:rPr>
        <w:t>maximum</w:t>
      </w:r>
      <w:proofErr w:type="spellEnd"/>
      <w:r w:rsidRPr="00655FBA">
        <w:rPr>
          <w:rFonts w:cs="Arial"/>
          <w:b w:val="0"/>
          <w:bCs w:val="0"/>
          <w:i w:val="0"/>
          <w:iCs/>
          <w:lang w:val="pt-BR"/>
        </w:rPr>
        <w:t xml:space="preserve"> </w:t>
      </w:r>
      <w:proofErr w:type="spellStart"/>
      <w:r w:rsidRPr="00655FBA">
        <w:rPr>
          <w:rFonts w:cs="Arial"/>
          <w:b w:val="0"/>
          <w:bCs w:val="0"/>
          <w:i w:val="0"/>
          <w:iCs/>
          <w:lang w:val="pt-BR"/>
        </w:rPr>
        <w:t>likelihood</w:t>
      </w:r>
      <w:proofErr w:type="spellEnd"/>
      <w:r w:rsidRPr="00655FBA">
        <w:rPr>
          <w:rFonts w:cs="Arial"/>
          <w:b w:val="0"/>
          <w:bCs w:val="0"/>
          <w:i w:val="0"/>
          <w:iCs/>
          <w:lang w:val="pt-BR"/>
        </w:rPr>
        <w:t xml:space="preserve">, </w:t>
      </w:r>
      <w:proofErr w:type="spellStart"/>
      <w:r w:rsidRPr="00655FBA">
        <w:rPr>
          <w:rFonts w:cs="Arial"/>
          <w:b w:val="0"/>
          <w:bCs w:val="0"/>
          <w:i w:val="0"/>
          <w:iCs/>
          <w:lang w:val="pt-BR"/>
        </w:rPr>
        <w:t>characterizing</w:t>
      </w:r>
      <w:proofErr w:type="spellEnd"/>
      <w:r w:rsidRPr="00655FBA">
        <w:rPr>
          <w:rFonts w:cs="Arial"/>
          <w:b w:val="0"/>
          <w:bCs w:val="0"/>
          <w:i w:val="0"/>
          <w:iCs/>
          <w:lang w:val="pt-BR"/>
        </w:rPr>
        <w:t xml:space="preserve"> </w:t>
      </w:r>
      <w:proofErr w:type="spellStart"/>
      <w:r w:rsidRPr="00655FBA">
        <w:rPr>
          <w:rFonts w:cs="Arial"/>
          <w:b w:val="0"/>
          <w:bCs w:val="0"/>
          <w:i w:val="0"/>
          <w:iCs/>
          <w:lang w:val="pt-BR"/>
        </w:rPr>
        <w:t>the</w:t>
      </w:r>
      <w:proofErr w:type="spellEnd"/>
      <w:r w:rsidRPr="00655FBA">
        <w:rPr>
          <w:rFonts w:cs="Arial"/>
          <w:b w:val="0"/>
          <w:bCs w:val="0"/>
          <w:i w:val="0"/>
          <w:iCs/>
          <w:lang w:val="pt-BR"/>
        </w:rPr>
        <w:t xml:space="preserve"> marginal approach </w:t>
      </w:r>
      <w:proofErr w:type="spellStart"/>
      <w:r w:rsidRPr="00655FBA">
        <w:rPr>
          <w:rFonts w:cs="Arial"/>
          <w:b w:val="0"/>
          <w:bCs w:val="0"/>
          <w:i w:val="0"/>
          <w:iCs/>
          <w:lang w:val="pt-BR"/>
        </w:rPr>
        <w:t>of</w:t>
      </w:r>
      <w:proofErr w:type="spellEnd"/>
      <w:r w:rsidRPr="00655FBA">
        <w:rPr>
          <w:rFonts w:cs="Arial"/>
          <w:b w:val="0"/>
          <w:bCs w:val="0"/>
          <w:i w:val="0"/>
          <w:iCs/>
          <w:lang w:val="pt-BR"/>
        </w:rPr>
        <w:t xml:space="preserve"> MSM.</w:t>
      </w:r>
    </w:p>
    <w:p w14:paraId="0CB1A309" w14:textId="747634A9" w:rsidR="00655FBA" w:rsidRPr="00655FBA" w:rsidRDefault="00655FBA" w:rsidP="00655FBA">
      <w:pPr>
        <w:pStyle w:val="Ttulo2"/>
        <w:spacing w:before="0" w:line="360" w:lineRule="auto"/>
        <w:ind w:firstLine="709"/>
        <w:jc w:val="both"/>
        <w:rPr>
          <w:rFonts w:cs="Arial"/>
          <w:b w:val="0"/>
          <w:bCs w:val="0"/>
          <w:i w:val="0"/>
          <w:iCs/>
          <w:lang w:val="pt-BR"/>
        </w:rPr>
      </w:pPr>
      <w:proofErr w:type="spellStart"/>
      <w:r w:rsidRPr="00655FBA">
        <w:rPr>
          <w:rFonts w:cs="Arial"/>
          <w:b w:val="0"/>
          <w:bCs w:val="0"/>
          <w:i w:val="0"/>
          <w:iCs/>
          <w:lang w:val="pt-BR"/>
        </w:rPr>
        <w:t>All</w:t>
      </w:r>
      <w:proofErr w:type="spellEnd"/>
      <w:r w:rsidRPr="00655FBA">
        <w:rPr>
          <w:rFonts w:cs="Arial"/>
          <w:b w:val="0"/>
          <w:bCs w:val="0"/>
          <w:i w:val="0"/>
          <w:iCs/>
          <w:lang w:val="pt-BR"/>
        </w:rPr>
        <w:t xml:space="preserve"> </w:t>
      </w:r>
      <w:proofErr w:type="spellStart"/>
      <w:r w:rsidRPr="00655FBA">
        <w:rPr>
          <w:rFonts w:cs="Arial"/>
          <w:b w:val="0"/>
          <w:bCs w:val="0"/>
          <w:i w:val="0"/>
          <w:iCs/>
          <w:lang w:val="pt-BR"/>
        </w:rPr>
        <w:t>analyses</w:t>
      </w:r>
      <w:proofErr w:type="spellEnd"/>
      <w:r w:rsidRPr="00655FBA">
        <w:rPr>
          <w:rFonts w:cs="Arial"/>
          <w:b w:val="0"/>
          <w:bCs w:val="0"/>
          <w:i w:val="0"/>
          <w:iCs/>
          <w:lang w:val="pt-BR"/>
        </w:rPr>
        <w:t xml:space="preserve"> </w:t>
      </w:r>
      <w:proofErr w:type="spellStart"/>
      <w:r w:rsidRPr="00655FBA">
        <w:rPr>
          <w:rFonts w:cs="Arial"/>
          <w:b w:val="0"/>
          <w:bCs w:val="0"/>
          <w:i w:val="0"/>
          <w:iCs/>
          <w:lang w:val="pt-BR"/>
        </w:rPr>
        <w:t>were</w:t>
      </w:r>
      <w:proofErr w:type="spellEnd"/>
      <w:r w:rsidRPr="00655FBA">
        <w:rPr>
          <w:rFonts w:cs="Arial"/>
          <w:b w:val="0"/>
          <w:bCs w:val="0"/>
          <w:i w:val="0"/>
          <w:iCs/>
          <w:lang w:val="pt-BR"/>
        </w:rPr>
        <w:t xml:space="preserve"> </w:t>
      </w:r>
      <w:proofErr w:type="spellStart"/>
      <w:r w:rsidRPr="00655FBA">
        <w:rPr>
          <w:rFonts w:cs="Arial"/>
          <w:b w:val="0"/>
          <w:bCs w:val="0"/>
          <w:i w:val="0"/>
          <w:iCs/>
          <w:lang w:val="pt-BR"/>
        </w:rPr>
        <w:t>conducted</w:t>
      </w:r>
      <w:proofErr w:type="spellEnd"/>
      <w:r w:rsidRPr="00655FBA">
        <w:rPr>
          <w:rFonts w:cs="Arial"/>
          <w:b w:val="0"/>
          <w:bCs w:val="0"/>
          <w:i w:val="0"/>
          <w:iCs/>
          <w:lang w:val="pt-BR"/>
        </w:rPr>
        <w:t xml:space="preserve"> </w:t>
      </w:r>
      <w:proofErr w:type="spellStart"/>
      <w:r w:rsidRPr="00655FBA">
        <w:rPr>
          <w:rFonts w:cs="Arial"/>
          <w:b w:val="0"/>
          <w:bCs w:val="0"/>
          <w:i w:val="0"/>
          <w:iCs/>
          <w:lang w:val="pt-BR"/>
        </w:rPr>
        <w:t>using</w:t>
      </w:r>
      <w:proofErr w:type="spellEnd"/>
      <w:r w:rsidRPr="00655FBA">
        <w:rPr>
          <w:rFonts w:cs="Arial"/>
          <w:b w:val="0"/>
          <w:bCs w:val="0"/>
          <w:i w:val="0"/>
          <w:iCs/>
          <w:lang w:val="pt-BR"/>
        </w:rPr>
        <w:t xml:space="preserve"> R software (</w:t>
      </w:r>
      <w:proofErr w:type="spellStart"/>
      <w:r w:rsidRPr="00655FBA">
        <w:rPr>
          <w:rFonts w:cs="Arial"/>
          <w:b w:val="0"/>
          <w:bCs w:val="0"/>
          <w:i w:val="0"/>
          <w:iCs/>
          <w:lang w:val="pt-BR"/>
        </w:rPr>
        <w:t>version</w:t>
      </w:r>
      <w:proofErr w:type="spellEnd"/>
      <w:r w:rsidRPr="00655FBA">
        <w:rPr>
          <w:rFonts w:cs="Arial"/>
          <w:b w:val="0"/>
          <w:bCs w:val="0"/>
          <w:i w:val="0"/>
          <w:iCs/>
          <w:lang w:val="pt-BR"/>
        </w:rPr>
        <w:t xml:space="preserve"> 4.5.1 - https://www.r-project.org/), </w:t>
      </w:r>
      <w:proofErr w:type="spellStart"/>
      <w:r w:rsidRPr="00655FBA">
        <w:rPr>
          <w:rFonts w:cs="Arial"/>
          <w:b w:val="0"/>
          <w:bCs w:val="0"/>
          <w:i w:val="0"/>
          <w:iCs/>
          <w:lang w:val="pt-BR"/>
        </w:rPr>
        <w:t>with</w:t>
      </w:r>
      <w:proofErr w:type="spellEnd"/>
      <w:r w:rsidRPr="00655FBA">
        <w:rPr>
          <w:rFonts w:cs="Arial"/>
          <w:b w:val="0"/>
          <w:bCs w:val="0"/>
          <w:i w:val="0"/>
          <w:iCs/>
          <w:lang w:val="pt-BR"/>
        </w:rPr>
        <w:t xml:space="preserve"> </w:t>
      </w:r>
      <w:proofErr w:type="spellStart"/>
      <w:r w:rsidRPr="00655FBA">
        <w:rPr>
          <w:rFonts w:cs="Arial"/>
          <w:b w:val="0"/>
          <w:bCs w:val="0"/>
          <w:i w:val="0"/>
          <w:iCs/>
          <w:lang w:val="pt-BR"/>
        </w:rPr>
        <w:t>the</w:t>
      </w:r>
      <w:proofErr w:type="spellEnd"/>
      <w:r w:rsidRPr="00655FBA">
        <w:rPr>
          <w:rFonts w:cs="Arial"/>
          <w:b w:val="0"/>
          <w:bCs w:val="0"/>
          <w:i w:val="0"/>
          <w:iCs/>
          <w:lang w:val="pt-BR"/>
        </w:rPr>
        <w:t xml:space="preserve"> </w:t>
      </w:r>
      <w:proofErr w:type="spellStart"/>
      <w:r w:rsidRPr="00655FBA">
        <w:rPr>
          <w:rFonts w:cs="Arial"/>
          <w:b w:val="0"/>
          <w:bCs w:val="0"/>
          <w:i w:val="0"/>
          <w:iCs/>
          <w:lang w:val="pt-BR"/>
        </w:rPr>
        <w:t>packages</w:t>
      </w:r>
      <w:proofErr w:type="spellEnd"/>
      <w:r w:rsidRPr="00655FBA">
        <w:rPr>
          <w:rFonts w:cs="Arial"/>
          <w:b w:val="0"/>
          <w:bCs w:val="0"/>
          <w:i w:val="0"/>
          <w:iCs/>
          <w:lang w:val="pt-BR"/>
        </w:rPr>
        <w:t xml:space="preserve"> </w:t>
      </w:r>
      <w:proofErr w:type="spellStart"/>
      <w:r w:rsidRPr="00655FBA">
        <w:rPr>
          <w:rFonts w:cs="Arial"/>
          <w:b w:val="0"/>
          <w:bCs w:val="0"/>
          <w:i w:val="0"/>
          <w:iCs/>
          <w:lang w:val="pt-BR"/>
        </w:rPr>
        <w:t>used</w:t>
      </w:r>
      <w:proofErr w:type="spellEnd"/>
      <w:r w:rsidRPr="00655FBA">
        <w:rPr>
          <w:rFonts w:cs="Arial"/>
          <w:b w:val="0"/>
          <w:bCs w:val="0"/>
          <w:i w:val="0"/>
          <w:iCs/>
          <w:lang w:val="pt-BR"/>
        </w:rPr>
        <w:t xml:space="preserve"> </w:t>
      </w:r>
      <w:proofErr w:type="spellStart"/>
      <w:r w:rsidRPr="00655FBA">
        <w:rPr>
          <w:rFonts w:cs="Arial"/>
          <w:b w:val="0"/>
          <w:bCs w:val="0"/>
          <w:i w:val="0"/>
          <w:iCs/>
          <w:lang w:val="pt-BR"/>
        </w:rPr>
        <w:t>being</w:t>
      </w:r>
      <w:proofErr w:type="spellEnd"/>
      <w:r w:rsidRPr="00655FBA">
        <w:rPr>
          <w:rFonts w:cs="Arial"/>
          <w:b w:val="0"/>
          <w:bCs w:val="0"/>
          <w:i w:val="0"/>
          <w:iCs/>
          <w:lang w:val="pt-BR"/>
        </w:rPr>
        <w:t xml:space="preserve"> </w:t>
      </w:r>
      <w:proofErr w:type="spellStart"/>
      <w:r w:rsidRPr="00655FBA">
        <w:rPr>
          <w:rFonts w:cs="Arial"/>
          <w:b w:val="0"/>
          <w:bCs w:val="0"/>
          <w:i w:val="0"/>
          <w:iCs/>
          <w:lang w:val="pt-BR"/>
        </w:rPr>
        <w:t>survey</w:t>
      </w:r>
      <w:proofErr w:type="spellEnd"/>
      <w:r w:rsidRPr="00655FBA">
        <w:rPr>
          <w:rFonts w:cs="Arial"/>
          <w:b w:val="0"/>
          <w:bCs w:val="0"/>
          <w:i w:val="0"/>
          <w:iCs/>
          <w:lang w:val="pt-BR"/>
        </w:rPr>
        <w:t xml:space="preserve">, </w:t>
      </w:r>
      <w:proofErr w:type="spellStart"/>
      <w:r w:rsidRPr="00655FBA">
        <w:rPr>
          <w:rFonts w:cs="Arial"/>
          <w:b w:val="0"/>
          <w:bCs w:val="0"/>
          <w:i w:val="0"/>
          <w:iCs/>
          <w:lang w:val="pt-BR"/>
        </w:rPr>
        <w:t>cobalt</w:t>
      </w:r>
      <w:proofErr w:type="spellEnd"/>
      <w:r w:rsidRPr="00655FBA">
        <w:rPr>
          <w:rFonts w:cs="Arial"/>
          <w:b w:val="0"/>
          <w:bCs w:val="0"/>
          <w:i w:val="0"/>
          <w:iCs/>
          <w:lang w:val="pt-BR"/>
        </w:rPr>
        <w:t xml:space="preserve">, </w:t>
      </w:r>
      <w:proofErr w:type="spellStart"/>
      <w:r w:rsidRPr="00655FBA">
        <w:rPr>
          <w:rFonts w:cs="Arial"/>
          <w:b w:val="0"/>
          <w:bCs w:val="0"/>
          <w:i w:val="0"/>
          <w:iCs/>
          <w:lang w:val="pt-BR"/>
        </w:rPr>
        <w:t>WeighIt</w:t>
      </w:r>
      <w:proofErr w:type="spellEnd"/>
      <w:r w:rsidRPr="00655FBA">
        <w:rPr>
          <w:rFonts w:cs="Arial"/>
          <w:b w:val="0"/>
          <w:bCs w:val="0"/>
          <w:i w:val="0"/>
          <w:iCs/>
          <w:lang w:val="pt-BR"/>
        </w:rPr>
        <w:t xml:space="preserve">, </w:t>
      </w:r>
      <w:proofErr w:type="spellStart"/>
      <w:r w:rsidRPr="00655FBA">
        <w:rPr>
          <w:rFonts w:cs="Arial"/>
          <w:b w:val="0"/>
          <w:bCs w:val="0"/>
          <w:i w:val="0"/>
          <w:iCs/>
          <w:lang w:val="pt-BR"/>
        </w:rPr>
        <w:t>tweedie</w:t>
      </w:r>
      <w:proofErr w:type="spellEnd"/>
      <w:r w:rsidRPr="00655FBA">
        <w:rPr>
          <w:rFonts w:cs="Arial"/>
          <w:b w:val="0"/>
          <w:bCs w:val="0"/>
          <w:i w:val="0"/>
          <w:iCs/>
          <w:lang w:val="pt-BR"/>
        </w:rPr>
        <w:t xml:space="preserve">, </w:t>
      </w:r>
      <w:proofErr w:type="spellStart"/>
      <w:r w:rsidRPr="00655FBA">
        <w:rPr>
          <w:rFonts w:cs="Arial"/>
          <w:b w:val="0"/>
          <w:bCs w:val="0"/>
          <w:i w:val="0"/>
          <w:iCs/>
          <w:lang w:val="pt-BR"/>
        </w:rPr>
        <w:t>statmod</w:t>
      </w:r>
      <w:proofErr w:type="spellEnd"/>
      <w:r w:rsidRPr="00655FBA">
        <w:rPr>
          <w:rFonts w:cs="Arial"/>
          <w:b w:val="0"/>
          <w:bCs w:val="0"/>
          <w:i w:val="0"/>
          <w:iCs/>
          <w:lang w:val="pt-BR"/>
        </w:rPr>
        <w:t xml:space="preserve">, </w:t>
      </w:r>
      <w:proofErr w:type="spellStart"/>
      <w:r w:rsidRPr="00655FBA">
        <w:rPr>
          <w:rFonts w:cs="Arial"/>
          <w:b w:val="0"/>
          <w:bCs w:val="0"/>
          <w:i w:val="0"/>
          <w:iCs/>
          <w:lang w:val="pt-BR"/>
        </w:rPr>
        <w:t>cplm</w:t>
      </w:r>
      <w:proofErr w:type="spellEnd"/>
      <w:r w:rsidRPr="00655FBA">
        <w:rPr>
          <w:rFonts w:cs="Arial"/>
          <w:b w:val="0"/>
          <w:bCs w:val="0"/>
          <w:i w:val="0"/>
          <w:iCs/>
          <w:lang w:val="pt-BR"/>
        </w:rPr>
        <w:t xml:space="preserve">, </w:t>
      </w:r>
      <w:proofErr w:type="spellStart"/>
      <w:r w:rsidRPr="00655FBA">
        <w:rPr>
          <w:rFonts w:cs="Arial"/>
          <w:b w:val="0"/>
          <w:bCs w:val="0"/>
          <w:i w:val="0"/>
          <w:iCs/>
          <w:lang w:val="pt-BR"/>
        </w:rPr>
        <w:t>tidyverse</w:t>
      </w:r>
      <w:proofErr w:type="spellEnd"/>
      <w:r w:rsidRPr="00655FBA">
        <w:rPr>
          <w:rFonts w:cs="Arial"/>
          <w:b w:val="0"/>
          <w:bCs w:val="0"/>
          <w:i w:val="0"/>
          <w:iCs/>
          <w:lang w:val="pt-BR"/>
        </w:rPr>
        <w:t xml:space="preserve">, </w:t>
      </w:r>
      <w:proofErr w:type="spellStart"/>
      <w:r w:rsidRPr="00655FBA">
        <w:rPr>
          <w:rFonts w:cs="Arial"/>
          <w:b w:val="0"/>
          <w:bCs w:val="0"/>
          <w:i w:val="0"/>
          <w:iCs/>
          <w:lang w:val="pt-BR"/>
        </w:rPr>
        <w:t>and</w:t>
      </w:r>
      <w:proofErr w:type="spellEnd"/>
      <w:r w:rsidRPr="00655FBA">
        <w:rPr>
          <w:rFonts w:cs="Arial"/>
          <w:b w:val="0"/>
          <w:bCs w:val="0"/>
          <w:i w:val="0"/>
          <w:iCs/>
          <w:lang w:val="pt-BR"/>
        </w:rPr>
        <w:t xml:space="preserve"> </w:t>
      </w:r>
      <w:proofErr w:type="spellStart"/>
      <w:r w:rsidRPr="00655FBA">
        <w:rPr>
          <w:rFonts w:cs="Arial"/>
          <w:b w:val="0"/>
          <w:bCs w:val="0"/>
          <w:i w:val="0"/>
          <w:iCs/>
          <w:lang w:val="pt-BR"/>
        </w:rPr>
        <w:t>skimR</w:t>
      </w:r>
      <w:proofErr w:type="spellEnd"/>
      <w:r w:rsidRPr="00655FBA">
        <w:rPr>
          <w:rFonts w:cs="Arial"/>
          <w:b w:val="0"/>
          <w:bCs w:val="0"/>
          <w:i w:val="0"/>
          <w:iCs/>
          <w:lang w:val="pt-BR"/>
        </w:rPr>
        <w:t xml:space="preserve">. The </w:t>
      </w:r>
      <w:proofErr w:type="spellStart"/>
      <w:r w:rsidRPr="00655FBA">
        <w:rPr>
          <w:rFonts w:cs="Arial"/>
          <w:b w:val="0"/>
          <w:bCs w:val="0"/>
          <w:i w:val="0"/>
          <w:iCs/>
          <w:lang w:val="pt-BR"/>
        </w:rPr>
        <w:t>significance</w:t>
      </w:r>
      <w:proofErr w:type="spellEnd"/>
      <w:r w:rsidRPr="00655FBA">
        <w:rPr>
          <w:rFonts w:cs="Arial"/>
          <w:b w:val="0"/>
          <w:bCs w:val="0"/>
          <w:i w:val="0"/>
          <w:iCs/>
          <w:lang w:val="pt-BR"/>
        </w:rPr>
        <w:t xml:space="preserve"> </w:t>
      </w:r>
      <w:proofErr w:type="spellStart"/>
      <w:r w:rsidRPr="00655FBA">
        <w:rPr>
          <w:rFonts w:cs="Arial"/>
          <w:b w:val="0"/>
          <w:bCs w:val="0"/>
          <w:i w:val="0"/>
          <w:iCs/>
          <w:lang w:val="pt-BR"/>
        </w:rPr>
        <w:t>level</w:t>
      </w:r>
      <w:proofErr w:type="spellEnd"/>
      <w:r w:rsidRPr="00655FBA">
        <w:rPr>
          <w:rFonts w:cs="Arial"/>
          <w:b w:val="0"/>
          <w:bCs w:val="0"/>
          <w:i w:val="0"/>
          <w:iCs/>
          <w:lang w:val="pt-BR"/>
        </w:rPr>
        <w:t xml:space="preserve"> </w:t>
      </w:r>
      <w:proofErr w:type="spellStart"/>
      <w:r w:rsidRPr="00655FBA">
        <w:rPr>
          <w:rFonts w:cs="Arial"/>
          <w:b w:val="0"/>
          <w:bCs w:val="0"/>
          <w:i w:val="0"/>
          <w:iCs/>
          <w:lang w:val="pt-BR"/>
        </w:rPr>
        <w:t>was</w:t>
      </w:r>
      <w:proofErr w:type="spellEnd"/>
      <w:r w:rsidRPr="00655FBA">
        <w:rPr>
          <w:rFonts w:cs="Arial"/>
          <w:b w:val="0"/>
          <w:bCs w:val="0"/>
          <w:i w:val="0"/>
          <w:iCs/>
          <w:lang w:val="pt-BR"/>
        </w:rPr>
        <w:t xml:space="preserve"> set </w:t>
      </w:r>
      <w:proofErr w:type="spellStart"/>
      <w:r w:rsidRPr="00655FBA">
        <w:rPr>
          <w:rFonts w:cs="Arial"/>
          <w:b w:val="0"/>
          <w:bCs w:val="0"/>
          <w:i w:val="0"/>
          <w:iCs/>
          <w:lang w:val="pt-BR"/>
        </w:rPr>
        <w:t>at</w:t>
      </w:r>
      <w:proofErr w:type="spellEnd"/>
      <w:r w:rsidRPr="00655FBA">
        <w:rPr>
          <w:rFonts w:cs="Arial"/>
          <w:b w:val="0"/>
          <w:bCs w:val="0"/>
          <w:i w:val="0"/>
          <w:iCs/>
          <w:lang w:val="pt-BR"/>
        </w:rPr>
        <w:t xml:space="preserve"> 5%.</w:t>
      </w:r>
    </w:p>
    <w:p w14:paraId="46943A1A" w14:textId="6843CB05" w:rsidR="00CC76B7" w:rsidRDefault="005463E3" w:rsidP="00D917D8">
      <w:pPr>
        <w:pStyle w:val="Ttulo1"/>
      </w:pPr>
      <w:r w:rsidRPr="00EA6368">
        <w:t xml:space="preserve">Results </w:t>
      </w:r>
    </w:p>
    <w:p w14:paraId="54364792" w14:textId="77777777" w:rsidR="00D917D8" w:rsidRPr="00D917D8" w:rsidRDefault="00D917D8" w:rsidP="00D917D8">
      <w:pPr>
        <w:rPr>
          <w:lang w:val="en-US"/>
        </w:rPr>
      </w:pPr>
    </w:p>
    <w:p w14:paraId="0D69DBCC" w14:textId="03697671" w:rsidR="00CC76B7" w:rsidRPr="00D917D8" w:rsidRDefault="00CC76B7" w:rsidP="00D917D8">
      <w:pPr>
        <w:spacing w:line="360" w:lineRule="auto"/>
        <w:ind w:firstLine="708"/>
        <w:jc w:val="both"/>
        <w:rPr>
          <w:rFonts w:ascii="Arial" w:eastAsia="Arial" w:hAnsi="Arial" w:cs="Arial"/>
          <w:i/>
          <w:iCs/>
          <w:lang w:val="en-US"/>
        </w:rPr>
      </w:pPr>
      <w:r w:rsidRPr="00D917D8">
        <w:rPr>
          <w:rFonts w:ascii="Arial" w:hAnsi="Arial" w:cs="Arial"/>
          <w:lang w:val="en-US"/>
        </w:rPr>
        <w:t xml:space="preserve">The sample comprised 1,241 individuals, including 281 PLHIV (195 men and 86 women) and 960 non-PLHIV (240 men and 720 women). </w:t>
      </w:r>
    </w:p>
    <w:p w14:paraId="401C6992" w14:textId="2B719970" w:rsidR="00CC76B7" w:rsidRDefault="005C6D8F" w:rsidP="00D917D8">
      <w:pPr>
        <w:spacing w:line="360" w:lineRule="auto"/>
        <w:ind w:firstLine="708"/>
        <w:jc w:val="both"/>
        <w:rPr>
          <w:rFonts w:ascii="Arial" w:hAnsi="Arial" w:cs="Arial"/>
          <w:lang w:val="en-US"/>
        </w:rPr>
      </w:pPr>
      <w:r w:rsidRPr="005C6D8F">
        <w:rPr>
          <w:rFonts w:ascii="Arial" w:hAnsi="Arial" w:cs="Arial"/>
          <w:lang w:val="en-US"/>
        </w:rPr>
        <w:t>The final models adjusted by the Tweedie distribution (p = 1.3) showed stable convergence and good overall fit. Tables 1, 2, and 3 present, respectively, the significant variables of the models for depression, anxiety, and stress.</w:t>
      </w:r>
    </w:p>
    <w:p w14:paraId="726F84D0" w14:textId="157A3D33" w:rsidR="009C225C" w:rsidRPr="005C6D8F" w:rsidRDefault="009C225C" w:rsidP="00D917D8">
      <w:pPr>
        <w:spacing w:line="360" w:lineRule="auto"/>
        <w:ind w:firstLine="708"/>
        <w:jc w:val="both"/>
        <w:rPr>
          <w:rFonts w:ascii="Arial" w:hAnsi="Arial" w:cs="Arial"/>
          <w:lang w:val="en-US"/>
        </w:rPr>
      </w:pPr>
      <w:r>
        <w:rPr>
          <w:rFonts w:ascii="Arial" w:hAnsi="Arial" w:cs="Arial"/>
          <w:lang w:val="en-US"/>
        </w:rPr>
        <w:t>(insert table 1)</w:t>
      </w:r>
    </w:p>
    <w:p w14:paraId="5B512540" w14:textId="77777777" w:rsidR="005C6D8F" w:rsidRDefault="005C6D8F" w:rsidP="005C6D8F">
      <w:pPr>
        <w:rPr>
          <w:lang w:val="en-US"/>
        </w:rPr>
      </w:pPr>
    </w:p>
    <w:p w14:paraId="53299590" w14:textId="595C4E6E" w:rsidR="005C6D8F" w:rsidRPr="009C225C" w:rsidRDefault="00D917D8" w:rsidP="005C6D8F">
      <w:pPr>
        <w:pStyle w:val="Ttulo3"/>
        <w:spacing w:before="0" w:after="0"/>
        <w:jc w:val="both"/>
        <w:rPr>
          <w:rFonts w:ascii="Arial" w:hAnsi="Arial" w:cs="Arial"/>
          <w:b w:val="0"/>
          <w:bCs/>
          <w:color w:val="000000" w:themeColor="text1"/>
          <w:sz w:val="20"/>
          <w:szCs w:val="20"/>
        </w:rPr>
      </w:pPr>
      <w:proofErr w:type="spellStart"/>
      <w:r w:rsidRPr="009C225C">
        <w:rPr>
          <w:rFonts w:ascii="Arial" w:hAnsi="Arial" w:cs="Arial"/>
          <w:b w:val="0"/>
          <w:color w:val="000000" w:themeColor="text1"/>
          <w:sz w:val="20"/>
          <w:szCs w:val="20"/>
        </w:rPr>
        <w:t>Table</w:t>
      </w:r>
      <w:proofErr w:type="spellEnd"/>
      <w:r w:rsidRPr="009C225C">
        <w:rPr>
          <w:rFonts w:ascii="Arial" w:hAnsi="Arial" w:cs="Arial"/>
          <w:b w:val="0"/>
          <w:color w:val="000000" w:themeColor="text1"/>
          <w:sz w:val="20"/>
          <w:szCs w:val="20"/>
        </w:rPr>
        <w:t xml:space="preserve"> 1 – </w:t>
      </w:r>
      <w:proofErr w:type="spellStart"/>
      <w:r w:rsidRPr="009C225C">
        <w:rPr>
          <w:rFonts w:ascii="Arial" w:hAnsi="Arial" w:cs="Arial"/>
          <w:b w:val="0"/>
          <w:color w:val="000000" w:themeColor="text1"/>
          <w:sz w:val="20"/>
          <w:szCs w:val="20"/>
        </w:rPr>
        <w:t>Significant</w:t>
      </w:r>
      <w:proofErr w:type="spellEnd"/>
      <w:r w:rsidRPr="009C225C">
        <w:rPr>
          <w:rFonts w:ascii="Arial" w:hAnsi="Arial" w:cs="Arial"/>
          <w:b w:val="0"/>
          <w:color w:val="000000" w:themeColor="text1"/>
          <w:sz w:val="20"/>
          <w:szCs w:val="20"/>
        </w:rPr>
        <w:t xml:space="preserve"> </w:t>
      </w:r>
      <w:proofErr w:type="spellStart"/>
      <w:r w:rsidRPr="009C225C">
        <w:rPr>
          <w:rFonts w:ascii="Arial" w:hAnsi="Arial" w:cs="Arial"/>
          <w:b w:val="0"/>
          <w:color w:val="000000" w:themeColor="text1"/>
          <w:sz w:val="20"/>
          <w:szCs w:val="20"/>
        </w:rPr>
        <w:t>variables</w:t>
      </w:r>
      <w:proofErr w:type="spellEnd"/>
      <w:r w:rsidRPr="009C225C">
        <w:rPr>
          <w:rFonts w:ascii="Arial" w:hAnsi="Arial" w:cs="Arial"/>
          <w:b w:val="0"/>
          <w:color w:val="000000" w:themeColor="text1"/>
          <w:sz w:val="20"/>
          <w:szCs w:val="20"/>
        </w:rPr>
        <w:t xml:space="preserve"> in </w:t>
      </w:r>
      <w:proofErr w:type="spellStart"/>
      <w:r w:rsidRPr="009C225C">
        <w:rPr>
          <w:rFonts w:ascii="Arial" w:hAnsi="Arial" w:cs="Arial"/>
          <w:b w:val="0"/>
          <w:color w:val="000000" w:themeColor="text1"/>
          <w:sz w:val="20"/>
          <w:szCs w:val="20"/>
        </w:rPr>
        <w:t>the</w:t>
      </w:r>
      <w:proofErr w:type="spellEnd"/>
      <w:r w:rsidRPr="009C225C">
        <w:rPr>
          <w:rFonts w:ascii="Arial" w:hAnsi="Arial" w:cs="Arial"/>
          <w:b w:val="0"/>
          <w:color w:val="000000" w:themeColor="text1"/>
          <w:sz w:val="20"/>
          <w:szCs w:val="20"/>
        </w:rPr>
        <w:t xml:space="preserve"> </w:t>
      </w:r>
      <w:proofErr w:type="spellStart"/>
      <w:r w:rsidRPr="009C225C">
        <w:rPr>
          <w:rFonts w:ascii="Arial" w:hAnsi="Arial" w:cs="Arial"/>
          <w:b w:val="0"/>
          <w:color w:val="000000" w:themeColor="text1"/>
          <w:sz w:val="20"/>
          <w:szCs w:val="20"/>
        </w:rPr>
        <w:t>Depression</w:t>
      </w:r>
      <w:proofErr w:type="spellEnd"/>
      <w:r w:rsidRPr="009C225C">
        <w:rPr>
          <w:rFonts w:ascii="Arial" w:hAnsi="Arial" w:cs="Arial"/>
          <w:b w:val="0"/>
          <w:color w:val="000000" w:themeColor="text1"/>
          <w:sz w:val="20"/>
          <w:szCs w:val="20"/>
        </w:rPr>
        <w:t xml:space="preserve"> model (DASS-21)</w:t>
      </w:r>
    </w:p>
    <w:tbl>
      <w:tblPr>
        <w:tblStyle w:val="Tabelacomgrade"/>
        <w:tblW w:w="0" w:type="auto"/>
        <w:tblLook w:val="04A0" w:firstRow="1" w:lastRow="0" w:firstColumn="1" w:lastColumn="0" w:noHBand="0" w:noVBand="1"/>
      </w:tblPr>
      <w:tblGrid>
        <w:gridCol w:w="2617"/>
        <w:gridCol w:w="1226"/>
        <w:gridCol w:w="1159"/>
        <w:gridCol w:w="993"/>
        <w:gridCol w:w="1338"/>
        <w:gridCol w:w="1161"/>
      </w:tblGrid>
      <w:tr w:rsidR="005C6D8F" w:rsidRPr="009C225C" w14:paraId="4BD24AD7" w14:textId="77777777" w:rsidTr="001F5CB1">
        <w:tc>
          <w:tcPr>
            <w:tcW w:w="2695" w:type="dxa"/>
          </w:tcPr>
          <w:p w14:paraId="7D5B9AB0"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Variável</w:t>
            </w:r>
          </w:p>
        </w:tc>
        <w:tc>
          <w:tcPr>
            <w:tcW w:w="1269" w:type="dxa"/>
          </w:tcPr>
          <w:p w14:paraId="3E4A48ED" w14:textId="77777777" w:rsidR="005C6D8F" w:rsidRPr="009C225C" w:rsidRDefault="005C6D8F" w:rsidP="001F5CB1">
            <w:pPr>
              <w:jc w:val="both"/>
              <w:rPr>
                <w:rFonts w:ascii="Arial" w:hAnsi="Arial" w:cs="Arial"/>
                <w:sz w:val="20"/>
                <w:szCs w:val="20"/>
              </w:rPr>
            </w:pPr>
            <w:proofErr w:type="spellStart"/>
            <w:r w:rsidRPr="009C225C">
              <w:rPr>
                <w:rFonts w:ascii="Arial" w:hAnsi="Arial" w:cs="Arial"/>
                <w:sz w:val="20"/>
                <w:szCs w:val="20"/>
              </w:rPr>
              <w:t>Estimate</w:t>
            </w:r>
            <w:proofErr w:type="spellEnd"/>
            <w:r w:rsidRPr="009C225C">
              <w:rPr>
                <w:rFonts w:ascii="Arial" w:hAnsi="Arial" w:cs="Arial"/>
                <w:sz w:val="20"/>
                <w:szCs w:val="20"/>
              </w:rPr>
              <w:t xml:space="preserve"> (β)</w:t>
            </w:r>
          </w:p>
        </w:tc>
        <w:tc>
          <w:tcPr>
            <w:tcW w:w="1218" w:type="dxa"/>
          </w:tcPr>
          <w:p w14:paraId="42DC70A8"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Erro padrão</w:t>
            </w:r>
          </w:p>
        </w:tc>
        <w:tc>
          <w:tcPr>
            <w:tcW w:w="1022" w:type="dxa"/>
          </w:tcPr>
          <w:p w14:paraId="1DDABE97"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p-valor</w:t>
            </w:r>
          </w:p>
        </w:tc>
        <w:tc>
          <w:tcPr>
            <w:tcW w:w="1427" w:type="dxa"/>
          </w:tcPr>
          <w:p w14:paraId="6BCE6D5C"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Razão de médias (</w:t>
            </w:r>
            <w:proofErr w:type="spellStart"/>
            <w:r w:rsidRPr="009C225C">
              <w:rPr>
                <w:rFonts w:ascii="Arial" w:hAnsi="Arial" w:cs="Arial"/>
                <w:sz w:val="20"/>
                <w:szCs w:val="20"/>
              </w:rPr>
              <w:t>exp</w:t>
            </w:r>
            <w:proofErr w:type="spellEnd"/>
            <w:r w:rsidRPr="009C225C">
              <w:rPr>
                <w:rFonts w:ascii="Arial" w:hAnsi="Arial" w:cs="Arial"/>
                <w:sz w:val="20"/>
                <w:szCs w:val="20"/>
              </w:rPr>
              <w:t>β)</w:t>
            </w:r>
          </w:p>
        </w:tc>
        <w:tc>
          <w:tcPr>
            <w:tcW w:w="1225" w:type="dxa"/>
          </w:tcPr>
          <w:p w14:paraId="69465FB3"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IC95% (</w:t>
            </w:r>
            <w:proofErr w:type="spellStart"/>
            <w:r w:rsidRPr="009C225C">
              <w:rPr>
                <w:rFonts w:ascii="Arial" w:hAnsi="Arial" w:cs="Arial"/>
                <w:sz w:val="20"/>
                <w:szCs w:val="20"/>
              </w:rPr>
              <w:t>exp</w:t>
            </w:r>
            <w:proofErr w:type="spellEnd"/>
            <w:r w:rsidRPr="009C225C">
              <w:rPr>
                <w:rFonts w:ascii="Arial" w:hAnsi="Arial" w:cs="Arial"/>
                <w:sz w:val="20"/>
                <w:szCs w:val="20"/>
              </w:rPr>
              <w:t>β)</w:t>
            </w:r>
          </w:p>
        </w:tc>
      </w:tr>
      <w:tr w:rsidR="005C6D8F" w:rsidRPr="009C225C" w14:paraId="79FEC8EE" w14:textId="77777777" w:rsidTr="001F5CB1">
        <w:tc>
          <w:tcPr>
            <w:tcW w:w="2695" w:type="dxa"/>
          </w:tcPr>
          <w:p w14:paraId="5D8DFAC3"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Escolaridade (fundamental)</w:t>
            </w:r>
          </w:p>
        </w:tc>
        <w:tc>
          <w:tcPr>
            <w:tcW w:w="1269" w:type="dxa"/>
          </w:tcPr>
          <w:p w14:paraId="2AD9F0D2"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-0.643</w:t>
            </w:r>
          </w:p>
        </w:tc>
        <w:tc>
          <w:tcPr>
            <w:tcW w:w="1218" w:type="dxa"/>
          </w:tcPr>
          <w:p w14:paraId="05F863F0"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0.275</w:t>
            </w:r>
          </w:p>
        </w:tc>
        <w:tc>
          <w:tcPr>
            <w:tcW w:w="1022" w:type="dxa"/>
          </w:tcPr>
          <w:p w14:paraId="251E91C8"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0.0196</w:t>
            </w:r>
          </w:p>
        </w:tc>
        <w:tc>
          <w:tcPr>
            <w:tcW w:w="1427" w:type="dxa"/>
          </w:tcPr>
          <w:p w14:paraId="20CB63D9"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0.53</w:t>
            </w:r>
          </w:p>
        </w:tc>
        <w:tc>
          <w:tcPr>
            <w:tcW w:w="1225" w:type="dxa"/>
          </w:tcPr>
          <w:p w14:paraId="35C24C88"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0.31–0.90</w:t>
            </w:r>
          </w:p>
        </w:tc>
      </w:tr>
      <w:tr w:rsidR="005C6D8F" w:rsidRPr="009C225C" w14:paraId="7E78852A" w14:textId="77777777" w:rsidTr="001F5CB1">
        <w:tc>
          <w:tcPr>
            <w:tcW w:w="2695" w:type="dxa"/>
          </w:tcPr>
          <w:p w14:paraId="3E6F5643" w14:textId="77777777" w:rsidR="005C6D8F" w:rsidRPr="009C225C" w:rsidRDefault="005C6D8F" w:rsidP="001F5CB1">
            <w:pPr>
              <w:jc w:val="both"/>
              <w:rPr>
                <w:rFonts w:ascii="Arial" w:hAnsi="Arial" w:cs="Arial"/>
                <w:sz w:val="20"/>
                <w:szCs w:val="20"/>
              </w:rPr>
            </w:pPr>
            <w:proofErr w:type="spellStart"/>
            <w:r w:rsidRPr="009C225C">
              <w:rPr>
                <w:rFonts w:ascii="Arial" w:hAnsi="Arial" w:cs="Arial"/>
                <w:sz w:val="20"/>
                <w:szCs w:val="20"/>
              </w:rPr>
              <w:t>busca_info</w:t>
            </w:r>
            <w:proofErr w:type="spellEnd"/>
            <w:r w:rsidRPr="009C225C">
              <w:rPr>
                <w:rFonts w:ascii="Arial" w:hAnsi="Arial" w:cs="Arial"/>
                <w:sz w:val="20"/>
                <w:szCs w:val="20"/>
              </w:rPr>
              <w:t xml:space="preserve"> (3x)</w:t>
            </w:r>
          </w:p>
        </w:tc>
        <w:tc>
          <w:tcPr>
            <w:tcW w:w="1269" w:type="dxa"/>
          </w:tcPr>
          <w:p w14:paraId="504D0F4C"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0.183</w:t>
            </w:r>
          </w:p>
        </w:tc>
        <w:tc>
          <w:tcPr>
            <w:tcW w:w="1218" w:type="dxa"/>
          </w:tcPr>
          <w:p w14:paraId="3750B0F9"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0.065</w:t>
            </w:r>
          </w:p>
        </w:tc>
        <w:tc>
          <w:tcPr>
            <w:tcW w:w="1022" w:type="dxa"/>
          </w:tcPr>
          <w:p w14:paraId="2DA21C8C"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0.0048</w:t>
            </w:r>
          </w:p>
        </w:tc>
        <w:tc>
          <w:tcPr>
            <w:tcW w:w="1427" w:type="dxa"/>
          </w:tcPr>
          <w:p w14:paraId="3F2DE367"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1.20</w:t>
            </w:r>
          </w:p>
        </w:tc>
        <w:tc>
          <w:tcPr>
            <w:tcW w:w="1225" w:type="dxa"/>
          </w:tcPr>
          <w:p w14:paraId="5E79B744"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1.06–1.36</w:t>
            </w:r>
          </w:p>
        </w:tc>
      </w:tr>
      <w:tr w:rsidR="005C6D8F" w:rsidRPr="009C225C" w14:paraId="4B41C078" w14:textId="77777777" w:rsidTr="001F5CB1">
        <w:tc>
          <w:tcPr>
            <w:tcW w:w="2695" w:type="dxa"/>
          </w:tcPr>
          <w:p w14:paraId="709997D0" w14:textId="77777777" w:rsidR="005C6D8F" w:rsidRPr="009C225C" w:rsidRDefault="005C6D8F" w:rsidP="001F5CB1">
            <w:pPr>
              <w:jc w:val="both"/>
              <w:rPr>
                <w:rFonts w:ascii="Arial" w:hAnsi="Arial" w:cs="Arial"/>
                <w:sz w:val="20"/>
                <w:szCs w:val="20"/>
              </w:rPr>
            </w:pPr>
            <w:proofErr w:type="spellStart"/>
            <w:r w:rsidRPr="009C225C">
              <w:rPr>
                <w:rFonts w:ascii="Arial" w:hAnsi="Arial" w:cs="Arial"/>
                <w:sz w:val="20"/>
                <w:szCs w:val="20"/>
              </w:rPr>
              <w:t>busca_info</w:t>
            </w:r>
            <w:proofErr w:type="spellEnd"/>
            <w:r w:rsidRPr="009C225C">
              <w:rPr>
                <w:rFonts w:ascii="Arial" w:hAnsi="Arial" w:cs="Arial"/>
                <w:sz w:val="20"/>
                <w:szCs w:val="20"/>
              </w:rPr>
              <w:t xml:space="preserve"> (5x_mais)</w:t>
            </w:r>
          </w:p>
        </w:tc>
        <w:tc>
          <w:tcPr>
            <w:tcW w:w="1269" w:type="dxa"/>
          </w:tcPr>
          <w:p w14:paraId="4F61F4A2"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0.116</w:t>
            </w:r>
          </w:p>
        </w:tc>
        <w:tc>
          <w:tcPr>
            <w:tcW w:w="1218" w:type="dxa"/>
          </w:tcPr>
          <w:p w14:paraId="7BF2BE3E"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0.050</w:t>
            </w:r>
          </w:p>
        </w:tc>
        <w:tc>
          <w:tcPr>
            <w:tcW w:w="1022" w:type="dxa"/>
          </w:tcPr>
          <w:p w14:paraId="2A795719"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0.0198</w:t>
            </w:r>
          </w:p>
        </w:tc>
        <w:tc>
          <w:tcPr>
            <w:tcW w:w="1427" w:type="dxa"/>
          </w:tcPr>
          <w:p w14:paraId="0C0F1641"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1.12</w:t>
            </w:r>
          </w:p>
        </w:tc>
        <w:tc>
          <w:tcPr>
            <w:tcW w:w="1225" w:type="dxa"/>
          </w:tcPr>
          <w:p w14:paraId="39D5699F"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1.02–1.24</w:t>
            </w:r>
          </w:p>
        </w:tc>
      </w:tr>
      <w:tr w:rsidR="005C6D8F" w:rsidRPr="009C225C" w14:paraId="588282A5" w14:textId="77777777" w:rsidTr="001F5CB1">
        <w:tc>
          <w:tcPr>
            <w:tcW w:w="2695" w:type="dxa"/>
          </w:tcPr>
          <w:p w14:paraId="34818EEA" w14:textId="77777777" w:rsidR="005C6D8F" w:rsidRPr="009C225C" w:rsidRDefault="005C6D8F" w:rsidP="001F5CB1">
            <w:pPr>
              <w:jc w:val="both"/>
              <w:rPr>
                <w:rFonts w:ascii="Arial" w:hAnsi="Arial" w:cs="Arial"/>
                <w:sz w:val="20"/>
                <w:szCs w:val="20"/>
              </w:rPr>
            </w:pPr>
            <w:proofErr w:type="spellStart"/>
            <w:r w:rsidRPr="009C225C">
              <w:rPr>
                <w:rFonts w:ascii="Arial" w:hAnsi="Arial" w:cs="Arial"/>
                <w:sz w:val="20"/>
                <w:szCs w:val="20"/>
              </w:rPr>
              <w:t>info_prev</w:t>
            </w:r>
            <w:proofErr w:type="spellEnd"/>
            <w:r w:rsidRPr="009C225C">
              <w:rPr>
                <w:rFonts w:ascii="Arial" w:hAnsi="Arial" w:cs="Arial"/>
                <w:sz w:val="20"/>
                <w:szCs w:val="20"/>
              </w:rPr>
              <w:t xml:space="preserve"> (sim)</w:t>
            </w:r>
          </w:p>
        </w:tc>
        <w:tc>
          <w:tcPr>
            <w:tcW w:w="1269" w:type="dxa"/>
          </w:tcPr>
          <w:p w14:paraId="6954803F"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-0.229</w:t>
            </w:r>
          </w:p>
        </w:tc>
        <w:tc>
          <w:tcPr>
            <w:tcW w:w="1218" w:type="dxa"/>
          </w:tcPr>
          <w:p w14:paraId="69C8D789"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0.054</w:t>
            </w:r>
          </w:p>
        </w:tc>
        <w:tc>
          <w:tcPr>
            <w:tcW w:w="1022" w:type="dxa"/>
          </w:tcPr>
          <w:p w14:paraId="59019D20"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&lt;0.001</w:t>
            </w:r>
          </w:p>
        </w:tc>
        <w:tc>
          <w:tcPr>
            <w:tcW w:w="1427" w:type="dxa"/>
          </w:tcPr>
          <w:p w14:paraId="2DF5C638"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0.80</w:t>
            </w:r>
          </w:p>
        </w:tc>
        <w:tc>
          <w:tcPr>
            <w:tcW w:w="1225" w:type="dxa"/>
          </w:tcPr>
          <w:p w14:paraId="48C213E8"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0.72–0.88</w:t>
            </w:r>
          </w:p>
        </w:tc>
      </w:tr>
      <w:tr w:rsidR="005C6D8F" w:rsidRPr="009C225C" w14:paraId="3D345F7D" w14:textId="77777777" w:rsidTr="001F5CB1">
        <w:tc>
          <w:tcPr>
            <w:tcW w:w="2695" w:type="dxa"/>
          </w:tcPr>
          <w:p w14:paraId="21DAEC34" w14:textId="77777777" w:rsidR="005C6D8F" w:rsidRPr="009C225C" w:rsidRDefault="005C6D8F" w:rsidP="001F5CB1">
            <w:pPr>
              <w:jc w:val="both"/>
              <w:rPr>
                <w:rFonts w:ascii="Arial" w:hAnsi="Arial" w:cs="Arial"/>
                <w:sz w:val="20"/>
                <w:szCs w:val="20"/>
              </w:rPr>
            </w:pPr>
            <w:proofErr w:type="spellStart"/>
            <w:r w:rsidRPr="009C225C">
              <w:rPr>
                <w:rFonts w:ascii="Arial" w:hAnsi="Arial" w:cs="Arial"/>
                <w:sz w:val="20"/>
                <w:szCs w:val="20"/>
              </w:rPr>
              <w:t>info_prev</w:t>
            </w:r>
            <w:proofErr w:type="spellEnd"/>
            <w:r w:rsidRPr="009C225C">
              <w:rPr>
                <w:rFonts w:ascii="Arial" w:hAnsi="Arial" w:cs="Arial"/>
                <w:sz w:val="20"/>
                <w:szCs w:val="20"/>
              </w:rPr>
              <w:t xml:space="preserve"> (talvez)</w:t>
            </w:r>
          </w:p>
        </w:tc>
        <w:tc>
          <w:tcPr>
            <w:tcW w:w="1269" w:type="dxa"/>
          </w:tcPr>
          <w:p w14:paraId="66A44ED2"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-0.167</w:t>
            </w:r>
          </w:p>
        </w:tc>
        <w:tc>
          <w:tcPr>
            <w:tcW w:w="1218" w:type="dxa"/>
          </w:tcPr>
          <w:p w14:paraId="4870B684"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0.065</w:t>
            </w:r>
          </w:p>
        </w:tc>
        <w:tc>
          <w:tcPr>
            <w:tcW w:w="1022" w:type="dxa"/>
          </w:tcPr>
          <w:p w14:paraId="2716B2D5"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0.0099</w:t>
            </w:r>
          </w:p>
        </w:tc>
        <w:tc>
          <w:tcPr>
            <w:tcW w:w="1427" w:type="dxa"/>
          </w:tcPr>
          <w:p w14:paraId="2CD756CB"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0.85</w:t>
            </w:r>
          </w:p>
        </w:tc>
        <w:tc>
          <w:tcPr>
            <w:tcW w:w="1225" w:type="dxa"/>
          </w:tcPr>
          <w:p w14:paraId="5C29732D"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0.75–0.96</w:t>
            </w:r>
          </w:p>
        </w:tc>
      </w:tr>
      <w:tr w:rsidR="005C6D8F" w:rsidRPr="009C225C" w14:paraId="7CDA8009" w14:textId="77777777" w:rsidTr="001F5CB1">
        <w:tc>
          <w:tcPr>
            <w:tcW w:w="2695" w:type="dxa"/>
          </w:tcPr>
          <w:p w14:paraId="1D400598"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ansiedade_dass21</w:t>
            </w:r>
          </w:p>
        </w:tc>
        <w:tc>
          <w:tcPr>
            <w:tcW w:w="1269" w:type="dxa"/>
          </w:tcPr>
          <w:p w14:paraId="3C236120"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0.036</w:t>
            </w:r>
          </w:p>
        </w:tc>
        <w:tc>
          <w:tcPr>
            <w:tcW w:w="1218" w:type="dxa"/>
          </w:tcPr>
          <w:p w14:paraId="3451D85A"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0.005</w:t>
            </w:r>
          </w:p>
        </w:tc>
        <w:tc>
          <w:tcPr>
            <w:tcW w:w="1022" w:type="dxa"/>
          </w:tcPr>
          <w:p w14:paraId="42E5B25D"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&lt;0.001</w:t>
            </w:r>
          </w:p>
        </w:tc>
        <w:tc>
          <w:tcPr>
            <w:tcW w:w="1427" w:type="dxa"/>
          </w:tcPr>
          <w:p w14:paraId="00F86012"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1.04</w:t>
            </w:r>
          </w:p>
        </w:tc>
        <w:tc>
          <w:tcPr>
            <w:tcW w:w="1225" w:type="dxa"/>
          </w:tcPr>
          <w:p w14:paraId="538A548D"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1.03–1.05</w:t>
            </w:r>
          </w:p>
        </w:tc>
      </w:tr>
      <w:tr w:rsidR="005C6D8F" w:rsidRPr="009C225C" w14:paraId="7C45296C" w14:textId="77777777" w:rsidTr="001F5CB1">
        <w:tc>
          <w:tcPr>
            <w:tcW w:w="2695" w:type="dxa"/>
          </w:tcPr>
          <w:p w14:paraId="656EC444"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estresse_dass21</w:t>
            </w:r>
          </w:p>
        </w:tc>
        <w:tc>
          <w:tcPr>
            <w:tcW w:w="1269" w:type="dxa"/>
          </w:tcPr>
          <w:p w14:paraId="656C4D3A"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0.092</w:t>
            </w:r>
          </w:p>
        </w:tc>
        <w:tc>
          <w:tcPr>
            <w:tcW w:w="1218" w:type="dxa"/>
          </w:tcPr>
          <w:p w14:paraId="06DB92D3"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0.005</w:t>
            </w:r>
          </w:p>
        </w:tc>
        <w:tc>
          <w:tcPr>
            <w:tcW w:w="1022" w:type="dxa"/>
          </w:tcPr>
          <w:p w14:paraId="309C5995"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&lt;0.001</w:t>
            </w:r>
          </w:p>
        </w:tc>
        <w:tc>
          <w:tcPr>
            <w:tcW w:w="1427" w:type="dxa"/>
          </w:tcPr>
          <w:p w14:paraId="7925740E"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1.10</w:t>
            </w:r>
          </w:p>
        </w:tc>
        <w:tc>
          <w:tcPr>
            <w:tcW w:w="1225" w:type="dxa"/>
          </w:tcPr>
          <w:p w14:paraId="2CE22F81"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1.09–1.11</w:t>
            </w:r>
          </w:p>
        </w:tc>
      </w:tr>
      <w:tr w:rsidR="005C6D8F" w:rsidRPr="009C225C" w14:paraId="57821E64" w14:textId="77777777" w:rsidTr="001F5CB1">
        <w:tc>
          <w:tcPr>
            <w:tcW w:w="2695" w:type="dxa"/>
          </w:tcPr>
          <w:p w14:paraId="045311F8" w14:textId="77777777" w:rsidR="005C6D8F" w:rsidRPr="009C225C" w:rsidRDefault="005C6D8F" w:rsidP="001F5CB1">
            <w:pPr>
              <w:jc w:val="both"/>
              <w:rPr>
                <w:rFonts w:ascii="Arial" w:hAnsi="Arial" w:cs="Arial"/>
                <w:sz w:val="20"/>
                <w:szCs w:val="20"/>
              </w:rPr>
            </w:pPr>
            <w:proofErr w:type="spellStart"/>
            <w:r w:rsidRPr="009C225C">
              <w:rPr>
                <w:rFonts w:ascii="Arial" w:hAnsi="Arial" w:cs="Arial"/>
                <w:sz w:val="20"/>
                <w:szCs w:val="20"/>
              </w:rPr>
              <w:t>atividades_isolamento</w:t>
            </w:r>
            <w:proofErr w:type="spellEnd"/>
            <w:r w:rsidRPr="009C225C">
              <w:rPr>
                <w:rFonts w:ascii="Arial" w:hAnsi="Arial" w:cs="Arial"/>
                <w:sz w:val="20"/>
                <w:szCs w:val="20"/>
              </w:rPr>
              <w:t xml:space="preserve"> (13_a_16)</w:t>
            </w:r>
          </w:p>
        </w:tc>
        <w:tc>
          <w:tcPr>
            <w:tcW w:w="1269" w:type="dxa"/>
          </w:tcPr>
          <w:p w14:paraId="01E502A2"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-0.221</w:t>
            </w:r>
          </w:p>
        </w:tc>
        <w:tc>
          <w:tcPr>
            <w:tcW w:w="1218" w:type="dxa"/>
          </w:tcPr>
          <w:p w14:paraId="49A2A26B"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0.101</w:t>
            </w:r>
          </w:p>
        </w:tc>
        <w:tc>
          <w:tcPr>
            <w:tcW w:w="1022" w:type="dxa"/>
          </w:tcPr>
          <w:p w14:paraId="7F3DCB18"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0.029</w:t>
            </w:r>
          </w:p>
        </w:tc>
        <w:tc>
          <w:tcPr>
            <w:tcW w:w="1427" w:type="dxa"/>
          </w:tcPr>
          <w:p w14:paraId="00A561F7"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0.80</w:t>
            </w:r>
          </w:p>
        </w:tc>
        <w:tc>
          <w:tcPr>
            <w:tcW w:w="1225" w:type="dxa"/>
          </w:tcPr>
          <w:p w14:paraId="63ABF926" w14:textId="77777777" w:rsidR="005C6D8F" w:rsidRPr="009C225C" w:rsidRDefault="005C6D8F" w:rsidP="001F5CB1">
            <w:pPr>
              <w:jc w:val="both"/>
              <w:rPr>
                <w:rFonts w:ascii="Arial" w:hAnsi="Arial" w:cs="Arial"/>
                <w:sz w:val="20"/>
                <w:szCs w:val="20"/>
              </w:rPr>
            </w:pPr>
            <w:r w:rsidRPr="009C225C">
              <w:rPr>
                <w:rFonts w:ascii="Arial" w:hAnsi="Arial" w:cs="Arial"/>
                <w:sz w:val="20"/>
                <w:szCs w:val="20"/>
              </w:rPr>
              <w:t>0.66–0.98</w:t>
            </w:r>
          </w:p>
        </w:tc>
      </w:tr>
    </w:tbl>
    <w:p w14:paraId="7713F1A1" w14:textId="77777777" w:rsidR="005C6D8F" w:rsidRPr="009C225C" w:rsidRDefault="005C6D8F" w:rsidP="005C6D8F">
      <w:pPr>
        <w:rPr>
          <w:sz w:val="20"/>
          <w:szCs w:val="20"/>
          <w:lang w:val="en-US"/>
        </w:rPr>
      </w:pPr>
    </w:p>
    <w:p w14:paraId="66D74B1F" w14:textId="20AA9AB3" w:rsidR="005C6D8F" w:rsidRDefault="005C6D8F" w:rsidP="00E039C7">
      <w:pPr>
        <w:spacing w:line="360" w:lineRule="auto"/>
        <w:ind w:firstLine="708"/>
        <w:jc w:val="both"/>
        <w:rPr>
          <w:rFonts w:ascii="Arial" w:hAnsi="Arial" w:cs="Arial"/>
          <w:lang w:val="en-US"/>
        </w:rPr>
      </w:pPr>
      <w:r w:rsidRPr="005C6D8F">
        <w:rPr>
          <w:rFonts w:ascii="Arial" w:hAnsi="Arial" w:cs="Arial"/>
          <w:lang w:val="en-US"/>
        </w:rPr>
        <w:t>The depression model identified significant associations with educational attainment, information seeking about COVID-19, and perception of preventive information. Individuals with lower educational attainment had 47% lower depression scores (OR = 0.53; 95% CI: 0.31–0.90). Frequent information seeking about COVID-19 showed a positive association with higher levels of depression, while the perception of having adequate information (</w:t>
      </w:r>
      <w:proofErr w:type="spellStart"/>
      <w:r w:rsidRPr="005C6D8F">
        <w:rPr>
          <w:rFonts w:ascii="Arial" w:hAnsi="Arial" w:cs="Arial"/>
          <w:lang w:val="en-US"/>
        </w:rPr>
        <w:t>info_prevsim</w:t>
      </w:r>
      <w:proofErr w:type="spellEnd"/>
      <w:r w:rsidRPr="005C6D8F">
        <w:rPr>
          <w:rFonts w:ascii="Arial" w:hAnsi="Arial" w:cs="Arial"/>
          <w:lang w:val="en-US"/>
        </w:rPr>
        <w:t xml:space="preserve">) significantly </w:t>
      </w:r>
      <w:r w:rsidRPr="005C6D8F">
        <w:rPr>
          <w:rFonts w:ascii="Arial" w:hAnsi="Arial" w:cs="Arial"/>
          <w:lang w:val="en-US"/>
        </w:rPr>
        <w:lastRenderedPageBreak/>
        <w:t>reduced scores. Anxiety and stress scores showed direct associations, reinforcing the internal consistency of the model.</w:t>
      </w:r>
    </w:p>
    <w:p w14:paraId="4B7A6121" w14:textId="267A7D5C" w:rsidR="009C225C" w:rsidRPr="00E039C7" w:rsidRDefault="009C225C" w:rsidP="00E039C7">
      <w:pPr>
        <w:spacing w:line="360" w:lineRule="auto"/>
        <w:ind w:firstLine="708"/>
        <w:jc w:val="both"/>
        <w:rPr>
          <w:rFonts w:ascii="Arial" w:hAnsi="Arial" w:cs="Arial"/>
          <w:lang w:val="en-US"/>
        </w:rPr>
      </w:pPr>
      <w:r>
        <w:rPr>
          <w:rFonts w:ascii="Arial" w:hAnsi="Arial" w:cs="Arial"/>
          <w:lang w:val="en-US"/>
        </w:rPr>
        <w:t>(insert table 2)</w:t>
      </w:r>
    </w:p>
    <w:p w14:paraId="306994B6" w14:textId="77777777" w:rsidR="005C6D8F" w:rsidRDefault="005C6D8F" w:rsidP="005C6D8F">
      <w:pPr>
        <w:rPr>
          <w:lang w:val="en-US"/>
        </w:rPr>
      </w:pPr>
    </w:p>
    <w:p w14:paraId="5DC18446" w14:textId="2E60A25F" w:rsidR="005C6D8F" w:rsidRPr="005C6D8F" w:rsidRDefault="00D917D8" w:rsidP="005C6D8F">
      <w:pPr>
        <w:pStyle w:val="Ttulo3"/>
        <w:spacing w:before="0" w:after="0"/>
        <w:jc w:val="both"/>
        <w:rPr>
          <w:rFonts w:ascii="Arial" w:hAnsi="Arial" w:cs="Arial"/>
          <w:b w:val="0"/>
          <w:bCs/>
          <w:color w:val="000000" w:themeColor="text1"/>
          <w:sz w:val="20"/>
          <w:szCs w:val="20"/>
        </w:rPr>
      </w:pPr>
      <w:proofErr w:type="spellStart"/>
      <w:r w:rsidRPr="00D917D8">
        <w:rPr>
          <w:rFonts w:ascii="Arial" w:hAnsi="Arial" w:cs="Arial"/>
          <w:b w:val="0"/>
          <w:color w:val="000000" w:themeColor="text1"/>
          <w:sz w:val="20"/>
          <w:szCs w:val="20"/>
        </w:rPr>
        <w:t>Table</w:t>
      </w:r>
      <w:proofErr w:type="spellEnd"/>
      <w:r w:rsidRPr="00D917D8">
        <w:rPr>
          <w:rFonts w:ascii="Arial" w:hAnsi="Arial" w:cs="Arial"/>
          <w:b w:val="0"/>
          <w:color w:val="000000" w:themeColor="text1"/>
          <w:sz w:val="20"/>
          <w:szCs w:val="20"/>
        </w:rPr>
        <w:t xml:space="preserve"> 2 – </w:t>
      </w:r>
      <w:proofErr w:type="spellStart"/>
      <w:r w:rsidRPr="00D917D8">
        <w:rPr>
          <w:rFonts w:ascii="Arial" w:hAnsi="Arial" w:cs="Arial"/>
          <w:b w:val="0"/>
          <w:color w:val="000000" w:themeColor="text1"/>
          <w:sz w:val="20"/>
          <w:szCs w:val="20"/>
        </w:rPr>
        <w:t>Significant</w:t>
      </w:r>
      <w:proofErr w:type="spellEnd"/>
      <w:r w:rsidRPr="00D917D8">
        <w:rPr>
          <w:rFonts w:ascii="Arial" w:hAnsi="Arial" w:cs="Arial"/>
          <w:b w:val="0"/>
          <w:color w:val="000000" w:themeColor="text1"/>
          <w:sz w:val="20"/>
          <w:szCs w:val="20"/>
        </w:rPr>
        <w:t xml:space="preserve"> </w:t>
      </w:r>
      <w:proofErr w:type="spellStart"/>
      <w:r w:rsidRPr="00D917D8">
        <w:rPr>
          <w:rFonts w:ascii="Arial" w:hAnsi="Arial" w:cs="Arial"/>
          <w:b w:val="0"/>
          <w:color w:val="000000" w:themeColor="text1"/>
          <w:sz w:val="20"/>
          <w:szCs w:val="20"/>
        </w:rPr>
        <w:t>variables</w:t>
      </w:r>
      <w:proofErr w:type="spellEnd"/>
      <w:r w:rsidRPr="00D917D8">
        <w:rPr>
          <w:rFonts w:ascii="Arial" w:hAnsi="Arial" w:cs="Arial"/>
          <w:b w:val="0"/>
          <w:color w:val="000000" w:themeColor="text1"/>
          <w:sz w:val="20"/>
          <w:szCs w:val="20"/>
        </w:rPr>
        <w:t xml:space="preserve"> in </w:t>
      </w:r>
      <w:proofErr w:type="spellStart"/>
      <w:r w:rsidRPr="00D917D8">
        <w:rPr>
          <w:rFonts w:ascii="Arial" w:hAnsi="Arial" w:cs="Arial"/>
          <w:b w:val="0"/>
          <w:color w:val="000000" w:themeColor="text1"/>
          <w:sz w:val="20"/>
          <w:szCs w:val="20"/>
        </w:rPr>
        <w:t>the</w:t>
      </w:r>
      <w:proofErr w:type="spellEnd"/>
      <w:r w:rsidRPr="00D917D8">
        <w:rPr>
          <w:rFonts w:ascii="Arial" w:hAnsi="Arial" w:cs="Arial"/>
          <w:b w:val="0"/>
          <w:color w:val="000000" w:themeColor="text1"/>
          <w:sz w:val="20"/>
          <w:szCs w:val="20"/>
        </w:rPr>
        <w:t xml:space="preserve"> </w:t>
      </w:r>
      <w:proofErr w:type="spellStart"/>
      <w:r w:rsidRPr="00D917D8">
        <w:rPr>
          <w:rFonts w:ascii="Arial" w:hAnsi="Arial" w:cs="Arial"/>
          <w:b w:val="0"/>
          <w:color w:val="000000" w:themeColor="text1"/>
          <w:sz w:val="20"/>
          <w:szCs w:val="20"/>
        </w:rPr>
        <w:t>Anxiety</w:t>
      </w:r>
      <w:proofErr w:type="spellEnd"/>
      <w:r w:rsidRPr="00D917D8">
        <w:rPr>
          <w:rFonts w:ascii="Arial" w:hAnsi="Arial" w:cs="Arial"/>
          <w:b w:val="0"/>
          <w:color w:val="000000" w:themeColor="text1"/>
          <w:sz w:val="20"/>
          <w:szCs w:val="20"/>
        </w:rPr>
        <w:t xml:space="preserve"> model (DASS-21)</w:t>
      </w:r>
    </w:p>
    <w:tbl>
      <w:tblPr>
        <w:tblStyle w:val="Tabelacomgrade"/>
        <w:tblW w:w="0" w:type="auto"/>
        <w:tblLook w:val="04A0" w:firstRow="1" w:lastRow="0" w:firstColumn="1" w:lastColumn="0" w:noHBand="0" w:noVBand="1"/>
      </w:tblPr>
      <w:tblGrid>
        <w:gridCol w:w="1907"/>
        <w:gridCol w:w="1344"/>
        <w:gridCol w:w="1311"/>
        <w:gridCol w:w="1310"/>
        <w:gridCol w:w="1316"/>
        <w:gridCol w:w="1306"/>
      </w:tblGrid>
      <w:tr w:rsidR="005C6D8F" w:rsidRPr="005C6D8F" w14:paraId="6252E341" w14:textId="77777777" w:rsidTr="001F5CB1">
        <w:tc>
          <w:tcPr>
            <w:tcW w:w="1440" w:type="dxa"/>
          </w:tcPr>
          <w:p w14:paraId="63FC632B"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Variável</w:t>
            </w:r>
          </w:p>
        </w:tc>
        <w:tc>
          <w:tcPr>
            <w:tcW w:w="1440" w:type="dxa"/>
          </w:tcPr>
          <w:p w14:paraId="64755E7B" w14:textId="77777777" w:rsidR="005C6D8F" w:rsidRPr="005C6D8F" w:rsidRDefault="005C6D8F" w:rsidP="001F5CB1">
            <w:pPr>
              <w:jc w:val="both"/>
              <w:rPr>
                <w:rFonts w:ascii="Arial" w:hAnsi="Arial" w:cs="Arial"/>
                <w:sz w:val="20"/>
                <w:szCs w:val="20"/>
              </w:rPr>
            </w:pPr>
            <w:proofErr w:type="spellStart"/>
            <w:r w:rsidRPr="005C6D8F">
              <w:rPr>
                <w:rFonts w:ascii="Arial" w:hAnsi="Arial" w:cs="Arial"/>
                <w:sz w:val="20"/>
                <w:szCs w:val="20"/>
              </w:rPr>
              <w:t>Estimate</w:t>
            </w:r>
            <w:proofErr w:type="spellEnd"/>
            <w:r w:rsidRPr="005C6D8F">
              <w:rPr>
                <w:rFonts w:ascii="Arial" w:hAnsi="Arial" w:cs="Arial"/>
                <w:sz w:val="20"/>
                <w:szCs w:val="20"/>
              </w:rPr>
              <w:t xml:space="preserve"> (β)</w:t>
            </w:r>
          </w:p>
        </w:tc>
        <w:tc>
          <w:tcPr>
            <w:tcW w:w="1440" w:type="dxa"/>
          </w:tcPr>
          <w:p w14:paraId="05B68A2D"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Erro padrão</w:t>
            </w:r>
          </w:p>
        </w:tc>
        <w:tc>
          <w:tcPr>
            <w:tcW w:w="1440" w:type="dxa"/>
          </w:tcPr>
          <w:p w14:paraId="46DF8CA1"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p-valor</w:t>
            </w:r>
          </w:p>
        </w:tc>
        <w:tc>
          <w:tcPr>
            <w:tcW w:w="1440" w:type="dxa"/>
          </w:tcPr>
          <w:p w14:paraId="0922E3BE"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Razão de médias (</w:t>
            </w:r>
            <w:proofErr w:type="spellStart"/>
            <w:r w:rsidRPr="005C6D8F">
              <w:rPr>
                <w:rFonts w:ascii="Arial" w:hAnsi="Arial" w:cs="Arial"/>
                <w:sz w:val="20"/>
                <w:szCs w:val="20"/>
              </w:rPr>
              <w:t>exp</w:t>
            </w:r>
            <w:proofErr w:type="spellEnd"/>
            <w:r w:rsidRPr="005C6D8F">
              <w:rPr>
                <w:rFonts w:ascii="Arial" w:hAnsi="Arial" w:cs="Arial"/>
                <w:sz w:val="20"/>
                <w:szCs w:val="20"/>
              </w:rPr>
              <w:t>β)</w:t>
            </w:r>
          </w:p>
        </w:tc>
        <w:tc>
          <w:tcPr>
            <w:tcW w:w="1440" w:type="dxa"/>
          </w:tcPr>
          <w:p w14:paraId="1A87AF0A"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IC95% (</w:t>
            </w:r>
            <w:proofErr w:type="spellStart"/>
            <w:r w:rsidRPr="005C6D8F">
              <w:rPr>
                <w:rFonts w:ascii="Arial" w:hAnsi="Arial" w:cs="Arial"/>
                <w:sz w:val="20"/>
                <w:szCs w:val="20"/>
              </w:rPr>
              <w:t>exp</w:t>
            </w:r>
            <w:proofErr w:type="spellEnd"/>
            <w:r w:rsidRPr="005C6D8F">
              <w:rPr>
                <w:rFonts w:ascii="Arial" w:hAnsi="Arial" w:cs="Arial"/>
                <w:sz w:val="20"/>
                <w:szCs w:val="20"/>
              </w:rPr>
              <w:t>β)</w:t>
            </w:r>
          </w:p>
        </w:tc>
      </w:tr>
      <w:tr w:rsidR="005C6D8F" w:rsidRPr="005C6D8F" w14:paraId="0EAED4CB" w14:textId="77777777" w:rsidTr="001F5CB1">
        <w:tc>
          <w:tcPr>
            <w:tcW w:w="1440" w:type="dxa"/>
          </w:tcPr>
          <w:p w14:paraId="20E51F8A" w14:textId="77777777" w:rsidR="005C6D8F" w:rsidRPr="005C6D8F" w:rsidRDefault="005C6D8F" w:rsidP="001F5CB1">
            <w:pPr>
              <w:jc w:val="both"/>
              <w:rPr>
                <w:rFonts w:ascii="Arial" w:hAnsi="Arial" w:cs="Arial"/>
                <w:sz w:val="20"/>
                <w:szCs w:val="20"/>
              </w:rPr>
            </w:pPr>
            <w:proofErr w:type="spellStart"/>
            <w:r w:rsidRPr="005C6D8F">
              <w:rPr>
                <w:rFonts w:ascii="Arial" w:hAnsi="Arial" w:cs="Arial"/>
                <w:sz w:val="20"/>
                <w:szCs w:val="20"/>
              </w:rPr>
              <w:t>hivsim</w:t>
            </w:r>
            <w:proofErr w:type="spellEnd"/>
          </w:p>
        </w:tc>
        <w:tc>
          <w:tcPr>
            <w:tcW w:w="1440" w:type="dxa"/>
          </w:tcPr>
          <w:p w14:paraId="10F7AC54"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0.116</w:t>
            </w:r>
          </w:p>
        </w:tc>
        <w:tc>
          <w:tcPr>
            <w:tcW w:w="1440" w:type="dxa"/>
          </w:tcPr>
          <w:p w14:paraId="089AD907"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0.047</w:t>
            </w:r>
          </w:p>
        </w:tc>
        <w:tc>
          <w:tcPr>
            <w:tcW w:w="1440" w:type="dxa"/>
          </w:tcPr>
          <w:p w14:paraId="37849219"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0.013</w:t>
            </w:r>
          </w:p>
        </w:tc>
        <w:tc>
          <w:tcPr>
            <w:tcW w:w="1440" w:type="dxa"/>
          </w:tcPr>
          <w:p w14:paraId="73E59787"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1.12</w:t>
            </w:r>
          </w:p>
        </w:tc>
        <w:tc>
          <w:tcPr>
            <w:tcW w:w="1440" w:type="dxa"/>
          </w:tcPr>
          <w:p w14:paraId="49F31D10"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1.03–1.23</w:t>
            </w:r>
          </w:p>
        </w:tc>
      </w:tr>
      <w:tr w:rsidR="005C6D8F" w:rsidRPr="005C6D8F" w14:paraId="7EE40389" w14:textId="77777777" w:rsidTr="001F5CB1">
        <w:tc>
          <w:tcPr>
            <w:tcW w:w="1440" w:type="dxa"/>
          </w:tcPr>
          <w:p w14:paraId="64262B63"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Trabalho (sim)</w:t>
            </w:r>
          </w:p>
        </w:tc>
        <w:tc>
          <w:tcPr>
            <w:tcW w:w="1440" w:type="dxa"/>
          </w:tcPr>
          <w:p w14:paraId="275B6549"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0.172</w:t>
            </w:r>
          </w:p>
        </w:tc>
        <w:tc>
          <w:tcPr>
            <w:tcW w:w="1440" w:type="dxa"/>
          </w:tcPr>
          <w:p w14:paraId="78495FB5"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0.064</w:t>
            </w:r>
          </w:p>
        </w:tc>
        <w:tc>
          <w:tcPr>
            <w:tcW w:w="1440" w:type="dxa"/>
          </w:tcPr>
          <w:p w14:paraId="31E999D1"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0.0077</w:t>
            </w:r>
          </w:p>
        </w:tc>
        <w:tc>
          <w:tcPr>
            <w:tcW w:w="1440" w:type="dxa"/>
          </w:tcPr>
          <w:p w14:paraId="69BEB287"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1.19</w:t>
            </w:r>
          </w:p>
        </w:tc>
        <w:tc>
          <w:tcPr>
            <w:tcW w:w="1440" w:type="dxa"/>
          </w:tcPr>
          <w:p w14:paraId="53D3C972"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1.05–1.35</w:t>
            </w:r>
          </w:p>
        </w:tc>
      </w:tr>
      <w:tr w:rsidR="005C6D8F" w:rsidRPr="005C6D8F" w14:paraId="7501121F" w14:textId="77777777" w:rsidTr="001F5CB1">
        <w:tc>
          <w:tcPr>
            <w:tcW w:w="1440" w:type="dxa"/>
          </w:tcPr>
          <w:p w14:paraId="0C6898E8"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Gastos (</w:t>
            </w:r>
            <w:proofErr w:type="spellStart"/>
            <w:r w:rsidRPr="005C6D8F">
              <w:rPr>
                <w:rFonts w:ascii="Arial" w:hAnsi="Arial" w:cs="Arial"/>
                <w:sz w:val="20"/>
                <w:szCs w:val="20"/>
              </w:rPr>
              <w:t>nao_aplica</w:t>
            </w:r>
            <w:proofErr w:type="spellEnd"/>
            <w:r w:rsidRPr="005C6D8F">
              <w:rPr>
                <w:rFonts w:ascii="Arial" w:hAnsi="Arial" w:cs="Arial"/>
                <w:sz w:val="20"/>
                <w:szCs w:val="20"/>
              </w:rPr>
              <w:t>)</w:t>
            </w:r>
          </w:p>
        </w:tc>
        <w:tc>
          <w:tcPr>
            <w:tcW w:w="1440" w:type="dxa"/>
          </w:tcPr>
          <w:p w14:paraId="23BEB29B"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0.135</w:t>
            </w:r>
          </w:p>
        </w:tc>
        <w:tc>
          <w:tcPr>
            <w:tcW w:w="1440" w:type="dxa"/>
          </w:tcPr>
          <w:p w14:paraId="65D6B23B"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0.062</w:t>
            </w:r>
          </w:p>
        </w:tc>
        <w:tc>
          <w:tcPr>
            <w:tcW w:w="1440" w:type="dxa"/>
          </w:tcPr>
          <w:p w14:paraId="78807E09"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0.030</w:t>
            </w:r>
          </w:p>
        </w:tc>
        <w:tc>
          <w:tcPr>
            <w:tcW w:w="1440" w:type="dxa"/>
          </w:tcPr>
          <w:p w14:paraId="74702217"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1.14</w:t>
            </w:r>
          </w:p>
        </w:tc>
        <w:tc>
          <w:tcPr>
            <w:tcW w:w="1440" w:type="dxa"/>
          </w:tcPr>
          <w:p w14:paraId="0CD8D21B"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1.01–1.29</w:t>
            </w:r>
          </w:p>
        </w:tc>
      </w:tr>
      <w:tr w:rsidR="005C6D8F" w:rsidRPr="005C6D8F" w14:paraId="339D2C52" w14:textId="77777777" w:rsidTr="001F5CB1">
        <w:tc>
          <w:tcPr>
            <w:tcW w:w="1440" w:type="dxa"/>
          </w:tcPr>
          <w:p w14:paraId="452137EE" w14:textId="77777777" w:rsidR="005C6D8F" w:rsidRPr="005C6D8F" w:rsidRDefault="005C6D8F" w:rsidP="001F5CB1">
            <w:pPr>
              <w:jc w:val="both"/>
              <w:rPr>
                <w:rFonts w:ascii="Arial" w:hAnsi="Arial" w:cs="Arial"/>
                <w:sz w:val="20"/>
                <w:szCs w:val="20"/>
              </w:rPr>
            </w:pPr>
            <w:proofErr w:type="spellStart"/>
            <w:r w:rsidRPr="005C6D8F">
              <w:rPr>
                <w:rFonts w:ascii="Arial" w:hAnsi="Arial" w:cs="Arial"/>
                <w:sz w:val="20"/>
                <w:szCs w:val="20"/>
              </w:rPr>
              <w:t>home_office</w:t>
            </w:r>
            <w:proofErr w:type="spellEnd"/>
            <w:r w:rsidRPr="005C6D8F">
              <w:rPr>
                <w:rFonts w:ascii="Arial" w:hAnsi="Arial" w:cs="Arial"/>
                <w:sz w:val="20"/>
                <w:szCs w:val="20"/>
              </w:rPr>
              <w:t xml:space="preserve"> (sim)</w:t>
            </w:r>
          </w:p>
        </w:tc>
        <w:tc>
          <w:tcPr>
            <w:tcW w:w="1440" w:type="dxa"/>
          </w:tcPr>
          <w:p w14:paraId="266B8B4A"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0.117</w:t>
            </w:r>
          </w:p>
        </w:tc>
        <w:tc>
          <w:tcPr>
            <w:tcW w:w="1440" w:type="dxa"/>
          </w:tcPr>
          <w:p w14:paraId="06CB69F5"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0.047</w:t>
            </w:r>
          </w:p>
        </w:tc>
        <w:tc>
          <w:tcPr>
            <w:tcW w:w="1440" w:type="dxa"/>
          </w:tcPr>
          <w:p w14:paraId="44AC87D6"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0.013</w:t>
            </w:r>
          </w:p>
        </w:tc>
        <w:tc>
          <w:tcPr>
            <w:tcW w:w="1440" w:type="dxa"/>
          </w:tcPr>
          <w:p w14:paraId="29E4008C"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1.12</w:t>
            </w:r>
          </w:p>
        </w:tc>
        <w:tc>
          <w:tcPr>
            <w:tcW w:w="1440" w:type="dxa"/>
          </w:tcPr>
          <w:p w14:paraId="2AF5D29A"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1.03–1.23</w:t>
            </w:r>
          </w:p>
        </w:tc>
      </w:tr>
      <w:tr w:rsidR="005C6D8F" w:rsidRPr="005C6D8F" w14:paraId="532E6EA9" w14:textId="77777777" w:rsidTr="001F5CB1">
        <w:tc>
          <w:tcPr>
            <w:tcW w:w="1440" w:type="dxa"/>
          </w:tcPr>
          <w:p w14:paraId="2FBA1F7B" w14:textId="77777777" w:rsidR="005C6D8F" w:rsidRPr="005C6D8F" w:rsidRDefault="005C6D8F" w:rsidP="001F5CB1">
            <w:pPr>
              <w:jc w:val="both"/>
              <w:rPr>
                <w:rFonts w:ascii="Arial" w:hAnsi="Arial" w:cs="Arial"/>
                <w:sz w:val="20"/>
                <w:szCs w:val="20"/>
              </w:rPr>
            </w:pPr>
            <w:proofErr w:type="spellStart"/>
            <w:r w:rsidRPr="005C6D8F">
              <w:rPr>
                <w:rFonts w:ascii="Arial" w:hAnsi="Arial" w:cs="Arial"/>
                <w:sz w:val="20"/>
                <w:szCs w:val="20"/>
              </w:rPr>
              <w:t>busca_info</w:t>
            </w:r>
            <w:proofErr w:type="spellEnd"/>
            <w:r w:rsidRPr="005C6D8F">
              <w:rPr>
                <w:rFonts w:ascii="Arial" w:hAnsi="Arial" w:cs="Arial"/>
                <w:sz w:val="20"/>
                <w:szCs w:val="20"/>
              </w:rPr>
              <w:t xml:space="preserve"> (3x)</w:t>
            </w:r>
          </w:p>
        </w:tc>
        <w:tc>
          <w:tcPr>
            <w:tcW w:w="1440" w:type="dxa"/>
          </w:tcPr>
          <w:p w14:paraId="1256756C"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-0.168</w:t>
            </w:r>
          </w:p>
        </w:tc>
        <w:tc>
          <w:tcPr>
            <w:tcW w:w="1440" w:type="dxa"/>
          </w:tcPr>
          <w:p w14:paraId="19E36B81"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0.074</w:t>
            </w:r>
          </w:p>
        </w:tc>
        <w:tc>
          <w:tcPr>
            <w:tcW w:w="1440" w:type="dxa"/>
          </w:tcPr>
          <w:p w14:paraId="44A00157"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0.024</w:t>
            </w:r>
          </w:p>
        </w:tc>
        <w:tc>
          <w:tcPr>
            <w:tcW w:w="1440" w:type="dxa"/>
          </w:tcPr>
          <w:p w14:paraId="49603967"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0.85</w:t>
            </w:r>
          </w:p>
        </w:tc>
        <w:tc>
          <w:tcPr>
            <w:tcW w:w="1440" w:type="dxa"/>
          </w:tcPr>
          <w:p w14:paraId="0B86F33F"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0.73–0.98</w:t>
            </w:r>
          </w:p>
        </w:tc>
      </w:tr>
      <w:tr w:rsidR="005C6D8F" w:rsidRPr="005C6D8F" w14:paraId="7A1267B9" w14:textId="77777777" w:rsidTr="001F5CB1">
        <w:tc>
          <w:tcPr>
            <w:tcW w:w="1440" w:type="dxa"/>
          </w:tcPr>
          <w:p w14:paraId="37581AC4"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depressao_dass21</w:t>
            </w:r>
          </w:p>
        </w:tc>
        <w:tc>
          <w:tcPr>
            <w:tcW w:w="1440" w:type="dxa"/>
          </w:tcPr>
          <w:p w14:paraId="4A07B515"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0.041</w:t>
            </w:r>
          </w:p>
        </w:tc>
        <w:tc>
          <w:tcPr>
            <w:tcW w:w="1440" w:type="dxa"/>
          </w:tcPr>
          <w:p w14:paraId="24BAC557"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0.005</w:t>
            </w:r>
          </w:p>
        </w:tc>
        <w:tc>
          <w:tcPr>
            <w:tcW w:w="1440" w:type="dxa"/>
          </w:tcPr>
          <w:p w14:paraId="2C3164DC"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&lt;0.001</w:t>
            </w:r>
          </w:p>
        </w:tc>
        <w:tc>
          <w:tcPr>
            <w:tcW w:w="1440" w:type="dxa"/>
          </w:tcPr>
          <w:p w14:paraId="7DF725FB"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1.04</w:t>
            </w:r>
          </w:p>
        </w:tc>
        <w:tc>
          <w:tcPr>
            <w:tcW w:w="1440" w:type="dxa"/>
          </w:tcPr>
          <w:p w14:paraId="0D791B21"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1.03–1.05</w:t>
            </w:r>
          </w:p>
        </w:tc>
      </w:tr>
      <w:tr w:rsidR="005C6D8F" w:rsidRPr="005C6D8F" w14:paraId="017B9F3E" w14:textId="77777777" w:rsidTr="001F5CB1">
        <w:tc>
          <w:tcPr>
            <w:tcW w:w="1440" w:type="dxa"/>
          </w:tcPr>
          <w:p w14:paraId="2F2220E4"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estresse_dass21</w:t>
            </w:r>
          </w:p>
        </w:tc>
        <w:tc>
          <w:tcPr>
            <w:tcW w:w="1440" w:type="dxa"/>
          </w:tcPr>
          <w:p w14:paraId="4B5487E5"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0.115</w:t>
            </w:r>
          </w:p>
        </w:tc>
        <w:tc>
          <w:tcPr>
            <w:tcW w:w="1440" w:type="dxa"/>
          </w:tcPr>
          <w:p w14:paraId="04EE3775"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0.005</w:t>
            </w:r>
          </w:p>
        </w:tc>
        <w:tc>
          <w:tcPr>
            <w:tcW w:w="1440" w:type="dxa"/>
          </w:tcPr>
          <w:p w14:paraId="41D2401F"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&lt;0.001</w:t>
            </w:r>
          </w:p>
        </w:tc>
        <w:tc>
          <w:tcPr>
            <w:tcW w:w="1440" w:type="dxa"/>
          </w:tcPr>
          <w:p w14:paraId="39F2BD14"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1.12</w:t>
            </w:r>
          </w:p>
        </w:tc>
        <w:tc>
          <w:tcPr>
            <w:tcW w:w="1440" w:type="dxa"/>
          </w:tcPr>
          <w:p w14:paraId="304C7D9C"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1.11–1.13</w:t>
            </w:r>
          </w:p>
        </w:tc>
      </w:tr>
    </w:tbl>
    <w:p w14:paraId="60B6BEC5" w14:textId="77777777" w:rsidR="005C6D8F" w:rsidRPr="005C6D8F" w:rsidRDefault="005C6D8F" w:rsidP="005C6D8F">
      <w:pPr>
        <w:rPr>
          <w:rFonts w:ascii="Arial" w:hAnsi="Arial" w:cs="Arial"/>
          <w:sz w:val="20"/>
          <w:szCs w:val="20"/>
          <w:lang w:val="en-US"/>
        </w:rPr>
      </w:pPr>
    </w:p>
    <w:p w14:paraId="56B8A53A" w14:textId="18B112CD" w:rsidR="005C6D8F" w:rsidRDefault="005C6D8F" w:rsidP="005C6D8F">
      <w:pPr>
        <w:spacing w:line="360" w:lineRule="auto"/>
        <w:ind w:firstLine="708"/>
        <w:jc w:val="both"/>
        <w:rPr>
          <w:rFonts w:ascii="Arial" w:hAnsi="Arial" w:cs="Arial"/>
          <w:lang w:val="en-US"/>
        </w:rPr>
      </w:pPr>
      <w:r w:rsidRPr="005C6D8F">
        <w:rPr>
          <w:rFonts w:ascii="Arial" w:hAnsi="Arial" w:cs="Arial"/>
          <w:lang w:val="en-US"/>
        </w:rPr>
        <w:t xml:space="preserve">In the anxiety model, </w:t>
      </w:r>
      <w:r w:rsidR="006003A0">
        <w:rPr>
          <w:rFonts w:ascii="Arial" w:hAnsi="Arial" w:cs="Arial"/>
          <w:lang w:val="en-US"/>
        </w:rPr>
        <w:t>living with HIV</w:t>
      </w:r>
      <w:r w:rsidRPr="005C6D8F">
        <w:rPr>
          <w:rFonts w:ascii="Arial" w:hAnsi="Arial" w:cs="Arial"/>
          <w:lang w:val="en-US"/>
        </w:rPr>
        <w:t xml:space="preserve"> was associated with an average 12% increase in anxiety scores (OR = 1.12; 95% CI: 1.03–1.23). Active work, absence of financial impact, and working from home were also associated with higher levels of anxiety, possibly reflecting occupational overload and job insecurity during the pandemic. Moderate information seeking (3x/week) showed a protective effect, while depression and stress scores maintained a positive correlation, indicating structural coherence between emotional dimensions.</w:t>
      </w:r>
    </w:p>
    <w:p w14:paraId="4A29F489" w14:textId="6A799755" w:rsidR="009C225C" w:rsidRPr="005C6D8F" w:rsidRDefault="009C225C" w:rsidP="005C6D8F">
      <w:pPr>
        <w:spacing w:line="360" w:lineRule="auto"/>
        <w:ind w:firstLine="708"/>
        <w:jc w:val="both"/>
        <w:rPr>
          <w:rFonts w:ascii="Arial" w:hAnsi="Arial" w:cs="Arial"/>
          <w:lang w:val="en-US"/>
        </w:rPr>
      </w:pPr>
      <w:r>
        <w:rPr>
          <w:rFonts w:ascii="Arial" w:hAnsi="Arial" w:cs="Arial"/>
          <w:lang w:val="en-US"/>
        </w:rPr>
        <w:t>(insert table 3)</w:t>
      </w:r>
    </w:p>
    <w:p w14:paraId="3734CBAC" w14:textId="77777777" w:rsidR="005C6D8F" w:rsidRDefault="005C6D8F" w:rsidP="005C6D8F">
      <w:pPr>
        <w:rPr>
          <w:lang w:val="en-US"/>
        </w:rPr>
      </w:pPr>
    </w:p>
    <w:p w14:paraId="47AEC947" w14:textId="0B8C6E2C" w:rsidR="005C6D8F" w:rsidRPr="005C6D8F" w:rsidRDefault="00D917D8" w:rsidP="00D917D8">
      <w:pPr>
        <w:jc w:val="both"/>
        <w:rPr>
          <w:rFonts w:ascii="Arial" w:hAnsi="Arial" w:cs="Arial"/>
          <w:sz w:val="20"/>
          <w:szCs w:val="20"/>
        </w:rPr>
      </w:pPr>
      <w:proofErr w:type="spellStart"/>
      <w:r w:rsidRPr="00D917D8">
        <w:rPr>
          <w:rFonts w:ascii="Arial" w:hAnsi="Arial" w:cs="Arial"/>
          <w:color w:val="000000" w:themeColor="text1"/>
          <w:sz w:val="20"/>
          <w:szCs w:val="20"/>
        </w:rPr>
        <w:t>Table</w:t>
      </w:r>
      <w:proofErr w:type="spellEnd"/>
      <w:r w:rsidRPr="00D917D8">
        <w:rPr>
          <w:rFonts w:ascii="Arial" w:hAnsi="Arial" w:cs="Arial"/>
          <w:color w:val="000000" w:themeColor="text1"/>
          <w:sz w:val="20"/>
          <w:szCs w:val="20"/>
        </w:rPr>
        <w:t xml:space="preserve"> 3 – </w:t>
      </w:r>
      <w:proofErr w:type="spellStart"/>
      <w:r w:rsidRPr="00D917D8">
        <w:rPr>
          <w:rFonts w:ascii="Arial" w:hAnsi="Arial" w:cs="Arial"/>
          <w:color w:val="000000" w:themeColor="text1"/>
          <w:sz w:val="20"/>
          <w:szCs w:val="20"/>
        </w:rPr>
        <w:t>Significant</w:t>
      </w:r>
      <w:proofErr w:type="spellEnd"/>
      <w:r w:rsidRPr="00D917D8">
        <w:rPr>
          <w:rFonts w:ascii="Arial" w:hAnsi="Arial" w:cs="Arial"/>
          <w:color w:val="000000" w:themeColor="text1"/>
          <w:sz w:val="20"/>
          <w:szCs w:val="20"/>
        </w:rPr>
        <w:t xml:space="preserve"> </w:t>
      </w:r>
      <w:proofErr w:type="spellStart"/>
      <w:r w:rsidRPr="00D917D8">
        <w:rPr>
          <w:rFonts w:ascii="Arial" w:hAnsi="Arial" w:cs="Arial"/>
          <w:color w:val="000000" w:themeColor="text1"/>
          <w:sz w:val="20"/>
          <w:szCs w:val="20"/>
        </w:rPr>
        <w:t>variables</w:t>
      </w:r>
      <w:proofErr w:type="spellEnd"/>
      <w:r w:rsidRPr="00D917D8">
        <w:rPr>
          <w:rFonts w:ascii="Arial" w:hAnsi="Arial" w:cs="Arial"/>
          <w:color w:val="000000" w:themeColor="text1"/>
          <w:sz w:val="20"/>
          <w:szCs w:val="20"/>
        </w:rPr>
        <w:t xml:space="preserve"> in </w:t>
      </w:r>
      <w:proofErr w:type="spellStart"/>
      <w:r w:rsidRPr="00D917D8">
        <w:rPr>
          <w:rFonts w:ascii="Arial" w:hAnsi="Arial" w:cs="Arial"/>
          <w:color w:val="000000" w:themeColor="text1"/>
          <w:sz w:val="20"/>
          <w:szCs w:val="20"/>
        </w:rPr>
        <w:t>the</w:t>
      </w:r>
      <w:proofErr w:type="spellEnd"/>
      <w:r w:rsidRPr="00D917D8">
        <w:rPr>
          <w:rFonts w:ascii="Arial" w:hAnsi="Arial" w:cs="Arial"/>
          <w:color w:val="000000" w:themeColor="text1"/>
          <w:sz w:val="20"/>
          <w:szCs w:val="20"/>
        </w:rPr>
        <w:t xml:space="preserve"> Stress model (DASS-21)</w:t>
      </w:r>
    </w:p>
    <w:tbl>
      <w:tblPr>
        <w:tblStyle w:val="Tabelacomgrade"/>
        <w:tblW w:w="0" w:type="auto"/>
        <w:tblLook w:val="04A0" w:firstRow="1" w:lastRow="0" w:firstColumn="1" w:lastColumn="0" w:noHBand="0" w:noVBand="1"/>
      </w:tblPr>
      <w:tblGrid>
        <w:gridCol w:w="2344"/>
        <w:gridCol w:w="1203"/>
        <w:gridCol w:w="1215"/>
        <w:gridCol w:w="848"/>
        <w:gridCol w:w="1463"/>
        <w:gridCol w:w="1421"/>
      </w:tblGrid>
      <w:tr w:rsidR="005C6D8F" w:rsidRPr="005C6D8F" w14:paraId="217EBE01" w14:textId="77777777" w:rsidTr="001F5CB1">
        <w:tc>
          <w:tcPr>
            <w:tcW w:w="2415" w:type="dxa"/>
          </w:tcPr>
          <w:p w14:paraId="176C8662"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Variável</w:t>
            </w:r>
          </w:p>
        </w:tc>
        <w:tc>
          <w:tcPr>
            <w:tcW w:w="1237" w:type="dxa"/>
          </w:tcPr>
          <w:p w14:paraId="396C0C0F" w14:textId="77777777" w:rsidR="005C6D8F" w:rsidRPr="005C6D8F" w:rsidRDefault="005C6D8F" w:rsidP="001F5CB1">
            <w:pPr>
              <w:jc w:val="both"/>
              <w:rPr>
                <w:rFonts w:ascii="Arial" w:hAnsi="Arial" w:cs="Arial"/>
                <w:sz w:val="20"/>
                <w:szCs w:val="20"/>
              </w:rPr>
            </w:pPr>
            <w:proofErr w:type="spellStart"/>
            <w:r w:rsidRPr="005C6D8F">
              <w:rPr>
                <w:rFonts w:ascii="Arial" w:hAnsi="Arial" w:cs="Arial"/>
                <w:sz w:val="20"/>
                <w:szCs w:val="20"/>
              </w:rPr>
              <w:t>Estimate</w:t>
            </w:r>
            <w:proofErr w:type="spellEnd"/>
            <w:r w:rsidRPr="005C6D8F">
              <w:rPr>
                <w:rFonts w:ascii="Arial" w:hAnsi="Arial" w:cs="Arial"/>
                <w:sz w:val="20"/>
                <w:szCs w:val="20"/>
              </w:rPr>
              <w:t xml:space="preserve"> (β)</w:t>
            </w:r>
          </w:p>
        </w:tc>
        <w:tc>
          <w:tcPr>
            <w:tcW w:w="1276" w:type="dxa"/>
          </w:tcPr>
          <w:p w14:paraId="0117669B"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Erro padrão</w:t>
            </w:r>
          </w:p>
        </w:tc>
        <w:tc>
          <w:tcPr>
            <w:tcW w:w="850" w:type="dxa"/>
          </w:tcPr>
          <w:p w14:paraId="79C802E6"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p-valor</w:t>
            </w:r>
          </w:p>
        </w:tc>
        <w:tc>
          <w:tcPr>
            <w:tcW w:w="1560" w:type="dxa"/>
          </w:tcPr>
          <w:p w14:paraId="09243369"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Razão de médias (</w:t>
            </w:r>
            <w:proofErr w:type="spellStart"/>
            <w:r w:rsidRPr="005C6D8F">
              <w:rPr>
                <w:rFonts w:ascii="Arial" w:hAnsi="Arial" w:cs="Arial"/>
                <w:sz w:val="20"/>
                <w:szCs w:val="20"/>
              </w:rPr>
              <w:t>exp</w:t>
            </w:r>
            <w:proofErr w:type="spellEnd"/>
            <w:r w:rsidRPr="005C6D8F">
              <w:rPr>
                <w:rFonts w:ascii="Arial" w:hAnsi="Arial" w:cs="Arial"/>
                <w:sz w:val="20"/>
                <w:szCs w:val="20"/>
              </w:rPr>
              <w:t>β)</w:t>
            </w:r>
          </w:p>
        </w:tc>
        <w:tc>
          <w:tcPr>
            <w:tcW w:w="1518" w:type="dxa"/>
          </w:tcPr>
          <w:p w14:paraId="4CD4F9C4"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IC95% (</w:t>
            </w:r>
            <w:proofErr w:type="spellStart"/>
            <w:r w:rsidRPr="005C6D8F">
              <w:rPr>
                <w:rFonts w:ascii="Arial" w:hAnsi="Arial" w:cs="Arial"/>
                <w:sz w:val="20"/>
                <w:szCs w:val="20"/>
              </w:rPr>
              <w:t>exp</w:t>
            </w:r>
            <w:proofErr w:type="spellEnd"/>
            <w:r w:rsidRPr="005C6D8F">
              <w:rPr>
                <w:rFonts w:ascii="Arial" w:hAnsi="Arial" w:cs="Arial"/>
                <w:sz w:val="20"/>
                <w:szCs w:val="20"/>
              </w:rPr>
              <w:t>β)</w:t>
            </w:r>
          </w:p>
        </w:tc>
      </w:tr>
      <w:tr w:rsidR="005C6D8F" w:rsidRPr="005C6D8F" w14:paraId="70E10A21" w14:textId="77777777" w:rsidTr="001F5CB1">
        <w:tc>
          <w:tcPr>
            <w:tcW w:w="2415" w:type="dxa"/>
          </w:tcPr>
          <w:p w14:paraId="164BF220" w14:textId="77777777" w:rsidR="005C6D8F" w:rsidRPr="005C6D8F" w:rsidRDefault="005C6D8F" w:rsidP="001F5CB1">
            <w:pPr>
              <w:jc w:val="both"/>
              <w:rPr>
                <w:rFonts w:ascii="Arial" w:hAnsi="Arial" w:cs="Arial"/>
                <w:sz w:val="20"/>
                <w:szCs w:val="20"/>
              </w:rPr>
            </w:pPr>
            <w:proofErr w:type="spellStart"/>
            <w:r w:rsidRPr="005C6D8F">
              <w:rPr>
                <w:rFonts w:ascii="Arial" w:hAnsi="Arial" w:cs="Arial"/>
                <w:sz w:val="20"/>
                <w:szCs w:val="20"/>
              </w:rPr>
              <w:t>hivsim</w:t>
            </w:r>
            <w:proofErr w:type="spellEnd"/>
          </w:p>
        </w:tc>
        <w:tc>
          <w:tcPr>
            <w:tcW w:w="1237" w:type="dxa"/>
          </w:tcPr>
          <w:p w14:paraId="7A946D38"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-0.148</w:t>
            </w:r>
          </w:p>
        </w:tc>
        <w:tc>
          <w:tcPr>
            <w:tcW w:w="1276" w:type="dxa"/>
          </w:tcPr>
          <w:p w14:paraId="2B2EF501"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0.030</w:t>
            </w:r>
          </w:p>
        </w:tc>
        <w:tc>
          <w:tcPr>
            <w:tcW w:w="850" w:type="dxa"/>
          </w:tcPr>
          <w:p w14:paraId="437A0459"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&lt;0.001</w:t>
            </w:r>
          </w:p>
        </w:tc>
        <w:tc>
          <w:tcPr>
            <w:tcW w:w="1560" w:type="dxa"/>
          </w:tcPr>
          <w:p w14:paraId="3B05B422"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0.86</w:t>
            </w:r>
          </w:p>
        </w:tc>
        <w:tc>
          <w:tcPr>
            <w:tcW w:w="1518" w:type="dxa"/>
          </w:tcPr>
          <w:p w14:paraId="64DC421C"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0.81–0.91</w:t>
            </w:r>
          </w:p>
        </w:tc>
      </w:tr>
      <w:tr w:rsidR="005C6D8F" w:rsidRPr="005C6D8F" w14:paraId="72850254" w14:textId="77777777" w:rsidTr="001F5CB1">
        <w:tc>
          <w:tcPr>
            <w:tcW w:w="2415" w:type="dxa"/>
          </w:tcPr>
          <w:p w14:paraId="044E8BA7"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Gastos (sim)</w:t>
            </w:r>
          </w:p>
        </w:tc>
        <w:tc>
          <w:tcPr>
            <w:tcW w:w="1237" w:type="dxa"/>
          </w:tcPr>
          <w:p w14:paraId="54503C4A"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0.105</w:t>
            </w:r>
          </w:p>
        </w:tc>
        <w:tc>
          <w:tcPr>
            <w:tcW w:w="1276" w:type="dxa"/>
          </w:tcPr>
          <w:p w14:paraId="2525CCAF"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0.035</w:t>
            </w:r>
          </w:p>
        </w:tc>
        <w:tc>
          <w:tcPr>
            <w:tcW w:w="850" w:type="dxa"/>
          </w:tcPr>
          <w:p w14:paraId="362A1B55"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0.0027</w:t>
            </w:r>
          </w:p>
        </w:tc>
        <w:tc>
          <w:tcPr>
            <w:tcW w:w="1560" w:type="dxa"/>
          </w:tcPr>
          <w:p w14:paraId="086769D8"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1.11</w:t>
            </w:r>
          </w:p>
        </w:tc>
        <w:tc>
          <w:tcPr>
            <w:tcW w:w="1518" w:type="dxa"/>
          </w:tcPr>
          <w:p w14:paraId="02542E68"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1.04–1.19</w:t>
            </w:r>
          </w:p>
        </w:tc>
      </w:tr>
      <w:tr w:rsidR="005C6D8F" w:rsidRPr="005C6D8F" w14:paraId="5D8C287B" w14:textId="77777777" w:rsidTr="001F5CB1">
        <w:tc>
          <w:tcPr>
            <w:tcW w:w="2415" w:type="dxa"/>
          </w:tcPr>
          <w:p w14:paraId="73B73358" w14:textId="77777777" w:rsidR="005C6D8F" w:rsidRPr="005C6D8F" w:rsidRDefault="005C6D8F" w:rsidP="001F5CB1">
            <w:pPr>
              <w:jc w:val="both"/>
              <w:rPr>
                <w:rFonts w:ascii="Arial" w:hAnsi="Arial" w:cs="Arial"/>
                <w:sz w:val="20"/>
                <w:szCs w:val="20"/>
              </w:rPr>
            </w:pPr>
            <w:proofErr w:type="spellStart"/>
            <w:r w:rsidRPr="005C6D8F">
              <w:rPr>
                <w:rFonts w:ascii="Arial" w:hAnsi="Arial" w:cs="Arial"/>
                <w:sz w:val="20"/>
                <w:szCs w:val="20"/>
              </w:rPr>
              <w:t>home_office</w:t>
            </w:r>
            <w:proofErr w:type="spellEnd"/>
            <w:r w:rsidRPr="005C6D8F">
              <w:rPr>
                <w:rFonts w:ascii="Arial" w:hAnsi="Arial" w:cs="Arial"/>
                <w:sz w:val="20"/>
                <w:szCs w:val="20"/>
              </w:rPr>
              <w:t xml:space="preserve"> (sim)</w:t>
            </w:r>
          </w:p>
        </w:tc>
        <w:tc>
          <w:tcPr>
            <w:tcW w:w="1237" w:type="dxa"/>
          </w:tcPr>
          <w:p w14:paraId="5639BE37"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-0.075</w:t>
            </w:r>
          </w:p>
        </w:tc>
        <w:tc>
          <w:tcPr>
            <w:tcW w:w="1276" w:type="dxa"/>
          </w:tcPr>
          <w:p w14:paraId="00431894"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0.031</w:t>
            </w:r>
          </w:p>
        </w:tc>
        <w:tc>
          <w:tcPr>
            <w:tcW w:w="850" w:type="dxa"/>
          </w:tcPr>
          <w:p w14:paraId="29129C04"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0.016</w:t>
            </w:r>
          </w:p>
        </w:tc>
        <w:tc>
          <w:tcPr>
            <w:tcW w:w="1560" w:type="dxa"/>
          </w:tcPr>
          <w:p w14:paraId="49F80C69"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0.93</w:t>
            </w:r>
          </w:p>
        </w:tc>
        <w:tc>
          <w:tcPr>
            <w:tcW w:w="1518" w:type="dxa"/>
          </w:tcPr>
          <w:p w14:paraId="4C0100E5"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0.87–0.99</w:t>
            </w:r>
          </w:p>
        </w:tc>
      </w:tr>
      <w:tr w:rsidR="005C6D8F" w:rsidRPr="005C6D8F" w14:paraId="1BA235AE" w14:textId="77777777" w:rsidTr="001F5CB1">
        <w:tc>
          <w:tcPr>
            <w:tcW w:w="2415" w:type="dxa"/>
          </w:tcPr>
          <w:p w14:paraId="64F9E7F9"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Escolaridade (</w:t>
            </w:r>
            <w:proofErr w:type="spellStart"/>
            <w:r w:rsidRPr="005C6D8F">
              <w:rPr>
                <w:rFonts w:ascii="Arial" w:hAnsi="Arial" w:cs="Arial"/>
                <w:sz w:val="20"/>
                <w:szCs w:val="20"/>
              </w:rPr>
              <w:t>graduacao</w:t>
            </w:r>
            <w:proofErr w:type="spellEnd"/>
            <w:r w:rsidRPr="005C6D8F">
              <w:rPr>
                <w:rFonts w:ascii="Arial" w:hAnsi="Arial" w:cs="Arial"/>
                <w:sz w:val="20"/>
                <w:szCs w:val="20"/>
              </w:rPr>
              <w:t>)</w:t>
            </w:r>
          </w:p>
        </w:tc>
        <w:tc>
          <w:tcPr>
            <w:tcW w:w="1237" w:type="dxa"/>
          </w:tcPr>
          <w:p w14:paraId="62452DDF"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0.119</w:t>
            </w:r>
          </w:p>
        </w:tc>
        <w:tc>
          <w:tcPr>
            <w:tcW w:w="1276" w:type="dxa"/>
          </w:tcPr>
          <w:p w14:paraId="12FDABDE"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0.044</w:t>
            </w:r>
          </w:p>
        </w:tc>
        <w:tc>
          <w:tcPr>
            <w:tcW w:w="850" w:type="dxa"/>
          </w:tcPr>
          <w:p w14:paraId="28B70DAF"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0.0069</w:t>
            </w:r>
          </w:p>
        </w:tc>
        <w:tc>
          <w:tcPr>
            <w:tcW w:w="1560" w:type="dxa"/>
          </w:tcPr>
          <w:p w14:paraId="1194C898"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1.13</w:t>
            </w:r>
          </w:p>
        </w:tc>
        <w:tc>
          <w:tcPr>
            <w:tcW w:w="1518" w:type="dxa"/>
          </w:tcPr>
          <w:p w14:paraId="13E036C7"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1.03–1.23</w:t>
            </w:r>
          </w:p>
        </w:tc>
      </w:tr>
      <w:tr w:rsidR="005C6D8F" w:rsidRPr="005C6D8F" w14:paraId="2A6C3823" w14:textId="77777777" w:rsidTr="001F5CB1">
        <w:tc>
          <w:tcPr>
            <w:tcW w:w="2415" w:type="dxa"/>
          </w:tcPr>
          <w:p w14:paraId="38F20F55"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Escolaridade (</w:t>
            </w:r>
            <w:proofErr w:type="spellStart"/>
            <w:r w:rsidRPr="005C6D8F">
              <w:rPr>
                <w:rFonts w:ascii="Arial" w:hAnsi="Arial" w:cs="Arial"/>
                <w:sz w:val="20"/>
                <w:szCs w:val="20"/>
              </w:rPr>
              <w:t>pos_graduacao</w:t>
            </w:r>
            <w:proofErr w:type="spellEnd"/>
            <w:r w:rsidRPr="005C6D8F">
              <w:rPr>
                <w:rFonts w:ascii="Arial" w:hAnsi="Arial" w:cs="Arial"/>
                <w:sz w:val="20"/>
                <w:szCs w:val="20"/>
              </w:rPr>
              <w:t>)</w:t>
            </w:r>
          </w:p>
        </w:tc>
        <w:tc>
          <w:tcPr>
            <w:tcW w:w="1237" w:type="dxa"/>
          </w:tcPr>
          <w:p w14:paraId="3942EF6B"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0.215</w:t>
            </w:r>
          </w:p>
        </w:tc>
        <w:tc>
          <w:tcPr>
            <w:tcW w:w="1276" w:type="dxa"/>
          </w:tcPr>
          <w:p w14:paraId="57E7B6E8"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0.049</w:t>
            </w:r>
          </w:p>
        </w:tc>
        <w:tc>
          <w:tcPr>
            <w:tcW w:w="850" w:type="dxa"/>
          </w:tcPr>
          <w:p w14:paraId="6F60D6B8"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&lt;0.001</w:t>
            </w:r>
          </w:p>
        </w:tc>
        <w:tc>
          <w:tcPr>
            <w:tcW w:w="1560" w:type="dxa"/>
          </w:tcPr>
          <w:p w14:paraId="711A3505"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1.24</w:t>
            </w:r>
          </w:p>
        </w:tc>
        <w:tc>
          <w:tcPr>
            <w:tcW w:w="1518" w:type="dxa"/>
          </w:tcPr>
          <w:p w14:paraId="1570FB7A"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1.13–1.36</w:t>
            </w:r>
          </w:p>
        </w:tc>
      </w:tr>
      <w:tr w:rsidR="005C6D8F" w:rsidRPr="005C6D8F" w14:paraId="78EAE073" w14:textId="77777777" w:rsidTr="001F5CB1">
        <w:tc>
          <w:tcPr>
            <w:tcW w:w="2415" w:type="dxa"/>
          </w:tcPr>
          <w:p w14:paraId="14B24EC4" w14:textId="77777777" w:rsidR="005C6D8F" w:rsidRPr="005C6D8F" w:rsidRDefault="005C6D8F" w:rsidP="001F5CB1">
            <w:pPr>
              <w:jc w:val="both"/>
              <w:rPr>
                <w:rFonts w:ascii="Arial" w:hAnsi="Arial" w:cs="Arial"/>
                <w:sz w:val="20"/>
                <w:szCs w:val="20"/>
              </w:rPr>
            </w:pPr>
            <w:proofErr w:type="spellStart"/>
            <w:r w:rsidRPr="005C6D8F">
              <w:rPr>
                <w:rFonts w:ascii="Arial" w:hAnsi="Arial" w:cs="Arial"/>
                <w:sz w:val="20"/>
                <w:szCs w:val="20"/>
              </w:rPr>
              <w:t>risco_covid</w:t>
            </w:r>
            <w:proofErr w:type="spellEnd"/>
            <w:r w:rsidRPr="005C6D8F">
              <w:rPr>
                <w:rFonts w:ascii="Arial" w:hAnsi="Arial" w:cs="Arial"/>
                <w:sz w:val="20"/>
                <w:szCs w:val="20"/>
              </w:rPr>
              <w:t xml:space="preserve"> (sim)</w:t>
            </w:r>
          </w:p>
        </w:tc>
        <w:tc>
          <w:tcPr>
            <w:tcW w:w="1237" w:type="dxa"/>
          </w:tcPr>
          <w:p w14:paraId="17846396"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0.082</w:t>
            </w:r>
          </w:p>
        </w:tc>
        <w:tc>
          <w:tcPr>
            <w:tcW w:w="1276" w:type="dxa"/>
          </w:tcPr>
          <w:p w14:paraId="4CED35AD"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0.034</w:t>
            </w:r>
          </w:p>
        </w:tc>
        <w:tc>
          <w:tcPr>
            <w:tcW w:w="850" w:type="dxa"/>
          </w:tcPr>
          <w:p w14:paraId="433112ED"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0.015</w:t>
            </w:r>
          </w:p>
        </w:tc>
        <w:tc>
          <w:tcPr>
            <w:tcW w:w="1560" w:type="dxa"/>
          </w:tcPr>
          <w:p w14:paraId="4CAFE936"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1.09</w:t>
            </w:r>
          </w:p>
        </w:tc>
        <w:tc>
          <w:tcPr>
            <w:tcW w:w="1518" w:type="dxa"/>
          </w:tcPr>
          <w:p w14:paraId="139291AA"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1.02–1.16</w:t>
            </w:r>
          </w:p>
        </w:tc>
      </w:tr>
      <w:tr w:rsidR="005C6D8F" w:rsidRPr="005C6D8F" w14:paraId="0551359E" w14:textId="77777777" w:rsidTr="001F5CB1">
        <w:tc>
          <w:tcPr>
            <w:tcW w:w="2415" w:type="dxa"/>
          </w:tcPr>
          <w:p w14:paraId="65B196BC" w14:textId="77777777" w:rsidR="005C6D8F" w:rsidRPr="005C6D8F" w:rsidRDefault="005C6D8F" w:rsidP="001F5CB1">
            <w:pPr>
              <w:jc w:val="both"/>
              <w:rPr>
                <w:rFonts w:ascii="Arial" w:hAnsi="Arial" w:cs="Arial"/>
                <w:sz w:val="20"/>
                <w:szCs w:val="20"/>
              </w:rPr>
            </w:pPr>
            <w:proofErr w:type="spellStart"/>
            <w:r w:rsidRPr="005C6D8F">
              <w:rPr>
                <w:rFonts w:ascii="Arial" w:hAnsi="Arial" w:cs="Arial"/>
                <w:sz w:val="20"/>
                <w:szCs w:val="20"/>
              </w:rPr>
              <w:t>info_prev</w:t>
            </w:r>
            <w:proofErr w:type="spellEnd"/>
            <w:r w:rsidRPr="005C6D8F">
              <w:rPr>
                <w:rFonts w:ascii="Arial" w:hAnsi="Arial" w:cs="Arial"/>
                <w:sz w:val="20"/>
                <w:szCs w:val="20"/>
              </w:rPr>
              <w:t xml:space="preserve"> (talvez)</w:t>
            </w:r>
          </w:p>
        </w:tc>
        <w:tc>
          <w:tcPr>
            <w:tcW w:w="1237" w:type="dxa"/>
          </w:tcPr>
          <w:p w14:paraId="68F086FB"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-0.198</w:t>
            </w:r>
          </w:p>
        </w:tc>
        <w:tc>
          <w:tcPr>
            <w:tcW w:w="1276" w:type="dxa"/>
          </w:tcPr>
          <w:p w14:paraId="6E773F78"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0.049</w:t>
            </w:r>
          </w:p>
        </w:tc>
        <w:tc>
          <w:tcPr>
            <w:tcW w:w="850" w:type="dxa"/>
          </w:tcPr>
          <w:p w14:paraId="6FCADB32"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&lt;0.001</w:t>
            </w:r>
          </w:p>
        </w:tc>
        <w:tc>
          <w:tcPr>
            <w:tcW w:w="1560" w:type="dxa"/>
          </w:tcPr>
          <w:p w14:paraId="54481010"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0.82</w:t>
            </w:r>
          </w:p>
        </w:tc>
        <w:tc>
          <w:tcPr>
            <w:tcW w:w="1518" w:type="dxa"/>
          </w:tcPr>
          <w:p w14:paraId="6B9D1C3D"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0.75–0.90</w:t>
            </w:r>
          </w:p>
        </w:tc>
      </w:tr>
      <w:tr w:rsidR="005C6D8F" w:rsidRPr="005C6D8F" w14:paraId="480C527D" w14:textId="77777777" w:rsidTr="001F5CB1">
        <w:tc>
          <w:tcPr>
            <w:tcW w:w="2415" w:type="dxa"/>
          </w:tcPr>
          <w:p w14:paraId="17829FA1"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depressao_dass21</w:t>
            </w:r>
          </w:p>
        </w:tc>
        <w:tc>
          <w:tcPr>
            <w:tcW w:w="1237" w:type="dxa"/>
          </w:tcPr>
          <w:p w14:paraId="0932A3EE"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0.049</w:t>
            </w:r>
          </w:p>
        </w:tc>
        <w:tc>
          <w:tcPr>
            <w:tcW w:w="1276" w:type="dxa"/>
          </w:tcPr>
          <w:p w14:paraId="76C79D07"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0.003</w:t>
            </w:r>
          </w:p>
        </w:tc>
        <w:tc>
          <w:tcPr>
            <w:tcW w:w="850" w:type="dxa"/>
          </w:tcPr>
          <w:p w14:paraId="62DFFEE4"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&lt;0.001</w:t>
            </w:r>
          </w:p>
        </w:tc>
        <w:tc>
          <w:tcPr>
            <w:tcW w:w="1560" w:type="dxa"/>
          </w:tcPr>
          <w:p w14:paraId="46425981"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1.05</w:t>
            </w:r>
          </w:p>
        </w:tc>
        <w:tc>
          <w:tcPr>
            <w:tcW w:w="1518" w:type="dxa"/>
          </w:tcPr>
          <w:p w14:paraId="7A707A2F"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1.04–1.06</w:t>
            </w:r>
          </w:p>
        </w:tc>
      </w:tr>
      <w:tr w:rsidR="005C6D8F" w:rsidRPr="005C6D8F" w14:paraId="5BCC88A9" w14:textId="77777777" w:rsidTr="001F5CB1">
        <w:tc>
          <w:tcPr>
            <w:tcW w:w="2415" w:type="dxa"/>
          </w:tcPr>
          <w:p w14:paraId="1BC5512A"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ansiedade_dass21</w:t>
            </w:r>
          </w:p>
        </w:tc>
        <w:tc>
          <w:tcPr>
            <w:tcW w:w="1237" w:type="dxa"/>
          </w:tcPr>
          <w:p w14:paraId="7BC7843B"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0.050</w:t>
            </w:r>
          </w:p>
        </w:tc>
        <w:tc>
          <w:tcPr>
            <w:tcW w:w="1276" w:type="dxa"/>
          </w:tcPr>
          <w:p w14:paraId="3028D2AE"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0.004</w:t>
            </w:r>
          </w:p>
        </w:tc>
        <w:tc>
          <w:tcPr>
            <w:tcW w:w="850" w:type="dxa"/>
          </w:tcPr>
          <w:p w14:paraId="292731CF"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&lt;0.001</w:t>
            </w:r>
          </w:p>
        </w:tc>
        <w:tc>
          <w:tcPr>
            <w:tcW w:w="1560" w:type="dxa"/>
          </w:tcPr>
          <w:p w14:paraId="5FAE8872"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1.05</w:t>
            </w:r>
          </w:p>
        </w:tc>
        <w:tc>
          <w:tcPr>
            <w:tcW w:w="1518" w:type="dxa"/>
          </w:tcPr>
          <w:p w14:paraId="45B56ABC" w14:textId="77777777" w:rsidR="005C6D8F" w:rsidRPr="005C6D8F" w:rsidRDefault="005C6D8F" w:rsidP="001F5CB1">
            <w:pPr>
              <w:jc w:val="both"/>
              <w:rPr>
                <w:rFonts w:ascii="Arial" w:hAnsi="Arial" w:cs="Arial"/>
                <w:sz w:val="20"/>
                <w:szCs w:val="20"/>
              </w:rPr>
            </w:pPr>
            <w:r w:rsidRPr="005C6D8F">
              <w:rPr>
                <w:rFonts w:ascii="Arial" w:hAnsi="Arial" w:cs="Arial"/>
                <w:sz w:val="20"/>
                <w:szCs w:val="20"/>
              </w:rPr>
              <w:t>1.04–1.06</w:t>
            </w:r>
          </w:p>
        </w:tc>
      </w:tr>
    </w:tbl>
    <w:p w14:paraId="780089AE" w14:textId="77777777" w:rsidR="005C6D8F" w:rsidRPr="005C6D8F" w:rsidRDefault="005C6D8F" w:rsidP="005C6D8F">
      <w:pPr>
        <w:rPr>
          <w:rFonts w:ascii="Arial" w:hAnsi="Arial" w:cs="Arial"/>
          <w:sz w:val="20"/>
          <w:szCs w:val="20"/>
          <w:lang w:val="en-US"/>
        </w:rPr>
      </w:pPr>
    </w:p>
    <w:p w14:paraId="2AF2ACAB" w14:textId="77777777" w:rsidR="005C6D8F" w:rsidRDefault="005C6D8F" w:rsidP="005C6D8F">
      <w:pPr>
        <w:rPr>
          <w:lang w:val="en-US"/>
        </w:rPr>
      </w:pPr>
    </w:p>
    <w:p w14:paraId="619A7C74" w14:textId="5C2B0F1F" w:rsidR="005C6D8F" w:rsidRDefault="005C6D8F" w:rsidP="005C6D8F">
      <w:pPr>
        <w:spacing w:line="360" w:lineRule="auto"/>
        <w:ind w:firstLine="708"/>
        <w:jc w:val="both"/>
        <w:rPr>
          <w:rFonts w:ascii="Arial" w:hAnsi="Arial" w:cs="Arial"/>
          <w:lang w:val="en-US"/>
        </w:rPr>
      </w:pPr>
      <w:r w:rsidRPr="005C6D8F">
        <w:rPr>
          <w:rFonts w:ascii="Arial" w:hAnsi="Arial" w:cs="Arial"/>
          <w:lang w:val="en-US"/>
        </w:rPr>
        <w:t xml:space="preserve">The stress model showed an inverse association between HIV and stress scores, indicating lower stress levels among people living with HIV (OR = 0.86; 95% CI: 0.81–0.91). Higher education was associated with higher scores, while working from home proved to be protective. Uncertain perception about </w:t>
      </w:r>
      <w:r w:rsidRPr="005C6D8F">
        <w:rPr>
          <w:rFonts w:ascii="Arial" w:hAnsi="Arial" w:cs="Arial"/>
          <w:lang w:val="en-US"/>
        </w:rPr>
        <w:lastRenderedPageBreak/>
        <w:t>preventive information was associated with lower stress, possibly reflecting a psychological avoidance effect. On the other hand, higher self-perception of risk for COVID-19 and the presence of symptoms of anxiety and depression correlated positively with stress, demonstrating convergence between emotional domains.</w:t>
      </w:r>
    </w:p>
    <w:p w14:paraId="7EA558E9" w14:textId="77777777" w:rsidR="005C6D8F" w:rsidRDefault="005C6D8F" w:rsidP="00E039C7">
      <w:pPr>
        <w:pStyle w:val="Ttulo1"/>
      </w:pPr>
      <w:r w:rsidRPr="005C6D8F">
        <w:t>Analysis of robustness to unmeasured confounding (E-value)</w:t>
      </w:r>
    </w:p>
    <w:p w14:paraId="4ADADE9B" w14:textId="77777777" w:rsidR="00D917D8" w:rsidRPr="00D917D8" w:rsidRDefault="00D917D8" w:rsidP="00D917D8">
      <w:pPr>
        <w:rPr>
          <w:lang w:val="en-US"/>
        </w:rPr>
      </w:pPr>
    </w:p>
    <w:p w14:paraId="2850DCA1" w14:textId="77777777" w:rsidR="005C6D8F" w:rsidRPr="005C6D8F" w:rsidRDefault="005C6D8F" w:rsidP="005C6D8F">
      <w:pPr>
        <w:spacing w:line="360" w:lineRule="auto"/>
        <w:ind w:firstLine="708"/>
        <w:jc w:val="both"/>
        <w:rPr>
          <w:rFonts w:ascii="Arial" w:hAnsi="Arial" w:cs="Arial"/>
          <w:lang w:val="en-US"/>
        </w:rPr>
      </w:pPr>
      <w:proofErr w:type="gramStart"/>
      <w:r w:rsidRPr="005C6D8F">
        <w:rPr>
          <w:rFonts w:ascii="Arial" w:hAnsi="Arial" w:cs="Arial"/>
          <w:lang w:val="en-US"/>
        </w:rPr>
        <w:t>In order to</w:t>
      </w:r>
      <w:proofErr w:type="gramEnd"/>
      <w:r w:rsidRPr="005C6D8F">
        <w:rPr>
          <w:rFonts w:ascii="Arial" w:hAnsi="Arial" w:cs="Arial"/>
          <w:lang w:val="en-US"/>
        </w:rPr>
        <w:t xml:space="preserve"> assess the robustness of the observed associations against possible unmeasured confounders, evidence values ​​(E-values) were calculated for HIV exposure in each of the three adjusted models (depression, anxiety, and stress).</w:t>
      </w:r>
    </w:p>
    <w:p w14:paraId="412CDB3D" w14:textId="77777777" w:rsidR="005C6D8F" w:rsidRPr="005C6D8F" w:rsidRDefault="005C6D8F" w:rsidP="005C6D8F">
      <w:pPr>
        <w:spacing w:line="360" w:lineRule="auto"/>
        <w:ind w:firstLine="708"/>
        <w:jc w:val="both"/>
        <w:rPr>
          <w:rFonts w:ascii="Arial" w:hAnsi="Arial" w:cs="Arial"/>
          <w:lang w:val="en-US"/>
        </w:rPr>
      </w:pPr>
      <w:r w:rsidRPr="005C6D8F">
        <w:rPr>
          <w:rFonts w:ascii="Arial" w:hAnsi="Arial" w:cs="Arial"/>
          <w:lang w:val="en-US"/>
        </w:rPr>
        <w:t>For the anxiety model, the ratio of means associated with HIV was 1.12 (95% CI 1.03–1.23), corresponding to an E-value of 1.50 for the point estimate and 1.19 for the lower limit of the confidence interval.</w:t>
      </w:r>
    </w:p>
    <w:p w14:paraId="70E38953" w14:textId="77777777" w:rsidR="005C6D8F" w:rsidRPr="005C6D8F" w:rsidRDefault="005C6D8F" w:rsidP="005C6D8F">
      <w:pPr>
        <w:spacing w:line="360" w:lineRule="auto"/>
        <w:jc w:val="both"/>
        <w:rPr>
          <w:rFonts w:ascii="Arial" w:hAnsi="Arial" w:cs="Arial"/>
          <w:lang w:val="en-US"/>
        </w:rPr>
      </w:pPr>
      <w:r w:rsidRPr="005C6D8F">
        <w:rPr>
          <w:rFonts w:ascii="Arial" w:hAnsi="Arial" w:cs="Arial"/>
          <w:lang w:val="en-US"/>
        </w:rPr>
        <w:t>In the stress model, where the association was inverse (ratio of means = 0.86; 95% CI 0.81–0.91), the E-value calculated after inverting the ratio was 1.59 for the point estimate and 1.41 for the lower limit.</w:t>
      </w:r>
    </w:p>
    <w:p w14:paraId="64183102" w14:textId="77777777" w:rsidR="005C6D8F" w:rsidRPr="005C6D8F" w:rsidRDefault="005C6D8F" w:rsidP="005C6D8F">
      <w:pPr>
        <w:spacing w:line="360" w:lineRule="auto"/>
        <w:ind w:firstLine="708"/>
        <w:jc w:val="both"/>
        <w:rPr>
          <w:rFonts w:ascii="Arial" w:hAnsi="Arial" w:cs="Arial"/>
          <w:lang w:val="en-US"/>
        </w:rPr>
      </w:pPr>
      <w:r w:rsidRPr="005C6D8F">
        <w:rPr>
          <w:rFonts w:ascii="Arial" w:hAnsi="Arial" w:cs="Arial"/>
          <w:lang w:val="en-US"/>
        </w:rPr>
        <w:t>Finally, in the depression model, the association with HIV was weaker (ratio of means = 1.05; 95% CI 0.97–1.14), with an E-value of 1.28 for the point estimate and 1.00 for the lower limit, indicating a lack of robustness, since the confidence interval includes the null value.</w:t>
      </w:r>
    </w:p>
    <w:p w14:paraId="3DCE5B2F" w14:textId="45C321F8" w:rsidR="005C6D8F" w:rsidRPr="00E039C7" w:rsidRDefault="005C6D8F" w:rsidP="00E039C7">
      <w:pPr>
        <w:spacing w:line="360" w:lineRule="auto"/>
        <w:ind w:firstLine="708"/>
        <w:jc w:val="both"/>
        <w:rPr>
          <w:rFonts w:ascii="Arial" w:hAnsi="Arial" w:cs="Arial"/>
          <w:lang w:val="en-US"/>
        </w:rPr>
      </w:pPr>
      <w:r w:rsidRPr="005C6D8F">
        <w:rPr>
          <w:rFonts w:ascii="Arial" w:hAnsi="Arial" w:cs="Arial"/>
          <w:lang w:val="en-US"/>
        </w:rPr>
        <w:t>These results suggest that the associations found for anxiety and stress show moderate resistance to the influence of unmeasured confounders, while the association with depressive symptoms is sensitive to possible uncontrolled residual variables.</w:t>
      </w:r>
    </w:p>
    <w:p w14:paraId="611DB27A" w14:textId="423E39FF" w:rsidR="00CC76B7" w:rsidRDefault="00E039C7" w:rsidP="00D917D8">
      <w:pPr>
        <w:pStyle w:val="Ttulo1"/>
      </w:pPr>
      <w:r>
        <w:t>Discussion</w:t>
      </w:r>
    </w:p>
    <w:p w14:paraId="4F45FC97" w14:textId="77777777" w:rsidR="00D917D8" w:rsidRPr="00D917D8" w:rsidRDefault="00D917D8" w:rsidP="00D917D8">
      <w:pPr>
        <w:rPr>
          <w:lang w:val="en-US"/>
        </w:rPr>
      </w:pPr>
    </w:p>
    <w:p w14:paraId="0152903B" w14:textId="2E1D02C1" w:rsidR="008244FB" w:rsidRDefault="008244FB" w:rsidP="00E039C7">
      <w:pPr>
        <w:pBdr>
          <w:top w:val="nil"/>
          <w:left w:val="nil"/>
          <w:bottom w:val="nil"/>
          <w:right w:val="nil"/>
          <w:between w:val="nil"/>
        </w:pBdr>
        <w:spacing w:line="360" w:lineRule="auto"/>
        <w:ind w:firstLine="708"/>
        <w:jc w:val="both"/>
        <w:rPr>
          <w:rFonts w:ascii="Arial" w:eastAsia="Arial" w:hAnsi="Arial" w:cs="Arial"/>
          <w:color w:val="000000"/>
          <w:lang w:val="en-US"/>
        </w:rPr>
      </w:pPr>
      <w:r w:rsidRPr="00EA6368">
        <w:rPr>
          <w:rFonts w:ascii="Arial" w:eastAsia="Arial" w:hAnsi="Arial" w:cs="Arial"/>
          <w:color w:val="000000"/>
          <w:lang w:val="en-US"/>
        </w:rPr>
        <w:t xml:space="preserve">Depression, anxiety and stress are psychological conditions widely studied in the literature, especially in the most emotionally vulnerable population such as people living with HIV and during the covid-19 pandemic there was a considerable increase in the worsening of symptoms in relation to mental health in the general population. These three psychological conditions can cause </w:t>
      </w:r>
      <w:r w:rsidRPr="00EA6368">
        <w:rPr>
          <w:rFonts w:ascii="Arial" w:eastAsia="Arial" w:hAnsi="Arial" w:cs="Arial"/>
          <w:color w:val="000000"/>
          <w:lang w:val="en-US"/>
        </w:rPr>
        <w:lastRenderedPageBreak/>
        <w:t xml:space="preserve">significant impacts, drastically reducing the quality of life of individuals, which can lead to the worsening of psychiatric conditions and also have a major impact on the mental health of the population and the public health system. </w:t>
      </w:r>
      <w:r w:rsidRPr="00EA6368">
        <w:rPr>
          <w:rFonts w:ascii="Arial" w:eastAsia="Arial" w:hAnsi="Arial" w:cs="Arial"/>
          <w:color w:val="000000"/>
        </w:rPr>
        <w:fldChar w:fldCharType="begin"/>
      </w:r>
      <w:r w:rsidR="00F74DF6">
        <w:rPr>
          <w:rFonts w:ascii="Arial" w:eastAsia="Arial" w:hAnsi="Arial" w:cs="Arial"/>
          <w:color w:val="000000"/>
          <w:lang w:val="en-US"/>
        </w:rPr>
        <w:instrText xml:space="preserve"> ADDIN ZOTERO_ITEM CSL_CITATION {"citationID":"NXsx5FwL","properties":{"formattedCitation":"(Aghaie &amp; Barzegar, 2024, 2024; Al Ani et al., 2024; Bhaskaran et al., 2021; Canet-Juric et al., 2020; Choi et al., 2016; Costa et al., 2018; Gu et al., 2024; Huang et al., 2022; Jones, Ballivian, et al., 2021; Jones, Morgan, et al., 2021; Khatooni et al., 2024; Li et al., 2024; Mari &amp; Oquendo, 2020; Marziali et al., 2020; Raony et al., 2020; Rodrigues da Silva et al., 2021; Salari et al., 2024; Siewe Fodjo et al., 2020; Silveira et al., 2012; Wang et al., 2020b)","plainCitation":"(Aghaie &amp; Barzegar, 2024, 2024; Al Ani et al., 2024; Bhaskaran et al., 2021; Canet-Juric et al., 2020; Choi et al., 2016; Costa et al., 2018; Gu et al., 2024; Huang et al., 2022; Jones, Ballivian, et al., 2021; Jones, Morgan, et al., 2021; Khatooni et al., 2024; Li et al., 2024; Mari &amp; Oquendo, 2020; Marziali et al., 2020; Raony et al., 2020; Rodrigues da Silva et al., 2021; Salari et al., 2024; Siewe Fodjo et al., 2020; Silveira et al., 2012; Wang et al., 2020b)","noteIndex":0},"citationItems":[{"id":247,"uris":["http://zotero.org/groups/5613385/items/6BIK6FCT"],"itemData":{"id":247,"type":"article-journal","container-title":"Epilepsy &amp; Behavior","DOI":"10.1016/j.yebeh.2024.110090","ISSN":"15255050","journalAbbreviation":"Epilepsy &amp; Behavior","language":"en","page":"110090","source":"DOI.org (Crossref)","title":"Medication adherence and its relationship with stress, anxiety and depression in parents or caregivers of epileptic children","volume":"161","author":[{"family":"Aghaie","given":"Parisa"},{"family":"Barzegar","given":"Mohammad"}],"issued":{"date-parts":[["2024",12]]}},"label":"page"},{"id":247,"uris":["http://zotero.org/groups/5613385/items/6BIK6FCT"],"itemData":{"id":247,"type":"article-journal","container-title":"Epilepsy &amp; Behavior","DOI":"10.1016/j.yebeh.2024.110090","ISSN":"15255050","journalAbbreviation":"Epilepsy &amp; Behavior","language":"en","page":"110090","source":"DOI.org (Crossref)","title":"Medication adherence and its relationship with stress, anxiety and depression in parents or caregivers of epileptic children","volume":"161","author":[{"family":"Aghaie","given":"Parisa"},{"family":"Barzegar","given":"Mohammad"}],"issued":{"date-parts":[["2024",12]]}}},{"id":243,"uris":["http://zotero.org/groups/5613385/items/EB5RXLLA"],"itemData":{"id":243,"type":"article-journal","abstract":"Background:\n              There is a relation between sleep quality, mental health, and academic performance among medical students. Students who experience better sleep quality and have good mental health will exhibit higher academic performance compared to those who have reduced sleep quality and poor psychological health.\n            \n            \n              Objective:\n              To assess the relation between mental health problems, sleep quality, and academic performance among medical students in the stage of clinical training at the University of Fallujah, Iraq.\n            \n            \n              Methods:\n              In this cross-sectional study, a self-administered questionnaire was adopted that gathered three validated and previously used screening tools: The Pittsburgh Sleep Quality Index (PSQI), Depression Anxiety Stress Scale (DASS-21), and the AHELO Self-Assessment Questionnaire.\n            \n            \n              Results:\n              The findings revealed a high prevalence of anxiety, 40% of the students reported experiencing mild to moderate anxiety, while 24.1% showed severe anxiety, 20.0% experienced mild depression, and 10.8% had moderate depression. There was a significant negative correlation between stress and academic performance (Pearson’s r = −.333, p &lt; .001), between depression and academic performance (Pearson’s r = −.437, p &lt; .001), and between anxiety and academic performance (Pearson’s r = −.417, p &lt; .001).\n            \n            \n              Conclusion:\n              Mental health problems are prevalent among medical students represented by the study sample, and are significantly correlated to the students’ academic performance.","container-title":"International Journal of Social Psychiatry","DOI":"10.1177/00207640241229381","ISSN":"0020-7640, 1741-2854","issue":"4","journalAbbreviation":"Int J Soc Psychiatry","language":"en","page":"772-777","source":"DOI.org (Crossref)","title":"Influence of stress, anxiety, and depression on sleep quality and academic performance of medical students in Fallujah University, Iraq","volume":"70","author":[{"family":"Al Ani","given":"Hajer Mj"},{"family":"Al Shawi","given":"Ameel F"},{"family":"Lafta","given":"Riyadh K"},{"family":"Abdulqadir","given":"Omnia"},{"family":"Nadhim","given":"Sarah"},{"family":"Abdulkarim","given":"Shaffa"}],"issued":{"date-parts":[["2024",6]]}}},{"id":160,"uris":["http://zotero.org/groups/5613385/items/55VHJJ6T"],"itemData":{"id":160,"type":"article-journal","abstract":"BACKGROUND: Whether HIV infection is associated with risk of death due to COVID-19 is unclear. We aimed to investigate this association in a large-scale population-based study in England.\nMETHODS: We did a retrospective cohort study. Working on behalf of NHS England, we used the OpenSAFELY platform to analyse routinely collected electronic primary care data linked to national death registrations. We included all adults (aged ≥18 years) alive and in follow-up on Feb 1, 2020, and with at least 1 year of continuous registration with a general practitioner before this date. People with a primary care record for HIV infection were compared with people without HIV. The outcome was COVID-19 death, defined as the presence of International Classification of Diseases 10 codes U07.1 or U07.2 anywhere on the death certificate. Cox regression models were used to estimate the association between HIV infection and COVID-19 death; they were initially adjusted for age and sex, then we added adjustment for index of multiple deprivation and ethnicity, and then for a broad range of comorbidities. Interaction terms were added to assess effect modification by age, sex, ethnicity, comorbidities, and calendar time.\nRESULTS: 17 282 905 adults were included, of whom 27 480 (0·16%) had HIV recorded. People living with HIV were more likely to be male, of Black ethnicity, and from a more deprived geographical area than the general population. 14 882 COVID-19 deaths occurred during the study period, with 25 among people with HIV. People living with HIV had higher risk of COVID-19 death than those without HIV after adjusting for age and sex: hazard ratio (HR) 2·90 (95% CI 1·96-4·30; p&lt;0·0001). The association was attenuated, but risk remained high, after adjustment for deprivation, ethnicity, smoking and obesity: adjusted HR 2·59 (95% CI 1·74-3·84; p&lt;0·0001). There was some evidence that the association was larger among people of Black ethnicity: HR 4·31 (95% CI 2·42-7·65) versus 1·84 (1·03-3·26) in non-Black individuals (p-interaction=0·044).\nINTERPRETATION: People with HIV in the UK seem to be at increased risk of COVID-19 mortality. Targeted policies should be considered to address this raised risk as the pandemic response evolves.\nFUNDING: Wellcome, Royal Society, National Institute for Health Research, National Institute for Health Research Oxford Biomedical Research Centre, UK Medical Research Council, Health Data Research UK.","container-title":"The lancet. HIV","DOI":"10.1016/S2352-3018(20)30305-2","ISSN":"2352-3018","issue":"1","journalAbbreviation":"Lancet HIV","language":"eng","note":"PMID: 33316211\nPMCID: PMC7773630","page":"e24-e32","source":"PubMed","title":"HIV infection and COVID-19 death: a population-based cohort analysis of UK primary care data and linked national death registrations within the OpenSAFELY platform","title-short":"HIV infection and COVID-19 death","volume":"8","author":[{"family":"Bhaskaran","given":"Krishnan"},{"family":"Rentsch","given":"Christopher T."},{"family":"MacKenna","given":"Brian"},{"family":"Schultze","given":"Anna"},{"family":"Mehrkar","given":"Amir"},{"family":"Bates","given":"Chris J."},{"family":"Eggo","given":"Rosalind M."},{"family":"Morton","given":"Caroline E."},{"family":"Bacon","given":"Sebastian C. J."},{"family":"Inglesby","given":"Peter"},{"family":"Douglas","given":"Ian J."},{"family":"Walker","given":"Alex J."},{"family":"McDonald","given":"Helen I."},{"family":"Cockburn","given":"Jonathan"},{"family":"Williamson","given":"Elizabeth J."},{"family":"Evans","given":"David"},{"family":"Forbes","given":"Harriet J."},{"family":"Curtis","given":"Helen J."},{"family":"Hulme","given":"William J."},{"family":"Parry","given":"John"},{"family":"Hester","given":"Frank"},{"family":"Harper","given":"Sam"},{"family":"Evans","given":"Stephen J. W."},{"family":"Smeeth","given":"Liam"},{"family":"Goldacre","given":"Ben"}],"issued":{"date-parts":[["2021",1]]}},"label":"page"},{"id":"qMjpNfT5/x7ZzOSRu","uris":["http://zotero.org/groups/5613385/items/N4F229JX"],"itemData":{"id":"c9buwj6c/61DaLeWp","type":"article-journal","abstract":"COVID-19 pandemic represents, not only a public physical health emergency, but a mental health serious problem as well. However, little is known about the psychological impact of the quarantine during this pandemic. The aim of this study is to assess the emotional impact of the lockdown measures imposed by the Argentinian government to fight the virus. For this, a survey was distributed on social network. We surveyed the Argentinian general population twice: 2 days after the mandatory quarantine started (time 1), and 2 weeks later (time 2). Anxiety levels were assessed using the State-Trait Anxiety Inventory; depressive symptoms were assessed using the Beck Depression Inventory-II; and affect was assessed using the Positive and Negative Affect Scale. A total of 6057 people answered both surveys. In addition, different socio-demographic factors were considered, such as risk factors for COVID-19, age, gender, educational level, variation in family income due to quarantine, number of children, whether they have older adults in charge or not and the number of hours viewing information about COVID-19. Statistically significant variations were observed between the two time points. The effect size, however, was very small. Depression tends to increase slightly, while levels of anxiety and affect (positive and negative) tend to decrease. Also, some slight differences related to the socio-demographic factors were found. Findings suggests that sustaining the lockdown measures could have a larger effect on mental health in the long term. It is necessary to continue monitoring emotional distress and other related mental health problems on the general population. It is also necessary to create programs aimed at promoting mental health, and to distribute information about it.","container-title":"Frontiers in Psychology","DOI":"10.3389/fpsyg.2020.565688","ISSN":"1664-1078","journalAbbreviation":"Front Psychol","language":"eng","note":"PMID: 33071893\nPMCID: PMC7531077","page":"565688","source":"PubMed","title":"A Longitudinal Study on the Emotional Impact Cause by the COVID-19 Pandemic Quarantine on General Population","volume":"11","author":[{"family":"Canet-Juric","given":"Lorena"},{"family":"Andrés","given":"María Laura"},{"family":"Del Valle","given":"Macarena"},{"family":"López-Morales","given":"Hernán"},{"family":"Poó","given":"Fernando"},{"family":"Galli","given":"Juan Ignacio"},{"family":"Yerro","given":"Matías"},{"family":"Urquijo","given":"Sebastián"}],"issued":{"date-parts":[["2020"]]}}},{"id":"qMjpNfT5/MBL7Oc4A","uris":["http://zotero.org/groups/5613385/items/6IYG39XM"],"itemData":{"id":"c9buwj6c/dO5Xv0Fq","type":"article-journal","abstract":"BACKGROUND: Major depression can profoundly impact clinical and quality-of-life outcomes of people living with HIV, and this disease is underdiagnosed and undertreated in many HIV-positive individuals. Here, we describe the prevalence of publicly funded primary and secondary mental health service use and antidepressant use, as well as mental health care for depression in accordance with existing Canadian guidelines for HIV-positive patients with depression in Ontario, Canada.\nMETHODS: We conducted a prospective cohort study linking data from the Ontario HIV Treatment Network Cohort Study with administrative health databases in the province of Ontario, Canada. Current depression was assessed using the Center for Epidemiologic Depression Scale or the Kessler Psychological Distress Scale. Multivariable regressions were used to characterize prevalence outcomes.\nRESULTS: Of 990 HIV-positive patients with depression, 493 (50%) patients used mental health services; 182 (18%) used primary services (general practitioners); 176 (18%) used secondary services (psychiatrists); and 135 (14%) used both. Antidepressants were used by 407 (39%) patients. Patients who identified as gay, lesbian, or bisexual, as having low income or educational attainment, or as non-native English speakers or immigrants to Canada were less likely to obtain care. Of 493 patients using mental health services, 250 (51%) received mental health care for depression in accordance with existing Canadian guidelines.\nCONCLUSIONS: Our results showed gaps in delivering publicly funded mental health services to depressed HIV-positive patients and identified unequal access to these services, particularly among vulnerable groups. More effective mental health policies and better access to mental health services are required to address HIV-positive patient needs and reduce depression's impact on their lives.","container-title":"PloS One","DOI":"10.1371/journal.pone.0156652","ISSN":"1932-6203","issue":"6","journalAbbreviation":"PLoS One","language":"eng","note":"PMID: 27280751\nPMCID: PMC4900603","page":"e0156652","source":"PubMed","title":"Adequacy of Mental Health Services for HIV-Positive Patients with Depression: Ontario HIV Treatment Network Cohort Study","title-short":"Adequacy of Mental Health Services for HIV-Positive Patients with Depression","volume":"11","author":[{"family":"Choi","given":"Stephanie K. Y."},{"family":"Boyle","given":"Eleanor"},{"family":"Cairney","given":"John"},{"family":"Gardner","given":"Sandra"},{"family":"Collins","given":"Evan J."},{"family":"Bacon","given":"Jean"},{"family":"Rourke","given":"Sean B."},{"literal":"OHTN Cohort Study Group"}],"issued":{"date-parts":[["2016"]]}}},{"id":"qMjpNfT5/CaYnC2ys","uris":["http://zotero.org/groups/5613385/items/E8J5SWPV"],"itemData":{"id":"c9buwj6c/QdHDh4Yf","type":"article-journal","container-title":"Revista da SBPH","ISSN":"1516-0858","issue":"1","language":"en","page":"06-35","source":"pepsic.bvsalud.org","title":"Personality characteristics and adherence to treatment in young patients with HIV","volume":"21","author":[{"family":"Costa","given":"Lívia Maria Cunha Bueno Villares"},{"family":"Casseb","given":"Jorge Simão do Rosário"},{"family":"Gascon","given":"Maria Rita Polo"},{"family":"Fonseca","given":"Luiz Augusto Marcondes"}],"issued":{"date-parts":[["2018",6]]}}},{"id":241,"uris":["http://zotero.org/groups/5613385/items/JHYVCUFQ"],"itemData":{"id":241,"type":"article-journal","container-title":"Scientific Reports","DOI":"10.1038/s41598-024-75550-7","ISSN":"2045-2322","issue":"1","journalAbbreviation":"Sci Rep","language":"en","page":"25461","source":"DOI.org (Crossref)","title":"The interplay among burnout, and symptoms of depression, anxiety, and stress in Chinese clinical therapists","volume":"14","author":[{"family":"Gu","given":"Mengyue"},{"family":"Wang","given":"Song"},{"family":"Zhang","given":"Shujing"},{"family":"Song","given":"Suqi"},{"family":"Gu","given":"Jingyang"},{"family":"Shi","given":"Yudong"},{"family":"Li","given":"Wenzheng"},{"family":"Chen","given":"Long"},{"family":"Liang","given":"Yan"},{"family":"Yang","given":"Yating"},{"family":"Zhang","given":"Ling"},{"family":"Li","given":"Mengdie"},{"family":"Jiang","given":"Feng"},{"family":"Liu","given":"Huanzhong"},{"family":"Tang","given":"Yi-lang"}],"issued":{"date-parts":[["2024",10,26]]}}},{"id":"qMjpNfT5/bpz9gDs8","uris":["http://zotero.org/groups/5613385/items/HPQR5782"],"itemData":{"id":"c9buwj6c/Lp8PduqT","type":"article-journal","abstract":"To investigate psychological response of Chinese public during the regular prevention and control of Corona Virus Disease 2019 (COVID-19), and explore the relationship among income loss, social support and mental health.Five hundred twenty-six participants were randomly selected by snowball sampling method. Chinese version of Perceived Psychological Stress Scale, Perceived Social Support Scale, self-rating anxiety scale, and the PTSD Checklist for DSM-5 were used to measure the levels of psychological stress, social support, anxiety, and post-traumatic stress disorder (PTSD) symptoms. Demographic variables, income loss and income satisfaction during the outbreak period were also collected.The prevalence rate of anxiety, PTSD symptoms and stress problems were 19.8%, 23.8%, and 24.7% respectively. Multiple Regression Analysis illustrated that social support associated with stress, anxiety and PTSD after controlling demographic variables; for non-student samples, stress, anxiety, and PTSD were corelated with change in income and social support.During the regular prevention and control of COVID-19, social support might help reducing stress, anxiety, and PTSD symptoms. In addition to social support, change of income level was also an important factor for mental health. This study suggested the importance of maintaining a steady income after acute outbreak of COVID-19.","container-title":"Medicine","DOI":"10.1097/MD.0000000000029022","ISSN":"1536-5964","issue":"10","journalAbbreviation":"Medicine (Baltimore)","language":"eng","note":"PMID: 35451402\nPMCID: PMC8913077","page":"e29022","source":"PubMed","title":"Income and social support related with mental health during COVID-19 outbreak in China","volume":"101","author":[{"family":"Huang","given":"Chenwei"},{"family":"Feng","given":"Qiyun"},{"family":"Zhang","given":"Borui"},{"family":"Ren","given":"Huiguang"},{"family":"Liu","given":"Zihao"},{"family":"Kang","given":"Yuwei"},{"family":"Zhang","given":"Fan"}],"issued":{"date-parts":[["2022",3,11]]}},"label":"page"},{"id":145,"uris":["http://zotero.org/groups/5613385/items/XFABSBZB"],"itemData":{"id":145,"type":"article-journal","abstract":"The COVID-19 pandemic poses a risk to mental health and may disproportionately affect people living with HIV (PLWH). This study examined the interaction of social support and resilient coping in predicting depressive symptoms among PLWH. PLWH residing in Buenos Aires, Argentina and in Miami, Florida (US) were asked to complete an anonymous survey on the impact of COVID-19. Statistical analysis included ordinary least squares regression. A total of 1,554 participants were included. Mean age was 47.30 years; 63.70% were men. A test of three-way interaction of social support × resilient coping × study site indicated differences by site (b = -0.63, p = 0.04, 95%CI [-1.24, -0.02]). In Argentina, higher levels of social support and resilient coping were associated with lower depressive symptoms. Lower levels of social support and resilient coping were associated with higher depressive symptoms. The impact of COVID-19 on mental health illustrates the need for developing innovative strategies to support resilience and to enhance coping with stress and adversity among PLWH.","container-title":"AIDS and behavior","DOI":"10.1007/s10461-021-03201-3","ISSN":"1573-3254","issue":"8","journalAbbreviation":"AIDS Behav","language":"eng","note":"PMID: 33630198\nPMCID: PMC7905200","page":"2391-2399","source":"PubMed","title":"Mental Health, Coping, and Social Support Among People Living with HIV in the Americas: A Comparative Study Between Argentina and the USA During the SARS-CoV-2 Pandemic","title-short":"Mental Health, Coping, and Social Support Among People Living with HIV in the Americas","volume":"25","author":[{"family":"Jones","given":"Deborah L."},{"family":"Ballivian","given":"Jamile"},{"family":"Rodriguez","given":"Violeta J."},{"family":"Uribe","given":"Claudia"},{"family":"Cecchini","given":"Diego"},{"family":"Salazar","given":"Ana S."},{"family":"Cassetti","given":"Isabel"},{"family":"Alcaide","given":"Maria L."}],"issued":{"date-parts":[["2021",8]]}},"label":"page"},{"id":144,"uris":["http://zotero.org/groups/5613385/items/GBKU8ACA"],"itemData":{"id":144,"type":"article-journal","abstract":"BACKGROUND: This study evaluated COVID-19 risk and burden among people with HIV (PWH) in a US city with high rates of HIV and SARS-CoV-2 transmissions and examined the interrelationship between psychosocial factors and COVID-19 risk and burden.\nSETTING: Participants were drawn from an existing consent to contact database of PWH. Database candidates were PWH, adults older than 18 years, people who had received HIV care at the University of Miami HIV clinics, people who spoke English or Spanish, and people who had agreed to be contacted for future research.\nMETHODS: An adapted version of the Multicenter AIDS Cohort Study/Women's Interagency HIV Study Combined Cohort Study COVID-19 survey was telephonically administered, requiring 15-30 minutes.\nRESULTS: Psychological stress was a predictor of COVID-19 burden (financial and social burden) and COVID-19 risk (health factors associated with an increased risk of severe health outcomes due to infection with COVID-19). Having a history of traumatic events was associated with increased COVID-19 risk, and stress was associated with increased COVID-19 burden and COVID-19 risk.\nCONCLUSIONS: Overall, results suggest that the intersection of the HIV and COVID-19 pandemics may be most profound among those who have experienced traumatic events; and traumatic events may be associated with heightened vigilance regarding illness and infection.","container-title":"Journal of Acquired Immune Deficiency Syndromes (1999)","DOI":"10.1097/QAI.0000000000002656","ISSN":"1944-7884","issue":"2","journalAbbreviation":"J Acquir Immune Defic Syndr","language":"eng","note":"PMID: 33999015\nPMCID: PMC8136457","page":"869-874","source":"PubMed","title":"COVID-19 Burden and Risk Among People With HIV","volume":"87","author":[{"family":"Jones","given":"Deborah L."},{"family":"Morgan","given":"Kristiana E."},{"family":"Martinez","given":"Paola C."},{"family":"Rodriguez","given":"Violeta J."},{"family":"Vazquez","given":"Andres"},{"family":"Raccamarich","given":"Patricia D."},{"family":"Alcaide","given":"Maria L."}],"issued":{"date-parts":[["2021",6,1]]}},"label":"page"},{"id":245,"uris":["http://zotero.org/groups/5613385/items/NVAJWEJN"],"itemData":{"id":245,"type":"article-journal","container-title":"Epilepsy &amp; Behavior","DOI":"10.1016/j.yebeh.2023.109616","ISSN":"15255050","journalAbbreviation":"Epilepsy &amp; Behavior","language":"en","page":"109616","source":"DOI.org (Crossref)","title":"The relationship between stress, anxiety, depression and medication adherence behavior in patients with epilepsy: A cross-sectional study","title-short":"The relationship between stress, anxiety, depression and medication adherence behavior in patients with epilepsy","volume":"151","author":[{"family":"Khatooni","given":"Marzieh"},{"family":"Rahimi","given":"Sara"},{"family":"Bahrami","given":"Mahdie"}],"issued":{"date-parts":[["2024",2]]}}},{"id":244,"uris":["http://zotero.org/groups/5613385/items/NCPHXUSN"],"itemData":{"id":244,"type":"article-journal","container-title":"Annals of Medicine","DOI":"10.1080/07853890.2024.2433030","ISSN":"0785-3890, 1365-2060","issue":"1","journalAbbreviation":"Annals of Medicine","language":"en","page":"2433030","source":"DOI.org (Crossref)","title":"Interrelationships of stress, burnout, anxiety, depression, quality of life and suicidality among Chinese residents under Standardized Residency Training: a network analysis","title-short":"Interrelationships of stress, burnout, anxiety, depression, quality of life and suicidality among Chinese residents under Standardized Residency Training","volume":"56","author":[{"family":"Li","given":"Zejun"},{"family":"Wu","given":"Min"},{"family":"Zhang","given":"Xiaoyu"},{"family":"Yan","given":"Kewen"},{"family":"Wang","given":"Xin"},{"family":"Xu","given":"Huixue"},{"family":"Li","given":"Peizhen"},{"family":"Liu","given":"Yueheng"},{"family":"Deng","given":"Qijian"},{"family":"Li","given":"Xueyi"},{"family":"Wang","given":"Qianjin"},{"family":"Li","given":"Manyun"},{"family":"Wang","given":"Yunfei"},{"family":"Hao","given":"Yuzhu"},{"family":"He","given":"Li"},{"family":"Tang","given":"Yi-Yuan"},{"family":"Liu","given":"Tieqiao"},{"family":"Peng","given":"Pu"},{"family":"Wu","given":"Qiuxia"}],"issued":{"date-parts":[["2024",12,31]]}},"label":"page"},{"id":142,"uris":["http://zotero.org/groups/5613385/items/J5GZQCUE"],"itemData":{"id":142,"type":"article-journal","container-title":"Trends in Psychiatry and Psychotherapy","DOI":"10.1590/2237-6089-2020-0081","ISSN":"2238-0019","issue":"3","journalAbbreviation":"Trends Psychiatry Psychother","language":"eng","note":"PMID: 32844977\nPMCID: PMC7879073","page":"219-220","source":"PubMed","title":"Mental health consequences of COVID-19: the next global pandemic","title-short":"Mental health consequences of COVID-19","volume":"42","author":[{"family":"Mari","given":"Jair de Jesus"},{"family":"Oquendo","given":"Maria A."}],"issued":{"date-parts":[["2020"]]}},"label":"page"},{"id":141,"uris":["http://zotero.org/groups/5613385/items/GA5M3EDU"],"itemData":{"id":141,"type":"article-journal","container-title":"AIDS and behavior","DOI":"10.1007/s10461-020-02872-8","ISSN":"1573-3254","issue":"8","journalAbbreviation":"AIDS Behav","language":"eng","note":"PMID: 32328849\nPMCID: PMC7178096","page":"2250-2252","source":"PubMed","title":"Physical Distancing in COVID-19 May Exacerbate Experiences of Social Isolation among People Living with HIV","volume":"24","author":[{"family":"Marziali","given":"Megan E."},{"family":"Card","given":"Kiffer G."},{"family":"McLinden","given":"Taylor"},{"family":"Wang","given":"Lu"},{"family":"Trigg","given":"Jason"},{"family":"Hogg","given":"Robert S."}],"issued":{"date-parts":[["2020",8]]}},"label":"page"},{"id":"qMjpNfT5/VImNDd2H","uris":["http://zotero.org/groups/5613385/items/F8R9VWVA"],"itemData":{"id":"c9buwj6c/O7uVl0HI","type":"article-journal","abstract":"Coronavirus disease 2019 (COVID-19) is caused by the Severe Acute Respiratory Syndrome Coronavirus 2 (SARS-CoV-2). The impacts of the disease may be beyond the respiratory system, also affecting mental health. Several factors may be involved in the association between COVID-19 and psychiatric outcomes, such as fear inherent in the pandemic, adverse effects of treatments, as well as financial stress, and social isolation. Herein we discuss the growing evidence suggesting that the relationship between SARS-CoV-2 and host may also trigger changes in brain and behavior. Based on the similarity of SARS-CoV-2 with other coronaviruses, it is conceivable that changes in endocrine and immune response in the periphery or in the central nervous system may be involved in the association between SARS-CoV-2 infection and impaired mental health. This is likely to be further enhanced, since millions of people worldwide are isolated in quarantine to minimize the transmission of SARS-CoV-2 and social isolation can also lead to neuroendocrine-immune changes. Accordingly, we highlight here the hypothesis that neuroendocrine-immune interactions may be involved in negative impacts of SARS-CoV-2 infection and social isolation on psychiatric issues.","container-title":"Frontiers in Immunology","DOI":"10.3389/fimmu.2020.01170","ISSN":"1664-3224","journalAbbreviation":"Front Immunol","language":"eng","note":"PMID: 32574266\nPMCID: PMC7267025","page":"1170","source":"PubMed","title":"Psycho-Neuroendocrine-Immune Interactions in COVID-19: Potential Impacts on Mental Health","title-short":"Psycho-Neuroendocrine-Immune Interactions in COVID-19","volume":"11","author":[{"family":"Raony","given":"Ícaro"},{"family":"Figueiredo","given":"Camila Saggioro","non-dropping-particle":"de"},{"family":"Pandolfo","given":"Pablo"},{"family":"Giestal-de-Araujo","given":"Elizabeth"},{"family":"Oliveira-Silva Bomfim","given":"Priscilla"},{"family":"Savino","given":"Wilson"}],"issued":{"date-parts":[["2020"]]}},"label":"page"},{"id":121,"uris":["http://zotero.org/groups/5613385/items/7263XWD8"],"itemData":{"id":121,"type":"article-journal","container-title":"Avances en Enfermería","DOI":"10.15446/av.enferm.v39n1supl.89262","ISSN":"0121-4500","language":"pt","note":"publisher: Universidad Nacional de Colombia","page":"31-43","source":"SciELO","title":"Efeitos do isolamento social na pandemia da covid-19 na saúde mental da população","volume":"39","author":[{"family":"Rodrigues da Silva","given":"Roger"},{"family":"Silva Filho","given":"José Adelmo","non-dropping-particle":"da"},{"family":"Lima de Oliveira","given":"Jessica"},{"family":"Castelo Branco Cavalcante de Meneses","given":"Jayana"},{"family":"Neves de Oliveira","given":"Camila Almeida"},{"family":"Alves Pinto","given":"Antonio Germane"},{"family":"Rodrigues da Silva","given":"Roger"},{"family":"Silva Filho","given":"José Adelmo","non-dropping-particle":"da"},{"family":"Lima de Oliveira","given":"Jessica"},{"family":"Castelo Branco Cavalcante de Meneses","given":"Jayana"},{"family":"Neves de Oliveira","given":"Camila Almeida"},{"family":"Alves Pinto","given":"Antonio Germane"}],"issued":{"date-parts":[["2021",12]]}},"label":"page"},{"id":240,"uris":["http://zotero.org/groups/5613385/items/XH8JVIPC"],"itemData":{"id":240,"type":"article-journal","container-title":"Journal of Prevention","DOI":"10.1007/s10935-024-00784-0","ISSN":"2731-5533, 2731-5541","issue":"4","journalAbbreviation":"J of Prevention","language":"en","page":"611-649","source":"DOI.org (Crossref)","title":"Global Prevalence of Anxiety, Depression, and Stress Among Patients with Skin Diseases: A Systematic Review and Meta-analysis","title-short":"Global Prevalence of Anxiety, Depression, and Stress Among Patients with Skin Diseases","volume":"45","author":[{"family":"Salari","given":"Nader"},{"family":"Heidarian","given":"Pegah"},{"family":"Hosseinian-Far","given":"Amin"},{"family":"Babajani","given":"Fateme"},{"family":"Mohammadi","given":"Masoud"}],"issued":{"date-parts":[["2024",8]]}},"label":"page"},{"id":133,"uris":["http://zotero.org/groups/5613385/items/6AYUAYEV"],"itemData":{"id":133,"type":"article-journal","abstract":"BACKGROUND: Empirical data on the consequences of the novel coronavirus disease (COVID-19) pandemic on HIV care are lacking. We surveyed people living with HIV (PLWH) in different countries to investigate whether their medical follow-up and psychosocial well-being had been compromised due to COVID-19 and associated restrictions.\nMETHODS: In April 2020, a cross-sectional survey among PLWH was conducted using a web-based multilingual questionnaire. The research tool assessed HIV follow-up, psychosocial well-being, COVID-19 (flu-like) symptoms and prevention measures. Consenting respondents provided answers anonymously.\nRESULTS: Three hundred seventeen PLWH were included (mean age 43.4 ± 11.7; 71.6% men); 60.3% of participants resided in Belgium and Brazil. One hundred forty (44.2%) reported experiencing a cold with at least one flu-like symptom since January 2020. Of the 18 who reported COVID-19 test results, 4 (22.2%) were positive. Seventy-four (23.3%) respondents screened positive for major depressive disorders, whereas 72 (22.7%) had generalized anxiety disorders. Fifty-six (17.7%) respondents reported difficulties in obtaining antiretroviral medications because of COVID-19-related measures. Adaptations of HIV care during the COVID-19 outbreak included greater quantities of antiretroviral refill in 67 (21.1%), phone consultations in 25 (7.9%), and new refill sites in 12 (3.9%). Factors associated with a reduced risk of experiencing flu-like symptoms included flu vaccination during the past 12 months (P = 0.005) and adaptations of HIV care during the COVID-19 pandemic (P = 0.010).\nCONCLUSION: COVID-19 and associated restrictive measures seem detrimental to the well-being and follow-up of PLWH. We recommend that health systems devise innovative approaches for antiretroviral provision and psychosocial support to PLWH during such outbreaks.","container-title":"Journal of Acquired Immune Deficiency Syndromes (1999)","DOI":"10.1097/QAI.0000000000002468","ISSN":"1944-7884","issue":"3","journalAbbreviation":"J Acquir Immune Defic Syndr","language":"eng","note":"PMID: 32826562","page":"257-262","source":"PubMed","title":"Impact of the COVID-19 Pandemic on the Medical Follow-up and Psychosocial Well-Being of People Living With HIV: A Cross-Sectional Survey","title-short":"Impact of the COVID-19 Pandemic on the Medical Follow-up and Psychosocial Well-Being of People Living With HIV","volume":"85","author":[{"family":"Siewe Fodjo","given":"Joseph Nelson"},{"family":"Villela","given":"Edlaine Faria de Moura"},{"family":"Van Hees","given":"Stijn"},{"family":"Dos Santos","given":"Thalia Tibério"},{"family":"Vanholder","given":"Pieter"},{"family":"Reyntiens","given":"Patrick"},{"family":"Van den Bergh","given":"Rafael"},{"family":"Colebunders","given":"Robert"}],"issued":{"date-parts":[["2020",11,1]]}},"label":"page"},{"id":"qMjpNfT5/ULR9KSTg","uris":["http://zotero.org/groups/5613385/items/A47Q6Z5J"],"itemData":{"id":"c9buwj6c/DXyYF2R3","type":"article-journal","abstract":"INTRODUCTION: The prevalence of depressive disorders in HIV-infected patients ranges from 12% to 66% and is undiagnosed in 50% to 60% of these patients. Depression in HIV-infected individuals may be associated with poor antiretroviral treatment (ART) outcomes, since it may direct influence compliance. OBJECTIVE: To assess the presence of symptoms and risk factors for depression in patients on ART. METHODS: Cross-sectional study. Certified interviewers administered questionnaires and the Beck Depression Inventory (BDI), and participants' self-reported compliance to ART. Clinical and laboratory variables were obtained from clinical records. Patients with BDI &gt; 12 were defined as depressed. RESULTS Out of the 250 patients invited to participate, 246 (98%) consented. Mean age was 41 ± 9.9 years; most were male (63%). Income ranged from 0-14 Brazilian minimum wages. AIDS (CDC stage C) had been diagnosed in 97%, and 81% were in stable immune status. One hundred ninety-one (78%) reported compliance, and 161 (68%) had undetectable viral loads. The prevalence of depressive symptoms was 32% (95% CI 26-40). In multivariate analysis, depressive symptoms were significantly associated with income (prevalence ratio [PR] = 0.85; 95% CI 0.74-0.97; p = 0.02). CONCLUSIONS: Depressive symptoms are frequent in patients on ART, and are associated with low income.","container-title":"Brazilian Journal of Psychiatry","DOI":"10.1590/S1516-44462012000200008","ISSN":"1516-4446, 1809-452X","journalAbbreviation":"Braz. J. Psychiatry","language":"en","note":"publisher: Associação Brasileira de Psiquiatria","page":"162-167","source":"SciELO","title":"Depressive symptoms in HIV-infected patients treated with highly active antiretroviral therapy","volume":"34","author":[{"family":"Silveira","given":"Marysabel Pinto Telis"},{"family":"Guttier","given":"Marília Cruz"},{"family":"Pinheiro","given":"Cezar Arthur Tavares"},{"family":"Pereira","given":"Tatiana Vanessa Silveira"},{"family":"Cruzeiro","given":"Ana Laura Sica"},{"family":"Moreira","given":"Leila Beltrami"}],"issued":{"date-parts":[["2012",6]]}}},{"id":126,"uris":["http://zotero.org/groups/5613385/items/5BC2ASZD"],"itemData":{"id":126,"type":"article-journal","abstract":"Background: The 2019 coronavirus disease (COVID-19) epidemic is a public health emergency of international concern and poses a challenge to psychological resilience. Research data are needed to develop evidence-driven strategies to reduce adverse psychological impacts and psychiatric symptoms during the epidemic. The aim of this study was to survey the general public in China to better understand their levels of psychological impact, anxiety, depression, and stress during the initial stage of the COVID-19 outbreak. The data will be used for future reference. Methods: From 31 January to 2 February 2020, we conducted an online survey using snowball sampling techniques. The online survey collected information on demographic data, physical symptoms in the past 14 days, contact history with COVID-19, knowledge and concerns about COVID-19, precautionary measures against COVID-19, and additional information required with respect to COVID-19. Psychological impact was assessed by the Impact of Event Scale-Revised (IES-R), and mental health status was assessed by the Depression, Anxiety and Stress Scale (DASS-21). Results: This study included 1210 respondents from 194 cities in China. In total, 53.8% of respondents rated the psychological impact of the outbreak as moderate or severe; 16.5% reported moderate to severe depressive symptoms; 28.8% reported moderate to severe anxiety symptoms; and 8.1% reported moderate to severe stress levels. Most respondents spent 20-24 h per day at home (84.7%); were worried about their family members contracting COVID-19 (75.2%); and were satisfied with the amount of health information available (75.1%). Female gender, student status, specific physical symptoms (e.g., myalgia, dizziness, coryza), and poor self-rated health status were significantly associated with a greater psychological impact of the outbreak and higher levels of stress, anxiety, and depression (p &lt; 0.05). Specific up-to-date and accurate health information (e.g., treatment, local outbreak situation) and particular precautionary measures (e.g., hand hygiene, wearing a mask) were associated with a lower psychological impact of the outbreak and lower levels of stress, anxiety, and depression (p &lt; 0.05). Conclusions: During the initial phase of the COVID-19 outbreak in China, more than half of the respondents rated the psychological impact as moderate-to-severe, and about one-third reported moderate-to-severe anxiety. Our findings identify factors associated with a lower level of psychological impact and better mental health status that can be used to formulate psychological interventions to improve the mental health of vulnerable groups during the COVID-19 epidemic.","container-title":"International Journal of Environmental Research and Public Health","DOI":"10.3390/ijerph17051729","ISSN":"1660-4601","issue":"5","journalAbbreviation":"Int J Environ Res Public Health","language":"eng","note":"PMID: 32155789\nPMCID: PMC7084952","page":"1729","source":"PubMed","title":"Immediate Psychological Responses and Associated Factors during the Initial Stage of the 2019 Coronavirus Disease (COVID-19) Epidemic among the General Population in China","volume":"17","author":[{"family":"Wang","given":"Cuiyan"},{"family":"Pan","given":"Riyu"},{"family":"Wan","given":"Xiaoyang"},{"family":"Tan","given":"Yilin"},{"family":"Xu","given":"Linkang"},{"family":"Ho","given":"Cyrus S."},{"family":"Ho","given":"Roger C."}],"issued":{"date-parts":[["2020",3,6]]}}}],"schema":"https://github.com/citation-style-language/schema/raw/master/csl-citation.json"} </w:instrText>
      </w:r>
      <w:r w:rsidRPr="00EA6368">
        <w:rPr>
          <w:rFonts w:ascii="Arial" w:eastAsia="Arial" w:hAnsi="Arial" w:cs="Arial"/>
          <w:color w:val="000000"/>
        </w:rPr>
        <w:fldChar w:fldCharType="separate"/>
      </w:r>
      <w:r w:rsidR="00F74DF6">
        <w:rPr>
          <w:rFonts w:ascii="Arial" w:hAnsi="Arial" w:cs="Arial"/>
          <w:color w:val="000000"/>
        </w:rPr>
        <w:t>(</w:t>
      </w:r>
      <w:proofErr w:type="spellStart"/>
      <w:r w:rsidR="00F74DF6">
        <w:rPr>
          <w:rFonts w:ascii="Arial" w:hAnsi="Arial" w:cs="Arial"/>
          <w:color w:val="000000"/>
        </w:rPr>
        <w:t>Aghaie</w:t>
      </w:r>
      <w:proofErr w:type="spellEnd"/>
      <w:r w:rsidR="00F74DF6">
        <w:rPr>
          <w:rFonts w:ascii="Arial" w:hAnsi="Arial" w:cs="Arial"/>
          <w:color w:val="000000"/>
        </w:rPr>
        <w:t xml:space="preserve"> &amp; </w:t>
      </w:r>
      <w:proofErr w:type="spellStart"/>
      <w:r w:rsidR="00F74DF6">
        <w:rPr>
          <w:rFonts w:ascii="Arial" w:hAnsi="Arial" w:cs="Arial"/>
          <w:color w:val="000000"/>
        </w:rPr>
        <w:t>Barzegar</w:t>
      </w:r>
      <w:proofErr w:type="spellEnd"/>
      <w:r w:rsidR="00F74DF6">
        <w:rPr>
          <w:rFonts w:ascii="Arial" w:hAnsi="Arial" w:cs="Arial"/>
          <w:color w:val="000000"/>
        </w:rPr>
        <w:t xml:space="preserve">, 2024, 2024; Al Ani et al., 2024; </w:t>
      </w:r>
      <w:proofErr w:type="spellStart"/>
      <w:r w:rsidR="00F74DF6">
        <w:rPr>
          <w:rFonts w:ascii="Arial" w:hAnsi="Arial" w:cs="Arial"/>
          <w:color w:val="000000"/>
        </w:rPr>
        <w:t>Bhaskaran</w:t>
      </w:r>
      <w:proofErr w:type="spellEnd"/>
      <w:r w:rsidR="00F74DF6">
        <w:rPr>
          <w:rFonts w:ascii="Arial" w:hAnsi="Arial" w:cs="Arial"/>
          <w:color w:val="000000"/>
        </w:rPr>
        <w:t xml:space="preserve"> et al., 2021; Canet-</w:t>
      </w:r>
      <w:proofErr w:type="spellStart"/>
      <w:r w:rsidR="00F74DF6">
        <w:rPr>
          <w:rFonts w:ascii="Arial" w:hAnsi="Arial" w:cs="Arial"/>
          <w:color w:val="000000"/>
        </w:rPr>
        <w:t>Juric</w:t>
      </w:r>
      <w:proofErr w:type="spellEnd"/>
      <w:r w:rsidR="00F74DF6">
        <w:rPr>
          <w:rFonts w:ascii="Arial" w:hAnsi="Arial" w:cs="Arial"/>
          <w:color w:val="000000"/>
        </w:rPr>
        <w:t xml:space="preserve"> et al., 2020; Choi et al., 2016; Costa et al., 2018; </w:t>
      </w:r>
      <w:proofErr w:type="spellStart"/>
      <w:r w:rsidR="00F74DF6">
        <w:rPr>
          <w:rFonts w:ascii="Arial" w:hAnsi="Arial" w:cs="Arial"/>
          <w:color w:val="000000"/>
        </w:rPr>
        <w:t>Gu</w:t>
      </w:r>
      <w:proofErr w:type="spellEnd"/>
      <w:r w:rsidR="00F74DF6">
        <w:rPr>
          <w:rFonts w:ascii="Arial" w:hAnsi="Arial" w:cs="Arial"/>
          <w:color w:val="000000"/>
        </w:rPr>
        <w:t xml:space="preserve"> et al., 2024; Huang et al., 2022; Jones, </w:t>
      </w:r>
      <w:proofErr w:type="spellStart"/>
      <w:r w:rsidR="00F74DF6">
        <w:rPr>
          <w:rFonts w:ascii="Arial" w:hAnsi="Arial" w:cs="Arial"/>
          <w:color w:val="000000"/>
        </w:rPr>
        <w:t>Ballivian</w:t>
      </w:r>
      <w:proofErr w:type="spellEnd"/>
      <w:r w:rsidR="00F74DF6">
        <w:rPr>
          <w:rFonts w:ascii="Arial" w:hAnsi="Arial" w:cs="Arial"/>
          <w:color w:val="000000"/>
        </w:rPr>
        <w:t xml:space="preserve">, et al., 2021; Jones, Morgan, et al., 2021; </w:t>
      </w:r>
      <w:proofErr w:type="spellStart"/>
      <w:r w:rsidR="00F74DF6">
        <w:rPr>
          <w:rFonts w:ascii="Arial" w:hAnsi="Arial" w:cs="Arial"/>
          <w:color w:val="000000"/>
        </w:rPr>
        <w:t>Khatooni</w:t>
      </w:r>
      <w:proofErr w:type="spellEnd"/>
      <w:r w:rsidR="00F74DF6">
        <w:rPr>
          <w:rFonts w:ascii="Arial" w:hAnsi="Arial" w:cs="Arial"/>
          <w:color w:val="000000"/>
        </w:rPr>
        <w:t xml:space="preserve"> et al., 2024; Li et al., 2024; Mari &amp; </w:t>
      </w:r>
      <w:proofErr w:type="spellStart"/>
      <w:r w:rsidR="00F74DF6">
        <w:rPr>
          <w:rFonts w:ascii="Arial" w:hAnsi="Arial" w:cs="Arial"/>
          <w:color w:val="000000"/>
        </w:rPr>
        <w:t>Oquendo</w:t>
      </w:r>
      <w:proofErr w:type="spellEnd"/>
      <w:r w:rsidR="00F74DF6">
        <w:rPr>
          <w:rFonts w:ascii="Arial" w:hAnsi="Arial" w:cs="Arial"/>
          <w:color w:val="000000"/>
        </w:rPr>
        <w:t xml:space="preserve">, 2020; </w:t>
      </w:r>
      <w:proofErr w:type="spellStart"/>
      <w:r w:rsidR="00F74DF6">
        <w:rPr>
          <w:rFonts w:ascii="Arial" w:hAnsi="Arial" w:cs="Arial"/>
          <w:color w:val="000000"/>
        </w:rPr>
        <w:t>Marziali</w:t>
      </w:r>
      <w:proofErr w:type="spellEnd"/>
      <w:r w:rsidR="00F74DF6">
        <w:rPr>
          <w:rFonts w:ascii="Arial" w:hAnsi="Arial" w:cs="Arial"/>
          <w:color w:val="000000"/>
        </w:rPr>
        <w:t xml:space="preserve"> et al., 2020; Raony et al., 2020; Rodrigues da Silva et al., 2021; </w:t>
      </w:r>
      <w:proofErr w:type="spellStart"/>
      <w:r w:rsidR="00F74DF6">
        <w:rPr>
          <w:rFonts w:ascii="Arial" w:hAnsi="Arial" w:cs="Arial"/>
          <w:color w:val="000000"/>
        </w:rPr>
        <w:t>Salari</w:t>
      </w:r>
      <w:proofErr w:type="spellEnd"/>
      <w:r w:rsidR="00F74DF6">
        <w:rPr>
          <w:rFonts w:ascii="Arial" w:hAnsi="Arial" w:cs="Arial"/>
          <w:color w:val="000000"/>
        </w:rPr>
        <w:t xml:space="preserve"> et al., 2024; </w:t>
      </w:r>
      <w:proofErr w:type="spellStart"/>
      <w:r w:rsidR="00F74DF6">
        <w:rPr>
          <w:rFonts w:ascii="Arial" w:hAnsi="Arial" w:cs="Arial"/>
          <w:color w:val="000000"/>
        </w:rPr>
        <w:t>Siewe</w:t>
      </w:r>
      <w:proofErr w:type="spellEnd"/>
      <w:r w:rsidR="00F74DF6">
        <w:rPr>
          <w:rFonts w:ascii="Arial" w:hAnsi="Arial" w:cs="Arial"/>
          <w:color w:val="000000"/>
        </w:rPr>
        <w:t xml:space="preserve"> </w:t>
      </w:r>
      <w:proofErr w:type="spellStart"/>
      <w:r w:rsidR="00F74DF6">
        <w:rPr>
          <w:rFonts w:ascii="Arial" w:hAnsi="Arial" w:cs="Arial"/>
          <w:color w:val="000000"/>
        </w:rPr>
        <w:t>Fodjo</w:t>
      </w:r>
      <w:proofErr w:type="spellEnd"/>
      <w:r w:rsidR="00F74DF6">
        <w:rPr>
          <w:rFonts w:ascii="Arial" w:hAnsi="Arial" w:cs="Arial"/>
          <w:color w:val="000000"/>
        </w:rPr>
        <w:t xml:space="preserve"> et al., 2020; Silveira et al., 2012; Wang et al., 2020b)</w:t>
      </w:r>
      <w:r w:rsidRPr="00EA6368">
        <w:rPr>
          <w:rFonts w:ascii="Arial" w:eastAsia="Arial" w:hAnsi="Arial" w:cs="Arial"/>
          <w:color w:val="000000"/>
        </w:rPr>
        <w:fldChar w:fldCharType="end"/>
      </w:r>
      <w:r w:rsidRPr="00EA6368">
        <w:rPr>
          <w:rFonts w:ascii="Arial" w:eastAsia="Arial" w:hAnsi="Arial" w:cs="Arial"/>
          <w:color w:val="000000"/>
          <w:lang w:val="en-US"/>
        </w:rPr>
        <w:t>.</w:t>
      </w:r>
    </w:p>
    <w:p w14:paraId="4C142E27" w14:textId="353E2BBD" w:rsidR="00E039C7" w:rsidRPr="00D917D8" w:rsidRDefault="00E039C7" w:rsidP="00D917D8">
      <w:pPr>
        <w:pBdr>
          <w:top w:val="nil"/>
          <w:left w:val="nil"/>
          <w:bottom w:val="nil"/>
          <w:right w:val="nil"/>
          <w:between w:val="nil"/>
        </w:pBdr>
        <w:spacing w:line="360" w:lineRule="auto"/>
        <w:ind w:firstLine="708"/>
        <w:jc w:val="both"/>
        <w:rPr>
          <w:rFonts w:ascii="Arial" w:eastAsia="Arial" w:hAnsi="Arial" w:cs="Arial"/>
          <w:color w:val="000000" w:themeColor="text1"/>
          <w:lang w:val="en-US"/>
        </w:rPr>
      </w:pPr>
      <w:r w:rsidRPr="00EA6368">
        <w:rPr>
          <w:rFonts w:ascii="Arial" w:eastAsia="Arial" w:hAnsi="Arial" w:cs="Arial"/>
          <w:color w:val="000000" w:themeColor="text1"/>
          <w:lang w:val="en-US"/>
        </w:rPr>
        <w:t xml:space="preserve">According to World Health Organization (WHO) depression is a common mental health condition </w:t>
      </w:r>
      <w:r w:rsidRPr="00EA6368">
        <w:rPr>
          <w:rFonts w:ascii="Arial" w:hAnsi="Arial" w:cs="Arial"/>
          <w:color w:val="000000" w:themeColor="text1"/>
          <w:shd w:val="clear" w:color="auto" w:fill="FFFFFF"/>
          <w:lang w:val="en-US"/>
        </w:rPr>
        <w:t>characterized by a low mood or loss of pleasure or interest in activities for long periods of time. The individual can experience disturbed sleep, changes on appetite, feelings of low self-worth, thoughts about dying and hopelessness about the future. Also, symptoms related to tiredness and poor concentration are common and can bring prejudice to social coexistence and daily activities.</w:t>
      </w:r>
      <w:r w:rsidRPr="00EA6368">
        <w:rPr>
          <w:rFonts w:ascii="Arial" w:eastAsia="Arial" w:hAnsi="Arial" w:cs="Arial"/>
          <w:color w:val="000000" w:themeColor="text1"/>
          <w:lang w:val="en-US"/>
        </w:rPr>
        <w:t xml:space="preserve"> Worldwide, it is estimated that more than 300 million people of all ages suffer from this </w:t>
      </w:r>
      <w:proofErr w:type="gramStart"/>
      <w:r w:rsidR="004F0E5A" w:rsidRPr="00EA6368">
        <w:rPr>
          <w:rFonts w:ascii="Arial" w:eastAsia="Arial" w:hAnsi="Arial" w:cs="Arial"/>
          <w:color w:val="000000" w:themeColor="text1"/>
          <w:lang w:val="en-US"/>
        </w:rPr>
        <w:t>disorder</w:t>
      </w:r>
      <w:proofErr w:type="gramEnd"/>
      <w:r w:rsidR="004F0E5A">
        <w:rPr>
          <w:rFonts w:ascii="Arial" w:eastAsia="Arial" w:hAnsi="Arial" w:cs="Arial"/>
          <w:color w:val="000000" w:themeColor="text1"/>
          <w:lang w:val="en-US"/>
        </w:rPr>
        <w:t xml:space="preserve"> </w:t>
      </w:r>
      <w:r w:rsidRPr="00EA6368">
        <w:rPr>
          <w:rFonts w:ascii="Arial" w:eastAsia="Arial" w:hAnsi="Arial" w:cs="Arial"/>
          <w:color w:val="000000" w:themeColor="text1"/>
          <w:lang w:val="en-US"/>
        </w:rPr>
        <w:t xml:space="preserve">and it is estimated that more than 300 million people suffer from it. The condition is the result of a complex interaction of social, psychological and biological factors and appropriate treatment in general may include psychotherapy, regular exercise and, in some cases, the use of psychiatric medication in addition to lifestyle changes. Delays in screening and diagnosing symptoms can have major negative impacts on an individual's social, professional and family life, as well as impact the healthcare system as a whole </w:t>
      </w:r>
      <w:r w:rsidRPr="00EA6368">
        <w:rPr>
          <w:rFonts w:ascii="Arial" w:eastAsia="Arial" w:hAnsi="Arial" w:cs="Arial"/>
          <w:color w:val="000000" w:themeColor="text1"/>
          <w:lang w:val="en-US"/>
        </w:rPr>
        <w:fldChar w:fldCharType="begin"/>
      </w:r>
      <w:r w:rsidR="00F74DF6">
        <w:rPr>
          <w:rFonts w:ascii="Arial" w:eastAsia="Arial" w:hAnsi="Arial" w:cs="Arial"/>
          <w:color w:val="000000" w:themeColor="text1"/>
          <w:lang w:val="en-US"/>
        </w:rPr>
        <w:instrText xml:space="preserve"> ADDIN ZOTERO_ITEM CSL_CITATION {"citationID":"aiiM8bmI","properties":{"formattedCitation":"(World Health Organization, 2021, 2025)","plainCitation":"(World Health Organization, 2021, 2025)","noteIndex":0},"citationItems":[{"id":250,"uris":["http://zotero.org/groups/5613385/items/E3YR76TS"],"itemData":{"id":250,"type":"book","edition":"1st ed","event-place":"Geneva","ISBN":"978-92-4-003102-9","language":"eng","number-of-pages":"1","publisher":"World Health Organization","publisher-place":"Geneva","source":"K10plus ISBN","title":"Comprehensive Mental Health Action Plan 2013-2030","author":[{"literal":"World Health Organization"}],"issued":{"date-parts":[["2021"]]}}},{"id":254,"uris":["http://zotero.org/groups/5613385/items/UJK2I898"],"itemData":{"id":254,"type":"webpage","title":"Depression","URL":"https://www.who.int/health-topics/depression#tab=tab_1","author":[{"literal":"World Health Organization"}],"accessed":{"date-parts":[["2025",2,18]]},"issued":{"date-parts":[["2025"]]}},"label":"page"}],"schema":"https://github.com/citation-style-language/schema/raw/master/csl-citation.json"} </w:instrText>
      </w:r>
      <w:r w:rsidRPr="00EA6368">
        <w:rPr>
          <w:rFonts w:ascii="Arial" w:eastAsia="Arial" w:hAnsi="Arial" w:cs="Arial"/>
          <w:color w:val="000000" w:themeColor="text1"/>
          <w:lang w:val="en-US"/>
        </w:rPr>
        <w:fldChar w:fldCharType="separate"/>
      </w:r>
      <w:r w:rsidR="00F74DF6">
        <w:rPr>
          <w:rFonts w:ascii="Arial" w:hAnsi="Arial" w:cs="Arial"/>
          <w:color w:val="000000"/>
          <w:lang w:val="en-US"/>
        </w:rPr>
        <w:t>(World Health Organization, 2021, 2025)</w:t>
      </w:r>
      <w:r w:rsidRPr="00EA6368">
        <w:rPr>
          <w:rFonts w:ascii="Arial" w:eastAsia="Arial" w:hAnsi="Arial" w:cs="Arial"/>
          <w:color w:val="000000" w:themeColor="text1"/>
          <w:lang w:val="en-US"/>
        </w:rPr>
        <w:fldChar w:fldCharType="end"/>
      </w:r>
      <w:r>
        <w:rPr>
          <w:rFonts w:ascii="Arial" w:eastAsia="Arial" w:hAnsi="Arial" w:cs="Arial"/>
          <w:color w:val="000000" w:themeColor="text1"/>
          <w:lang w:val="en-US"/>
        </w:rPr>
        <w:t>.</w:t>
      </w:r>
    </w:p>
    <w:p w14:paraId="5D6900AB" w14:textId="2D74CF2B" w:rsidR="00E039C7" w:rsidRDefault="00E039C7" w:rsidP="00E039C7">
      <w:pPr>
        <w:spacing w:line="360" w:lineRule="auto"/>
        <w:ind w:firstLine="708"/>
        <w:jc w:val="both"/>
        <w:rPr>
          <w:rFonts w:ascii="Arial" w:eastAsia="Arial" w:hAnsi="Arial" w:cs="Arial"/>
          <w:lang w:val="en-US"/>
        </w:rPr>
      </w:pPr>
      <w:r w:rsidRPr="00EA6368">
        <w:rPr>
          <w:rFonts w:ascii="Arial" w:eastAsia="Arial" w:hAnsi="Arial" w:cs="Arial"/>
          <w:lang w:val="en-US"/>
        </w:rPr>
        <w:t xml:space="preserve">Anxiety can be understood as a normal manifestation of an emotional state and allows the individual to be alert to dangers and take measures to survive threats or adapt to unknown circumstances. Anxiety is considered pathological when it results in significant suffering or functional impairment and can become a disorder when the suffering is exaggerated and persistent. Symptoms can be psychological, but also physical, such as tachycardia and sweating </w:t>
      </w:r>
      <w:r w:rsidRPr="00EA6368">
        <w:rPr>
          <w:rFonts w:ascii="Arial" w:eastAsia="Arial" w:hAnsi="Arial" w:cs="Arial"/>
          <w:lang w:val="en-US"/>
        </w:rPr>
        <w:fldChar w:fldCharType="begin"/>
      </w:r>
      <w:r w:rsidR="00F74DF6">
        <w:rPr>
          <w:rFonts w:ascii="Arial" w:eastAsia="Arial" w:hAnsi="Arial" w:cs="Arial"/>
          <w:lang w:val="en-US"/>
        </w:rPr>
        <w:instrText xml:space="preserve"> ADDIN ZOTERO_ITEM CSL_CITATION {"citationID":"gj0QKWIB","properties":{"formattedCitation":"(Frota et al., 2022; World Health Organization, 2021)","plainCitation":"(Frota et al., 2022; World Health Organization, 2021)","noteIndex":0},"citationItems":[{"id":250,"uris":["http://zotero.org/groups/5613385/items/E3YR76TS"],"itemData":{"id":250,"type":"book","edition":"1st ed","event-place":"Geneva","ISBN":"978-92-4-003102-9","language":"eng","number-of-pages":"1","publisher":"World Health Organization","publisher-place":"Geneva","source":"K10plus ISBN","title":"Comprehensive Mental Health Action Plan 2013-2030","author":[{"literal":"World Health Organization"}],"issued":{"date-parts":[["2021"]]}}},{"id":256,"uris":["http://zotero.org/groups/5613385/items/J3D7JK5E"],"itemData":{"id":256,"type":"article-journal","abstract":"Objetivos: contribuir para a compreensão do desenvolvimento histórico do conceito de ansiedade, das classificações dos transtornos ansiosos e suas manifestações clínicas, bem como para a atualização sobre o processo de avaliação diagnóstica. Métodos: todas as edições das classificações da Organização Mundial de Saúde (OMS) - CID e da Associação Psiquiátrica Americana (APA) - DSM foram examinadas, além de livros-texto de referência de psiquiatria clínica, de publicações sobre a história e a evolução desses diagnósticos e de publicações produzidas pelas equipes responsáveis pela revisão das classificações atuais. Resultados: entende-se por ansiedade um estado afetivo normal, como um sintoma ou um termo para nomear um grupo de transtornos mentais. Nas primeiras e subsequentes edições das classificações da OMS e da APA, entre 1948 e 1975, os quadros ansiosos faziam parte do grupo das psiconeurose/neuroses. A partir do DSM-III (1980), o grupo das neuroses foi fragmentado em diversos outros, entre os quais os transtornos de ansiedade, o que foi seguido pela CID-10 (1992), apesar de alguma distinção na composição dos subtipos. Para as últimas versões, houve um empenho de compatibilização entre as duas, contudo restaram diferenças: o DSM-5 (2013) adota critérios diagnósticos; a CID-11 (2019) utiliza descrições clínicas e diretrizes diagnósticas, além de abordagens dimensionais para alguns transtornos. Conclusão: ocorreram modificações nas classificações psiquiátricas atuais, no grupo dos transtornos de ansiedade, que precisam ser disseminadas e agregadas a estratégias de formação e qualificação profissionais, incrementando habilidades diagnósticas e permitindo uma comunicação mais uniforme e precisa na prática clínica.","container-title":"Journal of Health &amp; Biological Sciences","DOI":"10.12662/2317-3076jhbs.v10i1.3971.p1-8.2022","ISSN":"2317-3076, 2317-3084","issue":"1","journalAbbreviation":"J Health Biol Sci.","license":"http://creativecommons.org/licenses/by-nc-sa/4.0","page":"1","source":"DOI.org (Crossref)","title":"Transtornos de ansiedade: histórico, aspectos clínicos e classificações atuais","title-short":"Transtornos de ansiedade","volume":"10","author":[{"family":"Frota","given":"Ilgner Justa"},{"family":"De Moura Fé","given":"Augusto Andrade Campos"},{"family":"De Paula","given":"Francisco Thiago Martins"},{"family":"De Moura","given":"Victor Elmo Gomes Santos"},{"family":"Campos","given":"Eugênio De Moura"}],"issued":{"date-parts":[["2022",3,3]]}}}],"schema":"https://github.com/citation-style-language/schema/raw/master/csl-citation.json"} </w:instrText>
      </w:r>
      <w:r w:rsidRPr="00EA6368">
        <w:rPr>
          <w:rFonts w:ascii="Arial" w:eastAsia="Arial" w:hAnsi="Arial" w:cs="Arial"/>
          <w:lang w:val="en-US"/>
        </w:rPr>
        <w:fldChar w:fldCharType="separate"/>
      </w:r>
      <w:r w:rsidR="00F74DF6">
        <w:rPr>
          <w:rFonts w:ascii="Arial" w:hAnsi="Arial" w:cs="Arial"/>
          <w:lang w:val="en-US"/>
        </w:rPr>
        <w:t>(Frota et al., 2022; World Health Organization, 2021)</w:t>
      </w:r>
      <w:r w:rsidRPr="00EA6368">
        <w:rPr>
          <w:rFonts w:ascii="Arial" w:eastAsia="Arial" w:hAnsi="Arial" w:cs="Arial"/>
          <w:lang w:val="en-US"/>
        </w:rPr>
        <w:fldChar w:fldCharType="end"/>
      </w:r>
      <w:r>
        <w:rPr>
          <w:rFonts w:ascii="Arial" w:eastAsia="Arial" w:hAnsi="Arial" w:cs="Arial"/>
          <w:lang w:val="en-US"/>
        </w:rPr>
        <w:t>.</w:t>
      </w:r>
    </w:p>
    <w:p w14:paraId="4FA92AE0" w14:textId="4F417900" w:rsidR="00E039C7" w:rsidRPr="00EA6368" w:rsidRDefault="00E039C7" w:rsidP="00E039C7">
      <w:pPr>
        <w:spacing w:line="360" w:lineRule="auto"/>
        <w:ind w:firstLine="708"/>
        <w:jc w:val="both"/>
        <w:rPr>
          <w:rFonts w:ascii="Arial" w:eastAsia="Arial" w:hAnsi="Arial" w:cs="Arial"/>
          <w:color w:val="000000"/>
          <w:lang w:val="en-US"/>
        </w:rPr>
      </w:pPr>
      <w:r w:rsidRPr="00EA6368">
        <w:rPr>
          <w:rFonts w:ascii="Arial" w:eastAsia="Arial" w:hAnsi="Arial" w:cs="Arial"/>
          <w:color w:val="000000"/>
          <w:lang w:val="en-US"/>
        </w:rPr>
        <w:t xml:space="preserve">Stress, like anxiety, can also be considered a natural reaction of the body when we experience dangerous or threatening situations. This reaction is </w:t>
      </w:r>
      <w:r w:rsidRPr="00EA6368">
        <w:rPr>
          <w:rFonts w:ascii="Arial" w:eastAsia="Arial" w:hAnsi="Arial" w:cs="Arial"/>
          <w:color w:val="000000"/>
          <w:lang w:val="en-US"/>
        </w:rPr>
        <w:lastRenderedPageBreak/>
        <w:t xml:space="preserve">intended to put us in a state of alert, causing physical and emotional changes as a way of preparing to "fight or flight". The reaction to stress is a biological attitude necessary for adapting to new situations, but when the symptoms are exacerbated or inconsistent with the situation experienced by the individual, it can cause great harm to the individual's mental health. One of the serious consequences related to exposure to prolonged stress is physical and emotional exhaustion. During the COVID-19 pandemic, the population's stress levels increased dramatically, as we found ourselves facing a threat that was initially unknown and that caused widespread apprehension and fear. Post-traumatic stress disorder were also observed on patients who had been infected by the virus during the pandemic </w:t>
      </w:r>
      <w:r w:rsidRPr="00EA6368">
        <w:rPr>
          <w:rFonts w:ascii="Arial" w:eastAsia="Arial" w:hAnsi="Arial" w:cs="Arial"/>
          <w:color w:val="000000"/>
          <w:lang w:val="en-US"/>
        </w:rPr>
        <w:fldChar w:fldCharType="begin"/>
      </w:r>
      <w:r w:rsidR="00F74DF6">
        <w:rPr>
          <w:rFonts w:ascii="Arial" w:eastAsia="Arial" w:hAnsi="Arial" w:cs="Arial"/>
          <w:color w:val="000000"/>
          <w:lang w:val="en-US"/>
        </w:rPr>
        <w:instrText xml:space="preserve"> ADDIN ZOTERO_ITEM CSL_CITATION {"citationID":"xkT6tRWY","properties":{"formattedCitation":"(World Health Organization, 2021, 2022)","plainCitation":"(World Health Organization, 2021, 2022)","noteIndex":0},"citationItems":[{"id":250,"uris":["http://zotero.org/groups/5613385/items/E3YR76TS"],"itemData":{"id":250,"type":"book","edition":"1st ed","event-place":"Geneva","ISBN":"978-92-4-003102-9","language":"eng","number-of-pages":"1","publisher":"World Health Organization","publisher-place":"Geneva","source":"K10plus ISBN","title":"Comprehensive Mental Health Action Plan 2013-2030","author":[{"literal":"World Health Organization"}],"issued":{"date-parts":[["2021"]]}}},{"id":260,"uris":["http://zotero.org/groups/5613385/items/FNR2ZEYJ"],"itemData":{"id":260,"type":"document","title":"Mental Health and COVID-19: Early evidence of the pandemic’s impact","URL":"https://iris.who.int/bitstream/handle/10665/352189/WHO-2019-nCoV-Sci-Brief-Mental-health-2022.1-eng.pdf?sequence=1","author":[{"literal":"World Health Organization"}],"issued":{"date-parts":[["2022"]]}}}],"schema":"https://github.com/citation-style-language/schema/raw/master/csl-citation.json"} </w:instrText>
      </w:r>
      <w:r w:rsidRPr="00EA6368">
        <w:rPr>
          <w:rFonts w:ascii="Arial" w:eastAsia="Arial" w:hAnsi="Arial" w:cs="Arial"/>
          <w:color w:val="000000"/>
          <w:lang w:val="en-US"/>
        </w:rPr>
        <w:fldChar w:fldCharType="separate"/>
      </w:r>
      <w:r w:rsidR="00F74DF6">
        <w:rPr>
          <w:rFonts w:ascii="Arial" w:eastAsia="Arial" w:hAnsi="Arial" w:cs="Arial"/>
          <w:noProof/>
          <w:color w:val="000000"/>
          <w:lang w:val="en-US"/>
        </w:rPr>
        <w:t>(World Health Organization, 2021, 2022)</w:t>
      </w:r>
      <w:r w:rsidRPr="00EA6368">
        <w:rPr>
          <w:rFonts w:ascii="Arial" w:eastAsia="Arial" w:hAnsi="Arial" w:cs="Arial"/>
          <w:color w:val="000000"/>
          <w:lang w:val="en-US"/>
        </w:rPr>
        <w:fldChar w:fldCharType="end"/>
      </w:r>
    </w:p>
    <w:p w14:paraId="5A250CB9" w14:textId="77777777" w:rsidR="00E039C7" w:rsidRPr="00E039C7" w:rsidRDefault="00E039C7" w:rsidP="00E039C7">
      <w:pPr>
        <w:spacing w:line="360" w:lineRule="auto"/>
        <w:ind w:firstLine="708"/>
        <w:jc w:val="both"/>
        <w:rPr>
          <w:rFonts w:ascii="Arial" w:hAnsi="Arial" w:cs="Arial"/>
        </w:rPr>
      </w:pPr>
      <w:r w:rsidRPr="00E039C7">
        <w:rPr>
          <w:rFonts w:ascii="Arial" w:hAnsi="Arial" w:cs="Arial"/>
        </w:rPr>
        <w:t xml:space="preserve">The </w:t>
      </w:r>
      <w:proofErr w:type="spellStart"/>
      <w:r w:rsidRPr="00E039C7">
        <w:rPr>
          <w:rFonts w:ascii="Arial" w:hAnsi="Arial" w:cs="Arial"/>
        </w:rPr>
        <w:t>results</w:t>
      </w:r>
      <w:proofErr w:type="spellEnd"/>
      <w:r w:rsidRPr="00E039C7">
        <w:rPr>
          <w:rFonts w:ascii="Arial" w:hAnsi="Arial" w:cs="Arial"/>
        </w:rPr>
        <w:t xml:space="preserve"> </w:t>
      </w:r>
      <w:proofErr w:type="spellStart"/>
      <w:r w:rsidRPr="00E039C7">
        <w:rPr>
          <w:rFonts w:ascii="Arial" w:hAnsi="Arial" w:cs="Arial"/>
        </w:rPr>
        <w:t>revealed</w:t>
      </w:r>
      <w:proofErr w:type="spellEnd"/>
      <w:r w:rsidRPr="00E039C7">
        <w:rPr>
          <w:rFonts w:ascii="Arial" w:hAnsi="Arial" w:cs="Arial"/>
        </w:rPr>
        <w:t xml:space="preserve"> </w:t>
      </w:r>
      <w:proofErr w:type="spellStart"/>
      <w:r w:rsidRPr="00E039C7">
        <w:rPr>
          <w:rFonts w:ascii="Arial" w:hAnsi="Arial" w:cs="Arial"/>
        </w:rPr>
        <w:t>distinct</w:t>
      </w:r>
      <w:proofErr w:type="spellEnd"/>
      <w:r w:rsidRPr="00E039C7">
        <w:rPr>
          <w:rFonts w:ascii="Arial" w:hAnsi="Arial" w:cs="Arial"/>
        </w:rPr>
        <w:t xml:space="preserve"> </w:t>
      </w:r>
      <w:proofErr w:type="spellStart"/>
      <w:r w:rsidRPr="00E039C7">
        <w:rPr>
          <w:rFonts w:ascii="Arial" w:hAnsi="Arial" w:cs="Arial"/>
        </w:rPr>
        <w:t>patterns</w:t>
      </w:r>
      <w:proofErr w:type="spellEnd"/>
      <w:r w:rsidRPr="00E039C7">
        <w:rPr>
          <w:rFonts w:ascii="Arial" w:hAnsi="Arial" w:cs="Arial"/>
        </w:rPr>
        <w:t xml:space="preserve"> </w:t>
      </w:r>
      <w:proofErr w:type="spellStart"/>
      <w:r w:rsidRPr="00E039C7">
        <w:rPr>
          <w:rFonts w:ascii="Arial" w:hAnsi="Arial" w:cs="Arial"/>
        </w:rPr>
        <w:t>of</w:t>
      </w:r>
      <w:proofErr w:type="spellEnd"/>
      <w:r w:rsidRPr="00E039C7">
        <w:rPr>
          <w:rFonts w:ascii="Arial" w:hAnsi="Arial" w:cs="Arial"/>
        </w:rPr>
        <w:t xml:space="preserve"> </w:t>
      </w:r>
      <w:proofErr w:type="spellStart"/>
      <w:r w:rsidRPr="00E039C7">
        <w:rPr>
          <w:rFonts w:ascii="Arial" w:hAnsi="Arial" w:cs="Arial"/>
        </w:rPr>
        <w:t>association</w:t>
      </w:r>
      <w:proofErr w:type="spellEnd"/>
      <w:r w:rsidRPr="00E039C7">
        <w:rPr>
          <w:rFonts w:ascii="Arial" w:hAnsi="Arial" w:cs="Arial"/>
        </w:rPr>
        <w:t xml:space="preserve"> </w:t>
      </w:r>
      <w:proofErr w:type="spellStart"/>
      <w:r w:rsidRPr="00E039C7">
        <w:rPr>
          <w:rFonts w:ascii="Arial" w:hAnsi="Arial" w:cs="Arial"/>
        </w:rPr>
        <w:t>between</w:t>
      </w:r>
      <w:proofErr w:type="spellEnd"/>
      <w:r w:rsidRPr="00E039C7">
        <w:rPr>
          <w:rFonts w:ascii="Arial" w:hAnsi="Arial" w:cs="Arial"/>
        </w:rPr>
        <w:t xml:space="preserve"> HIV </w:t>
      </w:r>
      <w:proofErr w:type="spellStart"/>
      <w:r w:rsidRPr="00E039C7">
        <w:rPr>
          <w:rFonts w:ascii="Arial" w:hAnsi="Arial" w:cs="Arial"/>
        </w:rPr>
        <w:t>and</w:t>
      </w:r>
      <w:proofErr w:type="spellEnd"/>
      <w:r w:rsidRPr="00E039C7">
        <w:rPr>
          <w:rFonts w:ascii="Arial" w:hAnsi="Arial" w:cs="Arial"/>
        </w:rPr>
        <w:t xml:space="preserve"> </w:t>
      </w:r>
      <w:proofErr w:type="spellStart"/>
      <w:r w:rsidRPr="00E039C7">
        <w:rPr>
          <w:rFonts w:ascii="Arial" w:hAnsi="Arial" w:cs="Arial"/>
        </w:rPr>
        <w:t>different</w:t>
      </w:r>
      <w:proofErr w:type="spellEnd"/>
      <w:r w:rsidRPr="00E039C7">
        <w:rPr>
          <w:rFonts w:ascii="Arial" w:hAnsi="Arial" w:cs="Arial"/>
        </w:rPr>
        <w:t xml:space="preserve"> </w:t>
      </w:r>
      <w:proofErr w:type="spellStart"/>
      <w:r w:rsidRPr="00E039C7">
        <w:rPr>
          <w:rFonts w:ascii="Arial" w:hAnsi="Arial" w:cs="Arial"/>
        </w:rPr>
        <w:t>emotional</w:t>
      </w:r>
      <w:proofErr w:type="spellEnd"/>
      <w:r w:rsidRPr="00E039C7">
        <w:rPr>
          <w:rFonts w:ascii="Arial" w:hAnsi="Arial" w:cs="Arial"/>
        </w:rPr>
        <w:t xml:space="preserve"> </w:t>
      </w:r>
      <w:proofErr w:type="spellStart"/>
      <w:r w:rsidRPr="00E039C7">
        <w:rPr>
          <w:rFonts w:ascii="Arial" w:hAnsi="Arial" w:cs="Arial"/>
        </w:rPr>
        <w:t>domains</w:t>
      </w:r>
      <w:proofErr w:type="spellEnd"/>
      <w:r w:rsidRPr="00E039C7">
        <w:rPr>
          <w:rFonts w:ascii="Arial" w:hAnsi="Arial" w:cs="Arial"/>
        </w:rPr>
        <w:t xml:space="preserve">. </w:t>
      </w:r>
      <w:proofErr w:type="spellStart"/>
      <w:r w:rsidRPr="00E039C7">
        <w:rPr>
          <w:rFonts w:ascii="Arial" w:hAnsi="Arial" w:cs="Arial"/>
        </w:rPr>
        <w:t>While</w:t>
      </w:r>
      <w:proofErr w:type="spellEnd"/>
      <w:r w:rsidRPr="00E039C7">
        <w:rPr>
          <w:rFonts w:ascii="Arial" w:hAnsi="Arial" w:cs="Arial"/>
        </w:rPr>
        <w:t xml:space="preserve"> </w:t>
      </w:r>
      <w:proofErr w:type="spellStart"/>
      <w:r w:rsidRPr="00E039C7">
        <w:rPr>
          <w:rFonts w:ascii="Arial" w:hAnsi="Arial" w:cs="Arial"/>
        </w:rPr>
        <w:t>depression</w:t>
      </w:r>
      <w:proofErr w:type="spellEnd"/>
      <w:r w:rsidRPr="00E039C7">
        <w:rPr>
          <w:rFonts w:ascii="Arial" w:hAnsi="Arial" w:cs="Arial"/>
        </w:rPr>
        <w:t xml:space="preserve"> </w:t>
      </w:r>
      <w:proofErr w:type="spellStart"/>
      <w:r w:rsidRPr="00E039C7">
        <w:rPr>
          <w:rFonts w:ascii="Arial" w:hAnsi="Arial" w:cs="Arial"/>
        </w:rPr>
        <w:t>did</w:t>
      </w:r>
      <w:proofErr w:type="spellEnd"/>
      <w:r w:rsidRPr="00E039C7">
        <w:rPr>
          <w:rFonts w:ascii="Arial" w:hAnsi="Arial" w:cs="Arial"/>
        </w:rPr>
        <w:t xml:space="preserve"> </w:t>
      </w:r>
      <w:proofErr w:type="spellStart"/>
      <w:r w:rsidRPr="00E039C7">
        <w:rPr>
          <w:rFonts w:ascii="Arial" w:hAnsi="Arial" w:cs="Arial"/>
        </w:rPr>
        <w:t>not</w:t>
      </w:r>
      <w:proofErr w:type="spellEnd"/>
      <w:r w:rsidRPr="00E039C7">
        <w:rPr>
          <w:rFonts w:ascii="Arial" w:hAnsi="Arial" w:cs="Arial"/>
        </w:rPr>
        <w:t xml:space="preserve"> show a direct </w:t>
      </w:r>
      <w:proofErr w:type="spellStart"/>
      <w:r w:rsidRPr="00E039C7">
        <w:rPr>
          <w:rFonts w:ascii="Arial" w:hAnsi="Arial" w:cs="Arial"/>
        </w:rPr>
        <w:t>relationship</w:t>
      </w:r>
      <w:proofErr w:type="spellEnd"/>
      <w:r w:rsidRPr="00E039C7">
        <w:rPr>
          <w:rFonts w:ascii="Arial" w:hAnsi="Arial" w:cs="Arial"/>
        </w:rPr>
        <w:t xml:space="preserve"> </w:t>
      </w:r>
      <w:proofErr w:type="spellStart"/>
      <w:r w:rsidRPr="00E039C7">
        <w:rPr>
          <w:rFonts w:ascii="Arial" w:hAnsi="Arial" w:cs="Arial"/>
        </w:rPr>
        <w:t>with</w:t>
      </w:r>
      <w:proofErr w:type="spellEnd"/>
      <w:r w:rsidRPr="00E039C7">
        <w:rPr>
          <w:rFonts w:ascii="Arial" w:hAnsi="Arial" w:cs="Arial"/>
        </w:rPr>
        <w:t xml:space="preserve"> HIV, </w:t>
      </w:r>
      <w:proofErr w:type="spellStart"/>
      <w:r w:rsidRPr="00E039C7">
        <w:rPr>
          <w:rFonts w:ascii="Arial" w:hAnsi="Arial" w:cs="Arial"/>
        </w:rPr>
        <w:t>anxiety</w:t>
      </w:r>
      <w:proofErr w:type="spellEnd"/>
      <w:r w:rsidRPr="00E039C7">
        <w:rPr>
          <w:rFonts w:ascii="Arial" w:hAnsi="Arial" w:cs="Arial"/>
        </w:rPr>
        <w:t xml:space="preserve"> </w:t>
      </w:r>
      <w:proofErr w:type="spellStart"/>
      <w:r w:rsidRPr="00E039C7">
        <w:rPr>
          <w:rFonts w:ascii="Arial" w:hAnsi="Arial" w:cs="Arial"/>
        </w:rPr>
        <w:t>was</w:t>
      </w:r>
      <w:proofErr w:type="spellEnd"/>
      <w:r w:rsidRPr="00E039C7">
        <w:rPr>
          <w:rFonts w:ascii="Arial" w:hAnsi="Arial" w:cs="Arial"/>
        </w:rPr>
        <w:t xml:space="preserve"> </w:t>
      </w:r>
      <w:proofErr w:type="spellStart"/>
      <w:r w:rsidRPr="00E039C7">
        <w:rPr>
          <w:rFonts w:ascii="Arial" w:hAnsi="Arial" w:cs="Arial"/>
        </w:rPr>
        <w:t>higher</w:t>
      </w:r>
      <w:proofErr w:type="spellEnd"/>
      <w:r w:rsidRPr="00E039C7">
        <w:rPr>
          <w:rFonts w:ascii="Arial" w:hAnsi="Arial" w:cs="Arial"/>
        </w:rPr>
        <w:t xml:space="preserve"> </w:t>
      </w:r>
      <w:proofErr w:type="spellStart"/>
      <w:r w:rsidRPr="00E039C7">
        <w:rPr>
          <w:rFonts w:ascii="Arial" w:hAnsi="Arial" w:cs="Arial"/>
        </w:rPr>
        <w:t>and</w:t>
      </w:r>
      <w:proofErr w:type="spellEnd"/>
      <w:r w:rsidRPr="00E039C7">
        <w:rPr>
          <w:rFonts w:ascii="Arial" w:hAnsi="Arial" w:cs="Arial"/>
        </w:rPr>
        <w:t xml:space="preserve"> stress </w:t>
      </w:r>
      <w:proofErr w:type="spellStart"/>
      <w:r w:rsidRPr="00E039C7">
        <w:rPr>
          <w:rFonts w:ascii="Arial" w:hAnsi="Arial" w:cs="Arial"/>
        </w:rPr>
        <w:t>lower</w:t>
      </w:r>
      <w:proofErr w:type="spellEnd"/>
      <w:r w:rsidRPr="00E039C7">
        <w:rPr>
          <w:rFonts w:ascii="Arial" w:hAnsi="Arial" w:cs="Arial"/>
        </w:rPr>
        <w:t xml:space="preserve"> </w:t>
      </w:r>
      <w:proofErr w:type="spellStart"/>
      <w:r w:rsidRPr="00E039C7">
        <w:rPr>
          <w:rFonts w:ascii="Arial" w:hAnsi="Arial" w:cs="Arial"/>
        </w:rPr>
        <w:t>among</w:t>
      </w:r>
      <w:proofErr w:type="spellEnd"/>
      <w:r w:rsidRPr="00E039C7">
        <w:rPr>
          <w:rFonts w:ascii="Arial" w:hAnsi="Arial" w:cs="Arial"/>
        </w:rPr>
        <w:t xml:space="preserve"> </w:t>
      </w:r>
      <w:proofErr w:type="spellStart"/>
      <w:r w:rsidRPr="00E039C7">
        <w:rPr>
          <w:rFonts w:ascii="Arial" w:hAnsi="Arial" w:cs="Arial"/>
        </w:rPr>
        <w:t>people</w:t>
      </w:r>
      <w:proofErr w:type="spellEnd"/>
      <w:r w:rsidRPr="00E039C7">
        <w:rPr>
          <w:rFonts w:ascii="Arial" w:hAnsi="Arial" w:cs="Arial"/>
        </w:rPr>
        <w:t xml:space="preserve"> living </w:t>
      </w:r>
      <w:proofErr w:type="spellStart"/>
      <w:r w:rsidRPr="00E039C7">
        <w:rPr>
          <w:rFonts w:ascii="Arial" w:hAnsi="Arial" w:cs="Arial"/>
        </w:rPr>
        <w:t>with</w:t>
      </w:r>
      <w:proofErr w:type="spellEnd"/>
      <w:r w:rsidRPr="00E039C7">
        <w:rPr>
          <w:rFonts w:ascii="Arial" w:hAnsi="Arial" w:cs="Arial"/>
        </w:rPr>
        <w:t xml:space="preserve"> HIV. </w:t>
      </w:r>
      <w:proofErr w:type="spellStart"/>
      <w:r w:rsidRPr="00E039C7">
        <w:rPr>
          <w:rFonts w:ascii="Arial" w:hAnsi="Arial" w:cs="Arial"/>
        </w:rPr>
        <w:t>This</w:t>
      </w:r>
      <w:proofErr w:type="spellEnd"/>
      <w:r w:rsidRPr="00E039C7">
        <w:rPr>
          <w:rFonts w:ascii="Arial" w:hAnsi="Arial" w:cs="Arial"/>
        </w:rPr>
        <w:t xml:space="preserve"> </w:t>
      </w:r>
      <w:proofErr w:type="spellStart"/>
      <w:r w:rsidRPr="00E039C7">
        <w:rPr>
          <w:rFonts w:ascii="Arial" w:hAnsi="Arial" w:cs="Arial"/>
        </w:rPr>
        <w:t>dissociation</w:t>
      </w:r>
      <w:proofErr w:type="spellEnd"/>
      <w:r w:rsidRPr="00E039C7">
        <w:rPr>
          <w:rFonts w:ascii="Arial" w:hAnsi="Arial" w:cs="Arial"/>
        </w:rPr>
        <w:t xml:space="preserve"> </w:t>
      </w:r>
      <w:proofErr w:type="spellStart"/>
      <w:r w:rsidRPr="00E039C7">
        <w:rPr>
          <w:rFonts w:ascii="Arial" w:hAnsi="Arial" w:cs="Arial"/>
        </w:rPr>
        <w:t>suggests</w:t>
      </w:r>
      <w:proofErr w:type="spellEnd"/>
      <w:r w:rsidRPr="00E039C7">
        <w:rPr>
          <w:rFonts w:ascii="Arial" w:hAnsi="Arial" w:cs="Arial"/>
        </w:rPr>
        <w:t xml:space="preserve"> </w:t>
      </w:r>
      <w:proofErr w:type="spellStart"/>
      <w:r w:rsidRPr="00E039C7">
        <w:rPr>
          <w:rFonts w:ascii="Arial" w:hAnsi="Arial" w:cs="Arial"/>
        </w:rPr>
        <w:t>distinct</w:t>
      </w:r>
      <w:proofErr w:type="spellEnd"/>
      <w:r w:rsidRPr="00E039C7">
        <w:rPr>
          <w:rFonts w:ascii="Arial" w:hAnsi="Arial" w:cs="Arial"/>
        </w:rPr>
        <w:t xml:space="preserve"> </w:t>
      </w:r>
      <w:proofErr w:type="spellStart"/>
      <w:r w:rsidRPr="00E039C7">
        <w:rPr>
          <w:rFonts w:ascii="Arial" w:hAnsi="Arial" w:cs="Arial"/>
        </w:rPr>
        <w:t>adaptive</w:t>
      </w:r>
      <w:proofErr w:type="spellEnd"/>
      <w:r w:rsidRPr="00E039C7">
        <w:rPr>
          <w:rFonts w:ascii="Arial" w:hAnsi="Arial" w:cs="Arial"/>
        </w:rPr>
        <w:t xml:space="preserve"> </w:t>
      </w:r>
      <w:proofErr w:type="spellStart"/>
      <w:r w:rsidRPr="00E039C7">
        <w:rPr>
          <w:rFonts w:ascii="Arial" w:hAnsi="Arial" w:cs="Arial"/>
        </w:rPr>
        <w:t>mechanisms</w:t>
      </w:r>
      <w:proofErr w:type="spellEnd"/>
      <w:r w:rsidRPr="00E039C7">
        <w:rPr>
          <w:rFonts w:ascii="Arial" w:hAnsi="Arial" w:cs="Arial"/>
        </w:rPr>
        <w:t xml:space="preserve">, in </w:t>
      </w:r>
      <w:proofErr w:type="spellStart"/>
      <w:r w:rsidRPr="00E039C7">
        <w:rPr>
          <w:rFonts w:ascii="Arial" w:hAnsi="Arial" w:cs="Arial"/>
        </w:rPr>
        <w:t>which</w:t>
      </w:r>
      <w:proofErr w:type="spellEnd"/>
      <w:r w:rsidRPr="00E039C7">
        <w:rPr>
          <w:rFonts w:ascii="Arial" w:hAnsi="Arial" w:cs="Arial"/>
        </w:rPr>
        <w:t xml:space="preserve"> </w:t>
      </w:r>
      <w:proofErr w:type="spellStart"/>
      <w:r w:rsidRPr="00E039C7">
        <w:rPr>
          <w:rFonts w:ascii="Arial" w:hAnsi="Arial" w:cs="Arial"/>
        </w:rPr>
        <w:t>prolonged</w:t>
      </w:r>
      <w:proofErr w:type="spellEnd"/>
      <w:r w:rsidRPr="00E039C7">
        <w:rPr>
          <w:rFonts w:ascii="Arial" w:hAnsi="Arial" w:cs="Arial"/>
        </w:rPr>
        <w:t xml:space="preserve"> </w:t>
      </w:r>
      <w:proofErr w:type="spellStart"/>
      <w:r w:rsidRPr="00E039C7">
        <w:rPr>
          <w:rFonts w:ascii="Arial" w:hAnsi="Arial" w:cs="Arial"/>
        </w:rPr>
        <w:t>experience</w:t>
      </w:r>
      <w:proofErr w:type="spellEnd"/>
      <w:r w:rsidRPr="00E039C7">
        <w:rPr>
          <w:rFonts w:ascii="Arial" w:hAnsi="Arial" w:cs="Arial"/>
        </w:rPr>
        <w:t xml:space="preserve"> </w:t>
      </w:r>
      <w:proofErr w:type="spellStart"/>
      <w:r w:rsidRPr="00E039C7">
        <w:rPr>
          <w:rFonts w:ascii="Arial" w:hAnsi="Arial" w:cs="Arial"/>
        </w:rPr>
        <w:t>with</w:t>
      </w:r>
      <w:proofErr w:type="spellEnd"/>
      <w:r w:rsidRPr="00E039C7">
        <w:rPr>
          <w:rFonts w:ascii="Arial" w:hAnsi="Arial" w:cs="Arial"/>
        </w:rPr>
        <w:t xml:space="preserve"> </w:t>
      </w:r>
      <w:proofErr w:type="spellStart"/>
      <w:r w:rsidRPr="00E039C7">
        <w:rPr>
          <w:rFonts w:ascii="Arial" w:hAnsi="Arial" w:cs="Arial"/>
        </w:rPr>
        <w:t>the</w:t>
      </w:r>
      <w:proofErr w:type="spellEnd"/>
      <w:r w:rsidRPr="00E039C7">
        <w:rPr>
          <w:rFonts w:ascii="Arial" w:hAnsi="Arial" w:cs="Arial"/>
        </w:rPr>
        <w:t xml:space="preserve"> </w:t>
      </w:r>
      <w:proofErr w:type="spellStart"/>
      <w:r w:rsidRPr="00E039C7">
        <w:rPr>
          <w:rFonts w:ascii="Arial" w:hAnsi="Arial" w:cs="Arial"/>
        </w:rPr>
        <w:t>infection</w:t>
      </w:r>
      <w:proofErr w:type="spellEnd"/>
      <w:r w:rsidRPr="00E039C7">
        <w:rPr>
          <w:rFonts w:ascii="Arial" w:hAnsi="Arial" w:cs="Arial"/>
        </w:rPr>
        <w:t xml:space="preserve"> </w:t>
      </w:r>
      <w:proofErr w:type="spellStart"/>
      <w:r w:rsidRPr="00E039C7">
        <w:rPr>
          <w:rFonts w:ascii="Arial" w:hAnsi="Arial" w:cs="Arial"/>
        </w:rPr>
        <w:t>and</w:t>
      </w:r>
      <w:proofErr w:type="spellEnd"/>
      <w:r w:rsidRPr="00E039C7">
        <w:rPr>
          <w:rFonts w:ascii="Arial" w:hAnsi="Arial" w:cs="Arial"/>
        </w:rPr>
        <w:t xml:space="preserve"> </w:t>
      </w:r>
      <w:proofErr w:type="spellStart"/>
      <w:r w:rsidRPr="00E039C7">
        <w:rPr>
          <w:rFonts w:ascii="Arial" w:hAnsi="Arial" w:cs="Arial"/>
        </w:rPr>
        <w:t>psychosocial</w:t>
      </w:r>
      <w:proofErr w:type="spellEnd"/>
      <w:r w:rsidRPr="00E039C7">
        <w:rPr>
          <w:rFonts w:ascii="Arial" w:hAnsi="Arial" w:cs="Arial"/>
        </w:rPr>
        <w:t xml:space="preserve"> </w:t>
      </w:r>
      <w:proofErr w:type="spellStart"/>
      <w:r w:rsidRPr="00E039C7">
        <w:rPr>
          <w:rFonts w:ascii="Arial" w:hAnsi="Arial" w:cs="Arial"/>
        </w:rPr>
        <w:t>support</w:t>
      </w:r>
      <w:proofErr w:type="spellEnd"/>
      <w:r w:rsidRPr="00E039C7">
        <w:rPr>
          <w:rFonts w:ascii="Arial" w:hAnsi="Arial" w:cs="Arial"/>
        </w:rPr>
        <w:t xml:space="preserve"> </w:t>
      </w:r>
      <w:proofErr w:type="spellStart"/>
      <w:r w:rsidRPr="00E039C7">
        <w:rPr>
          <w:rFonts w:ascii="Arial" w:hAnsi="Arial" w:cs="Arial"/>
        </w:rPr>
        <w:t>can</w:t>
      </w:r>
      <w:proofErr w:type="spellEnd"/>
      <w:r w:rsidRPr="00E039C7">
        <w:rPr>
          <w:rFonts w:ascii="Arial" w:hAnsi="Arial" w:cs="Arial"/>
        </w:rPr>
        <w:t xml:space="preserve"> </w:t>
      </w:r>
      <w:proofErr w:type="spellStart"/>
      <w:r w:rsidRPr="00E039C7">
        <w:rPr>
          <w:rFonts w:ascii="Arial" w:hAnsi="Arial" w:cs="Arial"/>
        </w:rPr>
        <w:t>modulate</w:t>
      </w:r>
      <w:proofErr w:type="spellEnd"/>
      <w:r w:rsidRPr="00E039C7">
        <w:rPr>
          <w:rFonts w:ascii="Arial" w:hAnsi="Arial" w:cs="Arial"/>
        </w:rPr>
        <w:t xml:space="preserve"> </w:t>
      </w:r>
      <w:proofErr w:type="spellStart"/>
      <w:r w:rsidRPr="00E039C7">
        <w:rPr>
          <w:rFonts w:ascii="Arial" w:hAnsi="Arial" w:cs="Arial"/>
        </w:rPr>
        <w:t>specific</w:t>
      </w:r>
      <w:proofErr w:type="spellEnd"/>
      <w:r w:rsidRPr="00E039C7">
        <w:rPr>
          <w:rFonts w:ascii="Arial" w:hAnsi="Arial" w:cs="Arial"/>
        </w:rPr>
        <w:t xml:space="preserve"> </w:t>
      </w:r>
      <w:proofErr w:type="spellStart"/>
      <w:r w:rsidRPr="00E039C7">
        <w:rPr>
          <w:rFonts w:ascii="Arial" w:hAnsi="Arial" w:cs="Arial"/>
        </w:rPr>
        <w:t>emotional</w:t>
      </w:r>
      <w:proofErr w:type="spellEnd"/>
      <w:r w:rsidRPr="00E039C7">
        <w:rPr>
          <w:rFonts w:ascii="Arial" w:hAnsi="Arial" w:cs="Arial"/>
        </w:rPr>
        <w:t xml:space="preserve"> responses.</w:t>
      </w:r>
    </w:p>
    <w:p w14:paraId="5A660081" w14:textId="77777777" w:rsidR="00E039C7" w:rsidRPr="00E039C7" w:rsidRDefault="00E039C7" w:rsidP="00E039C7">
      <w:pPr>
        <w:spacing w:line="360" w:lineRule="auto"/>
        <w:ind w:firstLine="708"/>
        <w:jc w:val="both"/>
        <w:rPr>
          <w:rFonts w:ascii="Arial" w:hAnsi="Arial" w:cs="Arial"/>
        </w:rPr>
      </w:pPr>
      <w:r w:rsidRPr="00E039C7">
        <w:rPr>
          <w:rFonts w:ascii="Arial" w:hAnsi="Arial" w:cs="Arial"/>
        </w:rPr>
        <w:t xml:space="preserve">The </w:t>
      </w:r>
      <w:proofErr w:type="spellStart"/>
      <w:r w:rsidRPr="00E039C7">
        <w:rPr>
          <w:rFonts w:ascii="Arial" w:hAnsi="Arial" w:cs="Arial"/>
        </w:rPr>
        <w:t>findings</w:t>
      </w:r>
      <w:proofErr w:type="spellEnd"/>
      <w:r w:rsidRPr="00E039C7">
        <w:rPr>
          <w:rFonts w:ascii="Arial" w:hAnsi="Arial" w:cs="Arial"/>
        </w:rPr>
        <w:t xml:space="preserve"> </w:t>
      </w:r>
      <w:proofErr w:type="spellStart"/>
      <w:r w:rsidRPr="00E039C7">
        <w:rPr>
          <w:rFonts w:ascii="Arial" w:hAnsi="Arial" w:cs="Arial"/>
        </w:rPr>
        <w:t>regarding</w:t>
      </w:r>
      <w:proofErr w:type="spellEnd"/>
      <w:r w:rsidRPr="00E039C7">
        <w:rPr>
          <w:rFonts w:ascii="Arial" w:hAnsi="Arial" w:cs="Arial"/>
        </w:rPr>
        <w:t xml:space="preserve"> contextual </w:t>
      </w:r>
      <w:proofErr w:type="spellStart"/>
      <w:r w:rsidRPr="00E039C7">
        <w:rPr>
          <w:rFonts w:ascii="Arial" w:hAnsi="Arial" w:cs="Arial"/>
        </w:rPr>
        <w:t>variables</w:t>
      </w:r>
      <w:proofErr w:type="spellEnd"/>
      <w:r w:rsidRPr="00E039C7">
        <w:rPr>
          <w:rFonts w:ascii="Arial" w:hAnsi="Arial" w:cs="Arial"/>
        </w:rPr>
        <w:t xml:space="preserve"> </w:t>
      </w:r>
      <w:proofErr w:type="spellStart"/>
      <w:r w:rsidRPr="00E039C7">
        <w:rPr>
          <w:rFonts w:ascii="Arial" w:hAnsi="Arial" w:cs="Arial"/>
        </w:rPr>
        <w:t>reinforce</w:t>
      </w:r>
      <w:proofErr w:type="spellEnd"/>
      <w:r w:rsidRPr="00E039C7">
        <w:rPr>
          <w:rFonts w:ascii="Arial" w:hAnsi="Arial" w:cs="Arial"/>
        </w:rPr>
        <w:t xml:space="preserve"> </w:t>
      </w:r>
      <w:proofErr w:type="spellStart"/>
      <w:r w:rsidRPr="00E039C7">
        <w:rPr>
          <w:rFonts w:ascii="Arial" w:hAnsi="Arial" w:cs="Arial"/>
        </w:rPr>
        <w:t>the</w:t>
      </w:r>
      <w:proofErr w:type="spellEnd"/>
      <w:r w:rsidRPr="00E039C7">
        <w:rPr>
          <w:rFonts w:ascii="Arial" w:hAnsi="Arial" w:cs="Arial"/>
        </w:rPr>
        <w:t xml:space="preserve"> </w:t>
      </w:r>
      <w:proofErr w:type="spellStart"/>
      <w:r w:rsidRPr="00E039C7">
        <w:rPr>
          <w:rFonts w:ascii="Arial" w:hAnsi="Arial" w:cs="Arial"/>
        </w:rPr>
        <w:t>influence</w:t>
      </w:r>
      <w:proofErr w:type="spellEnd"/>
      <w:r w:rsidRPr="00E039C7">
        <w:rPr>
          <w:rFonts w:ascii="Arial" w:hAnsi="Arial" w:cs="Arial"/>
        </w:rPr>
        <w:t xml:space="preserve"> </w:t>
      </w:r>
      <w:proofErr w:type="spellStart"/>
      <w:r w:rsidRPr="00E039C7">
        <w:rPr>
          <w:rFonts w:ascii="Arial" w:hAnsi="Arial" w:cs="Arial"/>
        </w:rPr>
        <w:t>of</w:t>
      </w:r>
      <w:proofErr w:type="spellEnd"/>
      <w:r w:rsidRPr="00E039C7">
        <w:rPr>
          <w:rFonts w:ascii="Arial" w:hAnsi="Arial" w:cs="Arial"/>
        </w:rPr>
        <w:t xml:space="preserve"> </w:t>
      </w:r>
      <w:proofErr w:type="spellStart"/>
      <w:r w:rsidRPr="00E039C7">
        <w:rPr>
          <w:rFonts w:ascii="Arial" w:hAnsi="Arial" w:cs="Arial"/>
        </w:rPr>
        <w:t>occupational</w:t>
      </w:r>
      <w:proofErr w:type="spellEnd"/>
      <w:r w:rsidRPr="00E039C7">
        <w:rPr>
          <w:rFonts w:ascii="Arial" w:hAnsi="Arial" w:cs="Arial"/>
        </w:rPr>
        <w:t xml:space="preserve"> </w:t>
      </w:r>
      <w:proofErr w:type="spellStart"/>
      <w:r w:rsidRPr="00E039C7">
        <w:rPr>
          <w:rFonts w:ascii="Arial" w:hAnsi="Arial" w:cs="Arial"/>
        </w:rPr>
        <w:t>and</w:t>
      </w:r>
      <w:proofErr w:type="spellEnd"/>
      <w:r w:rsidRPr="00E039C7">
        <w:rPr>
          <w:rFonts w:ascii="Arial" w:hAnsi="Arial" w:cs="Arial"/>
        </w:rPr>
        <w:t xml:space="preserve"> </w:t>
      </w:r>
      <w:proofErr w:type="spellStart"/>
      <w:r w:rsidRPr="00E039C7">
        <w:rPr>
          <w:rFonts w:ascii="Arial" w:hAnsi="Arial" w:cs="Arial"/>
        </w:rPr>
        <w:t>educational</w:t>
      </w:r>
      <w:proofErr w:type="spellEnd"/>
      <w:r w:rsidRPr="00E039C7">
        <w:rPr>
          <w:rFonts w:ascii="Arial" w:hAnsi="Arial" w:cs="Arial"/>
        </w:rPr>
        <w:t xml:space="preserve"> </w:t>
      </w:r>
      <w:proofErr w:type="spellStart"/>
      <w:r w:rsidRPr="00E039C7">
        <w:rPr>
          <w:rFonts w:ascii="Arial" w:hAnsi="Arial" w:cs="Arial"/>
        </w:rPr>
        <w:t>conditions</w:t>
      </w:r>
      <w:proofErr w:type="spellEnd"/>
      <w:r w:rsidRPr="00E039C7">
        <w:rPr>
          <w:rFonts w:ascii="Arial" w:hAnsi="Arial" w:cs="Arial"/>
        </w:rPr>
        <w:t xml:space="preserve"> </w:t>
      </w:r>
      <w:proofErr w:type="spellStart"/>
      <w:r w:rsidRPr="00E039C7">
        <w:rPr>
          <w:rFonts w:ascii="Arial" w:hAnsi="Arial" w:cs="Arial"/>
        </w:rPr>
        <w:t>on</w:t>
      </w:r>
      <w:proofErr w:type="spellEnd"/>
      <w:r w:rsidRPr="00E039C7">
        <w:rPr>
          <w:rFonts w:ascii="Arial" w:hAnsi="Arial" w:cs="Arial"/>
        </w:rPr>
        <w:t xml:space="preserve"> mental </w:t>
      </w:r>
      <w:proofErr w:type="spellStart"/>
      <w:r w:rsidRPr="00E039C7">
        <w:rPr>
          <w:rFonts w:ascii="Arial" w:hAnsi="Arial" w:cs="Arial"/>
        </w:rPr>
        <w:t>health</w:t>
      </w:r>
      <w:proofErr w:type="spellEnd"/>
      <w:r w:rsidRPr="00E039C7">
        <w:rPr>
          <w:rFonts w:ascii="Arial" w:hAnsi="Arial" w:cs="Arial"/>
        </w:rPr>
        <w:t xml:space="preserve">. In </w:t>
      </w:r>
      <w:proofErr w:type="spellStart"/>
      <w:r w:rsidRPr="00E039C7">
        <w:rPr>
          <w:rFonts w:ascii="Arial" w:hAnsi="Arial" w:cs="Arial"/>
        </w:rPr>
        <w:t>the</w:t>
      </w:r>
      <w:proofErr w:type="spellEnd"/>
      <w:r w:rsidRPr="00E039C7">
        <w:rPr>
          <w:rFonts w:ascii="Arial" w:hAnsi="Arial" w:cs="Arial"/>
        </w:rPr>
        <w:t xml:space="preserve"> </w:t>
      </w:r>
      <w:proofErr w:type="spellStart"/>
      <w:r w:rsidRPr="00E039C7">
        <w:rPr>
          <w:rFonts w:ascii="Arial" w:hAnsi="Arial" w:cs="Arial"/>
        </w:rPr>
        <w:t>anxiety</w:t>
      </w:r>
      <w:proofErr w:type="spellEnd"/>
      <w:r w:rsidRPr="00E039C7">
        <w:rPr>
          <w:rFonts w:ascii="Arial" w:hAnsi="Arial" w:cs="Arial"/>
        </w:rPr>
        <w:t xml:space="preserve"> model, </w:t>
      </w:r>
      <w:proofErr w:type="spellStart"/>
      <w:r w:rsidRPr="00E039C7">
        <w:rPr>
          <w:rFonts w:ascii="Arial" w:hAnsi="Arial" w:cs="Arial"/>
        </w:rPr>
        <w:t>active</w:t>
      </w:r>
      <w:proofErr w:type="spellEnd"/>
      <w:r w:rsidRPr="00E039C7">
        <w:rPr>
          <w:rFonts w:ascii="Arial" w:hAnsi="Arial" w:cs="Arial"/>
        </w:rPr>
        <w:t xml:space="preserve"> </w:t>
      </w:r>
      <w:proofErr w:type="spellStart"/>
      <w:r w:rsidRPr="00E039C7">
        <w:rPr>
          <w:rFonts w:ascii="Arial" w:hAnsi="Arial" w:cs="Arial"/>
        </w:rPr>
        <w:t>work</w:t>
      </w:r>
      <w:proofErr w:type="spellEnd"/>
      <w:r w:rsidRPr="00E039C7">
        <w:rPr>
          <w:rFonts w:ascii="Arial" w:hAnsi="Arial" w:cs="Arial"/>
        </w:rPr>
        <w:t xml:space="preserve"> </w:t>
      </w:r>
      <w:proofErr w:type="spellStart"/>
      <w:r w:rsidRPr="00E039C7">
        <w:rPr>
          <w:rFonts w:ascii="Arial" w:hAnsi="Arial" w:cs="Arial"/>
        </w:rPr>
        <w:t>and</w:t>
      </w:r>
      <w:proofErr w:type="spellEnd"/>
      <w:r w:rsidRPr="00E039C7">
        <w:rPr>
          <w:rFonts w:ascii="Arial" w:hAnsi="Arial" w:cs="Arial"/>
        </w:rPr>
        <w:t xml:space="preserve"> </w:t>
      </w:r>
      <w:proofErr w:type="spellStart"/>
      <w:r w:rsidRPr="00E039C7">
        <w:rPr>
          <w:rFonts w:ascii="Arial" w:hAnsi="Arial" w:cs="Arial"/>
        </w:rPr>
        <w:t>working</w:t>
      </w:r>
      <w:proofErr w:type="spellEnd"/>
      <w:r w:rsidRPr="00E039C7">
        <w:rPr>
          <w:rFonts w:ascii="Arial" w:hAnsi="Arial" w:cs="Arial"/>
        </w:rPr>
        <w:t xml:space="preserve"> </w:t>
      </w:r>
      <w:proofErr w:type="spellStart"/>
      <w:r w:rsidRPr="00E039C7">
        <w:rPr>
          <w:rFonts w:ascii="Arial" w:hAnsi="Arial" w:cs="Arial"/>
        </w:rPr>
        <w:t>from</w:t>
      </w:r>
      <w:proofErr w:type="spellEnd"/>
      <w:r w:rsidRPr="00E039C7">
        <w:rPr>
          <w:rFonts w:ascii="Arial" w:hAnsi="Arial" w:cs="Arial"/>
        </w:rPr>
        <w:t xml:space="preserve"> home </w:t>
      </w:r>
      <w:proofErr w:type="spellStart"/>
      <w:r w:rsidRPr="00E039C7">
        <w:rPr>
          <w:rFonts w:ascii="Arial" w:hAnsi="Arial" w:cs="Arial"/>
        </w:rPr>
        <w:t>were</w:t>
      </w:r>
      <w:proofErr w:type="spellEnd"/>
      <w:r w:rsidRPr="00E039C7">
        <w:rPr>
          <w:rFonts w:ascii="Arial" w:hAnsi="Arial" w:cs="Arial"/>
        </w:rPr>
        <w:t xml:space="preserve"> </w:t>
      </w:r>
      <w:proofErr w:type="spellStart"/>
      <w:r w:rsidRPr="00E039C7">
        <w:rPr>
          <w:rFonts w:ascii="Arial" w:hAnsi="Arial" w:cs="Arial"/>
        </w:rPr>
        <w:t>associated</w:t>
      </w:r>
      <w:proofErr w:type="spellEnd"/>
      <w:r w:rsidRPr="00E039C7">
        <w:rPr>
          <w:rFonts w:ascii="Arial" w:hAnsi="Arial" w:cs="Arial"/>
        </w:rPr>
        <w:t xml:space="preserve"> </w:t>
      </w:r>
      <w:proofErr w:type="spellStart"/>
      <w:r w:rsidRPr="00E039C7">
        <w:rPr>
          <w:rFonts w:ascii="Arial" w:hAnsi="Arial" w:cs="Arial"/>
        </w:rPr>
        <w:t>with</w:t>
      </w:r>
      <w:proofErr w:type="spellEnd"/>
      <w:r w:rsidRPr="00E039C7">
        <w:rPr>
          <w:rFonts w:ascii="Arial" w:hAnsi="Arial" w:cs="Arial"/>
        </w:rPr>
        <w:t xml:space="preserve"> </w:t>
      </w:r>
      <w:proofErr w:type="spellStart"/>
      <w:r w:rsidRPr="00E039C7">
        <w:rPr>
          <w:rFonts w:ascii="Arial" w:hAnsi="Arial" w:cs="Arial"/>
        </w:rPr>
        <w:t>greater</w:t>
      </w:r>
      <w:proofErr w:type="spellEnd"/>
      <w:r w:rsidRPr="00E039C7">
        <w:rPr>
          <w:rFonts w:ascii="Arial" w:hAnsi="Arial" w:cs="Arial"/>
        </w:rPr>
        <w:t xml:space="preserve"> </w:t>
      </w:r>
      <w:proofErr w:type="spellStart"/>
      <w:r w:rsidRPr="00E039C7">
        <w:rPr>
          <w:rFonts w:ascii="Arial" w:hAnsi="Arial" w:cs="Arial"/>
        </w:rPr>
        <w:t>anxiety</w:t>
      </w:r>
      <w:proofErr w:type="spellEnd"/>
      <w:r w:rsidRPr="00E039C7">
        <w:rPr>
          <w:rFonts w:ascii="Arial" w:hAnsi="Arial" w:cs="Arial"/>
        </w:rPr>
        <w:t xml:space="preserve">, </w:t>
      </w:r>
      <w:proofErr w:type="spellStart"/>
      <w:r w:rsidRPr="00E039C7">
        <w:rPr>
          <w:rFonts w:ascii="Arial" w:hAnsi="Arial" w:cs="Arial"/>
        </w:rPr>
        <w:t>reflecting</w:t>
      </w:r>
      <w:proofErr w:type="spellEnd"/>
      <w:r w:rsidRPr="00E039C7">
        <w:rPr>
          <w:rFonts w:ascii="Arial" w:hAnsi="Arial" w:cs="Arial"/>
        </w:rPr>
        <w:t xml:space="preserve"> </w:t>
      </w:r>
      <w:proofErr w:type="spellStart"/>
      <w:r w:rsidRPr="00E039C7">
        <w:rPr>
          <w:rFonts w:ascii="Arial" w:hAnsi="Arial" w:cs="Arial"/>
        </w:rPr>
        <w:t>the</w:t>
      </w:r>
      <w:proofErr w:type="spellEnd"/>
      <w:r w:rsidRPr="00E039C7">
        <w:rPr>
          <w:rFonts w:ascii="Arial" w:hAnsi="Arial" w:cs="Arial"/>
        </w:rPr>
        <w:t xml:space="preserve"> </w:t>
      </w:r>
      <w:proofErr w:type="spellStart"/>
      <w:r w:rsidRPr="00E039C7">
        <w:rPr>
          <w:rFonts w:ascii="Arial" w:hAnsi="Arial" w:cs="Arial"/>
        </w:rPr>
        <w:t>psychosocial</w:t>
      </w:r>
      <w:proofErr w:type="spellEnd"/>
      <w:r w:rsidRPr="00E039C7">
        <w:rPr>
          <w:rFonts w:ascii="Arial" w:hAnsi="Arial" w:cs="Arial"/>
        </w:rPr>
        <w:t xml:space="preserve"> </w:t>
      </w:r>
      <w:proofErr w:type="spellStart"/>
      <w:r w:rsidRPr="00E039C7">
        <w:rPr>
          <w:rFonts w:ascii="Arial" w:hAnsi="Arial" w:cs="Arial"/>
        </w:rPr>
        <w:t>pressures</w:t>
      </w:r>
      <w:proofErr w:type="spellEnd"/>
      <w:r w:rsidRPr="00E039C7">
        <w:rPr>
          <w:rFonts w:ascii="Arial" w:hAnsi="Arial" w:cs="Arial"/>
        </w:rPr>
        <w:t xml:space="preserve"> </w:t>
      </w:r>
      <w:proofErr w:type="spellStart"/>
      <w:r w:rsidRPr="00E039C7">
        <w:rPr>
          <w:rFonts w:ascii="Arial" w:hAnsi="Arial" w:cs="Arial"/>
        </w:rPr>
        <w:t>of</w:t>
      </w:r>
      <w:proofErr w:type="spellEnd"/>
      <w:r w:rsidRPr="00E039C7">
        <w:rPr>
          <w:rFonts w:ascii="Arial" w:hAnsi="Arial" w:cs="Arial"/>
        </w:rPr>
        <w:t xml:space="preserve"> </w:t>
      </w:r>
      <w:proofErr w:type="spellStart"/>
      <w:r w:rsidRPr="00E039C7">
        <w:rPr>
          <w:rFonts w:ascii="Arial" w:hAnsi="Arial" w:cs="Arial"/>
        </w:rPr>
        <w:t>the</w:t>
      </w:r>
      <w:proofErr w:type="spellEnd"/>
      <w:r w:rsidRPr="00E039C7">
        <w:rPr>
          <w:rFonts w:ascii="Arial" w:hAnsi="Arial" w:cs="Arial"/>
        </w:rPr>
        <w:t xml:space="preserve"> </w:t>
      </w:r>
      <w:proofErr w:type="spellStart"/>
      <w:r w:rsidRPr="00E039C7">
        <w:rPr>
          <w:rFonts w:ascii="Arial" w:hAnsi="Arial" w:cs="Arial"/>
        </w:rPr>
        <w:t>work</w:t>
      </w:r>
      <w:proofErr w:type="spellEnd"/>
      <w:r w:rsidRPr="00E039C7">
        <w:rPr>
          <w:rFonts w:ascii="Arial" w:hAnsi="Arial" w:cs="Arial"/>
        </w:rPr>
        <w:t xml:space="preserve"> </w:t>
      </w:r>
      <w:proofErr w:type="spellStart"/>
      <w:r w:rsidRPr="00E039C7">
        <w:rPr>
          <w:rFonts w:ascii="Arial" w:hAnsi="Arial" w:cs="Arial"/>
        </w:rPr>
        <w:t>environment</w:t>
      </w:r>
      <w:proofErr w:type="spellEnd"/>
      <w:r w:rsidRPr="00E039C7">
        <w:rPr>
          <w:rFonts w:ascii="Arial" w:hAnsi="Arial" w:cs="Arial"/>
        </w:rPr>
        <w:t xml:space="preserve"> </w:t>
      </w:r>
      <w:proofErr w:type="spellStart"/>
      <w:r w:rsidRPr="00E039C7">
        <w:rPr>
          <w:rFonts w:ascii="Arial" w:hAnsi="Arial" w:cs="Arial"/>
        </w:rPr>
        <w:t>during</w:t>
      </w:r>
      <w:proofErr w:type="spellEnd"/>
      <w:r w:rsidRPr="00E039C7">
        <w:rPr>
          <w:rFonts w:ascii="Arial" w:hAnsi="Arial" w:cs="Arial"/>
        </w:rPr>
        <w:t xml:space="preserve"> </w:t>
      </w:r>
      <w:proofErr w:type="spellStart"/>
      <w:r w:rsidRPr="00E039C7">
        <w:rPr>
          <w:rFonts w:ascii="Arial" w:hAnsi="Arial" w:cs="Arial"/>
        </w:rPr>
        <w:t>the</w:t>
      </w:r>
      <w:proofErr w:type="spellEnd"/>
      <w:r w:rsidRPr="00E039C7">
        <w:rPr>
          <w:rFonts w:ascii="Arial" w:hAnsi="Arial" w:cs="Arial"/>
        </w:rPr>
        <w:t xml:space="preserve"> </w:t>
      </w:r>
      <w:proofErr w:type="spellStart"/>
      <w:r w:rsidRPr="00E039C7">
        <w:rPr>
          <w:rFonts w:ascii="Arial" w:hAnsi="Arial" w:cs="Arial"/>
        </w:rPr>
        <w:t>pandemic</w:t>
      </w:r>
      <w:proofErr w:type="spellEnd"/>
      <w:r w:rsidRPr="00E039C7">
        <w:rPr>
          <w:rFonts w:ascii="Arial" w:hAnsi="Arial" w:cs="Arial"/>
        </w:rPr>
        <w:t xml:space="preserve">. In </w:t>
      </w:r>
      <w:proofErr w:type="spellStart"/>
      <w:r w:rsidRPr="00E039C7">
        <w:rPr>
          <w:rFonts w:ascii="Arial" w:hAnsi="Arial" w:cs="Arial"/>
        </w:rPr>
        <w:t>the</w:t>
      </w:r>
      <w:proofErr w:type="spellEnd"/>
      <w:r w:rsidRPr="00E039C7">
        <w:rPr>
          <w:rFonts w:ascii="Arial" w:hAnsi="Arial" w:cs="Arial"/>
        </w:rPr>
        <w:t xml:space="preserve"> stress model, </w:t>
      </w:r>
      <w:proofErr w:type="spellStart"/>
      <w:r w:rsidRPr="00E039C7">
        <w:rPr>
          <w:rFonts w:ascii="Arial" w:hAnsi="Arial" w:cs="Arial"/>
        </w:rPr>
        <w:t>higher</w:t>
      </w:r>
      <w:proofErr w:type="spellEnd"/>
      <w:r w:rsidRPr="00E039C7">
        <w:rPr>
          <w:rFonts w:ascii="Arial" w:hAnsi="Arial" w:cs="Arial"/>
        </w:rPr>
        <w:t xml:space="preserve"> </w:t>
      </w:r>
      <w:proofErr w:type="spellStart"/>
      <w:r w:rsidRPr="00E039C7">
        <w:rPr>
          <w:rFonts w:ascii="Arial" w:hAnsi="Arial" w:cs="Arial"/>
        </w:rPr>
        <w:t>education</w:t>
      </w:r>
      <w:proofErr w:type="spellEnd"/>
      <w:r w:rsidRPr="00E039C7">
        <w:rPr>
          <w:rFonts w:ascii="Arial" w:hAnsi="Arial" w:cs="Arial"/>
        </w:rPr>
        <w:t xml:space="preserve"> </w:t>
      </w:r>
      <w:proofErr w:type="spellStart"/>
      <w:r w:rsidRPr="00E039C7">
        <w:rPr>
          <w:rFonts w:ascii="Arial" w:hAnsi="Arial" w:cs="Arial"/>
        </w:rPr>
        <w:t>and</w:t>
      </w:r>
      <w:proofErr w:type="spellEnd"/>
      <w:r w:rsidRPr="00E039C7">
        <w:rPr>
          <w:rFonts w:ascii="Arial" w:hAnsi="Arial" w:cs="Arial"/>
        </w:rPr>
        <w:t xml:space="preserve"> self-</w:t>
      </w:r>
      <w:proofErr w:type="spellStart"/>
      <w:r w:rsidRPr="00E039C7">
        <w:rPr>
          <w:rFonts w:ascii="Arial" w:hAnsi="Arial" w:cs="Arial"/>
        </w:rPr>
        <w:t>perception</w:t>
      </w:r>
      <w:proofErr w:type="spellEnd"/>
      <w:r w:rsidRPr="00E039C7">
        <w:rPr>
          <w:rFonts w:ascii="Arial" w:hAnsi="Arial" w:cs="Arial"/>
        </w:rPr>
        <w:t xml:space="preserve"> </w:t>
      </w:r>
      <w:proofErr w:type="spellStart"/>
      <w:r w:rsidRPr="00E039C7">
        <w:rPr>
          <w:rFonts w:ascii="Arial" w:hAnsi="Arial" w:cs="Arial"/>
        </w:rPr>
        <w:t>of</w:t>
      </w:r>
      <w:proofErr w:type="spellEnd"/>
      <w:r w:rsidRPr="00E039C7">
        <w:rPr>
          <w:rFonts w:ascii="Arial" w:hAnsi="Arial" w:cs="Arial"/>
        </w:rPr>
        <w:t xml:space="preserve"> </w:t>
      </w:r>
      <w:proofErr w:type="spellStart"/>
      <w:r w:rsidRPr="00E039C7">
        <w:rPr>
          <w:rFonts w:ascii="Arial" w:hAnsi="Arial" w:cs="Arial"/>
        </w:rPr>
        <w:t>risk</w:t>
      </w:r>
      <w:proofErr w:type="spellEnd"/>
      <w:r w:rsidRPr="00E039C7">
        <w:rPr>
          <w:rFonts w:ascii="Arial" w:hAnsi="Arial" w:cs="Arial"/>
        </w:rPr>
        <w:t xml:space="preserve"> </w:t>
      </w:r>
      <w:proofErr w:type="spellStart"/>
      <w:r w:rsidRPr="00E039C7">
        <w:rPr>
          <w:rFonts w:ascii="Arial" w:hAnsi="Arial" w:cs="Arial"/>
        </w:rPr>
        <w:t>proved</w:t>
      </w:r>
      <w:proofErr w:type="spellEnd"/>
      <w:r w:rsidRPr="00E039C7">
        <w:rPr>
          <w:rFonts w:ascii="Arial" w:hAnsi="Arial" w:cs="Arial"/>
        </w:rPr>
        <w:t xml:space="preserve"> </w:t>
      </w:r>
      <w:proofErr w:type="spellStart"/>
      <w:r w:rsidRPr="00E039C7">
        <w:rPr>
          <w:rFonts w:ascii="Arial" w:hAnsi="Arial" w:cs="Arial"/>
        </w:rPr>
        <w:t>to</w:t>
      </w:r>
      <w:proofErr w:type="spellEnd"/>
      <w:r w:rsidRPr="00E039C7">
        <w:rPr>
          <w:rFonts w:ascii="Arial" w:hAnsi="Arial" w:cs="Arial"/>
        </w:rPr>
        <w:t xml:space="preserve"> </w:t>
      </w:r>
      <w:proofErr w:type="spellStart"/>
      <w:r w:rsidRPr="00E039C7">
        <w:rPr>
          <w:rFonts w:ascii="Arial" w:hAnsi="Arial" w:cs="Arial"/>
        </w:rPr>
        <w:t>be</w:t>
      </w:r>
      <w:proofErr w:type="spellEnd"/>
      <w:r w:rsidRPr="00E039C7">
        <w:rPr>
          <w:rFonts w:ascii="Arial" w:hAnsi="Arial" w:cs="Arial"/>
        </w:rPr>
        <w:t xml:space="preserve"> </w:t>
      </w:r>
      <w:proofErr w:type="spellStart"/>
      <w:r w:rsidRPr="00E039C7">
        <w:rPr>
          <w:rFonts w:ascii="Arial" w:hAnsi="Arial" w:cs="Arial"/>
        </w:rPr>
        <w:t>aggravating</w:t>
      </w:r>
      <w:proofErr w:type="spellEnd"/>
      <w:r w:rsidRPr="00E039C7">
        <w:rPr>
          <w:rFonts w:ascii="Arial" w:hAnsi="Arial" w:cs="Arial"/>
        </w:rPr>
        <w:t xml:space="preserve"> </w:t>
      </w:r>
      <w:proofErr w:type="spellStart"/>
      <w:r w:rsidRPr="00E039C7">
        <w:rPr>
          <w:rFonts w:ascii="Arial" w:hAnsi="Arial" w:cs="Arial"/>
        </w:rPr>
        <w:t>factors</w:t>
      </w:r>
      <w:proofErr w:type="spellEnd"/>
      <w:r w:rsidRPr="00E039C7">
        <w:rPr>
          <w:rFonts w:ascii="Arial" w:hAnsi="Arial" w:cs="Arial"/>
        </w:rPr>
        <w:t xml:space="preserve">, </w:t>
      </w:r>
      <w:proofErr w:type="spellStart"/>
      <w:r w:rsidRPr="00E039C7">
        <w:rPr>
          <w:rFonts w:ascii="Arial" w:hAnsi="Arial" w:cs="Arial"/>
        </w:rPr>
        <w:t>while</w:t>
      </w:r>
      <w:proofErr w:type="spellEnd"/>
      <w:r w:rsidRPr="00E039C7">
        <w:rPr>
          <w:rFonts w:ascii="Arial" w:hAnsi="Arial" w:cs="Arial"/>
        </w:rPr>
        <w:t xml:space="preserve"> </w:t>
      </w:r>
      <w:proofErr w:type="spellStart"/>
      <w:r w:rsidRPr="00E039C7">
        <w:rPr>
          <w:rFonts w:ascii="Arial" w:hAnsi="Arial" w:cs="Arial"/>
        </w:rPr>
        <w:t>working</w:t>
      </w:r>
      <w:proofErr w:type="spellEnd"/>
      <w:r w:rsidRPr="00E039C7">
        <w:rPr>
          <w:rFonts w:ascii="Arial" w:hAnsi="Arial" w:cs="Arial"/>
        </w:rPr>
        <w:t xml:space="preserve"> </w:t>
      </w:r>
      <w:proofErr w:type="spellStart"/>
      <w:r w:rsidRPr="00E039C7">
        <w:rPr>
          <w:rFonts w:ascii="Arial" w:hAnsi="Arial" w:cs="Arial"/>
        </w:rPr>
        <w:t>from</w:t>
      </w:r>
      <w:proofErr w:type="spellEnd"/>
      <w:r w:rsidRPr="00E039C7">
        <w:rPr>
          <w:rFonts w:ascii="Arial" w:hAnsi="Arial" w:cs="Arial"/>
        </w:rPr>
        <w:t xml:space="preserve"> home </w:t>
      </w:r>
      <w:proofErr w:type="spellStart"/>
      <w:r w:rsidRPr="00E039C7">
        <w:rPr>
          <w:rFonts w:ascii="Arial" w:hAnsi="Arial" w:cs="Arial"/>
        </w:rPr>
        <w:t>was</w:t>
      </w:r>
      <w:proofErr w:type="spellEnd"/>
      <w:r w:rsidRPr="00E039C7">
        <w:rPr>
          <w:rFonts w:ascii="Arial" w:hAnsi="Arial" w:cs="Arial"/>
        </w:rPr>
        <w:t xml:space="preserve"> </w:t>
      </w:r>
      <w:proofErr w:type="spellStart"/>
      <w:r w:rsidRPr="00E039C7">
        <w:rPr>
          <w:rFonts w:ascii="Arial" w:hAnsi="Arial" w:cs="Arial"/>
        </w:rPr>
        <w:t>protective</w:t>
      </w:r>
      <w:proofErr w:type="spellEnd"/>
      <w:r w:rsidRPr="00E039C7">
        <w:rPr>
          <w:rFonts w:ascii="Arial" w:hAnsi="Arial" w:cs="Arial"/>
        </w:rPr>
        <w:t xml:space="preserve">. In </w:t>
      </w:r>
      <w:proofErr w:type="spellStart"/>
      <w:r w:rsidRPr="00E039C7">
        <w:rPr>
          <w:rFonts w:ascii="Arial" w:hAnsi="Arial" w:cs="Arial"/>
        </w:rPr>
        <w:t>depression</w:t>
      </w:r>
      <w:proofErr w:type="spellEnd"/>
      <w:r w:rsidRPr="00E039C7">
        <w:rPr>
          <w:rFonts w:ascii="Arial" w:hAnsi="Arial" w:cs="Arial"/>
        </w:rPr>
        <w:t xml:space="preserve">, </w:t>
      </w:r>
      <w:proofErr w:type="spellStart"/>
      <w:r w:rsidRPr="00E039C7">
        <w:rPr>
          <w:rFonts w:ascii="Arial" w:hAnsi="Arial" w:cs="Arial"/>
        </w:rPr>
        <w:t>the</w:t>
      </w:r>
      <w:proofErr w:type="spellEnd"/>
      <w:r w:rsidRPr="00E039C7">
        <w:rPr>
          <w:rFonts w:ascii="Arial" w:hAnsi="Arial" w:cs="Arial"/>
        </w:rPr>
        <w:t xml:space="preserve"> </w:t>
      </w:r>
      <w:proofErr w:type="spellStart"/>
      <w:r w:rsidRPr="00E039C7">
        <w:rPr>
          <w:rFonts w:ascii="Arial" w:hAnsi="Arial" w:cs="Arial"/>
        </w:rPr>
        <w:t>intensive</w:t>
      </w:r>
      <w:proofErr w:type="spellEnd"/>
      <w:r w:rsidRPr="00E039C7">
        <w:rPr>
          <w:rFonts w:ascii="Arial" w:hAnsi="Arial" w:cs="Arial"/>
        </w:rPr>
        <w:t xml:space="preserve"> </w:t>
      </w:r>
      <w:proofErr w:type="spellStart"/>
      <w:r w:rsidRPr="00E039C7">
        <w:rPr>
          <w:rFonts w:ascii="Arial" w:hAnsi="Arial" w:cs="Arial"/>
        </w:rPr>
        <w:t>search</w:t>
      </w:r>
      <w:proofErr w:type="spellEnd"/>
      <w:r w:rsidRPr="00E039C7">
        <w:rPr>
          <w:rFonts w:ascii="Arial" w:hAnsi="Arial" w:cs="Arial"/>
        </w:rPr>
        <w:t xml:space="preserve"> for </w:t>
      </w:r>
      <w:proofErr w:type="spellStart"/>
      <w:r w:rsidRPr="00E039C7">
        <w:rPr>
          <w:rFonts w:ascii="Arial" w:hAnsi="Arial" w:cs="Arial"/>
        </w:rPr>
        <w:t>information</w:t>
      </w:r>
      <w:proofErr w:type="spellEnd"/>
      <w:r w:rsidRPr="00E039C7">
        <w:rPr>
          <w:rFonts w:ascii="Arial" w:hAnsi="Arial" w:cs="Arial"/>
        </w:rPr>
        <w:t xml:space="preserve"> </w:t>
      </w:r>
      <w:proofErr w:type="spellStart"/>
      <w:r w:rsidRPr="00E039C7">
        <w:rPr>
          <w:rFonts w:ascii="Arial" w:hAnsi="Arial" w:cs="Arial"/>
        </w:rPr>
        <w:t>and</w:t>
      </w:r>
      <w:proofErr w:type="spellEnd"/>
      <w:r w:rsidRPr="00E039C7">
        <w:rPr>
          <w:rFonts w:ascii="Arial" w:hAnsi="Arial" w:cs="Arial"/>
        </w:rPr>
        <w:t xml:space="preserve"> </w:t>
      </w:r>
      <w:proofErr w:type="spellStart"/>
      <w:r w:rsidRPr="00E039C7">
        <w:rPr>
          <w:rFonts w:ascii="Arial" w:hAnsi="Arial" w:cs="Arial"/>
        </w:rPr>
        <w:t>the</w:t>
      </w:r>
      <w:proofErr w:type="spellEnd"/>
      <w:r w:rsidRPr="00E039C7">
        <w:rPr>
          <w:rFonts w:ascii="Arial" w:hAnsi="Arial" w:cs="Arial"/>
        </w:rPr>
        <w:t xml:space="preserve"> </w:t>
      </w:r>
      <w:proofErr w:type="spellStart"/>
      <w:r w:rsidRPr="00E039C7">
        <w:rPr>
          <w:rFonts w:ascii="Arial" w:hAnsi="Arial" w:cs="Arial"/>
        </w:rPr>
        <w:t>perception</w:t>
      </w:r>
      <w:proofErr w:type="spellEnd"/>
      <w:r w:rsidRPr="00E039C7">
        <w:rPr>
          <w:rFonts w:ascii="Arial" w:hAnsi="Arial" w:cs="Arial"/>
        </w:rPr>
        <w:t xml:space="preserve"> </w:t>
      </w:r>
      <w:proofErr w:type="spellStart"/>
      <w:r w:rsidRPr="00E039C7">
        <w:rPr>
          <w:rFonts w:ascii="Arial" w:hAnsi="Arial" w:cs="Arial"/>
        </w:rPr>
        <w:t>of</w:t>
      </w:r>
      <w:proofErr w:type="spellEnd"/>
      <w:r w:rsidRPr="00E039C7">
        <w:rPr>
          <w:rFonts w:ascii="Arial" w:hAnsi="Arial" w:cs="Arial"/>
        </w:rPr>
        <w:t xml:space="preserve"> a </w:t>
      </w:r>
      <w:proofErr w:type="spellStart"/>
      <w:r w:rsidRPr="00E039C7">
        <w:rPr>
          <w:rFonts w:ascii="Arial" w:hAnsi="Arial" w:cs="Arial"/>
        </w:rPr>
        <w:t>lack</w:t>
      </w:r>
      <w:proofErr w:type="spellEnd"/>
      <w:r w:rsidRPr="00E039C7">
        <w:rPr>
          <w:rFonts w:ascii="Arial" w:hAnsi="Arial" w:cs="Arial"/>
        </w:rPr>
        <w:t xml:space="preserve"> </w:t>
      </w:r>
      <w:proofErr w:type="spellStart"/>
      <w:r w:rsidRPr="00E039C7">
        <w:rPr>
          <w:rFonts w:ascii="Arial" w:hAnsi="Arial" w:cs="Arial"/>
        </w:rPr>
        <w:t>of</w:t>
      </w:r>
      <w:proofErr w:type="spellEnd"/>
      <w:r w:rsidRPr="00E039C7">
        <w:rPr>
          <w:rFonts w:ascii="Arial" w:hAnsi="Arial" w:cs="Arial"/>
        </w:rPr>
        <w:t xml:space="preserve"> </w:t>
      </w:r>
      <w:proofErr w:type="spellStart"/>
      <w:r w:rsidRPr="00E039C7">
        <w:rPr>
          <w:rFonts w:ascii="Arial" w:hAnsi="Arial" w:cs="Arial"/>
        </w:rPr>
        <w:t>informational</w:t>
      </w:r>
      <w:proofErr w:type="spellEnd"/>
      <w:r w:rsidRPr="00E039C7">
        <w:rPr>
          <w:rFonts w:ascii="Arial" w:hAnsi="Arial" w:cs="Arial"/>
        </w:rPr>
        <w:t xml:space="preserve"> </w:t>
      </w:r>
      <w:proofErr w:type="spellStart"/>
      <w:r w:rsidRPr="00E039C7">
        <w:rPr>
          <w:rFonts w:ascii="Arial" w:hAnsi="Arial" w:cs="Arial"/>
        </w:rPr>
        <w:t>preparedness</w:t>
      </w:r>
      <w:proofErr w:type="spellEnd"/>
      <w:r w:rsidRPr="00E039C7">
        <w:rPr>
          <w:rFonts w:ascii="Arial" w:hAnsi="Arial" w:cs="Arial"/>
        </w:rPr>
        <w:t xml:space="preserve"> </w:t>
      </w:r>
      <w:proofErr w:type="spellStart"/>
      <w:r w:rsidRPr="00E039C7">
        <w:rPr>
          <w:rFonts w:ascii="Arial" w:hAnsi="Arial" w:cs="Arial"/>
        </w:rPr>
        <w:t>were</w:t>
      </w:r>
      <w:proofErr w:type="spellEnd"/>
      <w:r w:rsidRPr="00E039C7">
        <w:rPr>
          <w:rFonts w:ascii="Arial" w:hAnsi="Arial" w:cs="Arial"/>
        </w:rPr>
        <w:t xml:space="preserve"> </w:t>
      </w:r>
      <w:proofErr w:type="spellStart"/>
      <w:r w:rsidRPr="00E039C7">
        <w:rPr>
          <w:rFonts w:ascii="Arial" w:hAnsi="Arial" w:cs="Arial"/>
        </w:rPr>
        <w:t>relevant</w:t>
      </w:r>
      <w:proofErr w:type="spellEnd"/>
      <w:r w:rsidRPr="00E039C7">
        <w:rPr>
          <w:rFonts w:ascii="Arial" w:hAnsi="Arial" w:cs="Arial"/>
        </w:rPr>
        <w:t xml:space="preserve"> </w:t>
      </w:r>
      <w:proofErr w:type="spellStart"/>
      <w:r w:rsidRPr="00E039C7">
        <w:rPr>
          <w:rFonts w:ascii="Arial" w:hAnsi="Arial" w:cs="Arial"/>
        </w:rPr>
        <w:t>predictors</w:t>
      </w:r>
      <w:proofErr w:type="spellEnd"/>
      <w:r w:rsidRPr="00E039C7">
        <w:rPr>
          <w:rFonts w:ascii="Arial" w:hAnsi="Arial" w:cs="Arial"/>
        </w:rPr>
        <w:t xml:space="preserve">, </w:t>
      </w:r>
      <w:proofErr w:type="spellStart"/>
      <w:r w:rsidRPr="00E039C7">
        <w:rPr>
          <w:rFonts w:ascii="Arial" w:hAnsi="Arial" w:cs="Arial"/>
        </w:rPr>
        <w:t>highlighting</w:t>
      </w:r>
      <w:proofErr w:type="spellEnd"/>
      <w:r w:rsidRPr="00E039C7">
        <w:rPr>
          <w:rFonts w:ascii="Arial" w:hAnsi="Arial" w:cs="Arial"/>
        </w:rPr>
        <w:t xml:space="preserve"> </w:t>
      </w:r>
      <w:proofErr w:type="spellStart"/>
      <w:r w:rsidRPr="00E039C7">
        <w:rPr>
          <w:rFonts w:ascii="Arial" w:hAnsi="Arial" w:cs="Arial"/>
        </w:rPr>
        <w:t>the</w:t>
      </w:r>
      <w:proofErr w:type="spellEnd"/>
      <w:r w:rsidRPr="00E039C7">
        <w:rPr>
          <w:rFonts w:ascii="Arial" w:hAnsi="Arial" w:cs="Arial"/>
        </w:rPr>
        <w:t xml:space="preserve"> role </w:t>
      </w:r>
      <w:proofErr w:type="spellStart"/>
      <w:r w:rsidRPr="00E039C7">
        <w:rPr>
          <w:rFonts w:ascii="Arial" w:hAnsi="Arial" w:cs="Arial"/>
        </w:rPr>
        <w:t>of</w:t>
      </w:r>
      <w:proofErr w:type="spellEnd"/>
      <w:r w:rsidRPr="00E039C7">
        <w:rPr>
          <w:rFonts w:ascii="Arial" w:hAnsi="Arial" w:cs="Arial"/>
        </w:rPr>
        <w:t xml:space="preserve"> </w:t>
      </w:r>
      <w:proofErr w:type="spellStart"/>
      <w:r w:rsidRPr="00E039C7">
        <w:rPr>
          <w:rFonts w:ascii="Arial" w:hAnsi="Arial" w:cs="Arial"/>
        </w:rPr>
        <w:t>cognitive</w:t>
      </w:r>
      <w:proofErr w:type="spellEnd"/>
      <w:r w:rsidRPr="00E039C7">
        <w:rPr>
          <w:rFonts w:ascii="Arial" w:hAnsi="Arial" w:cs="Arial"/>
        </w:rPr>
        <w:t xml:space="preserve"> </w:t>
      </w:r>
      <w:proofErr w:type="spellStart"/>
      <w:r w:rsidRPr="00E039C7">
        <w:rPr>
          <w:rFonts w:ascii="Arial" w:hAnsi="Arial" w:cs="Arial"/>
        </w:rPr>
        <w:t>exposures</w:t>
      </w:r>
      <w:proofErr w:type="spellEnd"/>
      <w:r w:rsidRPr="00E039C7">
        <w:rPr>
          <w:rFonts w:ascii="Arial" w:hAnsi="Arial" w:cs="Arial"/>
        </w:rPr>
        <w:t xml:space="preserve"> in </w:t>
      </w:r>
      <w:proofErr w:type="spellStart"/>
      <w:r w:rsidRPr="00E039C7">
        <w:rPr>
          <w:rFonts w:ascii="Arial" w:hAnsi="Arial" w:cs="Arial"/>
        </w:rPr>
        <w:t>psychological</w:t>
      </w:r>
      <w:proofErr w:type="spellEnd"/>
      <w:r w:rsidRPr="00E039C7">
        <w:rPr>
          <w:rFonts w:ascii="Arial" w:hAnsi="Arial" w:cs="Arial"/>
        </w:rPr>
        <w:t xml:space="preserve"> </w:t>
      </w:r>
      <w:proofErr w:type="spellStart"/>
      <w:r w:rsidRPr="00E039C7">
        <w:rPr>
          <w:rFonts w:ascii="Arial" w:hAnsi="Arial" w:cs="Arial"/>
        </w:rPr>
        <w:t>distress</w:t>
      </w:r>
      <w:proofErr w:type="spellEnd"/>
      <w:r w:rsidRPr="00E039C7">
        <w:rPr>
          <w:rFonts w:ascii="Arial" w:hAnsi="Arial" w:cs="Arial"/>
        </w:rPr>
        <w:t>.</w:t>
      </w:r>
    </w:p>
    <w:p w14:paraId="056379D3" w14:textId="77777777" w:rsidR="00E039C7" w:rsidRPr="00E039C7" w:rsidRDefault="00E039C7" w:rsidP="00E039C7">
      <w:pPr>
        <w:spacing w:line="360" w:lineRule="auto"/>
        <w:ind w:firstLine="708"/>
        <w:jc w:val="both"/>
        <w:rPr>
          <w:rFonts w:ascii="Arial" w:hAnsi="Arial" w:cs="Arial"/>
        </w:rPr>
      </w:pPr>
      <w:r w:rsidRPr="00E039C7">
        <w:rPr>
          <w:rFonts w:ascii="Arial" w:hAnsi="Arial" w:cs="Arial"/>
        </w:rPr>
        <w:t xml:space="preserve">The use </w:t>
      </w:r>
      <w:proofErr w:type="spellStart"/>
      <w:r w:rsidRPr="00E039C7">
        <w:rPr>
          <w:rFonts w:ascii="Arial" w:hAnsi="Arial" w:cs="Arial"/>
        </w:rPr>
        <w:t>of</w:t>
      </w:r>
      <w:proofErr w:type="spellEnd"/>
      <w:r w:rsidRPr="00E039C7">
        <w:rPr>
          <w:rFonts w:ascii="Arial" w:hAnsi="Arial" w:cs="Arial"/>
        </w:rPr>
        <w:t xml:space="preserve"> </w:t>
      </w:r>
      <w:proofErr w:type="spellStart"/>
      <w:r w:rsidRPr="00E039C7">
        <w:rPr>
          <w:rFonts w:ascii="Arial" w:hAnsi="Arial" w:cs="Arial"/>
        </w:rPr>
        <w:t>overlap</w:t>
      </w:r>
      <w:proofErr w:type="spellEnd"/>
      <w:r w:rsidRPr="00E039C7">
        <w:rPr>
          <w:rFonts w:ascii="Arial" w:hAnsi="Arial" w:cs="Arial"/>
        </w:rPr>
        <w:t xml:space="preserve"> </w:t>
      </w:r>
      <w:proofErr w:type="spellStart"/>
      <w:r w:rsidRPr="00E039C7">
        <w:rPr>
          <w:rFonts w:ascii="Arial" w:hAnsi="Arial" w:cs="Arial"/>
        </w:rPr>
        <w:t>weighting</w:t>
      </w:r>
      <w:proofErr w:type="spellEnd"/>
      <w:r w:rsidRPr="00E039C7">
        <w:rPr>
          <w:rFonts w:ascii="Arial" w:hAnsi="Arial" w:cs="Arial"/>
        </w:rPr>
        <w:t xml:space="preserve"> </w:t>
      </w:r>
      <w:proofErr w:type="spellStart"/>
      <w:r w:rsidRPr="00E039C7">
        <w:rPr>
          <w:rFonts w:ascii="Arial" w:hAnsi="Arial" w:cs="Arial"/>
        </w:rPr>
        <w:t>provided</w:t>
      </w:r>
      <w:proofErr w:type="spellEnd"/>
      <w:r w:rsidRPr="00E039C7">
        <w:rPr>
          <w:rFonts w:ascii="Arial" w:hAnsi="Arial" w:cs="Arial"/>
        </w:rPr>
        <w:t xml:space="preserve"> </w:t>
      </w:r>
      <w:proofErr w:type="spellStart"/>
      <w:r w:rsidRPr="00E039C7">
        <w:rPr>
          <w:rFonts w:ascii="Arial" w:hAnsi="Arial" w:cs="Arial"/>
        </w:rPr>
        <w:t>excellent</w:t>
      </w:r>
      <w:proofErr w:type="spellEnd"/>
      <w:r w:rsidRPr="00E039C7">
        <w:rPr>
          <w:rFonts w:ascii="Arial" w:hAnsi="Arial" w:cs="Arial"/>
        </w:rPr>
        <w:t xml:space="preserve"> balance </w:t>
      </w:r>
      <w:proofErr w:type="spellStart"/>
      <w:r w:rsidRPr="00E039C7">
        <w:rPr>
          <w:rFonts w:ascii="Arial" w:hAnsi="Arial" w:cs="Arial"/>
        </w:rPr>
        <w:t>between</w:t>
      </w:r>
      <w:proofErr w:type="spellEnd"/>
      <w:r w:rsidRPr="00E039C7">
        <w:rPr>
          <w:rFonts w:ascii="Arial" w:hAnsi="Arial" w:cs="Arial"/>
        </w:rPr>
        <w:t xml:space="preserve"> </w:t>
      </w:r>
      <w:proofErr w:type="spellStart"/>
      <w:r w:rsidRPr="00E039C7">
        <w:rPr>
          <w:rFonts w:ascii="Arial" w:hAnsi="Arial" w:cs="Arial"/>
        </w:rPr>
        <w:t>groups</w:t>
      </w:r>
      <w:proofErr w:type="spellEnd"/>
      <w:r w:rsidRPr="00E039C7">
        <w:rPr>
          <w:rFonts w:ascii="Arial" w:hAnsi="Arial" w:cs="Arial"/>
        </w:rPr>
        <w:t xml:space="preserve"> </w:t>
      </w:r>
      <w:proofErr w:type="spellStart"/>
      <w:r w:rsidRPr="00E039C7">
        <w:rPr>
          <w:rFonts w:ascii="Arial" w:hAnsi="Arial" w:cs="Arial"/>
        </w:rPr>
        <w:t>and</w:t>
      </w:r>
      <w:proofErr w:type="spellEnd"/>
      <w:r w:rsidRPr="00E039C7">
        <w:rPr>
          <w:rFonts w:ascii="Arial" w:hAnsi="Arial" w:cs="Arial"/>
        </w:rPr>
        <w:t xml:space="preserve"> </w:t>
      </w:r>
      <w:proofErr w:type="spellStart"/>
      <w:r w:rsidRPr="00E039C7">
        <w:rPr>
          <w:rFonts w:ascii="Arial" w:hAnsi="Arial" w:cs="Arial"/>
        </w:rPr>
        <w:t>reduced</w:t>
      </w:r>
      <w:proofErr w:type="spellEnd"/>
      <w:r w:rsidRPr="00E039C7">
        <w:rPr>
          <w:rFonts w:ascii="Arial" w:hAnsi="Arial" w:cs="Arial"/>
        </w:rPr>
        <w:t xml:space="preserve"> </w:t>
      </w:r>
      <w:proofErr w:type="spellStart"/>
      <w:r w:rsidRPr="00E039C7">
        <w:rPr>
          <w:rFonts w:ascii="Arial" w:hAnsi="Arial" w:cs="Arial"/>
        </w:rPr>
        <w:t>biases</w:t>
      </w:r>
      <w:proofErr w:type="spellEnd"/>
      <w:r w:rsidRPr="00E039C7">
        <w:rPr>
          <w:rFonts w:ascii="Arial" w:hAnsi="Arial" w:cs="Arial"/>
        </w:rPr>
        <w:t xml:space="preserve"> </w:t>
      </w:r>
      <w:proofErr w:type="spellStart"/>
      <w:r w:rsidRPr="00E039C7">
        <w:rPr>
          <w:rFonts w:ascii="Arial" w:hAnsi="Arial" w:cs="Arial"/>
        </w:rPr>
        <w:t>associated</w:t>
      </w:r>
      <w:proofErr w:type="spellEnd"/>
      <w:r w:rsidRPr="00E039C7">
        <w:rPr>
          <w:rFonts w:ascii="Arial" w:hAnsi="Arial" w:cs="Arial"/>
        </w:rPr>
        <w:t xml:space="preserve"> </w:t>
      </w:r>
      <w:proofErr w:type="spellStart"/>
      <w:r w:rsidRPr="00E039C7">
        <w:rPr>
          <w:rFonts w:ascii="Arial" w:hAnsi="Arial" w:cs="Arial"/>
        </w:rPr>
        <w:t>with</w:t>
      </w:r>
      <w:proofErr w:type="spellEnd"/>
      <w:r w:rsidRPr="00E039C7">
        <w:rPr>
          <w:rFonts w:ascii="Arial" w:hAnsi="Arial" w:cs="Arial"/>
        </w:rPr>
        <w:t xml:space="preserve"> </w:t>
      </w:r>
      <w:proofErr w:type="spellStart"/>
      <w:r w:rsidRPr="00E039C7">
        <w:rPr>
          <w:rFonts w:ascii="Arial" w:hAnsi="Arial" w:cs="Arial"/>
        </w:rPr>
        <w:t>the</w:t>
      </w:r>
      <w:proofErr w:type="spellEnd"/>
      <w:r w:rsidRPr="00E039C7">
        <w:rPr>
          <w:rFonts w:ascii="Arial" w:hAnsi="Arial" w:cs="Arial"/>
        </w:rPr>
        <w:t xml:space="preserve"> </w:t>
      </w:r>
      <w:proofErr w:type="spellStart"/>
      <w:r w:rsidRPr="00E039C7">
        <w:rPr>
          <w:rFonts w:ascii="Arial" w:hAnsi="Arial" w:cs="Arial"/>
        </w:rPr>
        <w:t>distribution</w:t>
      </w:r>
      <w:proofErr w:type="spellEnd"/>
      <w:r w:rsidRPr="00E039C7">
        <w:rPr>
          <w:rFonts w:ascii="Arial" w:hAnsi="Arial" w:cs="Arial"/>
        </w:rPr>
        <w:t xml:space="preserve"> </w:t>
      </w:r>
      <w:proofErr w:type="spellStart"/>
      <w:r w:rsidRPr="00E039C7">
        <w:rPr>
          <w:rFonts w:ascii="Arial" w:hAnsi="Arial" w:cs="Arial"/>
        </w:rPr>
        <w:t>of</w:t>
      </w:r>
      <w:proofErr w:type="spellEnd"/>
      <w:r w:rsidRPr="00E039C7">
        <w:rPr>
          <w:rFonts w:ascii="Arial" w:hAnsi="Arial" w:cs="Arial"/>
        </w:rPr>
        <w:t xml:space="preserve"> HIV, </w:t>
      </w:r>
      <w:proofErr w:type="spellStart"/>
      <w:r w:rsidRPr="00E039C7">
        <w:rPr>
          <w:rFonts w:ascii="Arial" w:hAnsi="Arial" w:cs="Arial"/>
        </w:rPr>
        <w:t>allowing</w:t>
      </w:r>
      <w:proofErr w:type="spellEnd"/>
      <w:r w:rsidRPr="00E039C7">
        <w:rPr>
          <w:rFonts w:ascii="Arial" w:hAnsi="Arial" w:cs="Arial"/>
        </w:rPr>
        <w:t xml:space="preserve"> </w:t>
      </w:r>
      <w:proofErr w:type="spellStart"/>
      <w:r w:rsidRPr="00E039C7">
        <w:rPr>
          <w:rFonts w:ascii="Arial" w:hAnsi="Arial" w:cs="Arial"/>
        </w:rPr>
        <w:t>valid</w:t>
      </w:r>
      <w:proofErr w:type="spellEnd"/>
      <w:r w:rsidRPr="00E039C7">
        <w:rPr>
          <w:rFonts w:ascii="Arial" w:hAnsi="Arial" w:cs="Arial"/>
        </w:rPr>
        <w:t xml:space="preserve"> marginal </w:t>
      </w:r>
      <w:proofErr w:type="spellStart"/>
      <w:r w:rsidRPr="00E039C7">
        <w:rPr>
          <w:rFonts w:ascii="Arial" w:hAnsi="Arial" w:cs="Arial"/>
        </w:rPr>
        <w:t>interpretations</w:t>
      </w:r>
      <w:proofErr w:type="spellEnd"/>
      <w:r w:rsidRPr="00E039C7">
        <w:rPr>
          <w:rFonts w:ascii="Arial" w:hAnsi="Arial" w:cs="Arial"/>
        </w:rPr>
        <w:t xml:space="preserve"> </w:t>
      </w:r>
      <w:proofErr w:type="spellStart"/>
      <w:r w:rsidRPr="00E039C7">
        <w:rPr>
          <w:rFonts w:ascii="Arial" w:hAnsi="Arial" w:cs="Arial"/>
        </w:rPr>
        <w:t>under</w:t>
      </w:r>
      <w:proofErr w:type="spellEnd"/>
      <w:r w:rsidRPr="00E039C7">
        <w:rPr>
          <w:rFonts w:ascii="Arial" w:hAnsi="Arial" w:cs="Arial"/>
        </w:rPr>
        <w:t xml:space="preserve"> </w:t>
      </w:r>
      <w:proofErr w:type="spellStart"/>
      <w:r w:rsidRPr="00E039C7">
        <w:rPr>
          <w:rFonts w:ascii="Arial" w:hAnsi="Arial" w:cs="Arial"/>
        </w:rPr>
        <w:t>the</w:t>
      </w:r>
      <w:proofErr w:type="spellEnd"/>
      <w:r w:rsidRPr="00E039C7">
        <w:rPr>
          <w:rFonts w:ascii="Arial" w:hAnsi="Arial" w:cs="Arial"/>
        </w:rPr>
        <w:t xml:space="preserve"> framework </w:t>
      </w:r>
      <w:proofErr w:type="spellStart"/>
      <w:r w:rsidRPr="00E039C7">
        <w:rPr>
          <w:rFonts w:ascii="Arial" w:hAnsi="Arial" w:cs="Arial"/>
        </w:rPr>
        <w:t>of</w:t>
      </w:r>
      <w:proofErr w:type="spellEnd"/>
      <w:r w:rsidRPr="00E039C7">
        <w:rPr>
          <w:rFonts w:ascii="Arial" w:hAnsi="Arial" w:cs="Arial"/>
        </w:rPr>
        <w:t xml:space="preserve"> Marginal </w:t>
      </w:r>
      <w:proofErr w:type="spellStart"/>
      <w:r w:rsidRPr="00E039C7">
        <w:rPr>
          <w:rFonts w:ascii="Arial" w:hAnsi="Arial" w:cs="Arial"/>
        </w:rPr>
        <w:t>Structural</w:t>
      </w:r>
      <w:proofErr w:type="spellEnd"/>
      <w:r w:rsidRPr="00E039C7">
        <w:rPr>
          <w:rFonts w:ascii="Arial" w:hAnsi="Arial" w:cs="Arial"/>
        </w:rPr>
        <w:t xml:space="preserve"> Models (MSM). The </w:t>
      </w:r>
      <w:proofErr w:type="spellStart"/>
      <w:r w:rsidRPr="00E039C7">
        <w:rPr>
          <w:rFonts w:ascii="Arial" w:hAnsi="Arial" w:cs="Arial"/>
        </w:rPr>
        <w:t>Tweedie</w:t>
      </w:r>
      <w:proofErr w:type="spellEnd"/>
      <w:r w:rsidRPr="00E039C7">
        <w:rPr>
          <w:rFonts w:ascii="Arial" w:hAnsi="Arial" w:cs="Arial"/>
        </w:rPr>
        <w:t xml:space="preserve"> </w:t>
      </w:r>
      <w:proofErr w:type="spellStart"/>
      <w:r w:rsidRPr="00E039C7">
        <w:rPr>
          <w:rFonts w:ascii="Arial" w:hAnsi="Arial" w:cs="Arial"/>
        </w:rPr>
        <w:t>distribution</w:t>
      </w:r>
      <w:proofErr w:type="spellEnd"/>
      <w:r w:rsidRPr="00E039C7">
        <w:rPr>
          <w:rFonts w:ascii="Arial" w:hAnsi="Arial" w:cs="Arial"/>
        </w:rPr>
        <w:t xml:space="preserve"> </w:t>
      </w:r>
      <w:proofErr w:type="spellStart"/>
      <w:r w:rsidRPr="00E039C7">
        <w:rPr>
          <w:rFonts w:ascii="Arial" w:hAnsi="Arial" w:cs="Arial"/>
        </w:rPr>
        <w:t>proved</w:t>
      </w:r>
      <w:proofErr w:type="spellEnd"/>
      <w:r w:rsidRPr="00E039C7">
        <w:rPr>
          <w:rFonts w:ascii="Arial" w:hAnsi="Arial" w:cs="Arial"/>
        </w:rPr>
        <w:t xml:space="preserve"> </w:t>
      </w:r>
      <w:proofErr w:type="spellStart"/>
      <w:r w:rsidRPr="00E039C7">
        <w:rPr>
          <w:rFonts w:ascii="Arial" w:hAnsi="Arial" w:cs="Arial"/>
        </w:rPr>
        <w:t>particularly</w:t>
      </w:r>
      <w:proofErr w:type="spellEnd"/>
      <w:r w:rsidRPr="00E039C7">
        <w:rPr>
          <w:rFonts w:ascii="Arial" w:hAnsi="Arial" w:cs="Arial"/>
        </w:rPr>
        <w:t xml:space="preserve"> </w:t>
      </w:r>
      <w:proofErr w:type="spellStart"/>
      <w:r w:rsidRPr="00E039C7">
        <w:rPr>
          <w:rFonts w:ascii="Arial" w:hAnsi="Arial" w:cs="Arial"/>
        </w:rPr>
        <w:t>suitable</w:t>
      </w:r>
      <w:proofErr w:type="spellEnd"/>
      <w:r w:rsidRPr="00E039C7">
        <w:rPr>
          <w:rFonts w:ascii="Arial" w:hAnsi="Arial" w:cs="Arial"/>
        </w:rPr>
        <w:t xml:space="preserve"> for </w:t>
      </w:r>
      <w:proofErr w:type="spellStart"/>
      <w:r w:rsidRPr="00E039C7">
        <w:rPr>
          <w:rFonts w:ascii="Arial" w:hAnsi="Arial" w:cs="Arial"/>
        </w:rPr>
        <w:t>asymmetric</w:t>
      </w:r>
      <w:proofErr w:type="spellEnd"/>
      <w:r w:rsidRPr="00E039C7">
        <w:rPr>
          <w:rFonts w:ascii="Arial" w:hAnsi="Arial" w:cs="Arial"/>
        </w:rPr>
        <w:t xml:space="preserve"> </w:t>
      </w:r>
      <w:proofErr w:type="spellStart"/>
      <w:r w:rsidRPr="00E039C7">
        <w:rPr>
          <w:rFonts w:ascii="Arial" w:hAnsi="Arial" w:cs="Arial"/>
        </w:rPr>
        <w:t>continuous</w:t>
      </w:r>
      <w:proofErr w:type="spellEnd"/>
      <w:r w:rsidRPr="00E039C7">
        <w:rPr>
          <w:rFonts w:ascii="Arial" w:hAnsi="Arial" w:cs="Arial"/>
        </w:rPr>
        <w:t xml:space="preserve"> </w:t>
      </w:r>
      <w:proofErr w:type="spellStart"/>
      <w:r w:rsidRPr="00E039C7">
        <w:rPr>
          <w:rFonts w:ascii="Arial" w:hAnsi="Arial" w:cs="Arial"/>
        </w:rPr>
        <w:t>outcomes</w:t>
      </w:r>
      <w:proofErr w:type="spellEnd"/>
      <w:r w:rsidRPr="00E039C7">
        <w:rPr>
          <w:rFonts w:ascii="Arial" w:hAnsi="Arial" w:cs="Arial"/>
        </w:rPr>
        <w:t xml:space="preserve">, </w:t>
      </w:r>
      <w:proofErr w:type="spellStart"/>
      <w:r w:rsidRPr="00E039C7">
        <w:rPr>
          <w:rFonts w:ascii="Arial" w:hAnsi="Arial" w:cs="Arial"/>
        </w:rPr>
        <w:t>conferring</w:t>
      </w:r>
      <w:proofErr w:type="spellEnd"/>
      <w:r w:rsidRPr="00E039C7">
        <w:rPr>
          <w:rFonts w:ascii="Arial" w:hAnsi="Arial" w:cs="Arial"/>
        </w:rPr>
        <w:t xml:space="preserve"> </w:t>
      </w:r>
      <w:proofErr w:type="spellStart"/>
      <w:r w:rsidRPr="00E039C7">
        <w:rPr>
          <w:rFonts w:ascii="Arial" w:hAnsi="Arial" w:cs="Arial"/>
        </w:rPr>
        <w:t>statistical</w:t>
      </w:r>
      <w:proofErr w:type="spellEnd"/>
      <w:r w:rsidRPr="00E039C7">
        <w:rPr>
          <w:rFonts w:ascii="Arial" w:hAnsi="Arial" w:cs="Arial"/>
        </w:rPr>
        <w:t xml:space="preserve"> </w:t>
      </w:r>
      <w:proofErr w:type="spellStart"/>
      <w:r w:rsidRPr="00E039C7">
        <w:rPr>
          <w:rFonts w:ascii="Arial" w:hAnsi="Arial" w:cs="Arial"/>
        </w:rPr>
        <w:t>robustness</w:t>
      </w:r>
      <w:proofErr w:type="spellEnd"/>
      <w:r w:rsidRPr="00E039C7">
        <w:rPr>
          <w:rFonts w:ascii="Arial" w:hAnsi="Arial" w:cs="Arial"/>
        </w:rPr>
        <w:t xml:space="preserve"> </w:t>
      </w:r>
      <w:proofErr w:type="spellStart"/>
      <w:r w:rsidRPr="00E039C7">
        <w:rPr>
          <w:rFonts w:ascii="Arial" w:hAnsi="Arial" w:cs="Arial"/>
        </w:rPr>
        <w:t>and</w:t>
      </w:r>
      <w:proofErr w:type="spellEnd"/>
      <w:r w:rsidRPr="00E039C7">
        <w:rPr>
          <w:rFonts w:ascii="Arial" w:hAnsi="Arial" w:cs="Arial"/>
        </w:rPr>
        <w:t xml:space="preserve"> causal </w:t>
      </w:r>
      <w:proofErr w:type="spellStart"/>
      <w:r w:rsidRPr="00E039C7">
        <w:rPr>
          <w:rFonts w:ascii="Arial" w:hAnsi="Arial" w:cs="Arial"/>
        </w:rPr>
        <w:t>interpretability</w:t>
      </w:r>
      <w:proofErr w:type="spellEnd"/>
      <w:r w:rsidRPr="00E039C7">
        <w:rPr>
          <w:rFonts w:ascii="Arial" w:hAnsi="Arial" w:cs="Arial"/>
        </w:rPr>
        <w:t xml:space="preserve"> </w:t>
      </w:r>
      <w:proofErr w:type="spellStart"/>
      <w:r w:rsidRPr="00E039C7">
        <w:rPr>
          <w:rFonts w:ascii="Arial" w:hAnsi="Arial" w:cs="Arial"/>
        </w:rPr>
        <w:t>to</w:t>
      </w:r>
      <w:proofErr w:type="spellEnd"/>
      <w:r w:rsidRPr="00E039C7">
        <w:rPr>
          <w:rFonts w:ascii="Arial" w:hAnsi="Arial" w:cs="Arial"/>
        </w:rPr>
        <w:t xml:space="preserve"> </w:t>
      </w:r>
      <w:proofErr w:type="spellStart"/>
      <w:r w:rsidRPr="00E039C7">
        <w:rPr>
          <w:rFonts w:ascii="Arial" w:hAnsi="Arial" w:cs="Arial"/>
        </w:rPr>
        <w:t>the</w:t>
      </w:r>
      <w:proofErr w:type="spellEnd"/>
      <w:r w:rsidRPr="00E039C7">
        <w:rPr>
          <w:rFonts w:ascii="Arial" w:hAnsi="Arial" w:cs="Arial"/>
        </w:rPr>
        <w:t xml:space="preserve"> </w:t>
      </w:r>
      <w:proofErr w:type="spellStart"/>
      <w:r w:rsidRPr="00E039C7">
        <w:rPr>
          <w:rFonts w:ascii="Arial" w:hAnsi="Arial" w:cs="Arial"/>
        </w:rPr>
        <w:t>estimates</w:t>
      </w:r>
      <w:proofErr w:type="spellEnd"/>
      <w:r w:rsidRPr="00E039C7">
        <w:rPr>
          <w:rFonts w:ascii="Arial" w:hAnsi="Arial" w:cs="Arial"/>
        </w:rPr>
        <w:t>.</w:t>
      </w:r>
    </w:p>
    <w:p w14:paraId="009E507A" w14:textId="3935FD80" w:rsidR="00E039C7" w:rsidRPr="00E039C7" w:rsidRDefault="00E039C7" w:rsidP="00E039C7">
      <w:pPr>
        <w:pStyle w:val="Ttulo1"/>
      </w:pPr>
      <w:r w:rsidRPr="00E039C7">
        <w:lastRenderedPageBreak/>
        <w:t>Interpretation of E-values ​​and causal robustness</w:t>
      </w:r>
    </w:p>
    <w:p w14:paraId="1FDC52AD" w14:textId="77777777" w:rsidR="00D917D8" w:rsidRDefault="00D917D8" w:rsidP="00E039C7">
      <w:pPr>
        <w:spacing w:line="360" w:lineRule="auto"/>
        <w:ind w:firstLine="708"/>
        <w:jc w:val="both"/>
        <w:rPr>
          <w:rFonts w:ascii="Arial" w:hAnsi="Arial" w:cs="Arial"/>
        </w:rPr>
      </w:pPr>
    </w:p>
    <w:p w14:paraId="5481F850" w14:textId="5A3E374C" w:rsidR="00E039C7" w:rsidRPr="00E039C7" w:rsidRDefault="00E039C7" w:rsidP="00E039C7">
      <w:pPr>
        <w:spacing w:line="360" w:lineRule="auto"/>
        <w:ind w:firstLine="708"/>
        <w:jc w:val="both"/>
        <w:rPr>
          <w:rFonts w:ascii="Arial" w:hAnsi="Arial" w:cs="Arial"/>
        </w:rPr>
      </w:pPr>
      <w:r w:rsidRPr="00E039C7">
        <w:rPr>
          <w:rFonts w:ascii="Arial" w:hAnsi="Arial" w:cs="Arial"/>
        </w:rPr>
        <w:t>The E-</w:t>
      </w:r>
      <w:proofErr w:type="spellStart"/>
      <w:r w:rsidRPr="00E039C7">
        <w:rPr>
          <w:rFonts w:ascii="Arial" w:hAnsi="Arial" w:cs="Arial"/>
        </w:rPr>
        <w:t>value</w:t>
      </w:r>
      <w:proofErr w:type="spellEnd"/>
      <w:r w:rsidRPr="00E039C7">
        <w:rPr>
          <w:rFonts w:ascii="Arial" w:hAnsi="Arial" w:cs="Arial"/>
        </w:rPr>
        <w:t xml:space="preserve"> </w:t>
      </w:r>
      <w:proofErr w:type="spellStart"/>
      <w:r w:rsidRPr="00E039C7">
        <w:rPr>
          <w:rFonts w:ascii="Arial" w:hAnsi="Arial" w:cs="Arial"/>
        </w:rPr>
        <w:t>analysis</w:t>
      </w:r>
      <w:proofErr w:type="spellEnd"/>
      <w:r w:rsidRPr="00E039C7">
        <w:rPr>
          <w:rFonts w:ascii="Arial" w:hAnsi="Arial" w:cs="Arial"/>
        </w:rPr>
        <w:t xml:space="preserve"> </w:t>
      </w:r>
      <w:proofErr w:type="spellStart"/>
      <w:r w:rsidRPr="00E039C7">
        <w:rPr>
          <w:rFonts w:ascii="Arial" w:hAnsi="Arial" w:cs="Arial"/>
        </w:rPr>
        <w:t>provided</w:t>
      </w:r>
      <w:proofErr w:type="spellEnd"/>
      <w:r w:rsidRPr="00E039C7">
        <w:rPr>
          <w:rFonts w:ascii="Arial" w:hAnsi="Arial" w:cs="Arial"/>
        </w:rPr>
        <w:t xml:space="preserve"> a </w:t>
      </w:r>
      <w:proofErr w:type="spellStart"/>
      <w:r w:rsidRPr="00E039C7">
        <w:rPr>
          <w:rFonts w:ascii="Arial" w:hAnsi="Arial" w:cs="Arial"/>
        </w:rPr>
        <w:t>quantitative</w:t>
      </w:r>
      <w:proofErr w:type="spellEnd"/>
      <w:r w:rsidRPr="00E039C7">
        <w:rPr>
          <w:rFonts w:ascii="Arial" w:hAnsi="Arial" w:cs="Arial"/>
        </w:rPr>
        <w:t xml:space="preserve"> assessment </w:t>
      </w:r>
      <w:proofErr w:type="spellStart"/>
      <w:r w:rsidRPr="00E039C7">
        <w:rPr>
          <w:rFonts w:ascii="Arial" w:hAnsi="Arial" w:cs="Arial"/>
        </w:rPr>
        <w:t>of</w:t>
      </w:r>
      <w:proofErr w:type="spellEnd"/>
      <w:r w:rsidRPr="00E039C7">
        <w:rPr>
          <w:rFonts w:ascii="Arial" w:hAnsi="Arial" w:cs="Arial"/>
        </w:rPr>
        <w:t xml:space="preserve"> </w:t>
      </w:r>
      <w:proofErr w:type="spellStart"/>
      <w:r w:rsidRPr="00E039C7">
        <w:rPr>
          <w:rFonts w:ascii="Arial" w:hAnsi="Arial" w:cs="Arial"/>
        </w:rPr>
        <w:t>the</w:t>
      </w:r>
      <w:proofErr w:type="spellEnd"/>
      <w:r w:rsidRPr="00E039C7">
        <w:rPr>
          <w:rFonts w:ascii="Arial" w:hAnsi="Arial" w:cs="Arial"/>
        </w:rPr>
        <w:t xml:space="preserve"> causal </w:t>
      </w:r>
      <w:proofErr w:type="spellStart"/>
      <w:r w:rsidRPr="00E039C7">
        <w:rPr>
          <w:rFonts w:ascii="Arial" w:hAnsi="Arial" w:cs="Arial"/>
        </w:rPr>
        <w:t>robustness</w:t>
      </w:r>
      <w:proofErr w:type="spellEnd"/>
      <w:r w:rsidRPr="00E039C7">
        <w:rPr>
          <w:rFonts w:ascii="Arial" w:hAnsi="Arial" w:cs="Arial"/>
        </w:rPr>
        <w:t xml:space="preserve"> </w:t>
      </w:r>
      <w:proofErr w:type="spellStart"/>
      <w:r w:rsidRPr="00E039C7">
        <w:rPr>
          <w:rFonts w:ascii="Arial" w:hAnsi="Arial" w:cs="Arial"/>
        </w:rPr>
        <w:t>of</w:t>
      </w:r>
      <w:proofErr w:type="spellEnd"/>
      <w:r w:rsidRPr="00E039C7">
        <w:rPr>
          <w:rFonts w:ascii="Arial" w:hAnsi="Arial" w:cs="Arial"/>
        </w:rPr>
        <w:t xml:space="preserve"> </w:t>
      </w:r>
      <w:proofErr w:type="spellStart"/>
      <w:r w:rsidRPr="00E039C7">
        <w:rPr>
          <w:rFonts w:ascii="Arial" w:hAnsi="Arial" w:cs="Arial"/>
        </w:rPr>
        <w:t>the</w:t>
      </w:r>
      <w:proofErr w:type="spellEnd"/>
      <w:r w:rsidRPr="00E039C7">
        <w:rPr>
          <w:rFonts w:ascii="Arial" w:hAnsi="Arial" w:cs="Arial"/>
        </w:rPr>
        <w:t xml:space="preserve"> </w:t>
      </w:r>
      <w:proofErr w:type="spellStart"/>
      <w:r w:rsidRPr="00E039C7">
        <w:rPr>
          <w:rFonts w:ascii="Arial" w:hAnsi="Arial" w:cs="Arial"/>
        </w:rPr>
        <w:t>fitted</w:t>
      </w:r>
      <w:proofErr w:type="spellEnd"/>
      <w:r w:rsidRPr="00E039C7">
        <w:rPr>
          <w:rFonts w:ascii="Arial" w:hAnsi="Arial" w:cs="Arial"/>
        </w:rPr>
        <w:t xml:space="preserve"> models, </w:t>
      </w:r>
      <w:proofErr w:type="spellStart"/>
      <w:r w:rsidRPr="00E039C7">
        <w:rPr>
          <w:rFonts w:ascii="Arial" w:hAnsi="Arial" w:cs="Arial"/>
        </w:rPr>
        <w:t>considering</w:t>
      </w:r>
      <w:proofErr w:type="spellEnd"/>
      <w:r w:rsidRPr="00E039C7">
        <w:rPr>
          <w:rFonts w:ascii="Arial" w:hAnsi="Arial" w:cs="Arial"/>
        </w:rPr>
        <w:t xml:space="preserve"> </w:t>
      </w:r>
      <w:proofErr w:type="spellStart"/>
      <w:r w:rsidRPr="00E039C7">
        <w:rPr>
          <w:rFonts w:ascii="Arial" w:hAnsi="Arial" w:cs="Arial"/>
        </w:rPr>
        <w:t>the</w:t>
      </w:r>
      <w:proofErr w:type="spellEnd"/>
      <w:r w:rsidRPr="00E039C7">
        <w:rPr>
          <w:rFonts w:ascii="Arial" w:hAnsi="Arial" w:cs="Arial"/>
        </w:rPr>
        <w:t xml:space="preserve"> </w:t>
      </w:r>
      <w:proofErr w:type="spellStart"/>
      <w:r w:rsidRPr="00E039C7">
        <w:rPr>
          <w:rFonts w:ascii="Arial" w:hAnsi="Arial" w:cs="Arial"/>
        </w:rPr>
        <w:t>possibility</w:t>
      </w:r>
      <w:proofErr w:type="spellEnd"/>
      <w:r w:rsidRPr="00E039C7">
        <w:rPr>
          <w:rFonts w:ascii="Arial" w:hAnsi="Arial" w:cs="Arial"/>
        </w:rPr>
        <w:t xml:space="preserve"> </w:t>
      </w:r>
      <w:proofErr w:type="spellStart"/>
      <w:r w:rsidRPr="00E039C7">
        <w:rPr>
          <w:rFonts w:ascii="Arial" w:hAnsi="Arial" w:cs="Arial"/>
        </w:rPr>
        <w:t>of</w:t>
      </w:r>
      <w:proofErr w:type="spellEnd"/>
      <w:r w:rsidRPr="00E039C7">
        <w:rPr>
          <w:rFonts w:ascii="Arial" w:hAnsi="Arial" w:cs="Arial"/>
        </w:rPr>
        <w:t xml:space="preserve"> </w:t>
      </w:r>
      <w:proofErr w:type="spellStart"/>
      <w:r w:rsidRPr="00E039C7">
        <w:rPr>
          <w:rFonts w:ascii="Arial" w:hAnsi="Arial" w:cs="Arial"/>
        </w:rPr>
        <w:t>unmeasured</w:t>
      </w:r>
      <w:proofErr w:type="spellEnd"/>
      <w:r w:rsidRPr="00E039C7">
        <w:rPr>
          <w:rFonts w:ascii="Arial" w:hAnsi="Arial" w:cs="Arial"/>
        </w:rPr>
        <w:t xml:space="preserve"> </w:t>
      </w:r>
      <w:proofErr w:type="spellStart"/>
      <w:r w:rsidRPr="00E039C7">
        <w:rPr>
          <w:rFonts w:ascii="Arial" w:hAnsi="Arial" w:cs="Arial"/>
        </w:rPr>
        <w:t>confounding</w:t>
      </w:r>
      <w:proofErr w:type="spellEnd"/>
      <w:r w:rsidRPr="00E039C7">
        <w:rPr>
          <w:rFonts w:ascii="Arial" w:hAnsi="Arial" w:cs="Arial"/>
        </w:rPr>
        <w:t>.</w:t>
      </w:r>
    </w:p>
    <w:p w14:paraId="7C55EBEF" w14:textId="77777777" w:rsidR="00E039C7" w:rsidRPr="00E039C7" w:rsidRDefault="00E039C7" w:rsidP="00E039C7">
      <w:pPr>
        <w:spacing w:line="360" w:lineRule="auto"/>
        <w:ind w:firstLine="708"/>
        <w:jc w:val="both"/>
        <w:rPr>
          <w:rFonts w:ascii="Arial" w:hAnsi="Arial" w:cs="Arial"/>
        </w:rPr>
      </w:pPr>
      <w:r w:rsidRPr="00E039C7">
        <w:rPr>
          <w:rFonts w:ascii="Arial" w:hAnsi="Arial" w:cs="Arial"/>
        </w:rPr>
        <w:t xml:space="preserve">The </w:t>
      </w:r>
      <w:proofErr w:type="spellStart"/>
      <w:r w:rsidRPr="00E039C7">
        <w:rPr>
          <w:rFonts w:ascii="Arial" w:hAnsi="Arial" w:cs="Arial"/>
        </w:rPr>
        <w:t>value</w:t>
      </w:r>
      <w:proofErr w:type="spellEnd"/>
      <w:r w:rsidRPr="00E039C7">
        <w:rPr>
          <w:rFonts w:ascii="Arial" w:hAnsi="Arial" w:cs="Arial"/>
        </w:rPr>
        <w:t xml:space="preserve"> </w:t>
      </w:r>
      <w:proofErr w:type="spellStart"/>
      <w:r w:rsidRPr="00E039C7">
        <w:rPr>
          <w:rFonts w:ascii="Arial" w:hAnsi="Arial" w:cs="Arial"/>
        </w:rPr>
        <w:t>of</w:t>
      </w:r>
      <w:proofErr w:type="spellEnd"/>
      <w:r w:rsidRPr="00E039C7">
        <w:rPr>
          <w:rFonts w:ascii="Arial" w:hAnsi="Arial" w:cs="Arial"/>
        </w:rPr>
        <w:t xml:space="preserve"> 1.50 </w:t>
      </w:r>
      <w:proofErr w:type="spellStart"/>
      <w:r w:rsidRPr="00E039C7">
        <w:rPr>
          <w:rFonts w:ascii="Arial" w:hAnsi="Arial" w:cs="Arial"/>
        </w:rPr>
        <w:t>obtained</w:t>
      </w:r>
      <w:proofErr w:type="spellEnd"/>
      <w:r w:rsidRPr="00E039C7">
        <w:rPr>
          <w:rFonts w:ascii="Arial" w:hAnsi="Arial" w:cs="Arial"/>
        </w:rPr>
        <w:t xml:space="preserve"> for </w:t>
      </w:r>
      <w:proofErr w:type="spellStart"/>
      <w:r w:rsidRPr="00E039C7">
        <w:rPr>
          <w:rFonts w:ascii="Arial" w:hAnsi="Arial" w:cs="Arial"/>
        </w:rPr>
        <w:t>the</w:t>
      </w:r>
      <w:proofErr w:type="spellEnd"/>
      <w:r w:rsidRPr="00E039C7">
        <w:rPr>
          <w:rFonts w:ascii="Arial" w:hAnsi="Arial" w:cs="Arial"/>
        </w:rPr>
        <w:t xml:space="preserve"> </w:t>
      </w:r>
      <w:proofErr w:type="spellStart"/>
      <w:r w:rsidRPr="00E039C7">
        <w:rPr>
          <w:rFonts w:ascii="Arial" w:hAnsi="Arial" w:cs="Arial"/>
        </w:rPr>
        <w:t>anxiety</w:t>
      </w:r>
      <w:proofErr w:type="spellEnd"/>
      <w:r w:rsidRPr="00E039C7">
        <w:rPr>
          <w:rFonts w:ascii="Arial" w:hAnsi="Arial" w:cs="Arial"/>
        </w:rPr>
        <w:t xml:space="preserve"> model </w:t>
      </w:r>
      <w:proofErr w:type="spellStart"/>
      <w:r w:rsidRPr="00E039C7">
        <w:rPr>
          <w:rFonts w:ascii="Arial" w:hAnsi="Arial" w:cs="Arial"/>
        </w:rPr>
        <w:t>indicates</w:t>
      </w:r>
      <w:proofErr w:type="spellEnd"/>
      <w:r w:rsidRPr="00E039C7">
        <w:rPr>
          <w:rFonts w:ascii="Arial" w:hAnsi="Arial" w:cs="Arial"/>
        </w:rPr>
        <w:t xml:space="preserve"> </w:t>
      </w:r>
      <w:proofErr w:type="spellStart"/>
      <w:r w:rsidRPr="00E039C7">
        <w:rPr>
          <w:rFonts w:ascii="Arial" w:hAnsi="Arial" w:cs="Arial"/>
        </w:rPr>
        <w:t>that</w:t>
      </w:r>
      <w:proofErr w:type="spellEnd"/>
      <w:r w:rsidRPr="00E039C7">
        <w:rPr>
          <w:rFonts w:ascii="Arial" w:hAnsi="Arial" w:cs="Arial"/>
        </w:rPr>
        <w:t xml:space="preserve">, </w:t>
      </w:r>
      <w:proofErr w:type="spellStart"/>
      <w:r w:rsidRPr="00E039C7">
        <w:rPr>
          <w:rFonts w:ascii="Arial" w:hAnsi="Arial" w:cs="Arial"/>
        </w:rPr>
        <w:t>to</w:t>
      </w:r>
      <w:proofErr w:type="spellEnd"/>
      <w:r w:rsidRPr="00E039C7">
        <w:rPr>
          <w:rFonts w:ascii="Arial" w:hAnsi="Arial" w:cs="Arial"/>
        </w:rPr>
        <w:t xml:space="preserve"> </w:t>
      </w:r>
      <w:proofErr w:type="spellStart"/>
      <w:r w:rsidRPr="00E039C7">
        <w:rPr>
          <w:rFonts w:ascii="Arial" w:hAnsi="Arial" w:cs="Arial"/>
        </w:rPr>
        <w:t>completely</w:t>
      </w:r>
      <w:proofErr w:type="spellEnd"/>
      <w:r w:rsidRPr="00E039C7">
        <w:rPr>
          <w:rFonts w:ascii="Arial" w:hAnsi="Arial" w:cs="Arial"/>
        </w:rPr>
        <w:t xml:space="preserve"> </w:t>
      </w:r>
      <w:proofErr w:type="spellStart"/>
      <w:r w:rsidRPr="00E039C7">
        <w:rPr>
          <w:rFonts w:ascii="Arial" w:hAnsi="Arial" w:cs="Arial"/>
        </w:rPr>
        <w:t>eliminate</w:t>
      </w:r>
      <w:proofErr w:type="spellEnd"/>
      <w:r w:rsidRPr="00E039C7">
        <w:rPr>
          <w:rFonts w:ascii="Arial" w:hAnsi="Arial" w:cs="Arial"/>
        </w:rPr>
        <w:t xml:space="preserve"> </w:t>
      </w:r>
      <w:proofErr w:type="spellStart"/>
      <w:r w:rsidRPr="00E039C7">
        <w:rPr>
          <w:rFonts w:ascii="Arial" w:hAnsi="Arial" w:cs="Arial"/>
        </w:rPr>
        <w:t>the</w:t>
      </w:r>
      <w:proofErr w:type="spellEnd"/>
      <w:r w:rsidRPr="00E039C7">
        <w:rPr>
          <w:rFonts w:ascii="Arial" w:hAnsi="Arial" w:cs="Arial"/>
        </w:rPr>
        <w:t xml:space="preserve"> </w:t>
      </w:r>
      <w:proofErr w:type="spellStart"/>
      <w:r w:rsidRPr="00E039C7">
        <w:rPr>
          <w:rFonts w:ascii="Arial" w:hAnsi="Arial" w:cs="Arial"/>
        </w:rPr>
        <w:t>observed</w:t>
      </w:r>
      <w:proofErr w:type="spellEnd"/>
      <w:r w:rsidRPr="00E039C7">
        <w:rPr>
          <w:rFonts w:ascii="Arial" w:hAnsi="Arial" w:cs="Arial"/>
        </w:rPr>
        <w:t xml:space="preserve"> </w:t>
      </w:r>
      <w:proofErr w:type="spellStart"/>
      <w:r w:rsidRPr="00E039C7">
        <w:rPr>
          <w:rFonts w:ascii="Arial" w:hAnsi="Arial" w:cs="Arial"/>
        </w:rPr>
        <w:t>association</w:t>
      </w:r>
      <w:proofErr w:type="spellEnd"/>
      <w:r w:rsidRPr="00E039C7">
        <w:rPr>
          <w:rFonts w:ascii="Arial" w:hAnsi="Arial" w:cs="Arial"/>
        </w:rPr>
        <w:t xml:space="preserve"> </w:t>
      </w:r>
      <w:proofErr w:type="spellStart"/>
      <w:r w:rsidRPr="00E039C7">
        <w:rPr>
          <w:rFonts w:ascii="Arial" w:hAnsi="Arial" w:cs="Arial"/>
        </w:rPr>
        <w:t>between</w:t>
      </w:r>
      <w:proofErr w:type="spellEnd"/>
      <w:r w:rsidRPr="00E039C7">
        <w:rPr>
          <w:rFonts w:ascii="Arial" w:hAnsi="Arial" w:cs="Arial"/>
        </w:rPr>
        <w:t xml:space="preserve"> HIV </w:t>
      </w:r>
      <w:proofErr w:type="spellStart"/>
      <w:r w:rsidRPr="00E039C7">
        <w:rPr>
          <w:rFonts w:ascii="Arial" w:hAnsi="Arial" w:cs="Arial"/>
        </w:rPr>
        <w:t>and</w:t>
      </w:r>
      <w:proofErr w:type="spellEnd"/>
      <w:r w:rsidRPr="00E039C7">
        <w:rPr>
          <w:rFonts w:ascii="Arial" w:hAnsi="Arial" w:cs="Arial"/>
        </w:rPr>
        <w:t xml:space="preserve"> </w:t>
      </w:r>
      <w:proofErr w:type="spellStart"/>
      <w:r w:rsidRPr="00E039C7">
        <w:rPr>
          <w:rFonts w:ascii="Arial" w:hAnsi="Arial" w:cs="Arial"/>
        </w:rPr>
        <w:t>anxiety</w:t>
      </w:r>
      <w:proofErr w:type="spellEnd"/>
      <w:r w:rsidRPr="00E039C7">
        <w:rPr>
          <w:rFonts w:ascii="Arial" w:hAnsi="Arial" w:cs="Arial"/>
        </w:rPr>
        <w:t xml:space="preserve"> </w:t>
      </w:r>
      <w:proofErr w:type="spellStart"/>
      <w:r w:rsidRPr="00E039C7">
        <w:rPr>
          <w:rFonts w:ascii="Arial" w:hAnsi="Arial" w:cs="Arial"/>
        </w:rPr>
        <w:t>symptoms</w:t>
      </w:r>
      <w:proofErr w:type="spellEnd"/>
      <w:r w:rsidRPr="00E039C7">
        <w:rPr>
          <w:rFonts w:ascii="Arial" w:hAnsi="Arial" w:cs="Arial"/>
        </w:rPr>
        <w:t xml:space="preserve">, </w:t>
      </w:r>
      <w:proofErr w:type="spellStart"/>
      <w:r w:rsidRPr="00E039C7">
        <w:rPr>
          <w:rFonts w:ascii="Arial" w:hAnsi="Arial" w:cs="Arial"/>
        </w:rPr>
        <w:t>an</w:t>
      </w:r>
      <w:proofErr w:type="spellEnd"/>
      <w:r w:rsidRPr="00E039C7">
        <w:rPr>
          <w:rFonts w:ascii="Arial" w:hAnsi="Arial" w:cs="Arial"/>
        </w:rPr>
        <w:t xml:space="preserve"> </w:t>
      </w:r>
      <w:proofErr w:type="spellStart"/>
      <w:r w:rsidRPr="00E039C7">
        <w:rPr>
          <w:rFonts w:ascii="Arial" w:hAnsi="Arial" w:cs="Arial"/>
        </w:rPr>
        <w:t>unmeasured</w:t>
      </w:r>
      <w:proofErr w:type="spellEnd"/>
      <w:r w:rsidRPr="00E039C7">
        <w:rPr>
          <w:rFonts w:ascii="Arial" w:hAnsi="Arial" w:cs="Arial"/>
        </w:rPr>
        <w:t xml:space="preserve"> </w:t>
      </w:r>
      <w:proofErr w:type="spellStart"/>
      <w:r w:rsidRPr="00E039C7">
        <w:rPr>
          <w:rFonts w:ascii="Arial" w:hAnsi="Arial" w:cs="Arial"/>
        </w:rPr>
        <w:t>confounder</w:t>
      </w:r>
      <w:proofErr w:type="spellEnd"/>
      <w:r w:rsidRPr="00E039C7">
        <w:rPr>
          <w:rFonts w:ascii="Arial" w:hAnsi="Arial" w:cs="Arial"/>
        </w:rPr>
        <w:t xml:space="preserve"> </w:t>
      </w:r>
      <w:proofErr w:type="spellStart"/>
      <w:r w:rsidRPr="00E039C7">
        <w:rPr>
          <w:rFonts w:ascii="Arial" w:hAnsi="Arial" w:cs="Arial"/>
        </w:rPr>
        <w:t>would</w:t>
      </w:r>
      <w:proofErr w:type="spellEnd"/>
      <w:r w:rsidRPr="00E039C7">
        <w:rPr>
          <w:rFonts w:ascii="Arial" w:hAnsi="Arial" w:cs="Arial"/>
        </w:rPr>
        <w:t xml:space="preserve"> </w:t>
      </w:r>
      <w:proofErr w:type="spellStart"/>
      <w:r w:rsidRPr="00E039C7">
        <w:rPr>
          <w:rFonts w:ascii="Arial" w:hAnsi="Arial" w:cs="Arial"/>
        </w:rPr>
        <w:t>be</w:t>
      </w:r>
      <w:proofErr w:type="spellEnd"/>
      <w:r w:rsidRPr="00E039C7">
        <w:rPr>
          <w:rFonts w:ascii="Arial" w:hAnsi="Arial" w:cs="Arial"/>
        </w:rPr>
        <w:t xml:space="preserve"> </w:t>
      </w:r>
      <w:proofErr w:type="spellStart"/>
      <w:r w:rsidRPr="00E039C7">
        <w:rPr>
          <w:rFonts w:ascii="Arial" w:hAnsi="Arial" w:cs="Arial"/>
        </w:rPr>
        <w:t>necessary</w:t>
      </w:r>
      <w:proofErr w:type="spellEnd"/>
      <w:r w:rsidRPr="00E039C7">
        <w:rPr>
          <w:rFonts w:ascii="Arial" w:hAnsi="Arial" w:cs="Arial"/>
        </w:rPr>
        <w:t xml:space="preserve"> </w:t>
      </w:r>
      <w:proofErr w:type="spellStart"/>
      <w:r w:rsidRPr="00E039C7">
        <w:rPr>
          <w:rFonts w:ascii="Arial" w:hAnsi="Arial" w:cs="Arial"/>
        </w:rPr>
        <w:t>that</w:t>
      </w:r>
      <w:proofErr w:type="spellEnd"/>
      <w:r w:rsidRPr="00E039C7">
        <w:rPr>
          <w:rFonts w:ascii="Arial" w:hAnsi="Arial" w:cs="Arial"/>
        </w:rPr>
        <w:t xml:space="preserve"> </w:t>
      </w:r>
      <w:proofErr w:type="spellStart"/>
      <w:r w:rsidRPr="00E039C7">
        <w:rPr>
          <w:rFonts w:ascii="Arial" w:hAnsi="Arial" w:cs="Arial"/>
        </w:rPr>
        <w:t>is</w:t>
      </w:r>
      <w:proofErr w:type="spellEnd"/>
      <w:r w:rsidRPr="00E039C7">
        <w:rPr>
          <w:rFonts w:ascii="Arial" w:hAnsi="Arial" w:cs="Arial"/>
        </w:rPr>
        <w:t xml:space="preserve"> </w:t>
      </w:r>
      <w:proofErr w:type="spellStart"/>
      <w:r w:rsidRPr="00E039C7">
        <w:rPr>
          <w:rFonts w:ascii="Arial" w:hAnsi="Arial" w:cs="Arial"/>
        </w:rPr>
        <w:t>simultaneously</w:t>
      </w:r>
      <w:proofErr w:type="spellEnd"/>
      <w:r w:rsidRPr="00E039C7">
        <w:rPr>
          <w:rFonts w:ascii="Arial" w:hAnsi="Arial" w:cs="Arial"/>
        </w:rPr>
        <w:t xml:space="preserve"> </w:t>
      </w:r>
      <w:proofErr w:type="spellStart"/>
      <w:r w:rsidRPr="00E039C7">
        <w:rPr>
          <w:rFonts w:ascii="Arial" w:hAnsi="Arial" w:cs="Arial"/>
        </w:rPr>
        <w:t>associated</w:t>
      </w:r>
      <w:proofErr w:type="spellEnd"/>
      <w:r w:rsidRPr="00E039C7">
        <w:rPr>
          <w:rFonts w:ascii="Arial" w:hAnsi="Arial" w:cs="Arial"/>
        </w:rPr>
        <w:t xml:space="preserve"> </w:t>
      </w:r>
      <w:proofErr w:type="spellStart"/>
      <w:r w:rsidRPr="00E039C7">
        <w:rPr>
          <w:rFonts w:ascii="Arial" w:hAnsi="Arial" w:cs="Arial"/>
        </w:rPr>
        <w:t>with</w:t>
      </w:r>
      <w:proofErr w:type="spellEnd"/>
      <w:r w:rsidRPr="00E039C7">
        <w:rPr>
          <w:rFonts w:ascii="Arial" w:hAnsi="Arial" w:cs="Arial"/>
        </w:rPr>
        <w:t xml:space="preserve"> </w:t>
      </w:r>
      <w:proofErr w:type="spellStart"/>
      <w:r w:rsidRPr="00E039C7">
        <w:rPr>
          <w:rFonts w:ascii="Arial" w:hAnsi="Arial" w:cs="Arial"/>
        </w:rPr>
        <w:t>exposure</w:t>
      </w:r>
      <w:proofErr w:type="spellEnd"/>
      <w:r w:rsidRPr="00E039C7">
        <w:rPr>
          <w:rFonts w:ascii="Arial" w:hAnsi="Arial" w:cs="Arial"/>
        </w:rPr>
        <w:t xml:space="preserve"> </w:t>
      </w:r>
      <w:proofErr w:type="spellStart"/>
      <w:r w:rsidRPr="00E039C7">
        <w:rPr>
          <w:rFonts w:ascii="Arial" w:hAnsi="Arial" w:cs="Arial"/>
        </w:rPr>
        <w:t>and</w:t>
      </w:r>
      <w:proofErr w:type="spellEnd"/>
      <w:r w:rsidRPr="00E039C7">
        <w:rPr>
          <w:rFonts w:ascii="Arial" w:hAnsi="Arial" w:cs="Arial"/>
        </w:rPr>
        <w:t xml:space="preserve"> </w:t>
      </w:r>
      <w:proofErr w:type="spellStart"/>
      <w:r w:rsidRPr="00E039C7">
        <w:rPr>
          <w:rFonts w:ascii="Arial" w:hAnsi="Arial" w:cs="Arial"/>
        </w:rPr>
        <w:t>outcome</w:t>
      </w:r>
      <w:proofErr w:type="spellEnd"/>
      <w:r w:rsidRPr="00E039C7">
        <w:rPr>
          <w:rFonts w:ascii="Arial" w:hAnsi="Arial" w:cs="Arial"/>
        </w:rPr>
        <w:t xml:space="preserve"> </w:t>
      </w:r>
      <w:proofErr w:type="spellStart"/>
      <w:r w:rsidRPr="00E039C7">
        <w:rPr>
          <w:rFonts w:ascii="Arial" w:hAnsi="Arial" w:cs="Arial"/>
        </w:rPr>
        <w:t>with</w:t>
      </w:r>
      <w:proofErr w:type="spellEnd"/>
      <w:r w:rsidRPr="00E039C7">
        <w:rPr>
          <w:rFonts w:ascii="Arial" w:hAnsi="Arial" w:cs="Arial"/>
        </w:rPr>
        <w:t xml:space="preserve"> a </w:t>
      </w:r>
      <w:proofErr w:type="spellStart"/>
      <w:r w:rsidRPr="00E039C7">
        <w:rPr>
          <w:rFonts w:ascii="Arial" w:hAnsi="Arial" w:cs="Arial"/>
        </w:rPr>
        <w:t>minimum</w:t>
      </w:r>
      <w:proofErr w:type="spellEnd"/>
      <w:r w:rsidRPr="00E039C7">
        <w:rPr>
          <w:rFonts w:ascii="Arial" w:hAnsi="Arial" w:cs="Arial"/>
        </w:rPr>
        <w:t xml:space="preserve"> </w:t>
      </w:r>
      <w:proofErr w:type="spellStart"/>
      <w:r w:rsidRPr="00E039C7">
        <w:rPr>
          <w:rFonts w:ascii="Arial" w:hAnsi="Arial" w:cs="Arial"/>
        </w:rPr>
        <w:t>mean</w:t>
      </w:r>
      <w:proofErr w:type="spellEnd"/>
      <w:r w:rsidRPr="00E039C7">
        <w:rPr>
          <w:rFonts w:ascii="Arial" w:hAnsi="Arial" w:cs="Arial"/>
        </w:rPr>
        <w:t xml:space="preserve"> </w:t>
      </w:r>
      <w:proofErr w:type="spellStart"/>
      <w:r w:rsidRPr="00E039C7">
        <w:rPr>
          <w:rFonts w:ascii="Arial" w:hAnsi="Arial" w:cs="Arial"/>
        </w:rPr>
        <w:t>ratio</w:t>
      </w:r>
      <w:proofErr w:type="spellEnd"/>
      <w:r w:rsidRPr="00E039C7">
        <w:rPr>
          <w:rFonts w:ascii="Arial" w:hAnsi="Arial" w:cs="Arial"/>
        </w:rPr>
        <w:t xml:space="preserve"> </w:t>
      </w:r>
      <w:proofErr w:type="spellStart"/>
      <w:r w:rsidRPr="00E039C7">
        <w:rPr>
          <w:rFonts w:ascii="Arial" w:hAnsi="Arial" w:cs="Arial"/>
        </w:rPr>
        <w:t>of</w:t>
      </w:r>
      <w:proofErr w:type="spellEnd"/>
      <w:r w:rsidRPr="00E039C7">
        <w:rPr>
          <w:rFonts w:ascii="Arial" w:hAnsi="Arial" w:cs="Arial"/>
        </w:rPr>
        <w:t xml:space="preserve"> 1.5 — a </w:t>
      </w:r>
      <w:proofErr w:type="spellStart"/>
      <w:r w:rsidRPr="00E039C7">
        <w:rPr>
          <w:rFonts w:ascii="Arial" w:hAnsi="Arial" w:cs="Arial"/>
        </w:rPr>
        <w:t>relatively</w:t>
      </w:r>
      <w:proofErr w:type="spellEnd"/>
      <w:r w:rsidRPr="00E039C7">
        <w:rPr>
          <w:rFonts w:ascii="Arial" w:hAnsi="Arial" w:cs="Arial"/>
        </w:rPr>
        <w:t xml:space="preserve"> high </w:t>
      </w:r>
      <w:proofErr w:type="spellStart"/>
      <w:r w:rsidRPr="00E039C7">
        <w:rPr>
          <w:rFonts w:ascii="Arial" w:hAnsi="Arial" w:cs="Arial"/>
        </w:rPr>
        <w:t>value</w:t>
      </w:r>
      <w:proofErr w:type="spellEnd"/>
      <w:r w:rsidRPr="00E039C7">
        <w:rPr>
          <w:rFonts w:ascii="Arial" w:hAnsi="Arial" w:cs="Arial"/>
        </w:rPr>
        <w:t xml:space="preserve">, </w:t>
      </w:r>
      <w:proofErr w:type="spellStart"/>
      <w:r w:rsidRPr="00E039C7">
        <w:rPr>
          <w:rFonts w:ascii="Arial" w:hAnsi="Arial" w:cs="Arial"/>
        </w:rPr>
        <w:t>which</w:t>
      </w:r>
      <w:proofErr w:type="spellEnd"/>
      <w:r w:rsidRPr="00E039C7">
        <w:rPr>
          <w:rFonts w:ascii="Arial" w:hAnsi="Arial" w:cs="Arial"/>
        </w:rPr>
        <w:t xml:space="preserve"> </w:t>
      </w:r>
      <w:proofErr w:type="spellStart"/>
      <w:r w:rsidRPr="00E039C7">
        <w:rPr>
          <w:rFonts w:ascii="Arial" w:hAnsi="Arial" w:cs="Arial"/>
        </w:rPr>
        <w:t>reinforces</w:t>
      </w:r>
      <w:proofErr w:type="spellEnd"/>
      <w:r w:rsidRPr="00E039C7">
        <w:rPr>
          <w:rFonts w:ascii="Arial" w:hAnsi="Arial" w:cs="Arial"/>
        </w:rPr>
        <w:t xml:space="preserve"> </w:t>
      </w:r>
      <w:proofErr w:type="spellStart"/>
      <w:r w:rsidRPr="00E039C7">
        <w:rPr>
          <w:rFonts w:ascii="Arial" w:hAnsi="Arial" w:cs="Arial"/>
        </w:rPr>
        <w:t>the</w:t>
      </w:r>
      <w:proofErr w:type="spellEnd"/>
      <w:r w:rsidRPr="00E039C7">
        <w:rPr>
          <w:rFonts w:ascii="Arial" w:hAnsi="Arial" w:cs="Arial"/>
        </w:rPr>
        <w:t xml:space="preserve"> </w:t>
      </w:r>
      <w:proofErr w:type="spellStart"/>
      <w:r w:rsidRPr="00E039C7">
        <w:rPr>
          <w:rFonts w:ascii="Arial" w:hAnsi="Arial" w:cs="Arial"/>
        </w:rPr>
        <w:t>stability</w:t>
      </w:r>
      <w:proofErr w:type="spellEnd"/>
      <w:r w:rsidRPr="00E039C7">
        <w:rPr>
          <w:rFonts w:ascii="Arial" w:hAnsi="Arial" w:cs="Arial"/>
        </w:rPr>
        <w:t xml:space="preserve"> </w:t>
      </w:r>
      <w:proofErr w:type="spellStart"/>
      <w:r w:rsidRPr="00E039C7">
        <w:rPr>
          <w:rFonts w:ascii="Arial" w:hAnsi="Arial" w:cs="Arial"/>
        </w:rPr>
        <w:t>of</w:t>
      </w:r>
      <w:proofErr w:type="spellEnd"/>
      <w:r w:rsidRPr="00E039C7">
        <w:rPr>
          <w:rFonts w:ascii="Arial" w:hAnsi="Arial" w:cs="Arial"/>
        </w:rPr>
        <w:t xml:space="preserve"> </w:t>
      </w:r>
      <w:proofErr w:type="spellStart"/>
      <w:r w:rsidRPr="00E039C7">
        <w:rPr>
          <w:rFonts w:ascii="Arial" w:hAnsi="Arial" w:cs="Arial"/>
        </w:rPr>
        <w:t>the</w:t>
      </w:r>
      <w:proofErr w:type="spellEnd"/>
      <w:r w:rsidRPr="00E039C7">
        <w:rPr>
          <w:rFonts w:ascii="Arial" w:hAnsi="Arial" w:cs="Arial"/>
        </w:rPr>
        <w:t xml:space="preserve"> </w:t>
      </w:r>
      <w:proofErr w:type="spellStart"/>
      <w:r w:rsidRPr="00E039C7">
        <w:rPr>
          <w:rFonts w:ascii="Arial" w:hAnsi="Arial" w:cs="Arial"/>
        </w:rPr>
        <w:t>estimate</w:t>
      </w:r>
      <w:proofErr w:type="spellEnd"/>
      <w:r w:rsidRPr="00E039C7">
        <w:rPr>
          <w:rFonts w:ascii="Arial" w:hAnsi="Arial" w:cs="Arial"/>
        </w:rPr>
        <w:t>.</w:t>
      </w:r>
    </w:p>
    <w:p w14:paraId="1D7991A8" w14:textId="77777777" w:rsidR="00E039C7" w:rsidRPr="00E039C7" w:rsidRDefault="00E039C7" w:rsidP="00E039C7">
      <w:pPr>
        <w:spacing w:line="360" w:lineRule="auto"/>
        <w:ind w:firstLine="708"/>
        <w:jc w:val="both"/>
        <w:rPr>
          <w:rFonts w:ascii="Arial" w:hAnsi="Arial" w:cs="Arial"/>
        </w:rPr>
      </w:pPr>
      <w:proofErr w:type="spellStart"/>
      <w:r w:rsidRPr="00E039C7">
        <w:rPr>
          <w:rFonts w:ascii="Arial" w:hAnsi="Arial" w:cs="Arial"/>
        </w:rPr>
        <w:t>Similarly</w:t>
      </w:r>
      <w:proofErr w:type="spellEnd"/>
      <w:r w:rsidRPr="00E039C7">
        <w:rPr>
          <w:rFonts w:ascii="Arial" w:hAnsi="Arial" w:cs="Arial"/>
        </w:rPr>
        <w:t xml:space="preserve">, </w:t>
      </w:r>
      <w:proofErr w:type="spellStart"/>
      <w:r w:rsidRPr="00E039C7">
        <w:rPr>
          <w:rFonts w:ascii="Arial" w:hAnsi="Arial" w:cs="Arial"/>
        </w:rPr>
        <w:t>the</w:t>
      </w:r>
      <w:proofErr w:type="spellEnd"/>
      <w:r w:rsidRPr="00E039C7">
        <w:rPr>
          <w:rFonts w:ascii="Arial" w:hAnsi="Arial" w:cs="Arial"/>
        </w:rPr>
        <w:t xml:space="preserve"> </w:t>
      </w:r>
      <w:proofErr w:type="spellStart"/>
      <w:r w:rsidRPr="00E039C7">
        <w:rPr>
          <w:rFonts w:ascii="Arial" w:hAnsi="Arial" w:cs="Arial"/>
        </w:rPr>
        <w:t>inverse</w:t>
      </w:r>
      <w:proofErr w:type="spellEnd"/>
      <w:r w:rsidRPr="00E039C7">
        <w:rPr>
          <w:rFonts w:ascii="Arial" w:hAnsi="Arial" w:cs="Arial"/>
        </w:rPr>
        <w:t xml:space="preserve"> </w:t>
      </w:r>
      <w:proofErr w:type="spellStart"/>
      <w:r w:rsidRPr="00E039C7">
        <w:rPr>
          <w:rFonts w:ascii="Arial" w:hAnsi="Arial" w:cs="Arial"/>
        </w:rPr>
        <w:t>association</w:t>
      </w:r>
      <w:proofErr w:type="spellEnd"/>
      <w:r w:rsidRPr="00E039C7">
        <w:rPr>
          <w:rFonts w:ascii="Arial" w:hAnsi="Arial" w:cs="Arial"/>
        </w:rPr>
        <w:t xml:space="preserve"> </w:t>
      </w:r>
      <w:proofErr w:type="spellStart"/>
      <w:r w:rsidRPr="00E039C7">
        <w:rPr>
          <w:rFonts w:ascii="Arial" w:hAnsi="Arial" w:cs="Arial"/>
        </w:rPr>
        <w:t>observed</w:t>
      </w:r>
      <w:proofErr w:type="spellEnd"/>
      <w:r w:rsidRPr="00E039C7">
        <w:rPr>
          <w:rFonts w:ascii="Arial" w:hAnsi="Arial" w:cs="Arial"/>
        </w:rPr>
        <w:t xml:space="preserve"> </w:t>
      </w:r>
      <w:proofErr w:type="spellStart"/>
      <w:r w:rsidRPr="00E039C7">
        <w:rPr>
          <w:rFonts w:ascii="Arial" w:hAnsi="Arial" w:cs="Arial"/>
        </w:rPr>
        <w:t>between</w:t>
      </w:r>
      <w:proofErr w:type="spellEnd"/>
      <w:r w:rsidRPr="00E039C7">
        <w:rPr>
          <w:rFonts w:ascii="Arial" w:hAnsi="Arial" w:cs="Arial"/>
        </w:rPr>
        <w:t xml:space="preserve"> HIV </w:t>
      </w:r>
      <w:proofErr w:type="spellStart"/>
      <w:r w:rsidRPr="00E039C7">
        <w:rPr>
          <w:rFonts w:ascii="Arial" w:hAnsi="Arial" w:cs="Arial"/>
        </w:rPr>
        <w:t>and</w:t>
      </w:r>
      <w:proofErr w:type="spellEnd"/>
      <w:r w:rsidRPr="00E039C7">
        <w:rPr>
          <w:rFonts w:ascii="Arial" w:hAnsi="Arial" w:cs="Arial"/>
        </w:rPr>
        <w:t xml:space="preserve"> stress </w:t>
      </w:r>
      <w:proofErr w:type="spellStart"/>
      <w:r w:rsidRPr="00E039C7">
        <w:rPr>
          <w:rFonts w:ascii="Arial" w:hAnsi="Arial" w:cs="Arial"/>
        </w:rPr>
        <w:t>had</w:t>
      </w:r>
      <w:proofErr w:type="spellEnd"/>
      <w:r w:rsidRPr="00E039C7">
        <w:rPr>
          <w:rFonts w:ascii="Arial" w:hAnsi="Arial" w:cs="Arial"/>
        </w:rPr>
        <w:t xml:space="preserve"> </w:t>
      </w:r>
      <w:proofErr w:type="spellStart"/>
      <w:r w:rsidRPr="00E039C7">
        <w:rPr>
          <w:rFonts w:ascii="Arial" w:hAnsi="Arial" w:cs="Arial"/>
        </w:rPr>
        <w:t>an</w:t>
      </w:r>
      <w:proofErr w:type="spellEnd"/>
      <w:r w:rsidRPr="00E039C7">
        <w:rPr>
          <w:rFonts w:ascii="Arial" w:hAnsi="Arial" w:cs="Arial"/>
        </w:rPr>
        <w:t xml:space="preserve"> E-</w:t>
      </w:r>
      <w:proofErr w:type="spellStart"/>
      <w:r w:rsidRPr="00E039C7">
        <w:rPr>
          <w:rFonts w:ascii="Arial" w:hAnsi="Arial" w:cs="Arial"/>
        </w:rPr>
        <w:t>value</w:t>
      </w:r>
      <w:proofErr w:type="spellEnd"/>
      <w:r w:rsidRPr="00E039C7">
        <w:rPr>
          <w:rFonts w:ascii="Arial" w:hAnsi="Arial" w:cs="Arial"/>
        </w:rPr>
        <w:t xml:space="preserve"> </w:t>
      </w:r>
      <w:proofErr w:type="spellStart"/>
      <w:r w:rsidRPr="00E039C7">
        <w:rPr>
          <w:rFonts w:ascii="Arial" w:hAnsi="Arial" w:cs="Arial"/>
        </w:rPr>
        <w:t>of</w:t>
      </w:r>
      <w:proofErr w:type="spellEnd"/>
      <w:r w:rsidRPr="00E039C7">
        <w:rPr>
          <w:rFonts w:ascii="Arial" w:hAnsi="Arial" w:cs="Arial"/>
        </w:rPr>
        <w:t xml:space="preserve"> 1.59, </w:t>
      </w:r>
      <w:proofErr w:type="spellStart"/>
      <w:r w:rsidRPr="00E039C7">
        <w:rPr>
          <w:rFonts w:ascii="Arial" w:hAnsi="Arial" w:cs="Arial"/>
        </w:rPr>
        <w:t>suggesting</w:t>
      </w:r>
      <w:proofErr w:type="spellEnd"/>
      <w:r w:rsidRPr="00E039C7">
        <w:rPr>
          <w:rFonts w:ascii="Arial" w:hAnsi="Arial" w:cs="Arial"/>
        </w:rPr>
        <w:t xml:space="preserve"> </w:t>
      </w:r>
      <w:proofErr w:type="spellStart"/>
      <w:r w:rsidRPr="00E039C7">
        <w:rPr>
          <w:rFonts w:ascii="Arial" w:hAnsi="Arial" w:cs="Arial"/>
        </w:rPr>
        <w:t>that</w:t>
      </w:r>
      <w:proofErr w:type="spellEnd"/>
      <w:r w:rsidRPr="00E039C7">
        <w:rPr>
          <w:rFonts w:ascii="Arial" w:hAnsi="Arial" w:cs="Arial"/>
        </w:rPr>
        <w:t xml:space="preserve"> </w:t>
      </w:r>
      <w:proofErr w:type="spellStart"/>
      <w:r w:rsidRPr="00E039C7">
        <w:rPr>
          <w:rFonts w:ascii="Arial" w:hAnsi="Arial" w:cs="Arial"/>
        </w:rPr>
        <w:t>only</w:t>
      </w:r>
      <w:proofErr w:type="spellEnd"/>
      <w:r w:rsidRPr="00E039C7">
        <w:rPr>
          <w:rFonts w:ascii="Arial" w:hAnsi="Arial" w:cs="Arial"/>
        </w:rPr>
        <w:t xml:space="preserve"> a </w:t>
      </w:r>
      <w:proofErr w:type="spellStart"/>
      <w:r w:rsidRPr="00E039C7">
        <w:rPr>
          <w:rFonts w:ascii="Arial" w:hAnsi="Arial" w:cs="Arial"/>
        </w:rPr>
        <w:t>confounder</w:t>
      </w:r>
      <w:proofErr w:type="spellEnd"/>
      <w:r w:rsidRPr="00E039C7">
        <w:rPr>
          <w:rFonts w:ascii="Arial" w:hAnsi="Arial" w:cs="Arial"/>
        </w:rPr>
        <w:t xml:space="preserve"> </w:t>
      </w:r>
      <w:proofErr w:type="spellStart"/>
      <w:r w:rsidRPr="00E039C7">
        <w:rPr>
          <w:rFonts w:ascii="Arial" w:hAnsi="Arial" w:cs="Arial"/>
        </w:rPr>
        <w:t>with</w:t>
      </w:r>
      <w:proofErr w:type="spellEnd"/>
      <w:r w:rsidRPr="00E039C7">
        <w:rPr>
          <w:rFonts w:ascii="Arial" w:hAnsi="Arial" w:cs="Arial"/>
        </w:rPr>
        <w:t xml:space="preserve"> </w:t>
      </w:r>
      <w:proofErr w:type="spellStart"/>
      <w:r w:rsidRPr="00E039C7">
        <w:rPr>
          <w:rFonts w:ascii="Arial" w:hAnsi="Arial" w:cs="Arial"/>
        </w:rPr>
        <w:t>an</w:t>
      </w:r>
      <w:proofErr w:type="spellEnd"/>
      <w:r w:rsidRPr="00E039C7">
        <w:rPr>
          <w:rFonts w:ascii="Arial" w:hAnsi="Arial" w:cs="Arial"/>
        </w:rPr>
        <w:t xml:space="preserve"> </w:t>
      </w:r>
      <w:proofErr w:type="spellStart"/>
      <w:r w:rsidRPr="00E039C7">
        <w:rPr>
          <w:rFonts w:ascii="Arial" w:hAnsi="Arial" w:cs="Arial"/>
        </w:rPr>
        <w:t>association</w:t>
      </w:r>
      <w:proofErr w:type="spellEnd"/>
      <w:r w:rsidRPr="00E039C7">
        <w:rPr>
          <w:rFonts w:ascii="Arial" w:hAnsi="Arial" w:cs="Arial"/>
        </w:rPr>
        <w:t xml:space="preserve"> magnitude close </w:t>
      </w:r>
      <w:proofErr w:type="spellStart"/>
      <w:r w:rsidRPr="00E039C7">
        <w:rPr>
          <w:rFonts w:ascii="Arial" w:hAnsi="Arial" w:cs="Arial"/>
        </w:rPr>
        <w:t>to</w:t>
      </w:r>
      <w:proofErr w:type="spellEnd"/>
      <w:r w:rsidRPr="00E039C7">
        <w:rPr>
          <w:rFonts w:ascii="Arial" w:hAnsi="Arial" w:cs="Arial"/>
        </w:rPr>
        <w:t xml:space="preserve"> 1.6 </w:t>
      </w:r>
      <w:proofErr w:type="spellStart"/>
      <w:r w:rsidRPr="00E039C7">
        <w:rPr>
          <w:rFonts w:ascii="Arial" w:hAnsi="Arial" w:cs="Arial"/>
        </w:rPr>
        <w:t>with</w:t>
      </w:r>
      <w:proofErr w:type="spellEnd"/>
      <w:r w:rsidRPr="00E039C7">
        <w:rPr>
          <w:rFonts w:ascii="Arial" w:hAnsi="Arial" w:cs="Arial"/>
        </w:rPr>
        <w:t xml:space="preserve"> </w:t>
      </w:r>
      <w:proofErr w:type="spellStart"/>
      <w:r w:rsidRPr="00E039C7">
        <w:rPr>
          <w:rFonts w:ascii="Arial" w:hAnsi="Arial" w:cs="Arial"/>
        </w:rPr>
        <w:t>both</w:t>
      </w:r>
      <w:proofErr w:type="spellEnd"/>
      <w:r w:rsidRPr="00E039C7">
        <w:rPr>
          <w:rFonts w:ascii="Arial" w:hAnsi="Arial" w:cs="Arial"/>
        </w:rPr>
        <w:t xml:space="preserve"> </w:t>
      </w:r>
      <w:proofErr w:type="spellStart"/>
      <w:r w:rsidRPr="00E039C7">
        <w:rPr>
          <w:rFonts w:ascii="Arial" w:hAnsi="Arial" w:cs="Arial"/>
        </w:rPr>
        <w:t>terms</w:t>
      </w:r>
      <w:proofErr w:type="spellEnd"/>
      <w:r w:rsidRPr="00E039C7">
        <w:rPr>
          <w:rFonts w:ascii="Arial" w:hAnsi="Arial" w:cs="Arial"/>
        </w:rPr>
        <w:t xml:space="preserve"> </w:t>
      </w:r>
      <w:proofErr w:type="spellStart"/>
      <w:r w:rsidRPr="00E039C7">
        <w:rPr>
          <w:rFonts w:ascii="Arial" w:hAnsi="Arial" w:cs="Arial"/>
        </w:rPr>
        <w:t>could</w:t>
      </w:r>
      <w:proofErr w:type="spellEnd"/>
      <w:r w:rsidRPr="00E039C7">
        <w:rPr>
          <w:rFonts w:ascii="Arial" w:hAnsi="Arial" w:cs="Arial"/>
        </w:rPr>
        <w:t xml:space="preserve"> </w:t>
      </w:r>
      <w:proofErr w:type="spellStart"/>
      <w:r w:rsidRPr="00E039C7">
        <w:rPr>
          <w:rFonts w:ascii="Arial" w:hAnsi="Arial" w:cs="Arial"/>
        </w:rPr>
        <w:t>negate</w:t>
      </w:r>
      <w:proofErr w:type="spellEnd"/>
      <w:r w:rsidRPr="00E039C7">
        <w:rPr>
          <w:rFonts w:ascii="Arial" w:hAnsi="Arial" w:cs="Arial"/>
        </w:rPr>
        <w:t xml:space="preserve"> </w:t>
      </w:r>
      <w:proofErr w:type="spellStart"/>
      <w:r w:rsidRPr="00E039C7">
        <w:rPr>
          <w:rFonts w:ascii="Arial" w:hAnsi="Arial" w:cs="Arial"/>
        </w:rPr>
        <w:t>the</w:t>
      </w:r>
      <w:proofErr w:type="spellEnd"/>
      <w:r w:rsidRPr="00E039C7">
        <w:rPr>
          <w:rFonts w:ascii="Arial" w:hAnsi="Arial" w:cs="Arial"/>
        </w:rPr>
        <w:t xml:space="preserve"> </w:t>
      </w:r>
      <w:proofErr w:type="spellStart"/>
      <w:r w:rsidRPr="00E039C7">
        <w:rPr>
          <w:rFonts w:ascii="Arial" w:hAnsi="Arial" w:cs="Arial"/>
        </w:rPr>
        <w:t>observed</w:t>
      </w:r>
      <w:proofErr w:type="spellEnd"/>
      <w:r w:rsidRPr="00E039C7">
        <w:rPr>
          <w:rFonts w:ascii="Arial" w:hAnsi="Arial" w:cs="Arial"/>
        </w:rPr>
        <w:t xml:space="preserve"> </w:t>
      </w:r>
      <w:proofErr w:type="spellStart"/>
      <w:r w:rsidRPr="00E039C7">
        <w:rPr>
          <w:rFonts w:ascii="Arial" w:hAnsi="Arial" w:cs="Arial"/>
        </w:rPr>
        <w:t>effect</w:t>
      </w:r>
      <w:proofErr w:type="spellEnd"/>
      <w:r w:rsidRPr="00E039C7">
        <w:rPr>
          <w:rFonts w:ascii="Arial" w:hAnsi="Arial" w:cs="Arial"/>
        </w:rPr>
        <w:t xml:space="preserve">. </w:t>
      </w:r>
      <w:proofErr w:type="spellStart"/>
      <w:r w:rsidRPr="00E039C7">
        <w:rPr>
          <w:rFonts w:ascii="Arial" w:hAnsi="Arial" w:cs="Arial"/>
        </w:rPr>
        <w:t>This</w:t>
      </w:r>
      <w:proofErr w:type="spellEnd"/>
      <w:r w:rsidRPr="00E039C7">
        <w:rPr>
          <w:rFonts w:ascii="Arial" w:hAnsi="Arial" w:cs="Arial"/>
        </w:rPr>
        <w:t xml:space="preserve"> </w:t>
      </w:r>
      <w:proofErr w:type="spellStart"/>
      <w:r w:rsidRPr="00E039C7">
        <w:rPr>
          <w:rFonts w:ascii="Arial" w:hAnsi="Arial" w:cs="Arial"/>
        </w:rPr>
        <w:t>result</w:t>
      </w:r>
      <w:proofErr w:type="spellEnd"/>
      <w:r w:rsidRPr="00E039C7">
        <w:rPr>
          <w:rFonts w:ascii="Arial" w:hAnsi="Arial" w:cs="Arial"/>
        </w:rPr>
        <w:t xml:space="preserve"> denotes </w:t>
      </w:r>
      <w:proofErr w:type="spellStart"/>
      <w:r w:rsidRPr="00E039C7">
        <w:rPr>
          <w:rFonts w:ascii="Arial" w:hAnsi="Arial" w:cs="Arial"/>
        </w:rPr>
        <w:t>moderate</w:t>
      </w:r>
      <w:proofErr w:type="spellEnd"/>
      <w:r w:rsidRPr="00E039C7">
        <w:rPr>
          <w:rFonts w:ascii="Arial" w:hAnsi="Arial" w:cs="Arial"/>
        </w:rPr>
        <w:t xml:space="preserve"> </w:t>
      </w:r>
      <w:proofErr w:type="spellStart"/>
      <w:r w:rsidRPr="00E039C7">
        <w:rPr>
          <w:rFonts w:ascii="Arial" w:hAnsi="Arial" w:cs="Arial"/>
        </w:rPr>
        <w:t>to</w:t>
      </w:r>
      <w:proofErr w:type="spellEnd"/>
      <w:r w:rsidRPr="00E039C7">
        <w:rPr>
          <w:rFonts w:ascii="Arial" w:hAnsi="Arial" w:cs="Arial"/>
        </w:rPr>
        <w:t xml:space="preserve"> high </w:t>
      </w:r>
      <w:proofErr w:type="spellStart"/>
      <w:r w:rsidRPr="00E039C7">
        <w:rPr>
          <w:rFonts w:ascii="Arial" w:hAnsi="Arial" w:cs="Arial"/>
        </w:rPr>
        <w:t>robustness</w:t>
      </w:r>
      <w:proofErr w:type="spellEnd"/>
      <w:r w:rsidRPr="00E039C7">
        <w:rPr>
          <w:rFonts w:ascii="Arial" w:hAnsi="Arial" w:cs="Arial"/>
        </w:rPr>
        <w:t xml:space="preserve"> </w:t>
      </w:r>
      <w:proofErr w:type="spellStart"/>
      <w:r w:rsidRPr="00E039C7">
        <w:rPr>
          <w:rFonts w:ascii="Arial" w:hAnsi="Arial" w:cs="Arial"/>
        </w:rPr>
        <w:t>against</w:t>
      </w:r>
      <w:proofErr w:type="spellEnd"/>
      <w:r w:rsidRPr="00E039C7">
        <w:rPr>
          <w:rFonts w:ascii="Arial" w:hAnsi="Arial" w:cs="Arial"/>
        </w:rPr>
        <w:t xml:space="preserve"> residual </w:t>
      </w:r>
      <w:proofErr w:type="spellStart"/>
      <w:r w:rsidRPr="00E039C7">
        <w:rPr>
          <w:rFonts w:ascii="Arial" w:hAnsi="Arial" w:cs="Arial"/>
        </w:rPr>
        <w:t>confounding</w:t>
      </w:r>
      <w:proofErr w:type="spellEnd"/>
      <w:r w:rsidRPr="00E039C7">
        <w:rPr>
          <w:rFonts w:ascii="Arial" w:hAnsi="Arial" w:cs="Arial"/>
        </w:rPr>
        <w:t>.</w:t>
      </w:r>
    </w:p>
    <w:p w14:paraId="2A6BE85B" w14:textId="77777777" w:rsidR="00E039C7" w:rsidRPr="00E039C7" w:rsidRDefault="00E039C7" w:rsidP="00E039C7">
      <w:pPr>
        <w:spacing w:line="360" w:lineRule="auto"/>
        <w:ind w:firstLine="708"/>
        <w:jc w:val="both"/>
        <w:rPr>
          <w:rFonts w:ascii="Arial" w:hAnsi="Arial" w:cs="Arial"/>
        </w:rPr>
      </w:pPr>
      <w:r w:rsidRPr="00E039C7">
        <w:rPr>
          <w:rFonts w:ascii="Arial" w:hAnsi="Arial" w:cs="Arial"/>
        </w:rPr>
        <w:t xml:space="preserve">In </w:t>
      </w:r>
      <w:proofErr w:type="spellStart"/>
      <w:r w:rsidRPr="00E039C7">
        <w:rPr>
          <w:rFonts w:ascii="Arial" w:hAnsi="Arial" w:cs="Arial"/>
        </w:rPr>
        <w:t>contrast</w:t>
      </w:r>
      <w:proofErr w:type="spellEnd"/>
      <w:r w:rsidRPr="00E039C7">
        <w:rPr>
          <w:rFonts w:ascii="Arial" w:hAnsi="Arial" w:cs="Arial"/>
        </w:rPr>
        <w:t xml:space="preserve">, </w:t>
      </w:r>
      <w:proofErr w:type="spellStart"/>
      <w:r w:rsidRPr="00E039C7">
        <w:rPr>
          <w:rFonts w:ascii="Arial" w:hAnsi="Arial" w:cs="Arial"/>
        </w:rPr>
        <w:t>the</w:t>
      </w:r>
      <w:proofErr w:type="spellEnd"/>
      <w:r w:rsidRPr="00E039C7">
        <w:rPr>
          <w:rFonts w:ascii="Arial" w:hAnsi="Arial" w:cs="Arial"/>
        </w:rPr>
        <w:t xml:space="preserve"> model for </w:t>
      </w:r>
      <w:proofErr w:type="spellStart"/>
      <w:r w:rsidRPr="00E039C7">
        <w:rPr>
          <w:rFonts w:ascii="Arial" w:hAnsi="Arial" w:cs="Arial"/>
        </w:rPr>
        <w:t>depression</w:t>
      </w:r>
      <w:proofErr w:type="spellEnd"/>
      <w:r w:rsidRPr="00E039C7">
        <w:rPr>
          <w:rFonts w:ascii="Arial" w:hAnsi="Arial" w:cs="Arial"/>
        </w:rPr>
        <w:t xml:space="preserve"> </w:t>
      </w:r>
      <w:proofErr w:type="spellStart"/>
      <w:r w:rsidRPr="00E039C7">
        <w:rPr>
          <w:rFonts w:ascii="Arial" w:hAnsi="Arial" w:cs="Arial"/>
        </w:rPr>
        <w:t>had</w:t>
      </w:r>
      <w:proofErr w:type="spellEnd"/>
      <w:r w:rsidRPr="00E039C7">
        <w:rPr>
          <w:rFonts w:ascii="Arial" w:hAnsi="Arial" w:cs="Arial"/>
        </w:rPr>
        <w:t xml:space="preserve"> </w:t>
      </w:r>
      <w:proofErr w:type="spellStart"/>
      <w:r w:rsidRPr="00E039C7">
        <w:rPr>
          <w:rFonts w:ascii="Arial" w:hAnsi="Arial" w:cs="Arial"/>
        </w:rPr>
        <w:t>an</w:t>
      </w:r>
      <w:proofErr w:type="spellEnd"/>
      <w:r w:rsidRPr="00E039C7">
        <w:rPr>
          <w:rFonts w:ascii="Arial" w:hAnsi="Arial" w:cs="Arial"/>
        </w:rPr>
        <w:t xml:space="preserve"> E-</w:t>
      </w:r>
      <w:proofErr w:type="spellStart"/>
      <w:r w:rsidRPr="00E039C7">
        <w:rPr>
          <w:rFonts w:ascii="Arial" w:hAnsi="Arial" w:cs="Arial"/>
        </w:rPr>
        <w:t>value</w:t>
      </w:r>
      <w:proofErr w:type="spellEnd"/>
      <w:r w:rsidRPr="00E039C7">
        <w:rPr>
          <w:rFonts w:ascii="Arial" w:hAnsi="Arial" w:cs="Arial"/>
        </w:rPr>
        <w:t xml:space="preserve"> </w:t>
      </w:r>
      <w:proofErr w:type="spellStart"/>
      <w:r w:rsidRPr="00E039C7">
        <w:rPr>
          <w:rFonts w:ascii="Arial" w:hAnsi="Arial" w:cs="Arial"/>
        </w:rPr>
        <w:t>of</w:t>
      </w:r>
      <w:proofErr w:type="spellEnd"/>
      <w:r w:rsidRPr="00E039C7">
        <w:rPr>
          <w:rFonts w:ascii="Arial" w:hAnsi="Arial" w:cs="Arial"/>
        </w:rPr>
        <w:t xml:space="preserve"> 1.28, </w:t>
      </w:r>
      <w:proofErr w:type="spellStart"/>
      <w:r w:rsidRPr="00E039C7">
        <w:rPr>
          <w:rFonts w:ascii="Arial" w:hAnsi="Arial" w:cs="Arial"/>
        </w:rPr>
        <w:t>with</w:t>
      </w:r>
      <w:proofErr w:type="spellEnd"/>
      <w:r w:rsidRPr="00E039C7">
        <w:rPr>
          <w:rFonts w:ascii="Arial" w:hAnsi="Arial" w:cs="Arial"/>
        </w:rPr>
        <w:t xml:space="preserve"> a </w:t>
      </w:r>
      <w:proofErr w:type="spellStart"/>
      <w:r w:rsidRPr="00E039C7">
        <w:rPr>
          <w:rFonts w:ascii="Arial" w:hAnsi="Arial" w:cs="Arial"/>
        </w:rPr>
        <w:t>lower</w:t>
      </w:r>
      <w:proofErr w:type="spellEnd"/>
      <w:r w:rsidRPr="00E039C7">
        <w:rPr>
          <w:rFonts w:ascii="Arial" w:hAnsi="Arial" w:cs="Arial"/>
        </w:rPr>
        <w:t xml:space="preserve"> </w:t>
      </w:r>
      <w:proofErr w:type="spellStart"/>
      <w:r w:rsidRPr="00E039C7">
        <w:rPr>
          <w:rFonts w:ascii="Arial" w:hAnsi="Arial" w:cs="Arial"/>
        </w:rPr>
        <w:t>limit</w:t>
      </w:r>
      <w:proofErr w:type="spellEnd"/>
      <w:r w:rsidRPr="00E039C7">
        <w:rPr>
          <w:rFonts w:ascii="Arial" w:hAnsi="Arial" w:cs="Arial"/>
        </w:rPr>
        <w:t xml:space="preserve"> </w:t>
      </w:r>
      <w:proofErr w:type="spellStart"/>
      <w:r w:rsidRPr="00E039C7">
        <w:rPr>
          <w:rFonts w:ascii="Arial" w:hAnsi="Arial" w:cs="Arial"/>
        </w:rPr>
        <w:t>of</w:t>
      </w:r>
      <w:proofErr w:type="spellEnd"/>
      <w:r w:rsidRPr="00E039C7">
        <w:rPr>
          <w:rFonts w:ascii="Arial" w:hAnsi="Arial" w:cs="Arial"/>
        </w:rPr>
        <w:t xml:space="preserve"> 1.0, </w:t>
      </w:r>
      <w:proofErr w:type="spellStart"/>
      <w:r w:rsidRPr="00E039C7">
        <w:rPr>
          <w:rFonts w:ascii="Arial" w:hAnsi="Arial" w:cs="Arial"/>
        </w:rPr>
        <w:t>demonstrating</w:t>
      </w:r>
      <w:proofErr w:type="spellEnd"/>
      <w:r w:rsidRPr="00E039C7">
        <w:rPr>
          <w:rFonts w:ascii="Arial" w:hAnsi="Arial" w:cs="Arial"/>
        </w:rPr>
        <w:t xml:space="preserve"> </w:t>
      </w:r>
      <w:proofErr w:type="spellStart"/>
      <w:r w:rsidRPr="00E039C7">
        <w:rPr>
          <w:rFonts w:ascii="Arial" w:hAnsi="Arial" w:cs="Arial"/>
        </w:rPr>
        <w:t>that</w:t>
      </w:r>
      <w:proofErr w:type="spellEnd"/>
      <w:r w:rsidRPr="00E039C7">
        <w:rPr>
          <w:rFonts w:ascii="Arial" w:hAnsi="Arial" w:cs="Arial"/>
        </w:rPr>
        <w:t xml:space="preserve"> </w:t>
      </w:r>
      <w:proofErr w:type="spellStart"/>
      <w:r w:rsidRPr="00E039C7">
        <w:rPr>
          <w:rFonts w:ascii="Arial" w:hAnsi="Arial" w:cs="Arial"/>
        </w:rPr>
        <w:t>the</w:t>
      </w:r>
      <w:proofErr w:type="spellEnd"/>
      <w:r w:rsidRPr="00E039C7">
        <w:rPr>
          <w:rFonts w:ascii="Arial" w:hAnsi="Arial" w:cs="Arial"/>
        </w:rPr>
        <w:t xml:space="preserve"> </w:t>
      </w:r>
      <w:proofErr w:type="spellStart"/>
      <w:r w:rsidRPr="00E039C7">
        <w:rPr>
          <w:rFonts w:ascii="Arial" w:hAnsi="Arial" w:cs="Arial"/>
        </w:rPr>
        <w:t>observed</w:t>
      </w:r>
      <w:proofErr w:type="spellEnd"/>
      <w:r w:rsidRPr="00E039C7">
        <w:rPr>
          <w:rFonts w:ascii="Arial" w:hAnsi="Arial" w:cs="Arial"/>
        </w:rPr>
        <w:t xml:space="preserve"> </w:t>
      </w:r>
      <w:proofErr w:type="spellStart"/>
      <w:r w:rsidRPr="00E039C7">
        <w:rPr>
          <w:rFonts w:ascii="Arial" w:hAnsi="Arial" w:cs="Arial"/>
        </w:rPr>
        <w:t>effect</w:t>
      </w:r>
      <w:proofErr w:type="spellEnd"/>
      <w:r w:rsidRPr="00E039C7">
        <w:rPr>
          <w:rFonts w:ascii="Arial" w:hAnsi="Arial" w:cs="Arial"/>
        </w:rPr>
        <w:t xml:space="preserve"> </w:t>
      </w:r>
      <w:proofErr w:type="spellStart"/>
      <w:r w:rsidRPr="00E039C7">
        <w:rPr>
          <w:rFonts w:ascii="Arial" w:hAnsi="Arial" w:cs="Arial"/>
        </w:rPr>
        <w:t>is</w:t>
      </w:r>
      <w:proofErr w:type="spellEnd"/>
      <w:r w:rsidRPr="00E039C7">
        <w:rPr>
          <w:rFonts w:ascii="Arial" w:hAnsi="Arial" w:cs="Arial"/>
        </w:rPr>
        <w:t xml:space="preserve"> </w:t>
      </w:r>
      <w:proofErr w:type="spellStart"/>
      <w:r w:rsidRPr="00E039C7">
        <w:rPr>
          <w:rFonts w:ascii="Arial" w:hAnsi="Arial" w:cs="Arial"/>
        </w:rPr>
        <w:t>not</w:t>
      </w:r>
      <w:proofErr w:type="spellEnd"/>
      <w:r w:rsidRPr="00E039C7">
        <w:rPr>
          <w:rFonts w:ascii="Arial" w:hAnsi="Arial" w:cs="Arial"/>
        </w:rPr>
        <w:t xml:space="preserve"> </w:t>
      </w:r>
      <w:proofErr w:type="spellStart"/>
      <w:r w:rsidRPr="00E039C7">
        <w:rPr>
          <w:rFonts w:ascii="Arial" w:hAnsi="Arial" w:cs="Arial"/>
        </w:rPr>
        <w:t>robust</w:t>
      </w:r>
      <w:proofErr w:type="spellEnd"/>
      <w:r w:rsidRPr="00E039C7">
        <w:rPr>
          <w:rFonts w:ascii="Arial" w:hAnsi="Arial" w:cs="Arial"/>
        </w:rPr>
        <w:t xml:space="preserve"> </w:t>
      </w:r>
      <w:proofErr w:type="spellStart"/>
      <w:r w:rsidRPr="00E039C7">
        <w:rPr>
          <w:rFonts w:ascii="Arial" w:hAnsi="Arial" w:cs="Arial"/>
        </w:rPr>
        <w:t>to</w:t>
      </w:r>
      <w:proofErr w:type="spellEnd"/>
      <w:r w:rsidRPr="00E039C7">
        <w:rPr>
          <w:rFonts w:ascii="Arial" w:hAnsi="Arial" w:cs="Arial"/>
        </w:rPr>
        <w:t xml:space="preserve"> </w:t>
      </w:r>
      <w:proofErr w:type="spellStart"/>
      <w:r w:rsidRPr="00E039C7">
        <w:rPr>
          <w:rFonts w:ascii="Arial" w:hAnsi="Arial" w:cs="Arial"/>
        </w:rPr>
        <w:t>unmeasured</w:t>
      </w:r>
      <w:proofErr w:type="spellEnd"/>
      <w:r w:rsidRPr="00E039C7">
        <w:rPr>
          <w:rFonts w:ascii="Arial" w:hAnsi="Arial" w:cs="Arial"/>
        </w:rPr>
        <w:t xml:space="preserve"> </w:t>
      </w:r>
      <w:proofErr w:type="spellStart"/>
      <w:r w:rsidRPr="00E039C7">
        <w:rPr>
          <w:rFonts w:ascii="Arial" w:hAnsi="Arial" w:cs="Arial"/>
        </w:rPr>
        <w:t>confounding</w:t>
      </w:r>
      <w:proofErr w:type="spellEnd"/>
      <w:r w:rsidRPr="00E039C7">
        <w:rPr>
          <w:rFonts w:ascii="Arial" w:hAnsi="Arial" w:cs="Arial"/>
        </w:rPr>
        <w:t xml:space="preserve"> </w:t>
      </w:r>
      <w:proofErr w:type="spellStart"/>
      <w:r w:rsidRPr="00E039C7">
        <w:rPr>
          <w:rFonts w:ascii="Arial" w:hAnsi="Arial" w:cs="Arial"/>
        </w:rPr>
        <w:t>and</w:t>
      </w:r>
      <w:proofErr w:type="spellEnd"/>
      <w:r w:rsidRPr="00E039C7">
        <w:rPr>
          <w:rFonts w:ascii="Arial" w:hAnsi="Arial" w:cs="Arial"/>
        </w:rPr>
        <w:t xml:space="preserve"> </w:t>
      </w:r>
      <w:proofErr w:type="spellStart"/>
      <w:r w:rsidRPr="00E039C7">
        <w:rPr>
          <w:rFonts w:ascii="Arial" w:hAnsi="Arial" w:cs="Arial"/>
        </w:rPr>
        <w:t>should</w:t>
      </w:r>
      <w:proofErr w:type="spellEnd"/>
      <w:r w:rsidRPr="00E039C7">
        <w:rPr>
          <w:rFonts w:ascii="Arial" w:hAnsi="Arial" w:cs="Arial"/>
        </w:rPr>
        <w:t xml:space="preserve"> </w:t>
      </w:r>
      <w:proofErr w:type="spellStart"/>
      <w:r w:rsidRPr="00E039C7">
        <w:rPr>
          <w:rFonts w:ascii="Arial" w:hAnsi="Arial" w:cs="Arial"/>
        </w:rPr>
        <w:t>be</w:t>
      </w:r>
      <w:proofErr w:type="spellEnd"/>
      <w:r w:rsidRPr="00E039C7">
        <w:rPr>
          <w:rFonts w:ascii="Arial" w:hAnsi="Arial" w:cs="Arial"/>
        </w:rPr>
        <w:t xml:space="preserve"> </w:t>
      </w:r>
      <w:proofErr w:type="spellStart"/>
      <w:r w:rsidRPr="00E039C7">
        <w:rPr>
          <w:rFonts w:ascii="Arial" w:hAnsi="Arial" w:cs="Arial"/>
        </w:rPr>
        <w:t>interpreted</w:t>
      </w:r>
      <w:proofErr w:type="spellEnd"/>
      <w:r w:rsidRPr="00E039C7">
        <w:rPr>
          <w:rFonts w:ascii="Arial" w:hAnsi="Arial" w:cs="Arial"/>
        </w:rPr>
        <w:t xml:space="preserve"> </w:t>
      </w:r>
      <w:proofErr w:type="spellStart"/>
      <w:r w:rsidRPr="00E039C7">
        <w:rPr>
          <w:rFonts w:ascii="Arial" w:hAnsi="Arial" w:cs="Arial"/>
        </w:rPr>
        <w:t>with</w:t>
      </w:r>
      <w:proofErr w:type="spellEnd"/>
      <w:r w:rsidRPr="00E039C7">
        <w:rPr>
          <w:rFonts w:ascii="Arial" w:hAnsi="Arial" w:cs="Arial"/>
        </w:rPr>
        <w:t xml:space="preserve"> </w:t>
      </w:r>
      <w:proofErr w:type="spellStart"/>
      <w:r w:rsidRPr="00E039C7">
        <w:rPr>
          <w:rFonts w:ascii="Arial" w:hAnsi="Arial" w:cs="Arial"/>
        </w:rPr>
        <w:t>caution</w:t>
      </w:r>
      <w:proofErr w:type="spellEnd"/>
      <w:r w:rsidRPr="00E039C7">
        <w:rPr>
          <w:rFonts w:ascii="Arial" w:hAnsi="Arial" w:cs="Arial"/>
        </w:rPr>
        <w:t>.</w:t>
      </w:r>
    </w:p>
    <w:p w14:paraId="73629B49" w14:textId="77777777" w:rsidR="00E039C7" w:rsidRPr="00E039C7" w:rsidRDefault="00E039C7" w:rsidP="00E039C7">
      <w:pPr>
        <w:spacing w:line="360" w:lineRule="auto"/>
        <w:ind w:firstLine="708"/>
        <w:jc w:val="both"/>
        <w:rPr>
          <w:rFonts w:ascii="Arial" w:hAnsi="Arial" w:cs="Arial"/>
        </w:rPr>
      </w:pPr>
      <w:r w:rsidRPr="00E039C7">
        <w:rPr>
          <w:rFonts w:ascii="Arial" w:hAnsi="Arial" w:cs="Arial"/>
        </w:rPr>
        <w:t xml:space="preserve">In general, </w:t>
      </w:r>
      <w:proofErr w:type="spellStart"/>
      <w:r w:rsidRPr="00E039C7">
        <w:rPr>
          <w:rFonts w:ascii="Arial" w:hAnsi="Arial" w:cs="Arial"/>
        </w:rPr>
        <w:t>the</w:t>
      </w:r>
      <w:proofErr w:type="spellEnd"/>
      <w:r w:rsidRPr="00E039C7">
        <w:rPr>
          <w:rFonts w:ascii="Arial" w:hAnsi="Arial" w:cs="Arial"/>
        </w:rPr>
        <w:t xml:space="preserve"> E-</w:t>
      </w:r>
      <w:proofErr w:type="spellStart"/>
      <w:r w:rsidRPr="00E039C7">
        <w:rPr>
          <w:rFonts w:ascii="Arial" w:hAnsi="Arial" w:cs="Arial"/>
        </w:rPr>
        <w:t>values</w:t>
      </w:r>
      <w:proofErr w:type="spellEnd"/>
      <w:r w:rsidRPr="00E039C7">
        <w:rPr>
          <w:rFonts w:ascii="Arial" w:hAnsi="Arial" w:cs="Arial"/>
        </w:rPr>
        <w:t xml:space="preserve"> ​​</w:t>
      </w:r>
      <w:proofErr w:type="spellStart"/>
      <w:r w:rsidRPr="00E039C7">
        <w:rPr>
          <w:rFonts w:ascii="Arial" w:hAnsi="Arial" w:cs="Arial"/>
        </w:rPr>
        <w:t>complement</w:t>
      </w:r>
      <w:proofErr w:type="spellEnd"/>
      <w:r w:rsidRPr="00E039C7">
        <w:rPr>
          <w:rFonts w:ascii="Arial" w:hAnsi="Arial" w:cs="Arial"/>
        </w:rPr>
        <w:t xml:space="preserve"> </w:t>
      </w:r>
      <w:proofErr w:type="spellStart"/>
      <w:r w:rsidRPr="00E039C7">
        <w:rPr>
          <w:rFonts w:ascii="Arial" w:hAnsi="Arial" w:cs="Arial"/>
        </w:rPr>
        <w:t>the</w:t>
      </w:r>
      <w:proofErr w:type="spellEnd"/>
      <w:r w:rsidRPr="00E039C7">
        <w:rPr>
          <w:rFonts w:ascii="Arial" w:hAnsi="Arial" w:cs="Arial"/>
        </w:rPr>
        <w:t xml:space="preserve"> causal </w:t>
      </w:r>
      <w:proofErr w:type="spellStart"/>
      <w:r w:rsidRPr="00E039C7">
        <w:rPr>
          <w:rFonts w:ascii="Arial" w:hAnsi="Arial" w:cs="Arial"/>
        </w:rPr>
        <w:t>analysis</w:t>
      </w:r>
      <w:proofErr w:type="spellEnd"/>
      <w:r w:rsidRPr="00E039C7">
        <w:rPr>
          <w:rFonts w:ascii="Arial" w:hAnsi="Arial" w:cs="Arial"/>
        </w:rPr>
        <w:t xml:space="preserve"> </w:t>
      </w:r>
      <w:proofErr w:type="spellStart"/>
      <w:r w:rsidRPr="00E039C7">
        <w:rPr>
          <w:rFonts w:ascii="Arial" w:hAnsi="Arial" w:cs="Arial"/>
        </w:rPr>
        <w:t>performed</w:t>
      </w:r>
      <w:proofErr w:type="spellEnd"/>
      <w:r w:rsidRPr="00E039C7">
        <w:rPr>
          <w:rFonts w:ascii="Arial" w:hAnsi="Arial" w:cs="Arial"/>
        </w:rPr>
        <w:t xml:space="preserve"> </w:t>
      </w:r>
      <w:proofErr w:type="spellStart"/>
      <w:r w:rsidRPr="00E039C7">
        <w:rPr>
          <w:rFonts w:ascii="Arial" w:hAnsi="Arial" w:cs="Arial"/>
        </w:rPr>
        <w:t>using</w:t>
      </w:r>
      <w:proofErr w:type="spellEnd"/>
      <w:r w:rsidRPr="00E039C7">
        <w:rPr>
          <w:rFonts w:ascii="Arial" w:hAnsi="Arial" w:cs="Arial"/>
        </w:rPr>
        <w:t xml:space="preserve"> </w:t>
      </w:r>
      <w:proofErr w:type="spellStart"/>
      <w:r w:rsidRPr="00E039C7">
        <w:rPr>
          <w:rFonts w:ascii="Arial" w:hAnsi="Arial" w:cs="Arial"/>
        </w:rPr>
        <w:t>overlap</w:t>
      </w:r>
      <w:proofErr w:type="spellEnd"/>
      <w:r w:rsidRPr="00E039C7">
        <w:rPr>
          <w:rFonts w:ascii="Arial" w:hAnsi="Arial" w:cs="Arial"/>
        </w:rPr>
        <w:t xml:space="preserve"> </w:t>
      </w:r>
      <w:proofErr w:type="spellStart"/>
      <w:r w:rsidRPr="00E039C7">
        <w:rPr>
          <w:rFonts w:ascii="Arial" w:hAnsi="Arial" w:cs="Arial"/>
        </w:rPr>
        <w:t>weighted</w:t>
      </w:r>
      <w:proofErr w:type="spellEnd"/>
      <w:r w:rsidRPr="00E039C7">
        <w:rPr>
          <w:rFonts w:ascii="Arial" w:hAnsi="Arial" w:cs="Arial"/>
        </w:rPr>
        <w:t xml:space="preserve"> models, </w:t>
      </w:r>
      <w:proofErr w:type="spellStart"/>
      <w:r w:rsidRPr="00E039C7">
        <w:rPr>
          <w:rFonts w:ascii="Arial" w:hAnsi="Arial" w:cs="Arial"/>
        </w:rPr>
        <w:t>providing</w:t>
      </w:r>
      <w:proofErr w:type="spellEnd"/>
      <w:r w:rsidRPr="00E039C7">
        <w:rPr>
          <w:rFonts w:ascii="Arial" w:hAnsi="Arial" w:cs="Arial"/>
        </w:rPr>
        <w:t xml:space="preserve"> </w:t>
      </w:r>
      <w:proofErr w:type="spellStart"/>
      <w:r w:rsidRPr="00E039C7">
        <w:rPr>
          <w:rFonts w:ascii="Arial" w:hAnsi="Arial" w:cs="Arial"/>
        </w:rPr>
        <w:t>evidence</w:t>
      </w:r>
      <w:proofErr w:type="spellEnd"/>
      <w:r w:rsidRPr="00E039C7">
        <w:rPr>
          <w:rFonts w:ascii="Arial" w:hAnsi="Arial" w:cs="Arial"/>
        </w:rPr>
        <w:t xml:space="preserve"> </w:t>
      </w:r>
      <w:proofErr w:type="spellStart"/>
      <w:r w:rsidRPr="00E039C7">
        <w:rPr>
          <w:rFonts w:ascii="Arial" w:hAnsi="Arial" w:cs="Arial"/>
        </w:rPr>
        <w:t>that</w:t>
      </w:r>
      <w:proofErr w:type="spellEnd"/>
      <w:r w:rsidRPr="00E039C7">
        <w:rPr>
          <w:rFonts w:ascii="Arial" w:hAnsi="Arial" w:cs="Arial"/>
        </w:rPr>
        <w:t xml:space="preserve"> </w:t>
      </w:r>
      <w:proofErr w:type="spellStart"/>
      <w:r w:rsidRPr="00E039C7">
        <w:rPr>
          <w:rFonts w:ascii="Arial" w:hAnsi="Arial" w:cs="Arial"/>
        </w:rPr>
        <w:t>the</w:t>
      </w:r>
      <w:proofErr w:type="spellEnd"/>
      <w:r w:rsidRPr="00E039C7">
        <w:rPr>
          <w:rFonts w:ascii="Arial" w:hAnsi="Arial" w:cs="Arial"/>
        </w:rPr>
        <w:t xml:space="preserve"> </w:t>
      </w:r>
      <w:proofErr w:type="spellStart"/>
      <w:r w:rsidRPr="00E039C7">
        <w:rPr>
          <w:rFonts w:ascii="Arial" w:hAnsi="Arial" w:cs="Arial"/>
        </w:rPr>
        <w:t>associations</w:t>
      </w:r>
      <w:proofErr w:type="spellEnd"/>
      <w:r w:rsidRPr="00E039C7">
        <w:rPr>
          <w:rFonts w:ascii="Arial" w:hAnsi="Arial" w:cs="Arial"/>
        </w:rPr>
        <w:t xml:space="preserve"> </w:t>
      </w:r>
      <w:proofErr w:type="spellStart"/>
      <w:r w:rsidRPr="00E039C7">
        <w:rPr>
          <w:rFonts w:ascii="Arial" w:hAnsi="Arial" w:cs="Arial"/>
        </w:rPr>
        <w:t>between</w:t>
      </w:r>
      <w:proofErr w:type="spellEnd"/>
      <w:r w:rsidRPr="00E039C7">
        <w:rPr>
          <w:rFonts w:ascii="Arial" w:hAnsi="Arial" w:cs="Arial"/>
        </w:rPr>
        <w:t xml:space="preserve"> HIV </w:t>
      </w:r>
      <w:proofErr w:type="spellStart"/>
      <w:r w:rsidRPr="00E039C7">
        <w:rPr>
          <w:rFonts w:ascii="Arial" w:hAnsi="Arial" w:cs="Arial"/>
        </w:rPr>
        <w:t>and</w:t>
      </w:r>
      <w:proofErr w:type="spellEnd"/>
      <w:r w:rsidRPr="00E039C7">
        <w:rPr>
          <w:rFonts w:ascii="Arial" w:hAnsi="Arial" w:cs="Arial"/>
        </w:rPr>
        <w:t xml:space="preserve"> </w:t>
      </w:r>
      <w:proofErr w:type="spellStart"/>
      <w:r w:rsidRPr="00E039C7">
        <w:rPr>
          <w:rFonts w:ascii="Arial" w:hAnsi="Arial" w:cs="Arial"/>
        </w:rPr>
        <w:t>anxiety</w:t>
      </w:r>
      <w:proofErr w:type="spellEnd"/>
      <w:r w:rsidRPr="00E039C7">
        <w:rPr>
          <w:rFonts w:ascii="Arial" w:hAnsi="Arial" w:cs="Arial"/>
        </w:rPr>
        <w:t xml:space="preserve">/stress are </w:t>
      </w:r>
      <w:proofErr w:type="spellStart"/>
      <w:r w:rsidRPr="00E039C7">
        <w:rPr>
          <w:rFonts w:ascii="Arial" w:hAnsi="Arial" w:cs="Arial"/>
        </w:rPr>
        <w:t>consistent</w:t>
      </w:r>
      <w:proofErr w:type="spellEnd"/>
      <w:r w:rsidRPr="00E039C7">
        <w:rPr>
          <w:rFonts w:ascii="Arial" w:hAnsi="Arial" w:cs="Arial"/>
        </w:rPr>
        <w:t xml:space="preserve"> </w:t>
      </w:r>
      <w:proofErr w:type="spellStart"/>
      <w:r w:rsidRPr="00E039C7">
        <w:rPr>
          <w:rFonts w:ascii="Arial" w:hAnsi="Arial" w:cs="Arial"/>
        </w:rPr>
        <w:t>and</w:t>
      </w:r>
      <w:proofErr w:type="spellEnd"/>
      <w:r w:rsidRPr="00E039C7">
        <w:rPr>
          <w:rFonts w:ascii="Arial" w:hAnsi="Arial" w:cs="Arial"/>
        </w:rPr>
        <w:t xml:space="preserve"> </w:t>
      </w:r>
      <w:proofErr w:type="spellStart"/>
      <w:r w:rsidRPr="00E039C7">
        <w:rPr>
          <w:rFonts w:ascii="Arial" w:hAnsi="Arial" w:cs="Arial"/>
        </w:rPr>
        <w:t>unlikely</w:t>
      </w:r>
      <w:proofErr w:type="spellEnd"/>
      <w:r w:rsidRPr="00E039C7">
        <w:rPr>
          <w:rFonts w:ascii="Arial" w:hAnsi="Arial" w:cs="Arial"/>
        </w:rPr>
        <w:t xml:space="preserve"> </w:t>
      </w:r>
      <w:proofErr w:type="spellStart"/>
      <w:r w:rsidRPr="00E039C7">
        <w:rPr>
          <w:rFonts w:ascii="Arial" w:hAnsi="Arial" w:cs="Arial"/>
        </w:rPr>
        <w:t>to</w:t>
      </w:r>
      <w:proofErr w:type="spellEnd"/>
      <w:r w:rsidRPr="00E039C7">
        <w:rPr>
          <w:rFonts w:ascii="Arial" w:hAnsi="Arial" w:cs="Arial"/>
        </w:rPr>
        <w:t xml:space="preserve"> </w:t>
      </w:r>
      <w:proofErr w:type="spellStart"/>
      <w:r w:rsidRPr="00E039C7">
        <w:rPr>
          <w:rFonts w:ascii="Arial" w:hAnsi="Arial" w:cs="Arial"/>
        </w:rPr>
        <w:t>be</w:t>
      </w:r>
      <w:proofErr w:type="spellEnd"/>
      <w:r w:rsidRPr="00E039C7">
        <w:rPr>
          <w:rFonts w:ascii="Arial" w:hAnsi="Arial" w:cs="Arial"/>
        </w:rPr>
        <w:t xml:space="preserve"> </w:t>
      </w:r>
      <w:proofErr w:type="spellStart"/>
      <w:r w:rsidRPr="00E039C7">
        <w:rPr>
          <w:rFonts w:ascii="Arial" w:hAnsi="Arial" w:cs="Arial"/>
        </w:rPr>
        <w:t>explained</w:t>
      </w:r>
      <w:proofErr w:type="spellEnd"/>
      <w:r w:rsidRPr="00E039C7">
        <w:rPr>
          <w:rFonts w:ascii="Arial" w:hAnsi="Arial" w:cs="Arial"/>
        </w:rPr>
        <w:t xml:space="preserve"> </w:t>
      </w:r>
      <w:proofErr w:type="spellStart"/>
      <w:r w:rsidRPr="00E039C7">
        <w:rPr>
          <w:rFonts w:ascii="Arial" w:hAnsi="Arial" w:cs="Arial"/>
        </w:rPr>
        <w:t>by</w:t>
      </w:r>
      <w:proofErr w:type="spellEnd"/>
      <w:r w:rsidRPr="00E039C7">
        <w:rPr>
          <w:rFonts w:ascii="Arial" w:hAnsi="Arial" w:cs="Arial"/>
        </w:rPr>
        <w:t xml:space="preserve"> </w:t>
      </w:r>
      <w:proofErr w:type="spellStart"/>
      <w:r w:rsidRPr="00E039C7">
        <w:rPr>
          <w:rFonts w:ascii="Arial" w:hAnsi="Arial" w:cs="Arial"/>
        </w:rPr>
        <w:t>moderate</w:t>
      </w:r>
      <w:proofErr w:type="spellEnd"/>
      <w:r w:rsidRPr="00E039C7">
        <w:rPr>
          <w:rFonts w:ascii="Arial" w:hAnsi="Arial" w:cs="Arial"/>
        </w:rPr>
        <w:t xml:space="preserve"> residual </w:t>
      </w:r>
      <w:proofErr w:type="spellStart"/>
      <w:r w:rsidRPr="00E039C7">
        <w:rPr>
          <w:rFonts w:ascii="Arial" w:hAnsi="Arial" w:cs="Arial"/>
        </w:rPr>
        <w:t>confounding</w:t>
      </w:r>
      <w:proofErr w:type="spellEnd"/>
      <w:r w:rsidRPr="00E039C7">
        <w:rPr>
          <w:rFonts w:ascii="Arial" w:hAnsi="Arial" w:cs="Arial"/>
        </w:rPr>
        <w:t xml:space="preserve">. </w:t>
      </w:r>
      <w:proofErr w:type="spellStart"/>
      <w:r w:rsidRPr="00E039C7">
        <w:rPr>
          <w:rFonts w:ascii="Arial" w:hAnsi="Arial" w:cs="Arial"/>
        </w:rPr>
        <w:t>However</w:t>
      </w:r>
      <w:proofErr w:type="spellEnd"/>
      <w:r w:rsidRPr="00E039C7">
        <w:rPr>
          <w:rFonts w:ascii="Arial" w:hAnsi="Arial" w:cs="Arial"/>
        </w:rPr>
        <w:t xml:space="preserve">, </w:t>
      </w:r>
      <w:proofErr w:type="spellStart"/>
      <w:r w:rsidRPr="00E039C7">
        <w:rPr>
          <w:rFonts w:ascii="Arial" w:hAnsi="Arial" w:cs="Arial"/>
        </w:rPr>
        <w:t>the</w:t>
      </w:r>
      <w:proofErr w:type="spellEnd"/>
      <w:r w:rsidRPr="00E039C7">
        <w:rPr>
          <w:rFonts w:ascii="Arial" w:hAnsi="Arial" w:cs="Arial"/>
        </w:rPr>
        <w:t xml:space="preserve"> </w:t>
      </w:r>
      <w:proofErr w:type="spellStart"/>
      <w:r w:rsidRPr="00E039C7">
        <w:rPr>
          <w:rFonts w:ascii="Arial" w:hAnsi="Arial" w:cs="Arial"/>
        </w:rPr>
        <w:t>lack</w:t>
      </w:r>
      <w:proofErr w:type="spellEnd"/>
      <w:r w:rsidRPr="00E039C7">
        <w:rPr>
          <w:rFonts w:ascii="Arial" w:hAnsi="Arial" w:cs="Arial"/>
        </w:rPr>
        <w:t xml:space="preserve"> </w:t>
      </w:r>
      <w:proofErr w:type="spellStart"/>
      <w:r w:rsidRPr="00E039C7">
        <w:rPr>
          <w:rFonts w:ascii="Arial" w:hAnsi="Arial" w:cs="Arial"/>
        </w:rPr>
        <w:t>of</w:t>
      </w:r>
      <w:proofErr w:type="spellEnd"/>
      <w:r w:rsidRPr="00E039C7">
        <w:rPr>
          <w:rFonts w:ascii="Arial" w:hAnsi="Arial" w:cs="Arial"/>
        </w:rPr>
        <w:t xml:space="preserve"> </w:t>
      </w:r>
      <w:proofErr w:type="spellStart"/>
      <w:r w:rsidRPr="00E039C7">
        <w:rPr>
          <w:rFonts w:ascii="Arial" w:hAnsi="Arial" w:cs="Arial"/>
        </w:rPr>
        <w:t>robustness</w:t>
      </w:r>
      <w:proofErr w:type="spellEnd"/>
      <w:r w:rsidRPr="00E039C7">
        <w:rPr>
          <w:rFonts w:ascii="Arial" w:hAnsi="Arial" w:cs="Arial"/>
        </w:rPr>
        <w:t xml:space="preserve"> for </w:t>
      </w:r>
      <w:proofErr w:type="spellStart"/>
      <w:r w:rsidRPr="00E039C7">
        <w:rPr>
          <w:rFonts w:ascii="Arial" w:hAnsi="Arial" w:cs="Arial"/>
        </w:rPr>
        <w:t>the</w:t>
      </w:r>
      <w:proofErr w:type="spellEnd"/>
      <w:r w:rsidRPr="00E039C7">
        <w:rPr>
          <w:rFonts w:ascii="Arial" w:hAnsi="Arial" w:cs="Arial"/>
        </w:rPr>
        <w:t xml:space="preserve"> </w:t>
      </w:r>
      <w:proofErr w:type="spellStart"/>
      <w:r w:rsidRPr="00E039C7">
        <w:rPr>
          <w:rFonts w:ascii="Arial" w:hAnsi="Arial" w:cs="Arial"/>
        </w:rPr>
        <w:t>outcome</w:t>
      </w:r>
      <w:proofErr w:type="spellEnd"/>
      <w:r w:rsidRPr="00E039C7">
        <w:rPr>
          <w:rFonts w:ascii="Arial" w:hAnsi="Arial" w:cs="Arial"/>
        </w:rPr>
        <w:t xml:space="preserve"> </w:t>
      </w:r>
      <w:proofErr w:type="spellStart"/>
      <w:r w:rsidRPr="00E039C7">
        <w:rPr>
          <w:rFonts w:ascii="Arial" w:hAnsi="Arial" w:cs="Arial"/>
        </w:rPr>
        <w:t>of</w:t>
      </w:r>
      <w:proofErr w:type="spellEnd"/>
      <w:r w:rsidRPr="00E039C7">
        <w:rPr>
          <w:rFonts w:ascii="Arial" w:hAnsi="Arial" w:cs="Arial"/>
        </w:rPr>
        <w:t xml:space="preserve"> </w:t>
      </w:r>
      <w:proofErr w:type="spellStart"/>
      <w:r w:rsidRPr="00E039C7">
        <w:rPr>
          <w:rFonts w:ascii="Arial" w:hAnsi="Arial" w:cs="Arial"/>
        </w:rPr>
        <w:t>depression</w:t>
      </w:r>
      <w:proofErr w:type="spellEnd"/>
      <w:r w:rsidRPr="00E039C7">
        <w:rPr>
          <w:rFonts w:ascii="Arial" w:hAnsi="Arial" w:cs="Arial"/>
        </w:rPr>
        <w:t xml:space="preserve"> </w:t>
      </w:r>
      <w:proofErr w:type="spellStart"/>
      <w:r w:rsidRPr="00E039C7">
        <w:rPr>
          <w:rFonts w:ascii="Arial" w:hAnsi="Arial" w:cs="Arial"/>
        </w:rPr>
        <w:t>suggests</w:t>
      </w:r>
      <w:proofErr w:type="spellEnd"/>
      <w:r w:rsidRPr="00E039C7">
        <w:rPr>
          <w:rFonts w:ascii="Arial" w:hAnsi="Arial" w:cs="Arial"/>
        </w:rPr>
        <w:t xml:space="preserve"> </w:t>
      </w:r>
      <w:proofErr w:type="spellStart"/>
      <w:r w:rsidRPr="00E039C7">
        <w:rPr>
          <w:rFonts w:ascii="Arial" w:hAnsi="Arial" w:cs="Arial"/>
        </w:rPr>
        <w:t>that</w:t>
      </w:r>
      <w:proofErr w:type="spellEnd"/>
      <w:r w:rsidRPr="00E039C7">
        <w:rPr>
          <w:rFonts w:ascii="Arial" w:hAnsi="Arial" w:cs="Arial"/>
        </w:rPr>
        <w:t xml:space="preserve"> </w:t>
      </w:r>
      <w:proofErr w:type="spellStart"/>
      <w:r w:rsidRPr="00E039C7">
        <w:rPr>
          <w:rFonts w:ascii="Arial" w:hAnsi="Arial" w:cs="Arial"/>
        </w:rPr>
        <w:t>unmeasured</w:t>
      </w:r>
      <w:proofErr w:type="spellEnd"/>
      <w:r w:rsidRPr="00E039C7">
        <w:rPr>
          <w:rFonts w:ascii="Arial" w:hAnsi="Arial" w:cs="Arial"/>
        </w:rPr>
        <w:t xml:space="preserve"> </w:t>
      </w:r>
      <w:proofErr w:type="spellStart"/>
      <w:r w:rsidRPr="00E039C7">
        <w:rPr>
          <w:rFonts w:ascii="Arial" w:hAnsi="Arial" w:cs="Arial"/>
        </w:rPr>
        <w:t>factors</w:t>
      </w:r>
      <w:proofErr w:type="spellEnd"/>
      <w:r w:rsidRPr="00E039C7">
        <w:rPr>
          <w:rFonts w:ascii="Arial" w:hAnsi="Arial" w:cs="Arial"/>
        </w:rPr>
        <w:t>—</w:t>
      </w:r>
      <w:proofErr w:type="spellStart"/>
      <w:r w:rsidRPr="00E039C7">
        <w:rPr>
          <w:rFonts w:ascii="Arial" w:hAnsi="Arial" w:cs="Arial"/>
        </w:rPr>
        <w:t>such</w:t>
      </w:r>
      <w:proofErr w:type="spellEnd"/>
      <w:r w:rsidRPr="00E039C7">
        <w:rPr>
          <w:rFonts w:ascii="Arial" w:hAnsi="Arial" w:cs="Arial"/>
        </w:rPr>
        <w:t xml:space="preserve"> </w:t>
      </w:r>
      <w:proofErr w:type="gramStart"/>
      <w:r w:rsidRPr="00E039C7">
        <w:rPr>
          <w:rFonts w:ascii="Arial" w:hAnsi="Arial" w:cs="Arial"/>
        </w:rPr>
        <w:t>as social</w:t>
      </w:r>
      <w:proofErr w:type="gramEnd"/>
      <w:r w:rsidRPr="00E039C7">
        <w:rPr>
          <w:rFonts w:ascii="Arial" w:hAnsi="Arial" w:cs="Arial"/>
        </w:rPr>
        <w:t xml:space="preserve"> </w:t>
      </w:r>
      <w:proofErr w:type="spellStart"/>
      <w:r w:rsidRPr="00E039C7">
        <w:rPr>
          <w:rFonts w:ascii="Arial" w:hAnsi="Arial" w:cs="Arial"/>
        </w:rPr>
        <w:t>support</w:t>
      </w:r>
      <w:proofErr w:type="spellEnd"/>
      <w:r w:rsidRPr="00E039C7">
        <w:rPr>
          <w:rFonts w:ascii="Arial" w:hAnsi="Arial" w:cs="Arial"/>
        </w:rPr>
        <w:t xml:space="preserve">, </w:t>
      </w:r>
      <w:proofErr w:type="spellStart"/>
      <w:r w:rsidRPr="00E039C7">
        <w:rPr>
          <w:rFonts w:ascii="Arial" w:hAnsi="Arial" w:cs="Arial"/>
        </w:rPr>
        <w:t>treatment</w:t>
      </w:r>
      <w:proofErr w:type="spellEnd"/>
      <w:r w:rsidRPr="00E039C7">
        <w:rPr>
          <w:rFonts w:ascii="Arial" w:hAnsi="Arial" w:cs="Arial"/>
        </w:rPr>
        <w:t xml:space="preserve"> </w:t>
      </w:r>
      <w:proofErr w:type="spellStart"/>
      <w:r w:rsidRPr="00E039C7">
        <w:rPr>
          <w:rFonts w:ascii="Arial" w:hAnsi="Arial" w:cs="Arial"/>
        </w:rPr>
        <w:t>adherence</w:t>
      </w:r>
      <w:proofErr w:type="spellEnd"/>
      <w:r w:rsidRPr="00E039C7">
        <w:rPr>
          <w:rFonts w:ascii="Arial" w:hAnsi="Arial" w:cs="Arial"/>
        </w:rPr>
        <w:t xml:space="preserve">, </w:t>
      </w:r>
      <w:proofErr w:type="spellStart"/>
      <w:r w:rsidRPr="00E039C7">
        <w:rPr>
          <w:rFonts w:ascii="Arial" w:hAnsi="Arial" w:cs="Arial"/>
        </w:rPr>
        <w:t>or</w:t>
      </w:r>
      <w:proofErr w:type="spellEnd"/>
      <w:r w:rsidRPr="00E039C7">
        <w:rPr>
          <w:rFonts w:ascii="Arial" w:hAnsi="Arial" w:cs="Arial"/>
        </w:rPr>
        <w:t xml:space="preserve"> </w:t>
      </w:r>
      <w:proofErr w:type="spellStart"/>
      <w:r w:rsidRPr="00E039C7">
        <w:rPr>
          <w:rFonts w:ascii="Arial" w:hAnsi="Arial" w:cs="Arial"/>
        </w:rPr>
        <w:t>previous</w:t>
      </w:r>
      <w:proofErr w:type="spellEnd"/>
      <w:r w:rsidRPr="00E039C7">
        <w:rPr>
          <w:rFonts w:ascii="Arial" w:hAnsi="Arial" w:cs="Arial"/>
        </w:rPr>
        <w:t xml:space="preserve"> </w:t>
      </w:r>
      <w:proofErr w:type="spellStart"/>
      <w:r w:rsidRPr="00E039C7">
        <w:rPr>
          <w:rFonts w:ascii="Arial" w:hAnsi="Arial" w:cs="Arial"/>
        </w:rPr>
        <w:t>psychiatric</w:t>
      </w:r>
      <w:proofErr w:type="spellEnd"/>
      <w:r w:rsidRPr="00E039C7">
        <w:rPr>
          <w:rFonts w:ascii="Arial" w:hAnsi="Arial" w:cs="Arial"/>
        </w:rPr>
        <w:t xml:space="preserve"> </w:t>
      </w:r>
      <w:proofErr w:type="spellStart"/>
      <w:r w:rsidRPr="00E039C7">
        <w:rPr>
          <w:rFonts w:ascii="Arial" w:hAnsi="Arial" w:cs="Arial"/>
        </w:rPr>
        <w:t>comorbidities</w:t>
      </w:r>
      <w:proofErr w:type="spellEnd"/>
      <w:r w:rsidRPr="00E039C7">
        <w:rPr>
          <w:rFonts w:ascii="Arial" w:hAnsi="Arial" w:cs="Arial"/>
        </w:rPr>
        <w:t>—</w:t>
      </w:r>
      <w:proofErr w:type="spellStart"/>
      <w:r w:rsidRPr="00E039C7">
        <w:rPr>
          <w:rFonts w:ascii="Arial" w:hAnsi="Arial" w:cs="Arial"/>
        </w:rPr>
        <w:t>may</w:t>
      </w:r>
      <w:proofErr w:type="spellEnd"/>
      <w:r w:rsidRPr="00E039C7">
        <w:rPr>
          <w:rFonts w:ascii="Arial" w:hAnsi="Arial" w:cs="Arial"/>
        </w:rPr>
        <w:t xml:space="preserve"> </w:t>
      </w:r>
      <w:proofErr w:type="spellStart"/>
      <w:r w:rsidRPr="00E039C7">
        <w:rPr>
          <w:rFonts w:ascii="Arial" w:hAnsi="Arial" w:cs="Arial"/>
        </w:rPr>
        <w:t>have</w:t>
      </w:r>
      <w:proofErr w:type="spellEnd"/>
      <w:r w:rsidRPr="00E039C7">
        <w:rPr>
          <w:rFonts w:ascii="Arial" w:hAnsi="Arial" w:cs="Arial"/>
        </w:rPr>
        <w:t xml:space="preserve"> </w:t>
      </w:r>
      <w:proofErr w:type="spellStart"/>
      <w:r w:rsidRPr="00E039C7">
        <w:rPr>
          <w:rFonts w:ascii="Arial" w:hAnsi="Arial" w:cs="Arial"/>
        </w:rPr>
        <w:t>contributed</w:t>
      </w:r>
      <w:proofErr w:type="spellEnd"/>
      <w:r w:rsidRPr="00E039C7">
        <w:rPr>
          <w:rFonts w:ascii="Arial" w:hAnsi="Arial" w:cs="Arial"/>
        </w:rPr>
        <w:t xml:space="preserve"> </w:t>
      </w:r>
      <w:proofErr w:type="spellStart"/>
      <w:r w:rsidRPr="00E039C7">
        <w:rPr>
          <w:rFonts w:ascii="Arial" w:hAnsi="Arial" w:cs="Arial"/>
        </w:rPr>
        <w:t>to</w:t>
      </w:r>
      <w:proofErr w:type="spellEnd"/>
      <w:r w:rsidRPr="00E039C7">
        <w:rPr>
          <w:rFonts w:ascii="Arial" w:hAnsi="Arial" w:cs="Arial"/>
        </w:rPr>
        <w:t xml:space="preserve"> </w:t>
      </w:r>
      <w:proofErr w:type="spellStart"/>
      <w:r w:rsidRPr="00E039C7">
        <w:rPr>
          <w:rFonts w:ascii="Arial" w:hAnsi="Arial" w:cs="Arial"/>
        </w:rPr>
        <w:t>weakening</w:t>
      </w:r>
      <w:proofErr w:type="spellEnd"/>
      <w:r w:rsidRPr="00E039C7">
        <w:rPr>
          <w:rFonts w:ascii="Arial" w:hAnsi="Arial" w:cs="Arial"/>
        </w:rPr>
        <w:t xml:space="preserve"> </w:t>
      </w:r>
      <w:proofErr w:type="spellStart"/>
      <w:r w:rsidRPr="00E039C7">
        <w:rPr>
          <w:rFonts w:ascii="Arial" w:hAnsi="Arial" w:cs="Arial"/>
        </w:rPr>
        <w:t>this</w:t>
      </w:r>
      <w:proofErr w:type="spellEnd"/>
      <w:r w:rsidRPr="00E039C7">
        <w:rPr>
          <w:rFonts w:ascii="Arial" w:hAnsi="Arial" w:cs="Arial"/>
        </w:rPr>
        <w:t xml:space="preserve"> </w:t>
      </w:r>
      <w:proofErr w:type="spellStart"/>
      <w:r w:rsidRPr="00E039C7">
        <w:rPr>
          <w:rFonts w:ascii="Arial" w:hAnsi="Arial" w:cs="Arial"/>
        </w:rPr>
        <w:t>relationship</w:t>
      </w:r>
      <w:proofErr w:type="spellEnd"/>
      <w:r w:rsidRPr="00E039C7">
        <w:rPr>
          <w:rFonts w:ascii="Arial" w:hAnsi="Arial" w:cs="Arial"/>
        </w:rPr>
        <w:t>.</w:t>
      </w:r>
    </w:p>
    <w:p w14:paraId="20A73702" w14:textId="0855D5FB" w:rsidR="00E039C7" w:rsidRPr="00D917D8" w:rsidRDefault="00E039C7" w:rsidP="00D917D8">
      <w:pPr>
        <w:pStyle w:val="Ttulo1"/>
      </w:pPr>
      <w:r w:rsidRPr="00E039C7">
        <w:t>Conclusion</w:t>
      </w:r>
    </w:p>
    <w:p w14:paraId="2D20C98D" w14:textId="77777777" w:rsidR="004F0E5A" w:rsidRDefault="00E039C7" w:rsidP="004F0E5A">
      <w:pPr>
        <w:spacing w:line="360" w:lineRule="auto"/>
        <w:ind w:firstLine="708"/>
        <w:jc w:val="both"/>
        <w:rPr>
          <w:rFonts w:ascii="Arial" w:eastAsia="Arial" w:hAnsi="Arial" w:cs="Arial"/>
          <w:bCs/>
          <w:lang w:val="en-US"/>
        </w:rPr>
      </w:pPr>
      <w:r w:rsidRPr="00E039C7">
        <w:rPr>
          <w:rFonts w:ascii="Arial" w:hAnsi="Arial" w:cs="Arial"/>
        </w:rPr>
        <w:t xml:space="preserve">The models </w:t>
      </w:r>
      <w:proofErr w:type="spellStart"/>
      <w:r w:rsidRPr="00E039C7">
        <w:rPr>
          <w:rFonts w:ascii="Arial" w:hAnsi="Arial" w:cs="Arial"/>
        </w:rPr>
        <w:t>demonstrated</w:t>
      </w:r>
      <w:proofErr w:type="spellEnd"/>
      <w:r w:rsidRPr="00E039C7">
        <w:rPr>
          <w:rFonts w:ascii="Arial" w:hAnsi="Arial" w:cs="Arial"/>
        </w:rPr>
        <w:t xml:space="preserve"> </w:t>
      </w:r>
      <w:proofErr w:type="spellStart"/>
      <w:r w:rsidRPr="00E039C7">
        <w:rPr>
          <w:rFonts w:ascii="Arial" w:hAnsi="Arial" w:cs="Arial"/>
        </w:rPr>
        <w:t>specific</w:t>
      </w:r>
      <w:proofErr w:type="spellEnd"/>
      <w:r w:rsidRPr="00E039C7">
        <w:rPr>
          <w:rFonts w:ascii="Arial" w:hAnsi="Arial" w:cs="Arial"/>
        </w:rPr>
        <w:t xml:space="preserve"> </w:t>
      </w:r>
      <w:proofErr w:type="spellStart"/>
      <w:r w:rsidRPr="00E039C7">
        <w:rPr>
          <w:rFonts w:ascii="Arial" w:hAnsi="Arial" w:cs="Arial"/>
        </w:rPr>
        <w:t>differences</w:t>
      </w:r>
      <w:proofErr w:type="spellEnd"/>
      <w:r w:rsidRPr="00E039C7">
        <w:rPr>
          <w:rFonts w:ascii="Arial" w:hAnsi="Arial" w:cs="Arial"/>
        </w:rPr>
        <w:t xml:space="preserve"> in </w:t>
      </w:r>
      <w:proofErr w:type="spellStart"/>
      <w:r w:rsidRPr="00E039C7">
        <w:rPr>
          <w:rFonts w:ascii="Arial" w:hAnsi="Arial" w:cs="Arial"/>
        </w:rPr>
        <w:t>the</w:t>
      </w:r>
      <w:proofErr w:type="spellEnd"/>
      <w:r w:rsidRPr="00E039C7">
        <w:rPr>
          <w:rFonts w:ascii="Arial" w:hAnsi="Arial" w:cs="Arial"/>
        </w:rPr>
        <w:t xml:space="preserve"> </w:t>
      </w:r>
      <w:proofErr w:type="spellStart"/>
      <w:r w:rsidRPr="00E039C7">
        <w:rPr>
          <w:rFonts w:ascii="Arial" w:hAnsi="Arial" w:cs="Arial"/>
        </w:rPr>
        <w:t>emotional</w:t>
      </w:r>
      <w:proofErr w:type="spellEnd"/>
      <w:r w:rsidRPr="00E039C7">
        <w:rPr>
          <w:rFonts w:ascii="Arial" w:hAnsi="Arial" w:cs="Arial"/>
        </w:rPr>
        <w:t xml:space="preserve"> </w:t>
      </w:r>
      <w:proofErr w:type="spellStart"/>
      <w:r w:rsidRPr="00E039C7">
        <w:rPr>
          <w:rFonts w:ascii="Arial" w:hAnsi="Arial" w:cs="Arial"/>
        </w:rPr>
        <w:t>dimensions</w:t>
      </w:r>
      <w:proofErr w:type="spellEnd"/>
      <w:r w:rsidRPr="00E039C7">
        <w:rPr>
          <w:rFonts w:ascii="Arial" w:hAnsi="Arial" w:cs="Arial"/>
        </w:rPr>
        <w:t xml:space="preserve"> </w:t>
      </w:r>
      <w:proofErr w:type="spellStart"/>
      <w:r w:rsidRPr="00E039C7">
        <w:rPr>
          <w:rFonts w:ascii="Arial" w:hAnsi="Arial" w:cs="Arial"/>
        </w:rPr>
        <w:t>of</w:t>
      </w:r>
      <w:proofErr w:type="spellEnd"/>
      <w:r w:rsidRPr="00E039C7">
        <w:rPr>
          <w:rFonts w:ascii="Arial" w:hAnsi="Arial" w:cs="Arial"/>
        </w:rPr>
        <w:t xml:space="preserve"> </w:t>
      </w:r>
      <w:proofErr w:type="spellStart"/>
      <w:r w:rsidRPr="00E039C7">
        <w:rPr>
          <w:rFonts w:ascii="Arial" w:hAnsi="Arial" w:cs="Arial"/>
        </w:rPr>
        <w:t>the</w:t>
      </w:r>
      <w:proofErr w:type="spellEnd"/>
      <w:r w:rsidRPr="00E039C7">
        <w:rPr>
          <w:rFonts w:ascii="Arial" w:hAnsi="Arial" w:cs="Arial"/>
        </w:rPr>
        <w:t xml:space="preserve"> DASS-21 </w:t>
      </w:r>
      <w:proofErr w:type="spellStart"/>
      <w:r w:rsidRPr="00E039C7">
        <w:rPr>
          <w:rFonts w:ascii="Arial" w:hAnsi="Arial" w:cs="Arial"/>
        </w:rPr>
        <w:t>between</w:t>
      </w:r>
      <w:proofErr w:type="spellEnd"/>
      <w:r w:rsidRPr="00E039C7">
        <w:rPr>
          <w:rFonts w:ascii="Arial" w:hAnsi="Arial" w:cs="Arial"/>
        </w:rPr>
        <w:t xml:space="preserve"> </w:t>
      </w:r>
      <w:proofErr w:type="spellStart"/>
      <w:r w:rsidRPr="00E039C7">
        <w:rPr>
          <w:rFonts w:ascii="Arial" w:hAnsi="Arial" w:cs="Arial"/>
        </w:rPr>
        <w:t>people</w:t>
      </w:r>
      <w:proofErr w:type="spellEnd"/>
      <w:r w:rsidRPr="00E039C7">
        <w:rPr>
          <w:rFonts w:ascii="Arial" w:hAnsi="Arial" w:cs="Arial"/>
        </w:rPr>
        <w:t xml:space="preserve"> </w:t>
      </w:r>
      <w:r w:rsidR="009C225C">
        <w:rPr>
          <w:rFonts w:ascii="Arial" w:hAnsi="Arial" w:cs="Arial"/>
        </w:rPr>
        <w:t xml:space="preserve">living </w:t>
      </w:r>
      <w:proofErr w:type="spellStart"/>
      <w:r w:rsidR="009C225C">
        <w:rPr>
          <w:rFonts w:ascii="Arial" w:hAnsi="Arial" w:cs="Arial"/>
        </w:rPr>
        <w:t>wi</w:t>
      </w:r>
      <w:r w:rsidRPr="00E039C7">
        <w:rPr>
          <w:rFonts w:ascii="Arial" w:hAnsi="Arial" w:cs="Arial"/>
        </w:rPr>
        <w:t>th</w:t>
      </w:r>
      <w:proofErr w:type="spellEnd"/>
      <w:r w:rsidRPr="00E039C7">
        <w:rPr>
          <w:rFonts w:ascii="Arial" w:hAnsi="Arial" w:cs="Arial"/>
        </w:rPr>
        <w:t xml:space="preserve"> </w:t>
      </w:r>
      <w:proofErr w:type="spellStart"/>
      <w:r w:rsidRPr="00E039C7">
        <w:rPr>
          <w:rFonts w:ascii="Arial" w:hAnsi="Arial" w:cs="Arial"/>
        </w:rPr>
        <w:t>and</w:t>
      </w:r>
      <w:proofErr w:type="spellEnd"/>
      <w:r w:rsidRPr="00E039C7">
        <w:rPr>
          <w:rFonts w:ascii="Arial" w:hAnsi="Arial" w:cs="Arial"/>
        </w:rPr>
        <w:t xml:space="preserve"> </w:t>
      </w:r>
      <w:proofErr w:type="spellStart"/>
      <w:r w:rsidRPr="00E039C7">
        <w:rPr>
          <w:rFonts w:ascii="Arial" w:hAnsi="Arial" w:cs="Arial"/>
        </w:rPr>
        <w:t>without</w:t>
      </w:r>
      <w:proofErr w:type="spellEnd"/>
      <w:r w:rsidRPr="00E039C7">
        <w:rPr>
          <w:rFonts w:ascii="Arial" w:hAnsi="Arial" w:cs="Arial"/>
        </w:rPr>
        <w:t xml:space="preserve"> HIV. HIV </w:t>
      </w:r>
      <w:proofErr w:type="spellStart"/>
      <w:r w:rsidRPr="00E039C7">
        <w:rPr>
          <w:rFonts w:ascii="Arial" w:hAnsi="Arial" w:cs="Arial"/>
        </w:rPr>
        <w:t>was</w:t>
      </w:r>
      <w:proofErr w:type="spellEnd"/>
      <w:r w:rsidRPr="00E039C7">
        <w:rPr>
          <w:rFonts w:ascii="Arial" w:hAnsi="Arial" w:cs="Arial"/>
        </w:rPr>
        <w:t xml:space="preserve"> </w:t>
      </w:r>
      <w:proofErr w:type="spellStart"/>
      <w:r w:rsidRPr="00E039C7">
        <w:rPr>
          <w:rFonts w:ascii="Arial" w:hAnsi="Arial" w:cs="Arial"/>
        </w:rPr>
        <w:t>not</w:t>
      </w:r>
      <w:proofErr w:type="spellEnd"/>
      <w:r w:rsidRPr="00E039C7">
        <w:rPr>
          <w:rFonts w:ascii="Arial" w:hAnsi="Arial" w:cs="Arial"/>
        </w:rPr>
        <w:t xml:space="preserve"> </w:t>
      </w:r>
      <w:proofErr w:type="spellStart"/>
      <w:r w:rsidRPr="00E039C7">
        <w:rPr>
          <w:rFonts w:ascii="Arial" w:hAnsi="Arial" w:cs="Arial"/>
        </w:rPr>
        <w:t>associated</w:t>
      </w:r>
      <w:proofErr w:type="spellEnd"/>
      <w:r w:rsidRPr="00E039C7">
        <w:rPr>
          <w:rFonts w:ascii="Arial" w:hAnsi="Arial" w:cs="Arial"/>
        </w:rPr>
        <w:t xml:space="preserve"> </w:t>
      </w:r>
      <w:proofErr w:type="spellStart"/>
      <w:r w:rsidRPr="00E039C7">
        <w:rPr>
          <w:rFonts w:ascii="Arial" w:hAnsi="Arial" w:cs="Arial"/>
        </w:rPr>
        <w:t>with</w:t>
      </w:r>
      <w:proofErr w:type="spellEnd"/>
      <w:r w:rsidRPr="00E039C7">
        <w:rPr>
          <w:rFonts w:ascii="Arial" w:hAnsi="Arial" w:cs="Arial"/>
        </w:rPr>
        <w:t xml:space="preserve"> </w:t>
      </w:r>
      <w:proofErr w:type="spellStart"/>
      <w:r w:rsidRPr="00E039C7">
        <w:rPr>
          <w:rFonts w:ascii="Arial" w:hAnsi="Arial" w:cs="Arial"/>
        </w:rPr>
        <w:t>depression</w:t>
      </w:r>
      <w:proofErr w:type="spellEnd"/>
      <w:r w:rsidRPr="00E039C7">
        <w:rPr>
          <w:rFonts w:ascii="Arial" w:hAnsi="Arial" w:cs="Arial"/>
        </w:rPr>
        <w:t xml:space="preserve">, </w:t>
      </w:r>
      <w:proofErr w:type="spellStart"/>
      <w:r w:rsidRPr="00E039C7">
        <w:rPr>
          <w:rFonts w:ascii="Arial" w:hAnsi="Arial" w:cs="Arial"/>
        </w:rPr>
        <w:t>but</w:t>
      </w:r>
      <w:proofErr w:type="spellEnd"/>
      <w:r w:rsidRPr="00E039C7">
        <w:rPr>
          <w:rFonts w:ascii="Arial" w:hAnsi="Arial" w:cs="Arial"/>
        </w:rPr>
        <w:t xml:space="preserve"> </w:t>
      </w:r>
      <w:proofErr w:type="spellStart"/>
      <w:r w:rsidRPr="00E039C7">
        <w:rPr>
          <w:rFonts w:ascii="Arial" w:hAnsi="Arial" w:cs="Arial"/>
        </w:rPr>
        <w:t>was</w:t>
      </w:r>
      <w:proofErr w:type="spellEnd"/>
      <w:r w:rsidRPr="00E039C7">
        <w:rPr>
          <w:rFonts w:ascii="Arial" w:hAnsi="Arial" w:cs="Arial"/>
        </w:rPr>
        <w:t xml:space="preserve"> </w:t>
      </w:r>
      <w:proofErr w:type="spellStart"/>
      <w:r w:rsidRPr="00E039C7">
        <w:rPr>
          <w:rFonts w:ascii="Arial" w:hAnsi="Arial" w:cs="Arial"/>
        </w:rPr>
        <w:t>related</w:t>
      </w:r>
      <w:proofErr w:type="spellEnd"/>
      <w:r w:rsidRPr="00E039C7">
        <w:rPr>
          <w:rFonts w:ascii="Arial" w:hAnsi="Arial" w:cs="Arial"/>
        </w:rPr>
        <w:t xml:space="preserve"> </w:t>
      </w:r>
      <w:proofErr w:type="spellStart"/>
      <w:r w:rsidRPr="00E039C7">
        <w:rPr>
          <w:rFonts w:ascii="Arial" w:hAnsi="Arial" w:cs="Arial"/>
        </w:rPr>
        <w:t>to</w:t>
      </w:r>
      <w:proofErr w:type="spellEnd"/>
      <w:r w:rsidRPr="00E039C7">
        <w:rPr>
          <w:rFonts w:ascii="Arial" w:hAnsi="Arial" w:cs="Arial"/>
        </w:rPr>
        <w:t xml:space="preserve"> </w:t>
      </w:r>
      <w:proofErr w:type="spellStart"/>
      <w:r w:rsidRPr="00E039C7">
        <w:rPr>
          <w:rFonts w:ascii="Arial" w:hAnsi="Arial" w:cs="Arial"/>
        </w:rPr>
        <w:t>greater</w:t>
      </w:r>
      <w:proofErr w:type="spellEnd"/>
      <w:r w:rsidRPr="00E039C7">
        <w:rPr>
          <w:rFonts w:ascii="Arial" w:hAnsi="Arial" w:cs="Arial"/>
        </w:rPr>
        <w:t xml:space="preserve"> </w:t>
      </w:r>
      <w:proofErr w:type="spellStart"/>
      <w:r w:rsidRPr="00E039C7">
        <w:rPr>
          <w:rFonts w:ascii="Arial" w:hAnsi="Arial" w:cs="Arial"/>
        </w:rPr>
        <w:t>anxiety</w:t>
      </w:r>
      <w:proofErr w:type="spellEnd"/>
      <w:r w:rsidRPr="00E039C7">
        <w:rPr>
          <w:rFonts w:ascii="Arial" w:hAnsi="Arial" w:cs="Arial"/>
        </w:rPr>
        <w:t xml:space="preserve"> </w:t>
      </w:r>
      <w:proofErr w:type="spellStart"/>
      <w:r w:rsidRPr="00E039C7">
        <w:rPr>
          <w:rFonts w:ascii="Arial" w:hAnsi="Arial" w:cs="Arial"/>
        </w:rPr>
        <w:t>and</w:t>
      </w:r>
      <w:proofErr w:type="spellEnd"/>
      <w:r w:rsidRPr="00E039C7">
        <w:rPr>
          <w:rFonts w:ascii="Arial" w:hAnsi="Arial" w:cs="Arial"/>
        </w:rPr>
        <w:t xml:space="preserve"> </w:t>
      </w:r>
      <w:proofErr w:type="spellStart"/>
      <w:r w:rsidRPr="00E039C7">
        <w:rPr>
          <w:rFonts w:ascii="Arial" w:hAnsi="Arial" w:cs="Arial"/>
        </w:rPr>
        <w:t>less</w:t>
      </w:r>
      <w:proofErr w:type="spellEnd"/>
      <w:r w:rsidRPr="00E039C7">
        <w:rPr>
          <w:rFonts w:ascii="Arial" w:hAnsi="Arial" w:cs="Arial"/>
        </w:rPr>
        <w:t xml:space="preserve"> stress.</w:t>
      </w:r>
      <w:r w:rsidR="004F0E5A">
        <w:rPr>
          <w:rFonts w:ascii="Arial" w:hAnsi="Arial" w:cs="Arial"/>
        </w:rPr>
        <w:t xml:space="preserve"> </w:t>
      </w:r>
      <w:r w:rsidR="004F0E5A">
        <w:rPr>
          <w:rFonts w:ascii="Arial" w:eastAsia="Arial" w:hAnsi="Arial" w:cs="Arial"/>
          <w:bCs/>
          <w:lang w:val="en-US"/>
        </w:rPr>
        <w:t>Higher education, financial losses, working from home, perceived risk of COVID-19, frequency of information seeking and the number of leisure activities were additional predictors of psychological symptoms.</w:t>
      </w:r>
      <w:r w:rsidR="004F0E5A">
        <w:rPr>
          <w:rFonts w:ascii="Arial" w:eastAsia="Arial" w:hAnsi="Arial" w:cs="Arial"/>
          <w:bCs/>
          <w:lang w:val="en-US"/>
        </w:rPr>
        <w:t xml:space="preserve"> </w:t>
      </w:r>
      <w:r w:rsidR="004F0E5A">
        <w:rPr>
          <w:rFonts w:ascii="Arial" w:eastAsia="Arial" w:hAnsi="Arial" w:cs="Arial"/>
          <w:bCs/>
          <w:lang w:val="en-US"/>
        </w:rPr>
        <w:t xml:space="preserve">The study emphasize that mental health outcomes were shaped by a complex interplay between clinical </w:t>
      </w:r>
      <w:r w:rsidR="004F0E5A">
        <w:rPr>
          <w:rFonts w:ascii="Arial" w:eastAsia="Arial" w:hAnsi="Arial" w:cs="Arial"/>
          <w:bCs/>
          <w:lang w:val="en-US"/>
        </w:rPr>
        <w:lastRenderedPageBreak/>
        <w:t>condition, work and financial context, information exposure and behavioral adaptation, underscoring the need for tailored psychosocial interventions for PLHIV and the general population.</w:t>
      </w:r>
    </w:p>
    <w:p w14:paraId="18DCEF60" w14:textId="2D038BF4" w:rsidR="00E634B4" w:rsidRPr="00EA6368" w:rsidRDefault="007A6183" w:rsidP="00C779D7">
      <w:pPr>
        <w:pStyle w:val="Ttulo1"/>
      </w:pPr>
      <w:r w:rsidRPr="00EA6368">
        <w:t>Limitations</w:t>
      </w:r>
      <w:r w:rsidR="00035C78" w:rsidRPr="00EA6368">
        <w:t>:</w:t>
      </w:r>
    </w:p>
    <w:p w14:paraId="6EE889D6" w14:textId="37D1D0B8" w:rsidR="00E634B4" w:rsidRPr="00EA6368" w:rsidRDefault="00E634B4" w:rsidP="00646B46">
      <w:pPr>
        <w:spacing w:line="360" w:lineRule="auto"/>
        <w:ind w:firstLine="708"/>
        <w:jc w:val="both"/>
        <w:rPr>
          <w:rFonts w:ascii="Arial" w:eastAsia="Arial" w:hAnsi="Arial" w:cs="Arial"/>
          <w:color w:val="000000"/>
          <w:lang w:val="en-US"/>
        </w:rPr>
      </w:pPr>
      <w:r w:rsidRPr="00EA6368">
        <w:rPr>
          <w:rFonts w:ascii="Arial" w:eastAsia="Arial" w:hAnsi="Arial" w:cs="Arial"/>
          <w:color w:val="000000"/>
          <w:lang w:val="en-US"/>
        </w:rPr>
        <w:t>Limitations</w:t>
      </w:r>
      <w:r w:rsidR="00646B46" w:rsidRPr="00EA6368">
        <w:rPr>
          <w:rFonts w:ascii="Arial" w:eastAsia="Arial" w:hAnsi="Arial" w:cs="Arial"/>
          <w:color w:val="000000"/>
          <w:lang w:val="en-US"/>
        </w:rPr>
        <w:t xml:space="preserve"> of the study</w:t>
      </w:r>
      <w:r w:rsidRPr="00EA6368">
        <w:rPr>
          <w:rFonts w:ascii="Arial" w:eastAsia="Arial" w:hAnsi="Arial" w:cs="Arial"/>
          <w:color w:val="000000"/>
          <w:lang w:val="en-US"/>
        </w:rPr>
        <w:t xml:space="preserve"> include</w:t>
      </w:r>
      <w:r w:rsidR="00646B46" w:rsidRPr="00EA6368">
        <w:rPr>
          <w:rFonts w:ascii="Arial" w:eastAsia="Arial" w:hAnsi="Arial" w:cs="Arial"/>
          <w:color w:val="000000"/>
          <w:lang w:val="en-US"/>
        </w:rPr>
        <w:t>s poten</w:t>
      </w:r>
      <w:r w:rsidR="00D63728" w:rsidRPr="00EA6368">
        <w:rPr>
          <w:rFonts w:ascii="Arial" w:eastAsia="Arial" w:hAnsi="Arial" w:cs="Arial"/>
          <w:color w:val="000000"/>
          <w:lang w:val="en-US"/>
        </w:rPr>
        <w:t>t</w:t>
      </w:r>
      <w:r w:rsidR="00646B46" w:rsidRPr="00EA6368">
        <w:rPr>
          <w:rFonts w:ascii="Arial" w:eastAsia="Arial" w:hAnsi="Arial" w:cs="Arial"/>
          <w:color w:val="000000"/>
          <w:lang w:val="en-US"/>
        </w:rPr>
        <w:t>ial biases such as a single-center design and</w:t>
      </w:r>
      <w:r w:rsidRPr="00EA6368">
        <w:rPr>
          <w:rFonts w:ascii="Arial" w:eastAsia="Arial" w:hAnsi="Arial" w:cs="Arial"/>
          <w:color w:val="000000"/>
          <w:lang w:val="en-US"/>
        </w:rPr>
        <w:t xml:space="preserve"> the observational nature of the study, which could not adequately control the unobservable variables in question</w:t>
      </w:r>
      <w:r w:rsidR="00646B46" w:rsidRPr="00EA6368">
        <w:rPr>
          <w:rFonts w:ascii="Arial" w:eastAsia="Arial" w:hAnsi="Arial" w:cs="Arial"/>
          <w:color w:val="000000"/>
          <w:lang w:val="en-US"/>
        </w:rPr>
        <w:t xml:space="preserve">. The unicentric nature of the study is a factor that can reduces the external validity of the results and the </w:t>
      </w:r>
      <w:r w:rsidRPr="00EA6368">
        <w:rPr>
          <w:rFonts w:ascii="Arial" w:eastAsia="Arial" w:hAnsi="Arial" w:cs="Arial"/>
          <w:color w:val="000000"/>
          <w:lang w:val="en-US"/>
        </w:rPr>
        <w:t>use of convenience sampling (non-probabilistic) could</w:t>
      </w:r>
      <w:r w:rsidR="00646B46" w:rsidRPr="00EA6368">
        <w:rPr>
          <w:rFonts w:ascii="Arial" w:eastAsia="Arial" w:hAnsi="Arial" w:cs="Arial"/>
          <w:color w:val="000000"/>
          <w:lang w:val="en-US"/>
        </w:rPr>
        <w:t xml:space="preserve"> also</w:t>
      </w:r>
      <w:r w:rsidRPr="00EA6368">
        <w:rPr>
          <w:rFonts w:ascii="Arial" w:eastAsia="Arial" w:hAnsi="Arial" w:cs="Arial"/>
          <w:color w:val="000000"/>
          <w:lang w:val="en-US"/>
        </w:rPr>
        <w:t xml:space="preserve"> generate interference in the results obtained. Other limitations are the non-inclusion of potential important factors in the questionnaire that could better explain the variability of the data</w:t>
      </w:r>
      <w:r w:rsidR="00646B46" w:rsidRPr="00EA6368">
        <w:rPr>
          <w:rFonts w:ascii="Arial" w:eastAsia="Arial" w:hAnsi="Arial" w:cs="Arial"/>
          <w:color w:val="000000"/>
          <w:lang w:val="en-US"/>
        </w:rPr>
        <w:t>.</w:t>
      </w:r>
    </w:p>
    <w:p w14:paraId="77C9C1C0" w14:textId="69E48CD8" w:rsidR="0053432A" w:rsidRDefault="00E634B4" w:rsidP="00646B46">
      <w:pPr>
        <w:spacing w:line="360" w:lineRule="auto"/>
        <w:ind w:firstLine="708"/>
        <w:jc w:val="both"/>
        <w:rPr>
          <w:rFonts w:ascii="Arial" w:hAnsi="Arial" w:cs="Arial"/>
          <w:lang w:val="en-US"/>
        </w:rPr>
      </w:pPr>
      <w:r w:rsidRPr="00EA6368">
        <w:rPr>
          <w:rFonts w:ascii="Arial" w:hAnsi="Arial" w:cs="Arial"/>
          <w:lang w:val="en-US"/>
        </w:rPr>
        <w:t>It is worth highlighting the importance of predictors for depression, anxiety and stress evaluated in this study</w:t>
      </w:r>
      <w:r w:rsidR="00646B46" w:rsidRPr="00EA6368">
        <w:rPr>
          <w:rFonts w:ascii="Arial" w:hAnsi="Arial" w:cs="Arial"/>
          <w:lang w:val="en-US"/>
        </w:rPr>
        <w:t xml:space="preserve"> so </w:t>
      </w:r>
      <w:r w:rsidRPr="00EA6368">
        <w:rPr>
          <w:rFonts w:ascii="Arial" w:hAnsi="Arial" w:cs="Arial"/>
          <w:lang w:val="en-US"/>
        </w:rPr>
        <w:t>appropriate public health strategies can be designed and individualized aimed at providing support and psychological assistance for PLHIV, given the great clinical impact generated on health physical and mental health of this population during COVID-19.</w:t>
      </w:r>
    </w:p>
    <w:p w14:paraId="2AEAD34C" w14:textId="5F53220C" w:rsidR="00677420" w:rsidRDefault="00677420" w:rsidP="00C779D7">
      <w:pPr>
        <w:pStyle w:val="Ttulo1"/>
      </w:pPr>
      <w:r w:rsidRPr="00677420">
        <w:t xml:space="preserve">Declarations: </w:t>
      </w:r>
    </w:p>
    <w:p w14:paraId="77BD7CAF" w14:textId="789A96E8" w:rsidR="00677420" w:rsidRDefault="00677420" w:rsidP="00C779D7">
      <w:pPr>
        <w:pStyle w:val="Ttulo2"/>
        <w:spacing w:line="360" w:lineRule="auto"/>
      </w:pPr>
      <w:r>
        <w:t>Ethics approval:</w:t>
      </w:r>
    </w:p>
    <w:p w14:paraId="4ED79EFC" w14:textId="76948A9D" w:rsidR="00677420" w:rsidRDefault="00677420" w:rsidP="00D917D8">
      <w:pPr>
        <w:spacing w:line="360" w:lineRule="auto"/>
        <w:ind w:firstLine="708"/>
        <w:jc w:val="both"/>
        <w:rPr>
          <w:rFonts w:ascii="Arial" w:hAnsi="Arial" w:cs="Arial"/>
          <w:i/>
          <w:iCs/>
          <w:lang w:val="en-US"/>
        </w:rPr>
      </w:pPr>
      <w:r w:rsidRPr="00677420">
        <w:rPr>
          <w:rFonts w:ascii="Arial" w:hAnsi="Arial" w:cs="Arial"/>
          <w:color w:val="333333"/>
          <w:shd w:val="clear" w:color="auto" w:fill="FCFCFC"/>
          <w:lang w:val="en-US"/>
        </w:rPr>
        <w:t xml:space="preserve">The questionnaire and methodology for this study </w:t>
      </w:r>
      <w:proofErr w:type="gramStart"/>
      <w:r w:rsidRPr="00677420">
        <w:rPr>
          <w:rFonts w:ascii="Arial" w:hAnsi="Arial" w:cs="Arial"/>
          <w:color w:val="333333"/>
          <w:shd w:val="clear" w:color="auto" w:fill="FCFCFC"/>
          <w:lang w:val="en-US"/>
        </w:rPr>
        <w:t>was</w:t>
      </w:r>
      <w:proofErr w:type="gramEnd"/>
      <w:r w:rsidRPr="00677420">
        <w:rPr>
          <w:rFonts w:ascii="Arial" w:hAnsi="Arial" w:cs="Arial"/>
          <w:color w:val="333333"/>
          <w:shd w:val="clear" w:color="auto" w:fill="FCFCFC"/>
          <w:lang w:val="en-US"/>
        </w:rPr>
        <w:t xml:space="preserve"> approved by the Human Research Ethics committee </w:t>
      </w:r>
      <w:r w:rsidRPr="00EA6368">
        <w:rPr>
          <w:rFonts w:ascii="Arial" w:eastAsia="Arial" w:hAnsi="Arial" w:cs="Arial"/>
          <w:lang w:val="en-US"/>
        </w:rPr>
        <w:t>in accordance with Resolution 466/12 of the National Health Council of Brazil</w:t>
      </w:r>
      <w:r>
        <w:rPr>
          <w:rFonts w:ascii="Arial" w:eastAsia="Arial" w:hAnsi="Arial" w:cs="Arial"/>
          <w:lang w:val="en-US"/>
        </w:rPr>
        <w:t xml:space="preserve">. </w:t>
      </w:r>
      <w:r w:rsidR="009C225C">
        <w:rPr>
          <w:rFonts w:ascii="Arial" w:eastAsia="Arial" w:hAnsi="Arial" w:cs="Arial"/>
          <w:lang w:val="en-US"/>
        </w:rPr>
        <w:t>T</w:t>
      </w:r>
      <w:r w:rsidR="009C225C" w:rsidRPr="00EA6368">
        <w:rPr>
          <w:rFonts w:ascii="Arial" w:eastAsia="Arial" w:hAnsi="Arial" w:cs="Arial"/>
          <w:lang w:val="en-US"/>
        </w:rPr>
        <w:t>his</w:t>
      </w:r>
      <w:r w:rsidRPr="00EA6368">
        <w:rPr>
          <w:rFonts w:ascii="Arial" w:eastAsia="Arial" w:hAnsi="Arial" w:cs="Arial"/>
          <w:lang w:val="en-US"/>
        </w:rPr>
        <w:t xml:space="preserve"> project was subjected to evaluation and approved by the Research Ethics Committee of a quaternary hospital in São Paulo (CAAE:</w:t>
      </w:r>
      <w:r w:rsidRPr="00EA6368">
        <w:rPr>
          <w:rFonts w:ascii="Times New Roman" w:eastAsiaTheme="minorHAnsi" w:hAnsi="Times New Roman" w:cs="Times New Roman"/>
          <w:lang w:val="en-US" w:eastAsia="en-US"/>
          <w14:ligatures w14:val="standardContextual"/>
        </w:rPr>
        <w:t xml:space="preserve"> </w:t>
      </w:r>
      <w:r w:rsidRPr="00EA6368">
        <w:rPr>
          <w:rFonts w:ascii="Arial" w:eastAsiaTheme="minorHAnsi" w:hAnsi="Arial" w:cs="Arial"/>
          <w:lang w:val="en-US" w:eastAsia="en-US"/>
          <w14:ligatures w14:val="standardContextual"/>
        </w:rPr>
        <w:t xml:space="preserve">43040521.1.0000.0068, number of </w:t>
      </w:r>
      <w:proofErr w:type="gramStart"/>
      <w:r w:rsidRPr="00EA6368">
        <w:rPr>
          <w:rFonts w:ascii="Arial" w:eastAsiaTheme="minorHAnsi" w:hAnsi="Arial" w:cs="Arial"/>
          <w:lang w:val="en-US" w:eastAsia="en-US"/>
          <w14:ligatures w14:val="standardContextual"/>
        </w:rPr>
        <w:t>review</w:t>
      </w:r>
      <w:proofErr w:type="gramEnd"/>
      <w:r w:rsidRPr="00EA6368">
        <w:rPr>
          <w:rFonts w:ascii="Arial" w:eastAsiaTheme="minorHAnsi" w:hAnsi="Arial" w:cs="Arial"/>
          <w:lang w:val="en-US" w:eastAsia="en-US"/>
          <w14:ligatures w14:val="standardContextual"/>
        </w:rPr>
        <w:t>: 4.636.774).</w:t>
      </w:r>
    </w:p>
    <w:p w14:paraId="552C4185" w14:textId="0522D0BC" w:rsidR="00677420" w:rsidRDefault="00677420" w:rsidP="00C779D7">
      <w:pPr>
        <w:pStyle w:val="Ttulo2"/>
        <w:spacing w:line="360" w:lineRule="auto"/>
      </w:pPr>
      <w:r>
        <w:t>Consent to participate:</w:t>
      </w:r>
    </w:p>
    <w:p w14:paraId="6179964A" w14:textId="31A35E85" w:rsidR="00677420" w:rsidRDefault="00677420" w:rsidP="00C779D7">
      <w:pPr>
        <w:spacing w:line="360" w:lineRule="auto"/>
        <w:ind w:firstLine="708"/>
        <w:jc w:val="both"/>
        <w:rPr>
          <w:rFonts w:ascii="Arial" w:hAnsi="Arial" w:cs="Arial"/>
          <w:color w:val="333333"/>
          <w:shd w:val="clear" w:color="auto" w:fill="FCFCFC"/>
          <w:lang w:val="en-US"/>
        </w:rPr>
      </w:pPr>
      <w:r w:rsidRPr="00677420">
        <w:rPr>
          <w:rFonts w:ascii="Arial" w:hAnsi="Arial" w:cs="Arial"/>
          <w:color w:val="333333"/>
          <w:shd w:val="clear" w:color="auto" w:fill="FCFCFC"/>
          <w:lang w:val="en-US"/>
        </w:rPr>
        <w:t>Informed consent was obtained from all individual participants included in the study.</w:t>
      </w:r>
    </w:p>
    <w:p w14:paraId="4C0DC759" w14:textId="0EE43A48" w:rsidR="00677420" w:rsidRDefault="00677420" w:rsidP="00C779D7">
      <w:pPr>
        <w:pStyle w:val="Ttulo2"/>
        <w:spacing w:line="360" w:lineRule="auto"/>
        <w:rPr>
          <w:shd w:val="clear" w:color="auto" w:fill="FCFCFC"/>
        </w:rPr>
      </w:pPr>
      <w:r w:rsidRPr="00677420">
        <w:rPr>
          <w:shd w:val="clear" w:color="auto" w:fill="FCFCFC"/>
        </w:rPr>
        <w:t>Consent to publish:</w:t>
      </w:r>
    </w:p>
    <w:p w14:paraId="0797EA5D" w14:textId="57F03269" w:rsidR="00646B46" w:rsidRPr="00D917D8" w:rsidRDefault="00677420" w:rsidP="00D917D8">
      <w:pPr>
        <w:spacing w:line="360" w:lineRule="auto"/>
        <w:ind w:firstLine="708"/>
        <w:jc w:val="both"/>
        <w:rPr>
          <w:rFonts w:ascii="Arial" w:hAnsi="Arial" w:cs="Arial"/>
          <w:i/>
          <w:iCs/>
          <w:lang w:val="en-US"/>
        </w:rPr>
      </w:pPr>
      <w:r w:rsidRPr="00677420">
        <w:rPr>
          <w:rFonts w:ascii="Arial" w:hAnsi="Arial" w:cs="Arial"/>
          <w:color w:val="333333"/>
          <w:shd w:val="clear" w:color="auto" w:fill="FCFCFC"/>
          <w:lang w:val="en-US"/>
        </w:rPr>
        <w:t>Patients signed informed consent regarding publishing their data</w:t>
      </w:r>
      <w:r>
        <w:rPr>
          <w:rFonts w:ascii="Arial" w:hAnsi="Arial" w:cs="Arial"/>
          <w:color w:val="333333"/>
          <w:shd w:val="clear" w:color="auto" w:fill="FCFCFC"/>
          <w:lang w:val="en-US"/>
        </w:rPr>
        <w:t>.</w:t>
      </w:r>
    </w:p>
    <w:p w14:paraId="1EC08F58" w14:textId="43045EBF" w:rsidR="002334D6" w:rsidRPr="00D917D8" w:rsidRDefault="002334D6" w:rsidP="00D917D8">
      <w:pPr>
        <w:pStyle w:val="Ttulo1"/>
      </w:pPr>
      <w:r w:rsidRPr="00D917D8">
        <w:lastRenderedPageBreak/>
        <w:t>References:</w:t>
      </w:r>
    </w:p>
    <w:p w14:paraId="5CD34B8D" w14:textId="77777777" w:rsidR="00F74DF6" w:rsidRPr="00F74DF6" w:rsidRDefault="0044337F" w:rsidP="00F74DF6">
      <w:pPr>
        <w:pStyle w:val="Bibliography"/>
        <w:jc w:val="both"/>
      </w:pPr>
      <w:r w:rsidRPr="00D917D8">
        <w:rPr>
          <w:rFonts w:eastAsia="Calibri"/>
          <w:b/>
        </w:rPr>
        <w:fldChar w:fldCharType="begin"/>
      </w:r>
      <w:r w:rsidR="00F74DF6">
        <w:instrText xml:space="preserve"> ADDIN ZOTERO_BIBL {"uncited":[],"omitted":[],"custom":[]} CSL_BIBLIOGRAPHY </w:instrText>
      </w:r>
      <w:r w:rsidRPr="00D917D8">
        <w:rPr>
          <w:rFonts w:eastAsia="Calibri"/>
          <w:b/>
        </w:rPr>
        <w:fldChar w:fldCharType="separate"/>
      </w:r>
      <w:proofErr w:type="spellStart"/>
      <w:r w:rsidR="00F74DF6" w:rsidRPr="00F74DF6">
        <w:t>Aghaie</w:t>
      </w:r>
      <w:proofErr w:type="spellEnd"/>
      <w:r w:rsidR="00F74DF6" w:rsidRPr="00F74DF6">
        <w:t xml:space="preserve">, P., &amp; Barzegar, M. (2024). Medication adherence and its relationship with stress, anxiety and depression in parents or caregivers of epileptic children. </w:t>
      </w:r>
      <w:r w:rsidR="00F74DF6" w:rsidRPr="00F74DF6">
        <w:rPr>
          <w:i/>
          <w:iCs/>
        </w:rPr>
        <w:t>Epilepsy &amp; Behavior</w:t>
      </w:r>
      <w:r w:rsidR="00F74DF6" w:rsidRPr="00F74DF6">
        <w:t xml:space="preserve">, </w:t>
      </w:r>
      <w:r w:rsidR="00F74DF6" w:rsidRPr="00F74DF6">
        <w:rPr>
          <w:i/>
          <w:iCs/>
        </w:rPr>
        <w:t>161</w:t>
      </w:r>
      <w:r w:rsidR="00F74DF6" w:rsidRPr="00F74DF6">
        <w:t>, 110090. https://doi.org/10.1016/j.yebeh.2024.110090</w:t>
      </w:r>
    </w:p>
    <w:p w14:paraId="310643BB" w14:textId="77777777" w:rsidR="00F74DF6" w:rsidRPr="00F74DF6" w:rsidRDefault="00F74DF6" w:rsidP="00F74DF6">
      <w:pPr>
        <w:pStyle w:val="Bibliography"/>
        <w:jc w:val="both"/>
      </w:pPr>
      <w:r w:rsidRPr="00F74DF6">
        <w:t xml:space="preserve">Al Ani, H. M., Al Shawi, A. F., </w:t>
      </w:r>
      <w:proofErr w:type="spellStart"/>
      <w:r w:rsidRPr="00F74DF6">
        <w:t>Lafta</w:t>
      </w:r>
      <w:proofErr w:type="spellEnd"/>
      <w:r w:rsidRPr="00F74DF6">
        <w:t xml:space="preserve">, R. K., Abdulqadir, O., Nadhim, S., &amp; Abdulkarim, S. (2024). Influence of stress, anxiety, and depression on sleep quality and academic performance of medical students in Fallujah University, Iraq. </w:t>
      </w:r>
      <w:r w:rsidRPr="00F74DF6">
        <w:rPr>
          <w:i/>
          <w:iCs/>
        </w:rPr>
        <w:t>International Journal of Social Psychiatry</w:t>
      </w:r>
      <w:r w:rsidRPr="00F74DF6">
        <w:t xml:space="preserve">, </w:t>
      </w:r>
      <w:r w:rsidRPr="00F74DF6">
        <w:rPr>
          <w:i/>
          <w:iCs/>
        </w:rPr>
        <w:t>70</w:t>
      </w:r>
      <w:r w:rsidRPr="00F74DF6">
        <w:t>(4), 772–777. https://doi.org/10.1177/00207640241229381</w:t>
      </w:r>
    </w:p>
    <w:p w14:paraId="586118CD" w14:textId="77777777" w:rsidR="00F74DF6" w:rsidRPr="00F74DF6" w:rsidRDefault="00F74DF6" w:rsidP="00F74DF6">
      <w:pPr>
        <w:pStyle w:val="Bibliography"/>
        <w:jc w:val="both"/>
      </w:pPr>
      <w:r w:rsidRPr="00F74DF6">
        <w:t xml:space="preserve">Bhaskaran, K., Rentsch, C. T., MacKenna, B., Schultze, A., </w:t>
      </w:r>
      <w:proofErr w:type="spellStart"/>
      <w:r w:rsidRPr="00F74DF6">
        <w:t>Mehrkar</w:t>
      </w:r>
      <w:proofErr w:type="spellEnd"/>
      <w:r w:rsidRPr="00F74DF6">
        <w:t xml:space="preserve">, A., Bates, C. J., Eggo, R. M., Morton, C. E., Bacon, S. C. J., Inglesby, P., Douglas, I. J., Walker, A. J., McDonald, H. I., Cockburn, J., Williamson, E. J., Evans, D., Forbes, H. J., Curtis, H. J., Hulme, W. J., … Goldacre, B. (2021). HIV infection and COVID-19 death: A population-based cohort analysis of UK primary care data and linked national death registrations within the </w:t>
      </w:r>
      <w:proofErr w:type="spellStart"/>
      <w:r w:rsidRPr="00F74DF6">
        <w:t>OpenSAFELY</w:t>
      </w:r>
      <w:proofErr w:type="spellEnd"/>
      <w:r w:rsidRPr="00F74DF6">
        <w:t xml:space="preserve"> platform. </w:t>
      </w:r>
      <w:r w:rsidRPr="00F74DF6">
        <w:rPr>
          <w:i/>
          <w:iCs/>
        </w:rPr>
        <w:t>The Lancet. HIV</w:t>
      </w:r>
      <w:r w:rsidRPr="00F74DF6">
        <w:t xml:space="preserve">, </w:t>
      </w:r>
      <w:r w:rsidRPr="00F74DF6">
        <w:rPr>
          <w:i/>
          <w:iCs/>
        </w:rPr>
        <w:t>8</w:t>
      </w:r>
      <w:r w:rsidRPr="00F74DF6">
        <w:t>(1), e24–e32. https://doi.org/10.1016/S2352-3018(20)30305-2</w:t>
      </w:r>
    </w:p>
    <w:p w14:paraId="20014F56" w14:textId="77777777" w:rsidR="00F74DF6" w:rsidRPr="00F74DF6" w:rsidRDefault="00F74DF6" w:rsidP="00F74DF6">
      <w:pPr>
        <w:pStyle w:val="Bibliography"/>
        <w:jc w:val="both"/>
      </w:pPr>
      <w:r w:rsidRPr="00F74DF6">
        <w:t xml:space="preserve">Brooks, S. K., Webster, R. K., Smith, L. E., Woodland, L., Wessely, S., Greenberg, N., &amp; Rubin, G. J. (2020). The psychological impact of quarantine and how to reduce it: Rapid review of the evidence. </w:t>
      </w:r>
      <w:r w:rsidRPr="00F74DF6">
        <w:rPr>
          <w:i/>
          <w:iCs/>
        </w:rPr>
        <w:t>Lancet (London, England)</w:t>
      </w:r>
      <w:r w:rsidRPr="00F74DF6">
        <w:t xml:space="preserve">, </w:t>
      </w:r>
      <w:r w:rsidRPr="00F74DF6">
        <w:rPr>
          <w:i/>
          <w:iCs/>
        </w:rPr>
        <w:t>395</w:t>
      </w:r>
      <w:r w:rsidRPr="00F74DF6">
        <w:t>(10227), 912–920. https://doi.org/10.1016/S0140-6736(20)30460-8</w:t>
      </w:r>
    </w:p>
    <w:p w14:paraId="6D4D4811" w14:textId="77777777" w:rsidR="00F74DF6" w:rsidRPr="00F74DF6" w:rsidRDefault="00F74DF6" w:rsidP="00F74DF6">
      <w:pPr>
        <w:pStyle w:val="Bibliography"/>
        <w:jc w:val="both"/>
      </w:pPr>
      <w:r w:rsidRPr="00F74DF6">
        <w:t xml:space="preserve">Canet-Juric, L., Andrés, M. L., Del Valle, M., López-Morales, H., </w:t>
      </w:r>
      <w:proofErr w:type="spellStart"/>
      <w:r w:rsidRPr="00F74DF6">
        <w:t>Poó</w:t>
      </w:r>
      <w:proofErr w:type="spellEnd"/>
      <w:r w:rsidRPr="00F74DF6">
        <w:t xml:space="preserve">, F., Galli, J. I., </w:t>
      </w:r>
      <w:proofErr w:type="spellStart"/>
      <w:r w:rsidRPr="00F74DF6">
        <w:t>Yerro</w:t>
      </w:r>
      <w:proofErr w:type="spellEnd"/>
      <w:r w:rsidRPr="00F74DF6">
        <w:t xml:space="preserve">, M., &amp; Urquijo, S. (2020). A Longitudinal Study on the Emotional </w:t>
      </w:r>
      <w:r w:rsidRPr="00F74DF6">
        <w:lastRenderedPageBreak/>
        <w:t xml:space="preserve">Impact Cause by the COVID-19 Pandemic Quarantine on General Population. </w:t>
      </w:r>
      <w:r w:rsidRPr="00F74DF6">
        <w:rPr>
          <w:i/>
          <w:iCs/>
        </w:rPr>
        <w:t>Frontiers in Psychology</w:t>
      </w:r>
      <w:r w:rsidRPr="00F74DF6">
        <w:t xml:space="preserve">, </w:t>
      </w:r>
      <w:r w:rsidRPr="00F74DF6">
        <w:rPr>
          <w:i/>
          <w:iCs/>
        </w:rPr>
        <w:t>11</w:t>
      </w:r>
      <w:r w:rsidRPr="00F74DF6">
        <w:t>, 565688. https://doi.org/10.3389/fpsyg.2020.565688</w:t>
      </w:r>
    </w:p>
    <w:p w14:paraId="48D2AC5C" w14:textId="77777777" w:rsidR="00F74DF6" w:rsidRPr="00F74DF6" w:rsidRDefault="00F74DF6" w:rsidP="00F74DF6">
      <w:pPr>
        <w:pStyle w:val="Bibliography"/>
        <w:jc w:val="both"/>
      </w:pPr>
      <w:r w:rsidRPr="00F74DF6">
        <w:t xml:space="preserve">Choi, S. K. Y., Boyle, E., Cairney, J., Gardner, S., Collins, E. J., Bacon, J., Rourke, S. B., &amp; OHTN Cohort Study Group. (2016). Adequacy of Mental Health Services for HIV-Positive Patients with Depression: Ontario HIV Treatment Network Cohort Study. </w:t>
      </w:r>
      <w:proofErr w:type="spellStart"/>
      <w:r w:rsidRPr="00F74DF6">
        <w:rPr>
          <w:i/>
          <w:iCs/>
        </w:rPr>
        <w:t>PloS</w:t>
      </w:r>
      <w:proofErr w:type="spellEnd"/>
      <w:r w:rsidRPr="00F74DF6">
        <w:rPr>
          <w:i/>
          <w:iCs/>
        </w:rPr>
        <w:t xml:space="preserve"> One</w:t>
      </w:r>
      <w:r w:rsidRPr="00F74DF6">
        <w:t xml:space="preserve">, </w:t>
      </w:r>
      <w:r w:rsidRPr="00F74DF6">
        <w:rPr>
          <w:i/>
          <w:iCs/>
        </w:rPr>
        <w:t>11</w:t>
      </w:r>
      <w:r w:rsidRPr="00F74DF6">
        <w:t>(6), e0156652. https://doi.org/10.1371/journal.pone.0156652</w:t>
      </w:r>
    </w:p>
    <w:p w14:paraId="552B2CBF" w14:textId="77777777" w:rsidR="00F74DF6" w:rsidRPr="00F74DF6" w:rsidRDefault="00F74DF6" w:rsidP="00F74DF6">
      <w:pPr>
        <w:pStyle w:val="Bibliography"/>
        <w:jc w:val="both"/>
      </w:pPr>
      <w:r w:rsidRPr="00F74DF6">
        <w:t xml:space="preserve">Costa, L. M. C. B. V., Casseb, J. S. </w:t>
      </w:r>
      <w:proofErr w:type="spellStart"/>
      <w:r w:rsidRPr="00F74DF6">
        <w:t>do</w:t>
      </w:r>
      <w:proofErr w:type="spellEnd"/>
      <w:r w:rsidRPr="00F74DF6">
        <w:t xml:space="preserve"> R., Gascon, M. R. P., &amp; Fonseca, L. A. M. (2018). Personality characteristics and adherence to treatment in young patients with HIV. </w:t>
      </w:r>
      <w:r w:rsidRPr="00F74DF6">
        <w:rPr>
          <w:i/>
          <w:iCs/>
        </w:rPr>
        <w:t>Revista Da SBPH</w:t>
      </w:r>
      <w:r w:rsidRPr="00F74DF6">
        <w:t xml:space="preserve">, </w:t>
      </w:r>
      <w:r w:rsidRPr="00F74DF6">
        <w:rPr>
          <w:i/>
          <w:iCs/>
        </w:rPr>
        <w:t>21</w:t>
      </w:r>
      <w:r w:rsidRPr="00F74DF6">
        <w:t>(1), 06–35.</w:t>
      </w:r>
    </w:p>
    <w:p w14:paraId="746087BB" w14:textId="77777777" w:rsidR="00F74DF6" w:rsidRPr="00F74DF6" w:rsidRDefault="00F74DF6" w:rsidP="00F74DF6">
      <w:pPr>
        <w:pStyle w:val="Bibliography"/>
        <w:jc w:val="both"/>
      </w:pPr>
      <w:r w:rsidRPr="00F74DF6">
        <w:t xml:space="preserve">Frota, I. J., De Moura </w:t>
      </w:r>
      <w:proofErr w:type="spellStart"/>
      <w:r w:rsidRPr="00F74DF6">
        <w:t>Fé</w:t>
      </w:r>
      <w:proofErr w:type="spellEnd"/>
      <w:r w:rsidRPr="00F74DF6">
        <w:t xml:space="preserve">, A. A. C., De Paula, F. T. M., De Moura, V. E. G. S., &amp; Campos, E. D. M. (2022). </w:t>
      </w:r>
      <w:proofErr w:type="spellStart"/>
      <w:r w:rsidRPr="00F74DF6">
        <w:t>Transtornos</w:t>
      </w:r>
      <w:proofErr w:type="spellEnd"/>
      <w:r w:rsidRPr="00F74DF6">
        <w:t xml:space="preserve"> de </w:t>
      </w:r>
      <w:proofErr w:type="spellStart"/>
      <w:r w:rsidRPr="00F74DF6">
        <w:t>ansiedade</w:t>
      </w:r>
      <w:proofErr w:type="spellEnd"/>
      <w:r w:rsidRPr="00F74DF6">
        <w:t xml:space="preserve">: Histórico, </w:t>
      </w:r>
      <w:proofErr w:type="spellStart"/>
      <w:r w:rsidRPr="00F74DF6">
        <w:t>aspectos</w:t>
      </w:r>
      <w:proofErr w:type="spellEnd"/>
      <w:r w:rsidRPr="00F74DF6">
        <w:t xml:space="preserve"> </w:t>
      </w:r>
      <w:proofErr w:type="spellStart"/>
      <w:r w:rsidRPr="00F74DF6">
        <w:t>clínicos</w:t>
      </w:r>
      <w:proofErr w:type="spellEnd"/>
      <w:r w:rsidRPr="00F74DF6">
        <w:t xml:space="preserve"> e </w:t>
      </w:r>
      <w:proofErr w:type="spellStart"/>
      <w:r w:rsidRPr="00F74DF6">
        <w:t>classificações</w:t>
      </w:r>
      <w:proofErr w:type="spellEnd"/>
      <w:r w:rsidRPr="00F74DF6">
        <w:t xml:space="preserve"> </w:t>
      </w:r>
      <w:proofErr w:type="spellStart"/>
      <w:r w:rsidRPr="00F74DF6">
        <w:t>atuais</w:t>
      </w:r>
      <w:proofErr w:type="spellEnd"/>
      <w:r w:rsidRPr="00F74DF6">
        <w:t xml:space="preserve">. </w:t>
      </w:r>
      <w:r w:rsidRPr="00F74DF6">
        <w:rPr>
          <w:i/>
          <w:iCs/>
        </w:rPr>
        <w:t>Journal of Health &amp; Biological Sciences</w:t>
      </w:r>
      <w:r w:rsidRPr="00F74DF6">
        <w:t xml:space="preserve">, </w:t>
      </w:r>
      <w:r w:rsidRPr="00F74DF6">
        <w:rPr>
          <w:i/>
          <w:iCs/>
        </w:rPr>
        <w:t>10</w:t>
      </w:r>
      <w:r w:rsidRPr="00F74DF6">
        <w:t>(1), 1. https://doi.org/10.12662/2317-3076jhbs.v10i1.3971.p1-8.2022</w:t>
      </w:r>
    </w:p>
    <w:p w14:paraId="364403CD" w14:textId="77777777" w:rsidR="00F74DF6" w:rsidRPr="00F74DF6" w:rsidRDefault="00F74DF6" w:rsidP="00F74DF6">
      <w:pPr>
        <w:pStyle w:val="Bibliography"/>
        <w:jc w:val="both"/>
      </w:pPr>
      <w:r w:rsidRPr="00F74DF6">
        <w:t xml:space="preserve">Garcia, R. (2017). Neurobiology of fear and specific phobias. </w:t>
      </w:r>
      <w:r w:rsidRPr="00F74DF6">
        <w:rPr>
          <w:i/>
          <w:iCs/>
        </w:rPr>
        <w:t>Learning &amp; Memory (Cold Spring Harbor, N.Y.)</w:t>
      </w:r>
      <w:r w:rsidRPr="00F74DF6">
        <w:t xml:space="preserve">, </w:t>
      </w:r>
      <w:r w:rsidRPr="00F74DF6">
        <w:rPr>
          <w:i/>
          <w:iCs/>
        </w:rPr>
        <w:t>24</w:t>
      </w:r>
      <w:r w:rsidRPr="00F74DF6">
        <w:t>(9), 462–471. https://doi.org/10.1101/lm.044115.116</w:t>
      </w:r>
    </w:p>
    <w:p w14:paraId="6A52947B" w14:textId="77777777" w:rsidR="00F74DF6" w:rsidRPr="00F74DF6" w:rsidRDefault="00F74DF6" w:rsidP="00F74DF6">
      <w:pPr>
        <w:pStyle w:val="Bibliography"/>
        <w:jc w:val="both"/>
      </w:pPr>
      <w:r w:rsidRPr="00F74DF6">
        <w:t xml:space="preserve">Gu, M., Wang, S., Zhang, S., Song, S., Gu, J., Shi, Y., Li, W., Chen, L., Liang, Y., Yang, Y., Zhang, L., Li, M., Jiang, F., Liu, H., &amp; Tang, Y. (2024). The interplay among burnout, and symptoms of depression, anxiety, and stress in Chinese clinical therapists. </w:t>
      </w:r>
      <w:r w:rsidRPr="00F74DF6">
        <w:rPr>
          <w:i/>
          <w:iCs/>
        </w:rPr>
        <w:t>Scientific Reports</w:t>
      </w:r>
      <w:r w:rsidRPr="00F74DF6">
        <w:t xml:space="preserve">, </w:t>
      </w:r>
      <w:r w:rsidRPr="00F74DF6">
        <w:rPr>
          <w:i/>
          <w:iCs/>
        </w:rPr>
        <w:t>14</w:t>
      </w:r>
      <w:r w:rsidRPr="00F74DF6">
        <w:t>(1), 25461. https://doi.org/10.1038/s41598-024-75550-7</w:t>
      </w:r>
    </w:p>
    <w:p w14:paraId="7D1717AF" w14:textId="77777777" w:rsidR="00F74DF6" w:rsidRPr="00F74DF6" w:rsidRDefault="00F74DF6" w:rsidP="00F74DF6">
      <w:pPr>
        <w:pStyle w:val="Bibliography"/>
        <w:jc w:val="both"/>
      </w:pPr>
      <w:r w:rsidRPr="00F74DF6">
        <w:t xml:space="preserve">Huang, C., Feng, Q., Zhang, B., Ren, H., Liu, Z., Kang, Y., &amp; Zhang, F. (2022). Income and social support related with mental health during COVID-19 </w:t>
      </w:r>
      <w:r w:rsidRPr="00F74DF6">
        <w:lastRenderedPageBreak/>
        <w:t xml:space="preserve">outbreak in China. </w:t>
      </w:r>
      <w:r w:rsidRPr="00F74DF6">
        <w:rPr>
          <w:i/>
          <w:iCs/>
        </w:rPr>
        <w:t>Medicine</w:t>
      </w:r>
      <w:r w:rsidRPr="00F74DF6">
        <w:t xml:space="preserve">, </w:t>
      </w:r>
      <w:r w:rsidRPr="00F74DF6">
        <w:rPr>
          <w:i/>
          <w:iCs/>
        </w:rPr>
        <w:t>101</w:t>
      </w:r>
      <w:r w:rsidRPr="00F74DF6">
        <w:t>(10), e29022. https://doi.org/10.1097/MD.0000000000029022</w:t>
      </w:r>
    </w:p>
    <w:p w14:paraId="79F48F14" w14:textId="77777777" w:rsidR="00F74DF6" w:rsidRPr="00F74DF6" w:rsidRDefault="00F74DF6" w:rsidP="00F74DF6">
      <w:pPr>
        <w:pStyle w:val="Bibliography"/>
        <w:jc w:val="both"/>
      </w:pPr>
      <w:r w:rsidRPr="00F74DF6">
        <w:t xml:space="preserve">Jones, D. L., </w:t>
      </w:r>
      <w:proofErr w:type="spellStart"/>
      <w:r w:rsidRPr="00F74DF6">
        <w:t>Ballivian</w:t>
      </w:r>
      <w:proofErr w:type="spellEnd"/>
      <w:r w:rsidRPr="00F74DF6">
        <w:t xml:space="preserve">, J., Rodriguez, V. J., Uribe, C., Cecchini, D., Salazar, A. S., Cassetti, I., &amp; Alcaide, M. L. (2021). Mental Health, Coping, and Social Support Among People Living with HIV in the Americas: A Comparative Study Between Argentina and the USA During the SARS-CoV-2 Pandemic. </w:t>
      </w:r>
      <w:r w:rsidRPr="00F74DF6">
        <w:rPr>
          <w:i/>
          <w:iCs/>
        </w:rPr>
        <w:t>AIDS and Behavior</w:t>
      </w:r>
      <w:r w:rsidRPr="00F74DF6">
        <w:t xml:space="preserve">, </w:t>
      </w:r>
      <w:r w:rsidRPr="00F74DF6">
        <w:rPr>
          <w:i/>
          <w:iCs/>
        </w:rPr>
        <w:t>25</w:t>
      </w:r>
      <w:r w:rsidRPr="00F74DF6">
        <w:t>(8), 2391–2399. https://doi.org/10.1007/s10461-021-03201-3</w:t>
      </w:r>
    </w:p>
    <w:p w14:paraId="3621F1DF" w14:textId="77777777" w:rsidR="00F74DF6" w:rsidRPr="00F74DF6" w:rsidRDefault="00F74DF6" w:rsidP="00F74DF6">
      <w:pPr>
        <w:pStyle w:val="Bibliography"/>
        <w:jc w:val="both"/>
      </w:pPr>
      <w:r w:rsidRPr="00F74DF6">
        <w:t xml:space="preserve">Jones, D. L., Morgan, K. E., Martinez, P. C., Rodriguez, V. J., Vazquez, A., </w:t>
      </w:r>
      <w:proofErr w:type="spellStart"/>
      <w:r w:rsidRPr="00F74DF6">
        <w:t>Raccamarich</w:t>
      </w:r>
      <w:proofErr w:type="spellEnd"/>
      <w:r w:rsidRPr="00F74DF6">
        <w:t xml:space="preserve">, P. D., &amp; Alcaide, M. L. (2021). COVID-19 Burden and Risk Among People With HIV. </w:t>
      </w:r>
      <w:r w:rsidRPr="00F74DF6">
        <w:rPr>
          <w:i/>
          <w:iCs/>
        </w:rPr>
        <w:t>Journal of Acquired Immune Deficiency Syndromes (1999)</w:t>
      </w:r>
      <w:r w:rsidRPr="00F74DF6">
        <w:t xml:space="preserve">, </w:t>
      </w:r>
      <w:r w:rsidRPr="00F74DF6">
        <w:rPr>
          <w:i/>
          <w:iCs/>
        </w:rPr>
        <w:t>87</w:t>
      </w:r>
      <w:r w:rsidRPr="00F74DF6">
        <w:t>(2), 869–874. https://doi.org/10.1097/QAI.0000000000002656</w:t>
      </w:r>
    </w:p>
    <w:p w14:paraId="4F48B860" w14:textId="77777777" w:rsidR="00F74DF6" w:rsidRPr="00F74DF6" w:rsidRDefault="00F74DF6" w:rsidP="00F74DF6">
      <w:pPr>
        <w:pStyle w:val="Bibliography"/>
        <w:jc w:val="both"/>
      </w:pPr>
      <w:proofErr w:type="spellStart"/>
      <w:r w:rsidRPr="00F74DF6">
        <w:t>Khatooni</w:t>
      </w:r>
      <w:proofErr w:type="spellEnd"/>
      <w:r w:rsidRPr="00F74DF6">
        <w:t xml:space="preserve">, M., Rahimi, S., &amp; Bahrami, M. (2024). The relationship between stress, anxiety, depression and medication adherence behavior in patients with epilepsy: A cross-sectional study. </w:t>
      </w:r>
      <w:r w:rsidRPr="00F74DF6">
        <w:rPr>
          <w:i/>
          <w:iCs/>
        </w:rPr>
        <w:t>Epilepsy &amp; Behavior</w:t>
      </w:r>
      <w:r w:rsidRPr="00F74DF6">
        <w:t xml:space="preserve">, </w:t>
      </w:r>
      <w:r w:rsidRPr="00F74DF6">
        <w:rPr>
          <w:i/>
          <w:iCs/>
        </w:rPr>
        <w:t>151</w:t>
      </w:r>
      <w:r w:rsidRPr="00F74DF6">
        <w:t>, 109616. https://doi.org/10.1016/j.yebeh.2023.109616</w:t>
      </w:r>
    </w:p>
    <w:p w14:paraId="33D615D7" w14:textId="77777777" w:rsidR="00F74DF6" w:rsidRPr="00F74DF6" w:rsidRDefault="00F74DF6" w:rsidP="00F74DF6">
      <w:pPr>
        <w:pStyle w:val="Bibliography"/>
        <w:jc w:val="both"/>
      </w:pPr>
      <w:r w:rsidRPr="00F74DF6">
        <w:t xml:space="preserve">Li, Z., Wu, M., Zhang, X., Yan, K., Wang, X., Xu, H., Li, P., Liu, Y., Deng, Q., Li, X., Wang, Q., Li, M., Wang, Y., Hao, Y., He, L., Tang, Y.-Y., Liu, T., Peng, P., &amp; Wu, Q. (2024). Interrelationships of stress, burnout, anxiety, depression, quality of life and suicidality among Chinese residents under Standardized Residency Training: A network analysis. </w:t>
      </w:r>
      <w:r w:rsidRPr="00F74DF6">
        <w:rPr>
          <w:i/>
          <w:iCs/>
        </w:rPr>
        <w:t>Annals of Medicine</w:t>
      </w:r>
      <w:r w:rsidRPr="00F74DF6">
        <w:t xml:space="preserve">, </w:t>
      </w:r>
      <w:r w:rsidRPr="00F74DF6">
        <w:rPr>
          <w:i/>
          <w:iCs/>
        </w:rPr>
        <w:t>56</w:t>
      </w:r>
      <w:r w:rsidRPr="00F74DF6">
        <w:t>(1), 2433030. https://doi.org/10.1080/07853890.2024.2433030</w:t>
      </w:r>
    </w:p>
    <w:p w14:paraId="3710A037" w14:textId="77777777" w:rsidR="00F74DF6" w:rsidRPr="00F74DF6" w:rsidRDefault="00F74DF6" w:rsidP="00F74DF6">
      <w:pPr>
        <w:pStyle w:val="Bibliography"/>
        <w:jc w:val="both"/>
      </w:pPr>
      <w:r w:rsidRPr="00F74DF6">
        <w:t xml:space="preserve">Lovibond, S. H., &amp; Lovibond, P. F. (2011). </w:t>
      </w:r>
      <w:r w:rsidRPr="00F74DF6">
        <w:rPr>
          <w:i/>
          <w:iCs/>
        </w:rPr>
        <w:t>Depression Anxiety Stress Scales</w:t>
      </w:r>
      <w:r w:rsidRPr="00F74DF6">
        <w:t xml:space="preserve"> [Dataset]. https://doi.org/10.1037/t01004-000</w:t>
      </w:r>
    </w:p>
    <w:p w14:paraId="13DF1FEC" w14:textId="77777777" w:rsidR="00F74DF6" w:rsidRPr="00F74DF6" w:rsidRDefault="00F74DF6" w:rsidP="00F74DF6">
      <w:pPr>
        <w:pStyle w:val="Bibliography"/>
        <w:jc w:val="both"/>
      </w:pPr>
      <w:r w:rsidRPr="00F74DF6">
        <w:lastRenderedPageBreak/>
        <w:t xml:space="preserve">Mari, J. de J., &amp; Oquendo, M. A. (2020). Mental health consequences of COVID-19: The next global pandemic. </w:t>
      </w:r>
      <w:r w:rsidRPr="00F74DF6">
        <w:rPr>
          <w:i/>
          <w:iCs/>
        </w:rPr>
        <w:t>Trends in Psychiatry and Psychotherapy</w:t>
      </w:r>
      <w:r w:rsidRPr="00F74DF6">
        <w:t xml:space="preserve">, </w:t>
      </w:r>
      <w:r w:rsidRPr="00F74DF6">
        <w:rPr>
          <w:i/>
          <w:iCs/>
        </w:rPr>
        <w:t>42</w:t>
      </w:r>
      <w:r w:rsidRPr="00F74DF6">
        <w:t>(3), 219–220. https://doi.org/10.1590/2237-6089-2020-0081</w:t>
      </w:r>
    </w:p>
    <w:p w14:paraId="71D84E37" w14:textId="77777777" w:rsidR="00F74DF6" w:rsidRPr="00F74DF6" w:rsidRDefault="00F74DF6" w:rsidP="00F74DF6">
      <w:pPr>
        <w:pStyle w:val="Bibliography"/>
        <w:jc w:val="both"/>
      </w:pPr>
      <w:proofErr w:type="spellStart"/>
      <w:r w:rsidRPr="00F74DF6">
        <w:t>Marziali</w:t>
      </w:r>
      <w:proofErr w:type="spellEnd"/>
      <w:r w:rsidRPr="00F74DF6">
        <w:t xml:space="preserve">, M. E., Card, K. G., McLinden, T., Wang, L., Trigg, J., &amp; Hogg, R. S. (2020). Physical Distancing in COVID-19 May Exacerbate Experiences of Social Isolation among People Living with HIV. </w:t>
      </w:r>
      <w:r w:rsidRPr="00F74DF6">
        <w:rPr>
          <w:i/>
          <w:iCs/>
        </w:rPr>
        <w:t>AIDS and Behavior</w:t>
      </w:r>
      <w:r w:rsidRPr="00F74DF6">
        <w:t xml:space="preserve">, </w:t>
      </w:r>
      <w:r w:rsidRPr="00F74DF6">
        <w:rPr>
          <w:i/>
          <w:iCs/>
        </w:rPr>
        <w:t>24</w:t>
      </w:r>
      <w:r w:rsidRPr="00F74DF6">
        <w:t>(8), 2250–2252. https://doi.org/10.1007/s10461-020-02872-8</w:t>
      </w:r>
    </w:p>
    <w:p w14:paraId="123D77A3" w14:textId="77777777" w:rsidR="00F74DF6" w:rsidRPr="00F74DF6" w:rsidRDefault="00F74DF6" w:rsidP="00F74DF6">
      <w:pPr>
        <w:pStyle w:val="Bibliography"/>
        <w:jc w:val="both"/>
      </w:pPr>
      <w:proofErr w:type="spellStart"/>
      <w:r w:rsidRPr="00F74DF6">
        <w:t>Ministério</w:t>
      </w:r>
      <w:proofErr w:type="spellEnd"/>
      <w:r w:rsidRPr="00F74DF6">
        <w:t xml:space="preserve"> da </w:t>
      </w:r>
      <w:proofErr w:type="spellStart"/>
      <w:r w:rsidRPr="00F74DF6">
        <w:t>Saúde</w:t>
      </w:r>
      <w:proofErr w:type="spellEnd"/>
      <w:r w:rsidRPr="00F74DF6">
        <w:t xml:space="preserve">. (2020, December 1). </w:t>
      </w:r>
      <w:r w:rsidRPr="00F74DF6">
        <w:rPr>
          <w:i/>
          <w:iCs/>
        </w:rPr>
        <w:t xml:space="preserve">Boletim </w:t>
      </w:r>
      <w:proofErr w:type="spellStart"/>
      <w:r w:rsidRPr="00F74DF6">
        <w:rPr>
          <w:i/>
          <w:iCs/>
        </w:rPr>
        <w:t>Epidemiológico</w:t>
      </w:r>
      <w:proofErr w:type="spellEnd"/>
      <w:r w:rsidRPr="00F74DF6">
        <w:rPr>
          <w:i/>
          <w:iCs/>
        </w:rPr>
        <w:t xml:space="preserve"> Especial-HIV/AIDS 2020.</w:t>
      </w:r>
      <w:r w:rsidRPr="00F74DF6">
        <w:t xml:space="preserve"> https://www.gov.br/aids/pt-br/central-de-conteudo/boletins-epidemiologicos/2020/hiv- aids/boletim_hiv_aids_2020_com_marcas.pdf/view</w:t>
      </w:r>
    </w:p>
    <w:p w14:paraId="5B237205" w14:textId="77777777" w:rsidR="00F74DF6" w:rsidRPr="00F74DF6" w:rsidRDefault="00F74DF6" w:rsidP="00F74DF6">
      <w:pPr>
        <w:pStyle w:val="Bibliography"/>
        <w:jc w:val="both"/>
      </w:pPr>
      <w:r w:rsidRPr="00F74DF6">
        <w:t xml:space="preserve">Ornell, F., Schuch, J. B., Sordi, A. O., &amp; Kessler, F. H. P. (2020). “Pandemic fear” and COVID-19: Mental health burden and strategies. </w:t>
      </w:r>
      <w:r w:rsidRPr="00F74DF6">
        <w:rPr>
          <w:i/>
          <w:iCs/>
        </w:rPr>
        <w:t xml:space="preserve">Revista Brasileira De </w:t>
      </w:r>
      <w:proofErr w:type="spellStart"/>
      <w:r w:rsidRPr="00F74DF6">
        <w:rPr>
          <w:i/>
          <w:iCs/>
        </w:rPr>
        <w:t>Psiquiatria</w:t>
      </w:r>
      <w:proofErr w:type="spellEnd"/>
      <w:r w:rsidRPr="00F74DF6">
        <w:rPr>
          <w:i/>
          <w:iCs/>
        </w:rPr>
        <w:t xml:space="preserve"> (Sao Paulo, Brazil: 1999)</w:t>
      </w:r>
      <w:r w:rsidRPr="00F74DF6">
        <w:t xml:space="preserve">, </w:t>
      </w:r>
      <w:r w:rsidRPr="00F74DF6">
        <w:rPr>
          <w:i/>
          <w:iCs/>
        </w:rPr>
        <w:t>42</w:t>
      </w:r>
      <w:r w:rsidRPr="00F74DF6">
        <w:t>(3), 232–235. https://doi.org/10.1590/1516-4446-2020-0008</w:t>
      </w:r>
    </w:p>
    <w:p w14:paraId="79DA006E" w14:textId="77777777" w:rsidR="00F74DF6" w:rsidRPr="00F74DF6" w:rsidRDefault="00F74DF6" w:rsidP="00F74DF6">
      <w:pPr>
        <w:pStyle w:val="Bibliography"/>
        <w:jc w:val="both"/>
      </w:pPr>
      <w:r w:rsidRPr="00F74DF6">
        <w:t xml:space="preserve">Park, S.-C., &amp; Park, Y. C. (2020). Mental Health Care Measures in Response to the 2019 Novel Coronavirus Outbreak in Korea. </w:t>
      </w:r>
      <w:r w:rsidRPr="00F74DF6">
        <w:rPr>
          <w:i/>
          <w:iCs/>
        </w:rPr>
        <w:t>Psychiatry Investigation</w:t>
      </w:r>
      <w:r w:rsidRPr="00F74DF6">
        <w:t xml:space="preserve">, </w:t>
      </w:r>
      <w:r w:rsidRPr="00F74DF6">
        <w:rPr>
          <w:i/>
          <w:iCs/>
        </w:rPr>
        <w:t>17</w:t>
      </w:r>
      <w:r w:rsidRPr="00F74DF6">
        <w:t>(2), 85–86. https://doi.org/10.30773/pi.2020.0058</w:t>
      </w:r>
    </w:p>
    <w:p w14:paraId="3B4F7B44" w14:textId="77777777" w:rsidR="00F74DF6" w:rsidRPr="00F74DF6" w:rsidRDefault="00F74DF6" w:rsidP="00F74DF6">
      <w:pPr>
        <w:pStyle w:val="Bibliography"/>
        <w:jc w:val="both"/>
      </w:pPr>
      <w:r w:rsidRPr="00F74DF6">
        <w:t xml:space="preserve">Poletto, M. P., Heck, C., </w:t>
      </w:r>
      <w:proofErr w:type="spellStart"/>
      <w:r w:rsidRPr="00F74DF6">
        <w:t>Calsa</w:t>
      </w:r>
      <w:proofErr w:type="spellEnd"/>
      <w:r w:rsidRPr="00F74DF6">
        <w:t xml:space="preserve">, D. da C., &amp; Moskovics, J. M. (2015). </w:t>
      </w:r>
      <w:proofErr w:type="spellStart"/>
      <w:r w:rsidRPr="00F74DF6">
        <w:t>Pensamentos</w:t>
      </w:r>
      <w:proofErr w:type="spellEnd"/>
      <w:r w:rsidRPr="00F74DF6">
        <w:t xml:space="preserve"> </w:t>
      </w:r>
      <w:proofErr w:type="spellStart"/>
      <w:r w:rsidRPr="00F74DF6">
        <w:t>automáticos</w:t>
      </w:r>
      <w:proofErr w:type="spellEnd"/>
      <w:r w:rsidRPr="00F74DF6">
        <w:t xml:space="preserve"> e </w:t>
      </w:r>
      <w:proofErr w:type="spellStart"/>
      <w:r w:rsidRPr="00F74DF6">
        <w:t>crenças</w:t>
      </w:r>
      <w:proofErr w:type="spellEnd"/>
      <w:r w:rsidRPr="00F74DF6">
        <w:t xml:space="preserve"> </w:t>
      </w:r>
      <w:proofErr w:type="spellStart"/>
      <w:r w:rsidRPr="00F74DF6">
        <w:t>centrais</w:t>
      </w:r>
      <w:proofErr w:type="spellEnd"/>
      <w:r w:rsidRPr="00F74DF6">
        <w:t xml:space="preserve"> </w:t>
      </w:r>
      <w:proofErr w:type="spellStart"/>
      <w:r w:rsidRPr="00F74DF6">
        <w:t>associados</w:t>
      </w:r>
      <w:proofErr w:type="spellEnd"/>
      <w:r w:rsidRPr="00F74DF6">
        <w:t xml:space="preserve"> </w:t>
      </w:r>
      <w:proofErr w:type="spellStart"/>
      <w:r w:rsidRPr="00F74DF6">
        <w:t>ao</w:t>
      </w:r>
      <w:proofErr w:type="spellEnd"/>
      <w:r w:rsidRPr="00F74DF6">
        <w:t xml:space="preserve"> HIV/AIDS </w:t>
      </w:r>
      <w:proofErr w:type="spellStart"/>
      <w:r w:rsidRPr="00F74DF6">
        <w:t>em</w:t>
      </w:r>
      <w:proofErr w:type="spellEnd"/>
      <w:r w:rsidRPr="00F74DF6">
        <w:t xml:space="preserve"> </w:t>
      </w:r>
      <w:proofErr w:type="spellStart"/>
      <w:r w:rsidRPr="00F74DF6">
        <w:t>indivíduos</w:t>
      </w:r>
      <w:proofErr w:type="spellEnd"/>
      <w:r w:rsidRPr="00F74DF6">
        <w:t xml:space="preserve"> </w:t>
      </w:r>
      <w:proofErr w:type="spellStart"/>
      <w:r w:rsidRPr="00F74DF6">
        <w:t>soropositivos</w:t>
      </w:r>
      <w:proofErr w:type="spellEnd"/>
      <w:r w:rsidRPr="00F74DF6">
        <w:t xml:space="preserve">. </w:t>
      </w:r>
      <w:r w:rsidRPr="00F74DF6">
        <w:rPr>
          <w:i/>
          <w:iCs/>
        </w:rPr>
        <w:t xml:space="preserve">Temas </w:t>
      </w:r>
      <w:proofErr w:type="spellStart"/>
      <w:r w:rsidRPr="00F74DF6">
        <w:rPr>
          <w:i/>
          <w:iCs/>
        </w:rPr>
        <w:t>em</w:t>
      </w:r>
      <w:proofErr w:type="spellEnd"/>
      <w:r w:rsidRPr="00F74DF6">
        <w:rPr>
          <w:i/>
          <w:iCs/>
        </w:rPr>
        <w:t xml:space="preserve"> </w:t>
      </w:r>
      <w:proofErr w:type="spellStart"/>
      <w:r w:rsidRPr="00F74DF6">
        <w:rPr>
          <w:i/>
          <w:iCs/>
        </w:rPr>
        <w:t>Psicologia</w:t>
      </w:r>
      <w:proofErr w:type="spellEnd"/>
      <w:r w:rsidRPr="00F74DF6">
        <w:t xml:space="preserve">, </w:t>
      </w:r>
      <w:r w:rsidRPr="00F74DF6">
        <w:rPr>
          <w:i/>
          <w:iCs/>
        </w:rPr>
        <w:t>23</w:t>
      </w:r>
      <w:r w:rsidRPr="00F74DF6">
        <w:t>(2), 243–253. https://doi.org/10.9788/TP2015.2-01</w:t>
      </w:r>
    </w:p>
    <w:p w14:paraId="7338AA8E" w14:textId="77777777" w:rsidR="00F74DF6" w:rsidRPr="00F74DF6" w:rsidRDefault="00F74DF6" w:rsidP="00F74DF6">
      <w:pPr>
        <w:pStyle w:val="Bibliography"/>
        <w:jc w:val="both"/>
      </w:pPr>
      <w:r w:rsidRPr="00F74DF6">
        <w:t xml:space="preserve">Raony, Í., de Figueiredo, C. S., Pandolfo, P., </w:t>
      </w:r>
      <w:proofErr w:type="spellStart"/>
      <w:r w:rsidRPr="00F74DF6">
        <w:t>Giestal</w:t>
      </w:r>
      <w:proofErr w:type="spellEnd"/>
      <w:r w:rsidRPr="00F74DF6">
        <w:t xml:space="preserve">-de-Araujo, E., Oliveira-Silva Bomfim, P., &amp; Savino, W. (2020). Psycho-Neuroendocrine-Immune </w:t>
      </w:r>
      <w:r w:rsidRPr="00F74DF6">
        <w:lastRenderedPageBreak/>
        <w:t xml:space="preserve">Interactions in COVID-19: Potential Impacts on Mental Health. </w:t>
      </w:r>
      <w:r w:rsidRPr="00F74DF6">
        <w:rPr>
          <w:i/>
          <w:iCs/>
        </w:rPr>
        <w:t>Frontiers in Immunology</w:t>
      </w:r>
      <w:r w:rsidRPr="00F74DF6">
        <w:t xml:space="preserve">, </w:t>
      </w:r>
      <w:r w:rsidRPr="00F74DF6">
        <w:rPr>
          <w:i/>
          <w:iCs/>
        </w:rPr>
        <w:t>11</w:t>
      </w:r>
      <w:r w:rsidRPr="00F74DF6">
        <w:t>, 1170. https://doi.org/10.3389/fimmu.2020.01170</w:t>
      </w:r>
    </w:p>
    <w:p w14:paraId="5FF3F508" w14:textId="77777777" w:rsidR="00F74DF6" w:rsidRPr="00F74DF6" w:rsidRDefault="00F74DF6" w:rsidP="00F74DF6">
      <w:pPr>
        <w:pStyle w:val="Bibliography"/>
        <w:jc w:val="both"/>
      </w:pPr>
      <w:r w:rsidRPr="00F74DF6">
        <w:t xml:space="preserve">Rodrigues da Silva, R., da Silva Filho, J. A., Lima de Oliveira, J., Castelo Branco Cavalcante de Meneses, J., Neves de Oliveira, C. A., Alves Pinto, A. G., Rodrigues da Silva, R., da Silva Filho, J. A., Lima de Oliveira, J., Castelo Branco Cavalcante de Meneses, J., Neves de Oliveira, C. A., &amp; Alves Pinto, A. G. (2021). </w:t>
      </w:r>
      <w:proofErr w:type="spellStart"/>
      <w:r w:rsidRPr="00F74DF6">
        <w:t>Efeitos</w:t>
      </w:r>
      <w:proofErr w:type="spellEnd"/>
      <w:r w:rsidRPr="00F74DF6">
        <w:t xml:space="preserve"> do </w:t>
      </w:r>
      <w:proofErr w:type="spellStart"/>
      <w:r w:rsidRPr="00F74DF6">
        <w:t>isolamento</w:t>
      </w:r>
      <w:proofErr w:type="spellEnd"/>
      <w:r w:rsidRPr="00F74DF6">
        <w:t xml:space="preserve"> social </w:t>
      </w:r>
      <w:proofErr w:type="spellStart"/>
      <w:r w:rsidRPr="00F74DF6">
        <w:t>na</w:t>
      </w:r>
      <w:proofErr w:type="spellEnd"/>
      <w:r w:rsidRPr="00F74DF6">
        <w:t xml:space="preserve"> pandemia da covid-19 </w:t>
      </w:r>
      <w:proofErr w:type="spellStart"/>
      <w:r w:rsidRPr="00F74DF6">
        <w:t>na</w:t>
      </w:r>
      <w:proofErr w:type="spellEnd"/>
      <w:r w:rsidRPr="00F74DF6">
        <w:t xml:space="preserve"> </w:t>
      </w:r>
      <w:proofErr w:type="spellStart"/>
      <w:r w:rsidRPr="00F74DF6">
        <w:t>saúde</w:t>
      </w:r>
      <w:proofErr w:type="spellEnd"/>
      <w:r w:rsidRPr="00F74DF6">
        <w:t xml:space="preserve"> mental da </w:t>
      </w:r>
      <w:proofErr w:type="spellStart"/>
      <w:r w:rsidRPr="00F74DF6">
        <w:t>população</w:t>
      </w:r>
      <w:proofErr w:type="spellEnd"/>
      <w:r w:rsidRPr="00F74DF6">
        <w:t xml:space="preserve">. </w:t>
      </w:r>
      <w:proofErr w:type="spellStart"/>
      <w:r w:rsidRPr="00F74DF6">
        <w:rPr>
          <w:i/>
          <w:iCs/>
        </w:rPr>
        <w:t>Avances</w:t>
      </w:r>
      <w:proofErr w:type="spellEnd"/>
      <w:r w:rsidRPr="00F74DF6">
        <w:rPr>
          <w:i/>
          <w:iCs/>
        </w:rPr>
        <w:t xml:space="preserve"> </w:t>
      </w:r>
      <w:proofErr w:type="spellStart"/>
      <w:r w:rsidRPr="00F74DF6">
        <w:rPr>
          <w:i/>
          <w:iCs/>
        </w:rPr>
        <w:t>en</w:t>
      </w:r>
      <w:proofErr w:type="spellEnd"/>
      <w:r w:rsidRPr="00F74DF6">
        <w:rPr>
          <w:i/>
          <w:iCs/>
        </w:rPr>
        <w:t xml:space="preserve"> </w:t>
      </w:r>
      <w:proofErr w:type="spellStart"/>
      <w:r w:rsidRPr="00F74DF6">
        <w:rPr>
          <w:i/>
          <w:iCs/>
        </w:rPr>
        <w:t>Enfermería</w:t>
      </w:r>
      <w:proofErr w:type="spellEnd"/>
      <w:r w:rsidRPr="00F74DF6">
        <w:t xml:space="preserve">, </w:t>
      </w:r>
      <w:r w:rsidRPr="00F74DF6">
        <w:rPr>
          <w:i/>
          <w:iCs/>
        </w:rPr>
        <w:t>39</w:t>
      </w:r>
      <w:r w:rsidRPr="00F74DF6">
        <w:t>, 31–43. https://doi.org/10.15446/av.enferm.v39n1supl.89262</w:t>
      </w:r>
    </w:p>
    <w:p w14:paraId="2D0C1FE1" w14:textId="77777777" w:rsidR="00F74DF6" w:rsidRPr="00F74DF6" w:rsidRDefault="00F74DF6" w:rsidP="00F74DF6">
      <w:pPr>
        <w:pStyle w:val="Bibliography"/>
        <w:jc w:val="both"/>
      </w:pPr>
      <w:r w:rsidRPr="00F74DF6">
        <w:t xml:space="preserve">Salari, N., </w:t>
      </w:r>
      <w:proofErr w:type="spellStart"/>
      <w:r w:rsidRPr="00F74DF6">
        <w:t>Heidarian</w:t>
      </w:r>
      <w:proofErr w:type="spellEnd"/>
      <w:r w:rsidRPr="00F74DF6">
        <w:t xml:space="preserve">, P., Hosseinian-Far, A., </w:t>
      </w:r>
      <w:proofErr w:type="spellStart"/>
      <w:r w:rsidRPr="00F74DF6">
        <w:t>Babajani</w:t>
      </w:r>
      <w:proofErr w:type="spellEnd"/>
      <w:r w:rsidRPr="00F74DF6">
        <w:t xml:space="preserve">, F., &amp; Mohammadi, M. (2024). Global Prevalence of Anxiety, Depression, and Stress Among Patients with Skin Diseases: A Systematic Review and Meta-analysis. </w:t>
      </w:r>
      <w:r w:rsidRPr="00F74DF6">
        <w:rPr>
          <w:i/>
          <w:iCs/>
        </w:rPr>
        <w:t>Journal of Prevention</w:t>
      </w:r>
      <w:r w:rsidRPr="00F74DF6">
        <w:t xml:space="preserve">, </w:t>
      </w:r>
      <w:r w:rsidRPr="00F74DF6">
        <w:rPr>
          <w:i/>
          <w:iCs/>
        </w:rPr>
        <w:t>45</w:t>
      </w:r>
      <w:r w:rsidRPr="00F74DF6">
        <w:t>(4), 611–649. https://doi.org/10.1007/s10935-024-00784-0</w:t>
      </w:r>
    </w:p>
    <w:p w14:paraId="452FCAC3" w14:textId="77777777" w:rsidR="00F74DF6" w:rsidRPr="00F74DF6" w:rsidRDefault="00F74DF6" w:rsidP="00F74DF6">
      <w:pPr>
        <w:pStyle w:val="Bibliography"/>
        <w:jc w:val="both"/>
      </w:pPr>
      <w:r w:rsidRPr="00F74DF6">
        <w:t xml:space="preserve">Shigemura, J., </w:t>
      </w:r>
      <w:proofErr w:type="spellStart"/>
      <w:r w:rsidRPr="00F74DF6">
        <w:t>Ursano</w:t>
      </w:r>
      <w:proofErr w:type="spellEnd"/>
      <w:r w:rsidRPr="00F74DF6">
        <w:t xml:space="preserve">, R. J., Morganstein, J. C., Kurosawa, M., &amp; Benedek, D. M. (2020). Public responses to the novel 2019 coronavirus (2019-nCoV) in Japan: Mental health consequences and target populations. </w:t>
      </w:r>
      <w:r w:rsidRPr="00F74DF6">
        <w:rPr>
          <w:i/>
          <w:iCs/>
        </w:rPr>
        <w:t>Psychiatry and Clinical Neurosciences</w:t>
      </w:r>
      <w:r w:rsidRPr="00F74DF6">
        <w:t xml:space="preserve">, </w:t>
      </w:r>
      <w:r w:rsidRPr="00F74DF6">
        <w:rPr>
          <w:i/>
          <w:iCs/>
        </w:rPr>
        <w:t>74</w:t>
      </w:r>
      <w:r w:rsidRPr="00F74DF6">
        <w:t>(4), 281–282. https://doi.org/10.1111/pcn.12988</w:t>
      </w:r>
    </w:p>
    <w:p w14:paraId="55827461" w14:textId="77777777" w:rsidR="00F74DF6" w:rsidRPr="00F74DF6" w:rsidRDefault="00F74DF6" w:rsidP="00F74DF6">
      <w:pPr>
        <w:pStyle w:val="Bibliography"/>
        <w:jc w:val="both"/>
      </w:pPr>
      <w:r w:rsidRPr="00F74DF6">
        <w:t xml:space="preserve">Siewe Fodjo, J. N., Villela, E. F. de M., Van Hees, S., Dos Santos, T. T., </w:t>
      </w:r>
      <w:proofErr w:type="spellStart"/>
      <w:r w:rsidRPr="00F74DF6">
        <w:t>Vanholder</w:t>
      </w:r>
      <w:proofErr w:type="spellEnd"/>
      <w:r w:rsidRPr="00F74DF6">
        <w:t xml:space="preserve">, P., </w:t>
      </w:r>
      <w:proofErr w:type="spellStart"/>
      <w:r w:rsidRPr="00F74DF6">
        <w:t>Reyntiens</w:t>
      </w:r>
      <w:proofErr w:type="spellEnd"/>
      <w:r w:rsidRPr="00F74DF6">
        <w:t xml:space="preserve">, P., Van den Bergh, R., &amp; </w:t>
      </w:r>
      <w:proofErr w:type="spellStart"/>
      <w:r w:rsidRPr="00F74DF6">
        <w:t>Colebunders</w:t>
      </w:r>
      <w:proofErr w:type="spellEnd"/>
      <w:r w:rsidRPr="00F74DF6">
        <w:t xml:space="preserve">, R. (2020). Impact of the COVID-19 Pandemic on the Medical Follow-up and Psychosocial Well-Being of People Living With HIV: A Cross-Sectional Survey. </w:t>
      </w:r>
      <w:r w:rsidRPr="00F74DF6">
        <w:rPr>
          <w:i/>
          <w:iCs/>
        </w:rPr>
        <w:t>Journal of Acquired Immune Deficiency Syndromes (1999)</w:t>
      </w:r>
      <w:r w:rsidRPr="00F74DF6">
        <w:t xml:space="preserve">, </w:t>
      </w:r>
      <w:r w:rsidRPr="00F74DF6">
        <w:rPr>
          <w:i/>
          <w:iCs/>
        </w:rPr>
        <w:t>85</w:t>
      </w:r>
      <w:r w:rsidRPr="00F74DF6">
        <w:t>(3), 257–262. https://doi.org/10.1097/QAI.0000000000002468</w:t>
      </w:r>
    </w:p>
    <w:p w14:paraId="08B78967" w14:textId="77777777" w:rsidR="00F74DF6" w:rsidRPr="00F74DF6" w:rsidRDefault="00F74DF6" w:rsidP="00F74DF6">
      <w:pPr>
        <w:pStyle w:val="Bibliography"/>
        <w:jc w:val="both"/>
      </w:pPr>
      <w:r w:rsidRPr="00F74DF6">
        <w:lastRenderedPageBreak/>
        <w:t xml:space="preserve">Silveira, M. P. T., </w:t>
      </w:r>
      <w:proofErr w:type="spellStart"/>
      <w:r w:rsidRPr="00F74DF6">
        <w:t>Guttier</w:t>
      </w:r>
      <w:proofErr w:type="spellEnd"/>
      <w:r w:rsidRPr="00F74DF6">
        <w:t xml:space="preserve">, M. C., Pinheiro, C. A. T., Pereira, T. V. S., Cruzeiro, A. L. S., &amp; Moreira, L. B. (2012). Depressive symptoms in HIV-infected patients treated with highly active antiretroviral therapy. </w:t>
      </w:r>
      <w:r w:rsidRPr="00F74DF6">
        <w:rPr>
          <w:i/>
          <w:iCs/>
        </w:rPr>
        <w:t>Brazilian Journal of Psychiatry</w:t>
      </w:r>
      <w:r w:rsidRPr="00F74DF6">
        <w:t xml:space="preserve">, </w:t>
      </w:r>
      <w:r w:rsidRPr="00F74DF6">
        <w:rPr>
          <w:i/>
          <w:iCs/>
        </w:rPr>
        <w:t>34</w:t>
      </w:r>
      <w:r w:rsidRPr="00F74DF6">
        <w:t>, 162–167. https://doi.org/10.1590/S1516-44462012000200008</w:t>
      </w:r>
    </w:p>
    <w:p w14:paraId="041EF7EF" w14:textId="77777777" w:rsidR="00F74DF6" w:rsidRPr="00F74DF6" w:rsidRDefault="00F74DF6" w:rsidP="00F74DF6">
      <w:pPr>
        <w:pStyle w:val="Bibliography"/>
        <w:jc w:val="both"/>
      </w:pPr>
      <w:r w:rsidRPr="00F74DF6">
        <w:t xml:space="preserve">UNAIDS. (2023). </w:t>
      </w:r>
      <w:r w:rsidRPr="00F74DF6">
        <w:rPr>
          <w:i/>
          <w:iCs/>
        </w:rPr>
        <w:t>The path that ends AIDS</w:t>
      </w:r>
      <w:r w:rsidRPr="00F74DF6">
        <w:t>. https://thepath.unaids.org/wp-content/themes/unaids2023/assets/files/2023_report.pdf</w:t>
      </w:r>
    </w:p>
    <w:p w14:paraId="331A3230" w14:textId="77777777" w:rsidR="00F74DF6" w:rsidRPr="00F74DF6" w:rsidRDefault="00F74DF6" w:rsidP="00F74DF6">
      <w:pPr>
        <w:pStyle w:val="Bibliography"/>
        <w:jc w:val="both"/>
      </w:pPr>
      <w:r w:rsidRPr="00F74DF6">
        <w:t xml:space="preserve">UNAIDS. (2024). </w:t>
      </w:r>
      <w:r w:rsidRPr="00F74DF6">
        <w:rPr>
          <w:i/>
          <w:iCs/>
        </w:rPr>
        <w:t>Global AIDS Monitoring 2024</w:t>
      </w:r>
      <w:r w:rsidRPr="00F74DF6">
        <w:t>. https://www.unaids.org/sites/default/files/media_asset/global-aids-monitoring_en.pdf</w:t>
      </w:r>
    </w:p>
    <w:p w14:paraId="0F043548" w14:textId="77777777" w:rsidR="00F74DF6" w:rsidRPr="00F74DF6" w:rsidRDefault="00F74DF6" w:rsidP="00F74DF6">
      <w:pPr>
        <w:pStyle w:val="Bibliography"/>
        <w:jc w:val="both"/>
      </w:pPr>
      <w:r w:rsidRPr="00F74DF6">
        <w:t xml:space="preserve">Vignola, R. C. B., &amp; Tucci, A. M. (2014). Adaptation and validation of the depression, anxiety and stress scale (DASS) to Brazilian Portuguese. </w:t>
      </w:r>
      <w:r w:rsidRPr="00F74DF6">
        <w:rPr>
          <w:i/>
          <w:iCs/>
        </w:rPr>
        <w:t>Journal of Affective Disorders</w:t>
      </w:r>
      <w:r w:rsidRPr="00F74DF6">
        <w:t xml:space="preserve">, </w:t>
      </w:r>
      <w:r w:rsidRPr="00F74DF6">
        <w:rPr>
          <w:i/>
          <w:iCs/>
        </w:rPr>
        <w:t>155</w:t>
      </w:r>
      <w:r w:rsidRPr="00F74DF6">
        <w:t>, 104–109. https://doi.org/10.1016/j.jad.2013.10.031</w:t>
      </w:r>
    </w:p>
    <w:p w14:paraId="2F7CB677" w14:textId="77777777" w:rsidR="00F74DF6" w:rsidRPr="00F74DF6" w:rsidRDefault="00F74DF6" w:rsidP="00F74DF6">
      <w:pPr>
        <w:pStyle w:val="Bibliography"/>
        <w:jc w:val="both"/>
      </w:pPr>
      <w:r w:rsidRPr="00F74DF6">
        <w:t xml:space="preserve">Wang, C., Pan, R., Wan, X., Tan, Y., Xu, L., Ho, C. S., &amp; Ho, R. C. (2020a). Immediate Psychological Responses and Associated Factors during the Initial Stage of the 2019 Coronavirus Disease (COVID-19) Epidemic among the General Population in China. </w:t>
      </w:r>
      <w:r w:rsidRPr="00F74DF6">
        <w:rPr>
          <w:i/>
          <w:iCs/>
        </w:rPr>
        <w:t>International Journal of Environmental Research and Public Health</w:t>
      </w:r>
      <w:r w:rsidRPr="00F74DF6">
        <w:t xml:space="preserve">, </w:t>
      </w:r>
      <w:r w:rsidRPr="00F74DF6">
        <w:rPr>
          <w:i/>
          <w:iCs/>
        </w:rPr>
        <w:t>17</w:t>
      </w:r>
      <w:r w:rsidRPr="00F74DF6">
        <w:t>(5), 1729. https://doi.org/10.3390/ijerph17051729</w:t>
      </w:r>
    </w:p>
    <w:p w14:paraId="5E70CC9E" w14:textId="77777777" w:rsidR="00F74DF6" w:rsidRPr="00F74DF6" w:rsidRDefault="00F74DF6" w:rsidP="00F74DF6">
      <w:pPr>
        <w:pStyle w:val="Bibliography"/>
        <w:jc w:val="both"/>
      </w:pPr>
      <w:r w:rsidRPr="00F74DF6">
        <w:t xml:space="preserve">Wang, C., Pan, R., Wan, X., Tan, Y., Xu, L., Ho, C. S., &amp; Ho, R. C. (2020b). Immediate Psychological Responses and Associated Factors during the Initial Stage of the 2019 Coronavirus Disease (COVID-19) Epidemic among the General Population in China. </w:t>
      </w:r>
      <w:r w:rsidRPr="00F74DF6">
        <w:rPr>
          <w:i/>
          <w:iCs/>
        </w:rPr>
        <w:t xml:space="preserve">International Journal of </w:t>
      </w:r>
      <w:r w:rsidRPr="00F74DF6">
        <w:rPr>
          <w:i/>
          <w:iCs/>
        </w:rPr>
        <w:lastRenderedPageBreak/>
        <w:t>Environmental Research and Public Health</w:t>
      </w:r>
      <w:r w:rsidRPr="00F74DF6">
        <w:t xml:space="preserve">, </w:t>
      </w:r>
      <w:r w:rsidRPr="00F74DF6">
        <w:rPr>
          <w:i/>
          <w:iCs/>
        </w:rPr>
        <w:t>17</w:t>
      </w:r>
      <w:r w:rsidRPr="00F74DF6">
        <w:t>(5), 1729. https://doi.org/10.3390/ijerph17051729</w:t>
      </w:r>
    </w:p>
    <w:p w14:paraId="2866BDFD" w14:textId="77777777" w:rsidR="00F74DF6" w:rsidRPr="00F74DF6" w:rsidRDefault="00F74DF6" w:rsidP="00F74DF6">
      <w:pPr>
        <w:pStyle w:val="Bibliography"/>
        <w:jc w:val="both"/>
      </w:pPr>
      <w:r w:rsidRPr="00F74DF6">
        <w:t xml:space="preserve">Wong, V. J., Murray, K. R., Phelps, B. R., Vermund, S. H., &amp; McCarraher, D. R. (2017). Adolescents, young people, and the 90-90-90 goals: A call to improve HIV testing and linkage to treatment. </w:t>
      </w:r>
      <w:r w:rsidRPr="00F74DF6">
        <w:rPr>
          <w:i/>
          <w:iCs/>
        </w:rPr>
        <w:t>AIDS (London, England)</w:t>
      </w:r>
      <w:r w:rsidRPr="00F74DF6">
        <w:t xml:space="preserve">, </w:t>
      </w:r>
      <w:r w:rsidRPr="00F74DF6">
        <w:rPr>
          <w:i/>
          <w:iCs/>
        </w:rPr>
        <w:t>31 Suppl 3</w:t>
      </w:r>
      <w:r w:rsidRPr="00F74DF6">
        <w:t>(Suppl 3), S191–S194. https://doi.org/10.1097/QAD.0000000000001539</w:t>
      </w:r>
    </w:p>
    <w:p w14:paraId="08935EAB" w14:textId="77777777" w:rsidR="00F74DF6" w:rsidRPr="00F74DF6" w:rsidRDefault="00F74DF6" w:rsidP="00F74DF6">
      <w:pPr>
        <w:pStyle w:val="Bibliography"/>
        <w:jc w:val="both"/>
      </w:pPr>
      <w:r w:rsidRPr="00F74DF6">
        <w:t xml:space="preserve">World Health Organization. (2021). </w:t>
      </w:r>
      <w:r w:rsidRPr="00F74DF6">
        <w:rPr>
          <w:i/>
          <w:iCs/>
        </w:rPr>
        <w:t>Comprehensive Mental Health Action Plan 2013-2030</w:t>
      </w:r>
      <w:r w:rsidRPr="00F74DF6">
        <w:t xml:space="preserve"> (1st ed). World Health Organization.</w:t>
      </w:r>
    </w:p>
    <w:p w14:paraId="18A36BBD" w14:textId="77777777" w:rsidR="00F74DF6" w:rsidRPr="00F74DF6" w:rsidRDefault="00F74DF6" w:rsidP="00F74DF6">
      <w:pPr>
        <w:pStyle w:val="Bibliography"/>
        <w:jc w:val="both"/>
      </w:pPr>
      <w:r w:rsidRPr="00F74DF6">
        <w:t xml:space="preserve">World Health Organization. (2022). </w:t>
      </w:r>
      <w:r w:rsidRPr="00F74DF6">
        <w:rPr>
          <w:i/>
          <w:iCs/>
        </w:rPr>
        <w:t>Mental Health and COVID-19: Early evidence of the pandemic’s impact</w:t>
      </w:r>
      <w:r w:rsidRPr="00F74DF6">
        <w:t>. https://iris.who.int/bitstream/handle/10665/352189/WHO-2019-nCoV-Sci-Brief-Mental-health-2022.1-eng.pdf?sequence=1</w:t>
      </w:r>
    </w:p>
    <w:p w14:paraId="5068EC2E" w14:textId="77777777" w:rsidR="00F74DF6" w:rsidRPr="00F74DF6" w:rsidRDefault="00F74DF6" w:rsidP="00F74DF6">
      <w:pPr>
        <w:pStyle w:val="Bibliography"/>
        <w:jc w:val="both"/>
      </w:pPr>
      <w:r w:rsidRPr="00F74DF6">
        <w:t xml:space="preserve">World Health Organization. (2025). </w:t>
      </w:r>
      <w:r w:rsidRPr="00F74DF6">
        <w:rPr>
          <w:i/>
          <w:iCs/>
        </w:rPr>
        <w:t>Depression</w:t>
      </w:r>
      <w:r w:rsidRPr="00F74DF6">
        <w:t>. https://www.who.int/health-topics/depression#tab=tab_1</w:t>
      </w:r>
    </w:p>
    <w:p w14:paraId="741EDC01" w14:textId="599FC86E" w:rsidR="009816EA" w:rsidRDefault="0044337F" w:rsidP="00F74DF6">
      <w:pPr>
        <w:pBdr>
          <w:top w:val="nil"/>
          <w:left w:val="nil"/>
          <w:bottom w:val="nil"/>
          <w:right w:val="nil"/>
          <w:between w:val="nil"/>
        </w:pBdr>
        <w:spacing w:line="360" w:lineRule="auto"/>
        <w:jc w:val="both"/>
        <w:rPr>
          <w:rFonts w:ascii="Arial" w:eastAsia="Arial" w:hAnsi="Arial" w:cs="Arial"/>
          <w:color w:val="000000"/>
        </w:rPr>
      </w:pPr>
      <w:r w:rsidRPr="00D917D8">
        <w:rPr>
          <w:rFonts w:ascii="Arial" w:eastAsia="Arial" w:hAnsi="Arial" w:cs="Arial"/>
          <w:color w:val="000000"/>
        </w:rPr>
        <w:fldChar w:fldCharType="end"/>
      </w:r>
    </w:p>
    <w:p w14:paraId="7B0389AF" w14:textId="77777777" w:rsidR="00F74DF6" w:rsidRPr="00D917D8" w:rsidRDefault="00F74DF6" w:rsidP="00F74DF6">
      <w:pPr>
        <w:pBdr>
          <w:top w:val="nil"/>
          <w:left w:val="nil"/>
          <w:bottom w:val="nil"/>
          <w:right w:val="nil"/>
          <w:between w:val="nil"/>
        </w:pBdr>
        <w:spacing w:line="360" w:lineRule="auto"/>
        <w:jc w:val="both"/>
        <w:rPr>
          <w:rFonts w:ascii="Arial" w:eastAsia="Arial" w:hAnsi="Arial" w:cs="Arial"/>
          <w:color w:val="000000"/>
          <w:sz w:val="20"/>
          <w:szCs w:val="20"/>
          <w:lang w:val="en-US"/>
        </w:rPr>
      </w:pPr>
    </w:p>
    <w:sectPr w:rsidR="00F74DF6" w:rsidRPr="00D917D8">
      <w:headerReference w:type="default"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FD80F" w14:textId="77777777" w:rsidR="005D40C5" w:rsidRDefault="005D40C5">
      <w:r>
        <w:separator/>
      </w:r>
    </w:p>
  </w:endnote>
  <w:endnote w:type="continuationSeparator" w:id="0">
    <w:p w14:paraId="2A26938B" w14:textId="77777777" w:rsidR="005D40C5" w:rsidRDefault="005D4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84B2" w14:textId="77777777" w:rsidR="00C434C7" w:rsidRDefault="00C434C7">
    <w:pPr>
      <w:pBdr>
        <w:top w:val="nil"/>
        <w:left w:val="nil"/>
        <w:bottom w:val="nil"/>
        <w:right w:val="nil"/>
        <w:between w:val="nil"/>
      </w:pBdr>
      <w:tabs>
        <w:tab w:val="center" w:pos="4252"/>
        <w:tab w:val="right" w:pos="8504"/>
      </w:tabs>
      <w:jc w:val="right"/>
      <w:rPr>
        <w:color w:val="000000"/>
      </w:rPr>
    </w:pPr>
  </w:p>
  <w:p w14:paraId="362E703D" w14:textId="77777777" w:rsidR="00C434C7" w:rsidRDefault="00C434C7">
    <w:pPr>
      <w:pBdr>
        <w:top w:val="nil"/>
        <w:left w:val="nil"/>
        <w:bottom w:val="nil"/>
        <w:right w:val="nil"/>
        <w:between w:val="nil"/>
      </w:pBdr>
      <w:tabs>
        <w:tab w:val="center" w:pos="4252"/>
        <w:tab w:val="right" w:pos="8504"/>
      </w:tabs>
    </w:pPr>
  </w:p>
  <w:p w14:paraId="2E94AA41" w14:textId="77777777" w:rsidR="00C434C7" w:rsidRDefault="00E242D6">
    <w:pPr>
      <w:pBdr>
        <w:top w:val="nil"/>
        <w:left w:val="nil"/>
        <w:bottom w:val="nil"/>
        <w:right w:val="nil"/>
        <w:between w:val="nil"/>
      </w:pBdr>
      <w:tabs>
        <w:tab w:val="center" w:pos="4252"/>
        <w:tab w:val="right" w:pos="8504"/>
      </w:tabs>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B96C" w14:textId="77777777" w:rsidR="00C434C7" w:rsidRDefault="00E242D6">
    <w:pPr>
      <w:pBdr>
        <w:top w:val="nil"/>
        <w:left w:val="nil"/>
        <w:bottom w:val="nil"/>
        <w:right w:val="nil"/>
        <w:between w:val="nil"/>
      </w:pBdr>
      <w:tabs>
        <w:tab w:val="center" w:pos="4252"/>
        <w:tab w:val="right" w:pos="8504"/>
      </w:tabs>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p>
  <w:p w14:paraId="3E375274" w14:textId="77777777" w:rsidR="00C434C7" w:rsidRDefault="00C434C7">
    <w:pP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24DA8" w14:textId="77777777" w:rsidR="005D40C5" w:rsidRDefault="005D40C5">
      <w:r>
        <w:separator/>
      </w:r>
    </w:p>
  </w:footnote>
  <w:footnote w:type="continuationSeparator" w:id="0">
    <w:p w14:paraId="40A8D846" w14:textId="77777777" w:rsidR="005D40C5" w:rsidRDefault="005D4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BBA2" w14:textId="77777777" w:rsidR="00C434C7" w:rsidRDefault="00C434C7">
    <w:pPr>
      <w:pBdr>
        <w:top w:val="nil"/>
        <w:left w:val="nil"/>
        <w:bottom w:val="nil"/>
        <w:right w:val="nil"/>
        <w:between w:val="nil"/>
      </w:pBdr>
      <w:tabs>
        <w:tab w:val="center" w:pos="4252"/>
        <w:tab w:val="right" w:pos="8504"/>
        <w:tab w:val="left" w:pos="1785"/>
      </w:tabs>
      <w:rPr>
        <w:color w:val="000000"/>
      </w:rPr>
    </w:pPr>
  </w:p>
  <w:p w14:paraId="070C0D03" w14:textId="77777777" w:rsidR="00655FBA" w:rsidRDefault="00655FBA">
    <w:pPr>
      <w:pBdr>
        <w:top w:val="nil"/>
        <w:left w:val="nil"/>
        <w:bottom w:val="nil"/>
        <w:right w:val="nil"/>
        <w:between w:val="nil"/>
      </w:pBdr>
      <w:tabs>
        <w:tab w:val="center" w:pos="4252"/>
        <w:tab w:val="right" w:pos="8504"/>
        <w:tab w:val="left" w:pos="178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7C56" w14:textId="77777777" w:rsidR="00C434C7" w:rsidRDefault="00E242D6">
    <w:pPr>
      <w:pBdr>
        <w:top w:val="nil"/>
        <w:left w:val="nil"/>
        <w:bottom w:val="nil"/>
        <w:right w:val="nil"/>
        <w:between w:val="nil"/>
      </w:pBdr>
      <w:tabs>
        <w:tab w:val="center" w:pos="4252"/>
        <w:tab w:val="right" w:pos="8504"/>
        <w:tab w:val="left" w:pos="1785"/>
      </w:tabs>
      <w:rPr>
        <w:color w:val="000000"/>
      </w:rPr>
    </w:pPr>
    <w:bookmarkStart w:id="0" w:name="_heading=h.30j0zll" w:colFirst="0" w:colLast="0"/>
    <w:bookmarkEnd w:id="0"/>
    <w:r>
      <w:rPr>
        <w:color w:val="000000"/>
      </w:rPr>
      <w:tab/>
    </w:r>
    <w:r>
      <w:rPr>
        <w:noProof/>
      </w:rPr>
      <mc:AlternateContent>
        <mc:Choice Requires="wps">
          <w:drawing>
            <wp:anchor distT="0" distB="0" distL="114300" distR="114300" simplePos="0" relativeHeight="251659264" behindDoc="0" locked="0" layoutInCell="1" hidden="0" allowOverlap="1" wp14:anchorId="447E8133" wp14:editId="442F5572">
              <wp:simplePos x="0" y="0"/>
              <wp:positionH relativeFrom="column">
                <wp:posOffset>1</wp:posOffset>
              </wp:positionH>
              <wp:positionV relativeFrom="paragraph">
                <wp:posOffset>88900</wp:posOffset>
              </wp:positionV>
              <wp:extent cx="0" cy="12700"/>
              <wp:effectExtent l="0" t="0" r="0" b="0"/>
              <wp:wrapNone/>
              <wp:docPr id="11" name="Conector de Seta Reta 11"/>
              <wp:cNvGraphicFramePr/>
              <a:graphic xmlns:a="http://schemas.openxmlformats.org/drawingml/2006/main">
                <a:graphicData uri="http://schemas.microsoft.com/office/word/2010/wordprocessingShape">
                  <wps:wsp>
                    <wps:cNvCnPr/>
                    <wps:spPr>
                      <a:xfrm>
                        <a:off x="2469450" y="3780000"/>
                        <a:ext cx="5753100" cy="0"/>
                      </a:xfrm>
                      <a:prstGeom prst="straightConnector1">
                        <a:avLst/>
                      </a:prstGeom>
                      <a:noFill/>
                      <a:ln w="9525" cap="flat" cmpd="sng">
                        <a:solidFill>
                          <a:srgbClr val="595959"/>
                        </a:solidFill>
                        <a:prstDash val="solid"/>
                        <a:miter lim="800000"/>
                        <a:headEnd type="none" w="sm" len="sm"/>
                        <a:tailEnd type="none" w="sm" len="sm"/>
                      </a:ln>
                    </wps:spPr>
                    <wps:bodyPr/>
                  </wps:wsp>
                </a:graphicData>
              </a:graphic>
            </wp:anchor>
          </w:drawing>
        </mc:Choice>
        <mc:Fallback>
          <w:pict>
            <v:shapetype w14:anchorId="4154AA13" id="_x0000_t32" coordsize="21600,21600" o:spt="32" o:oned="t" path="m,l21600,21600e" filled="f">
              <v:path arrowok="t" fillok="f" o:connecttype="none"/>
              <o:lock v:ext="edit" shapetype="t"/>
            </v:shapetype>
            <v:shape id="Conector de Seta Reta 11" o:spid="_x0000_s1026" type="#_x0000_t32" style="position:absolute;margin-left:0;margin-top:7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" strokecolor="#595959">
              <v:stroke startarrowwidth="narrow" startarrowlength="short" endarrowwidth="narrow" endarrowlength="short" joinstyle="miter"/>
            </v:shape>
          </w:pict>
        </mc:Fallback>
      </mc:AlternateContent>
    </w:r>
  </w:p>
  <w:p w14:paraId="2C1CF777" w14:textId="77777777" w:rsidR="00C434C7" w:rsidRDefault="00C434C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D6202"/>
    <w:multiLevelType w:val="multilevel"/>
    <w:tmpl w:val="7966DE64"/>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 w15:restartNumberingAfterBreak="0">
    <w:nsid w:val="28993B46"/>
    <w:multiLevelType w:val="hybridMultilevel"/>
    <w:tmpl w:val="3F2839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5D86A57"/>
    <w:multiLevelType w:val="multilevel"/>
    <w:tmpl w:val="941EBC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3D3104"/>
    <w:multiLevelType w:val="multilevel"/>
    <w:tmpl w:val="2E24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D03DFB"/>
    <w:multiLevelType w:val="multilevel"/>
    <w:tmpl w:val="08F26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8055086">
    <w:abstractNumId w:val="0"/>
  </w:num>
  <w:num w:numId="2" w16cid:durableId="645012660">
    <w:abstractNumId w:val="3"/>
  </w:num>
  <w:num w:numId="3" w16cid:durableId="1721318611">
    <w:abstractNumId w:val="1"/>
  </w:num>
  <w:num w:numId="4" w16cid:durableId="61217010">
    <w:abstractNumId w:val="2"/>
  </w:num>
  <w:num w:numId="5" w16cid:durableId="373116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E5"/>
    <w:rsid w:val="00011CCA"/>
    <w:rsid w:val="00030916"/>
    <w:rsid w:val="000332A1"/>
    <w:rsid w:val="00035C78"/>
    <w:rsid w:val="000509F5"/>
    <w:rsid w:val="00054450"/>
    <w:rsid w:val="000576AC"/>
    <w:rsid w:val="00071516"/>
    <w:rsid w:val="000751B4"/>
    <w:rsid w:val="00085689"/>
    <w:rsid w:val="00085EEE"/>
    <w:rsid w:val="000A43C0"/>
    <w:rsid w:val="000A513E"/>
    <w:rsid w:val="000C7395"/>
    <w:rsid w:val="000D6627"/>
    <w:rsid w:val="000F5F8F"/>
    <w:rsid w:val="000F7BA1"/>
    <w:rsid w:val="00104B6B"/>
    <w:rsid w:val="00143265"/>
    <w:rsid w:val="00165C68"/>
    <w:rsid w:val="0018285F"/>
    <w:rsid w:val="00186116"/>
    <w:rsid w:val="0019197C"/>
    <w:rsid w:val="0019403E"/>
    <w:rsid w:val="0019515F"/>
    <w:rsid w:val="001B7E26"/>
    <w:rsid w:val="00214F01"/>
    <w:rsid w:val="00220EFF"/>
    <w:rsid w:val="00230987"/>
    <w:rsid w:val="002334D6"/>
    <w:rsid w:val="00245FE7"/>
    <w:rsid w:val="00265349"/>
    <w:rsid w:val="0026705B"/>
    <w:rsid w:val="00272266"/>
    <w:rsid w:val="002775A7"/>
    <w:rsid w:val="0028317B"/>
    <w:rsid w:val="00287D6F"/>
    <w:rsid w:val="0029042D"/>
    <w:rsid w:val="00292C6B"/>
    <w:rsid w:val="00295A3D"/>
    <w:rsid w:val="00297C66"/>
    <w:rsid w:val="002B0EBC"/>
    <w:rsid w:val="002C588C"/>
    <w:rsid w:val="002C64B5"/>
    <w:rsid w:val="002D2C5E"/>
    <w:rsid w:val="002D6D05"/>
    <w:rsid w:val="002F513D"/>
    <w:rsid w:val="00310B00"/>
    <w:rsid w:val="00311853"/>
    <w:rsid w:val="003119E1"/>
    <w:rsid w:val="00326E36"/>
    <w:rsid w:val="00342AE5"/>
    <w:rsid w:val="003445A1"/>
    <w:rsid w:val="003865BD"/>
    <w:rsid w:val="003A216F"/>
    <w:rsid w:val="003B22BB"/>
    <w:rsid w:val="003C469A"/>
    <w:rsid w:val="003C7C62"/>
    <w:rsid w:val="003D0FB0"/>
    <w:rsid w:val="003D65C3"/>
    <w:rsid w:val="00401CD7"/>
    <w:rsid w:val="00402661"/>
    <w:rsid w:val="0042219A"/>
    <w:rsid w:val="0044337F"/>
    <w:rsid w:val="004553FA"/>
    <w:rsid w:val="00492106"/>
    <w:rsid w:val="004B125A"/>
    <w:rsid w:val="004B6512"/>
    <w:rsid w:val="004C4711"/>
    <w:rsid w:val="004C660C"/>
    <w:rsid w:val="004E522C"/>
    <w:rsid w:val="004F0E5A"/>
    <w:rsid w:val="00500818"/>
    <w:rsid w:val="00502FBC"/>
    <w:rsid w:val="00511FCF"/>
    <w:rsid w:val="005244A0"/>
    <w:rsid w:val="00527260"/>
    <w:rsid w:val="0053432A"/>
    <w:rsid w:val="00535A11"/>
    <w:rsid w:val="00537821"/>
    <w:rsid w:val="00537849"/>
    <w:rsid w:val="005463E3"/>
    <w:rsid w:val="0056165D"/>
    <w:rsid w:val="00572E23"/>
    <w:rsid w:val="005871F4"/>
    <w:rsid w:val="00587805"/>
    <w:rsid w:val="00587F6A"/>
    <w:rsid w:val="005A1D51"/>
    <w:rsid w:val="005B6C1B"/>
    <w:rsid w:val="005C008F"/>
    <w:rsid w:val="005C474E"/>
    <w:rsid w:val="005C4D9A"/>
    <w:rsid w:val="005C58AC"/>
    <w:rsid w:val="005C6D8F"/>
    <w:rsid w:val="005D40C5"/>
    <w:rsid w:val="005E545A"/>
    <w:rsid w:val="005E5D94"/>
    <w:rsid w:val="005E7690"/>
    <w:rsid w:val="005F1B95"/>
    <w:rsid w:val="006003A0"/>
    <w:rsid w:val="0060658E"/>
    <w:rsid w:val="00611241"/>
    <w:rsid w:val="00622182"/>
    <w:rsid w:val="00646B46"/>
    <w:rsid w:val="006517FC"/>
    <w:rsid w:val="00651DB8"/>
    <w:rsid w:val="00655FBA"/>
    <w:rsid w:val="006717F2"/>
    <w:rsid w:val="00677420"/>
    <w:rsid w:val="00686E4D"/>
    <w:rsid w:val="00691936"/>
    <w:rsid w:val="006A04CC"/>
    <w:rsid w:val="006B34BA"/>
    <w:rsid w:val="006B6102"/>
    <w:rsid w:val="006C2236"/>
    <w:rsid w:val="006E49AC"/>
    <w:rsid w:val="006E6208"/>
    <w:rsid w:val="006F3DDC"/>
    <w:rsid w:val="007064CF"/>
    <w:rsid w:val="007116DC"/>
    <w:rsid w:val="0071454B"/>
    <w:rsid w:val="007221E0"/>
    <w:rsid w:val="0075608B"/>
    <w:rsid w:val="00762E22"/>
    <w:rsid w:val="007824BE"/>
    <w:rsid w:val="007827EA"/>
    <w:rsid w:val="007856F0"/>
    <w:rsid w:val="007904DE"/>
    <w:rsid w:val="00795CD4"/>
    <w:rsid w:val="007A15D9"/>
    <w:rsid w:val="007A6183"/>
    <w:rsid w:val="007A7CA9"/>
    <w:rsid w:val="007B34A3"/>
    <w:rsid w:val="007B5B97"/>
    <w:rsid w:val="007D6DCC"/>
    <w:rsid w:val="008162B9"/>
    <w:rsid w:val="008164A2"/>
    <w:rsid w:val="008244FB"/>
    <w:rsid w:val="00847F0F"/>
    <w:rsid w:val="0086350B"/>
    <w:rsid w:val="00865C6B"/>
    <w:rsid w:val="00882CC4"/>
    <w:rsid w:val="00887782"/>
    <w:rsid w:val="0089154E"/>
    <w:rsid w:val="00893E8B"/>
    <w:rsid w:val="008B380F"/>
    <w:rsid w:val="008E3707"/>
    <w:rsid w:val="008E6A6E"/>
    <w:rsid w:val="008F6370"/>
    <w:rsid w:val="008F69BB"/>
    <w:rsid w:val="00905287"/>
    <w:rsid w:val="00936B0F"/>
    <w:rsid w:val="009428E4"/>
    <w:rsid w:val="009513AA"/>
    <w:rsid w:val="00961778"/>
    <w:rsid w:val="009816EA"/>
    <w:rsid w:val="0098190F"/>
    <w:rsid w:val="00987736"/>
    <w:rsid w:val="00993911"/>
    <w:rsid w:val="009B05BF"/>
    <w:rsid w:val="009C1E30"/>
    <w:rsid w:val="009C225C"/>
    <w:rsid w:val="009C4132"/>
    <w:rsid w:val="009F703C"/>
    <w:rsid w:val="009F7F99"/>
    <w:rsid w:val="00A0089D"/>
    <w:rsid w:val="00A055C4"/>
    <w:rsid w:val="00A22075"/>
    <w:rsid w:val="00A31C1E"/>
    <w:rsid w:val="00A536D1"/>
    <w:rsid w:val="00A53702"/>
    <w:rsid w:val="00A55651"/>
    <w:rsid w:val="00A6538E"/>
    <w:rsid w:val="00A658C3"/>
    <w:rsid w:val="00A87830"/>
    <w:rsid w:val="00A9624B"/>
    <w:rsid w:val="00AB5317"/>
    <w:rsid w:val="00AB5B53"/>
    <w:rsid w:val="00AD06E9"/>
    <w:rsid w:val="00B073AA"/>
    <w:rsid w:val="00B11623"/>
    <w:rsid w:val="00B24852"/>
    <w:rsid w:val="00B25F6D"/>
    <w:rsid w:val="00B35935"/>
    <w:rsid w:val="00B40290"/>
    <w:rsid w:val="00B55798"/>
    <w:rsid w:val="00B65629"/>
    <w:rsid w:val="00B70C79"/>
    <w:rsid w:val="00B7353C"/>
    <w:rsid w:val="00B95A85"/>
    <w:rsid w:val="00BA11FA"/>
    <w:rsid w:val="00BB21FC"/>
    <w:rsid w:val="00BD71E1"/>
    <w:rsid w:val="00BE6DBA"/>
    <w:rsid w:val="00BF0D90"/>
    <w:rsid w:val="00BF6611"/>
    <w:rsid w:val="00C13B60"/>
    <w:rsid w:val="00C2137B"/>
    <w:rsid w:val="00C234F1"/>
    <w:rsid w:val="00C434C7"/>
    <w:rsid w:val="00C55FA2"/>
    <w:rsid w:val="00C779D7"/>
    <w:rsid w:val="00C8472C"/>
    <w:rsid w:val="00C910BE"/>
    <w:rsid w:val="00C934C5"/>
    <w:rsid w:val="00C95835"/>
    <w:rsid w:val="00CA40F7"/>
    <w:rsid w:val="00CB474A"/>
    <w:rsid w:val="00CB67B0"/>
    <w:rsid w:val="00CC76B7"/>
    <w:rsid w:val="00CD63C9"/>
    <w:rsid w:val="00CF2FB8"/>
    <w:rsid w:val="00D02B9A"/>
    <w:rsid w:val="00D14621"/>
    <w:rsid w:val="00D21C3A"/>
    <w:rsid w:val="00D245A6"/>
    <w:rsid w:val="00D51014"/>
    <w:rsid w:val="00D565E3"/>
    <w:rsid w:val="00D62F83"/>
    <w:rsid w:val="00D63728"/>
    <w:rsid w:val="00D70B18"/>
    <w:rsid w:val="00D7172F"/>
    <w:rsid w:val="00D8162D"/>
    <w:rsid w:val="00D8450F"/>
    <w:rsid w:val="00D8737A"/>
    <w:rsid w:val="00D87F56"/>
    <w:rsid w:val="00D917D8"/>
    <w:rsid w:val="00DA3CA4"/>
    <w:rsid w:val="00DB5885"/>
    <w:rsid w:val="00DC31C3"/>
    <w:rsid w:val="00DC553E"/>
    <w:rsid w:val="00DD26DA"/>
    <w:rsid w:val="00DE428A"/>
    <w:rsid w:val="00E039C7"/>
    <w:rsid w:val="00E03BAE"/>
    <w:rsid w:val="00E22E5C"/>
    <w:rsid w:val="00E242D6"/>
    <w:rsid w:val="00E4781F"/>
    <w:rsid w:val="00E50068"/>
    <w:rsid w:val="00E55149"/>
    <w:rsid w:val="00E62F8C"/>
    <w:rsid w:val="00E634B4"/>
    <w:rsid w:val="00E73B0A"/>
    <w:rsid w:val="00EA106B"/>
    <w:rsid w:val="00EA1572"/>
    <w:rsid w:val="00EA6368"/>
    <w:rsid w:val="00EB1D2A"/>
    <w:rsid w:val="00EB4A97"/>
    <w:rsid w:val="00EB502F"/>
    <w:rsid w:val="00ED041F"/>
    <w:rsid w:val="00ED415C"/>
    <w:rsid w:val="00EE54C8"/>
    <w:rsid w:val="00EE6EA8"/>
    <w:rsid w:val="00EE7AF0"/>
    <w:rsid w:val="00EE7CF1"/>
    <w:rsid w:val="00EF0A3A"/>
    <w:rsid w:val="00F14160"/>
    <w:rsid w:val="00F20DF1"/>
    <w:rsid w:val="00F35D1E"/>
    <w:rsid w:val="00F42255"/>
    <w:rsid w:val="00F71011"/>
    <w:rsid w:val="00F74DF6"/>
    <w:rsid w:val="00F777CD"/>
    <w:rsid w:val="00F90565"/>
    <w:rsid w:val="00F969E8"/>
    <w:rsid w:val="00F9736E"/>
    <w:rsid w:val="00FD1937"/>
    <w:rsid w:val="00FD462D"/>
    <w:rsid w:val="00FD7857"/>
    <w:rsid w:val="00FE57CB"/>
    <w:rsid w:val="00FF73F3"/>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0251"/>
  <w15:chartTrackingRefBased/>
  <w15:docId w15:val="{EB862E61-36A0-F246-B6C3-7C13E13C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E5"/>
    <w:rPr>
      <w:rFonts w:ascii="Calibri" w:eastAsia="Calibri" w:hAnsi="Calibri" w:cs="Calibri"/>
      <w:kern w:val="0"/>
      <w:lang w:eastAsia="pt-BR"/>
      <w14:ligatures w14:val="none"/>
    </w:rPr>
  </w:style>
  <w:style w:type="paragraph" w:styleId="Ttulo1">
    <w:name w:val="heading 1"/>
    <w:basedOn w:val="Normal"/>
    <w:next w:val="Normal"/>
    <w:link w:val="Ttulo1Char"/>
    <w:uiPriority w:val="9"/>
    <w:qFormat/>
    <w:rsid w:val="00677420"/>
    <w:pPr>
      <w:keepNext/>
      <w:keepLines/>
      <w:spacing w:before="480" w:after="120"/>
      <w:outlineLvl w:val="0"/>
    </w:pPr>
    <w:rPr>
      <w:rFonts w:ascii="Arial" w:hAnsi="Arial"/>
      <w:b/>
      <w:szCs w:val="48"/>
      <w:lang w:val="en-US"/>
    </w:rPr>
  </w:style>
  <w:style w:type="paragraph" w:styleId="Ttulo2">
    <w:name w:val="heading 2"/>
    <w:basedOn w:val="Normal"/>
    <w:next w:val="Normal"/>
    <w:link w:val="Ttulo2Char"/>
    <w:uiPriority w:val="9"/>
    <w:unhideWhenUsed/>
    <w:qFormat/>
    <w:rsid w:val="00C779D7"/>
    <w:pPr>
      <w:keepNext/>
      <w:keepLines/>
      <w:spacing w:before="200"/>
      <w:outlineLvl w:val="1"/>
    </w:pPr>
    <w:rPr>
      <w:rFonts w:ascii="Arial" w:eastAsiaTheme="majorEastAsia" w:hAnsi="Arial" w:cstheme="majorBidi"/>
      <w:b/>
      <w:bCs/>
      <w:i/>
      <w:color w:val="000000" w:themeColor="text1"/>
      <w:szCs w:val="26"/>
      <w:lang w:val="en-US"/>
    </w:rPr>
  </w:style>
  <w:style w:type="paragraph" w:styleId="Ttulo3">
    <w:name w:val="heading 3"/>
    <w:basedOn w:val="Normal"/>
    <w:next w:val="Normal"/>
    <w:link w:val="Ttulo3Char"/>
    <w:uiPriority w:val="9"/>
    <w:semiHidden/>
    <w:unhideWhenUsed/>
    <w:qFormat/>
    <w:rsid w:val="00342AE5"/>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rsid w:val="00342AE5"/>
    <w:pPr>
      <w:keepNext/>
      <w:keepLines/>
      <w:spacing w:before="240" w:after="40"/>
      <w:outlineLvl w:val="3"/>
    </w:pPr>
    <w:rPr>
      <w:b/>
    </w:rPr>
  </w:style>
  <w:style w:type="paragraph" w:styleId="Ttulo5">
    <w:name w:val="heading 5"/>
    <w:basedOn w:val="Normal"/>
    <w:next w:val="Normal"/>
    <w:link w:val="Ttulo5Char"/>
    <w:uiPriority w:val="9"/>
    <w:semiHidden/>
    <w:unhideWhenUsed/>
    <w:qFormat/>
    <w:rsid w:val="00342AE5"/>
    <w:pPr>
      <w:keepNext/>
      <w:keepLines/>
      <w:spacing w:before="220" w:after="40"/>
      <w:outlineLvl w:val="4"/>
    </w:pPr>
    <w:rPr>
      <w:b/>
      <w:sz w:val="22"/>
      <w:szCs w:val="22"/>
    </w:rPr>
  </w:style>
  <w:style w:type="paragraph" w:styleId="Ttulo6">
    <w:name w:val="heading 6"/>
    <w:basedOn w:val="Normal"/>
    <w:next w:val="Normal"/>
    <w:link w:val="Ttulo6Char"/>
    <w:uiPriority w:val="9"/>
    <w:semiHidden/>
    <w:unhideWhenUsed/>
    <w:qFormat/>
    <w:rsid w:val="00342AE5"/>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77420"/>
    <w:rPr>
      <w:rFonts w:ascii="Arial" w:eastAsia="Calibri" w:hAnsi="Arial" w:cs="Calibri"/>
      <w:b/>
      <w:kern w:val="0"/>
      <w:szCs w:val="48"/>
      <w:lang w:val="en-US" w:eastAsia="pt-BR"/>
      <w14:ligatures w14:val="none"/>
    </w:rPr>
  </w:style>
  <w:style w:type="character" w:customStyle="1" w:styleId="Ttulo2Char">
    <w:name w:val="Título 2 Char"/>
    <w:basedOn w:val="Fontepargpadro"/>
    <w:link w:val="Ttulo2"/>
    <w:uiPriority w:val="9"/>
    <w:rsid w:val="00C779D7"/>
    <w:rPr>
      <w:rFonts w:ascii="Arial" w:eastAsiaTheme="majorEastAsia" w:hAnsi="Arial" w:cstheme="majorBidi"/>
      <w:b/>
      <w:bCs/>
      <w:i/>
      <w:color w:val="000000" w:themeColor="text1"/>
      <w:kern w:val="0"/>
      <w:szCs w:val="26"/>
      <w:lang w:val="en-US" w:eastAsia="pt-BR"/>
      <w14:ligatures w14:val="none"/>
    </w:rPr>
  </w:style>
  <w:style w:type="character" w:customStyle="1" w:styleId="Ttulo3Char">
    <w:name w:val="Título 3 Char"/>
    <w:basedOn w:val="Fontepargpadro"/>
    <w:link w:val="Ttulo3"/>
    <w:uiPriority w:val="9"/>
    <w:semiHidden/>
    <w:rsid w:val="00342AE5"/>
    <w:rPr>
      <w:rFonts w:ascii="Calibri" w:eastAsia="Calibri" w:hAnsi="Calibri" w:cs="Calibri"/>
      <w:b/>
      <w:kern w:val="0"/>
      <w:sz w:val="28"/>
      <w:szCs w:val="28"/>
      <w:lang w:eastAsia="pt-BR"/>
      <w14:ligatures w14:val="none"/>
    </w:rPr>
  </w:style>
  <w:style w:type="character" w:customStyle="1" w:styleId="Ttulo4Char">
    <w:name w:val="Título 4 Char"/>
    <w:basedOn w:val="Fontepargpadro"/>
    <w:link w:val="Ttulo4"/>
    <w:uiPriority w:val="9"/>
    <w:semiHidden/>
    <w:rsid w:val="00342AE5"/>
    <w:rPr>
      <w:rFonts w:ascii="Calibri" w:eastAsia="Calibri" w:hAnsi="Calibri" w:cs="Calibri"/>
      <w:b/>
      <w:kern w:val="0"/>
      <w:lang w:eastAsia="pt-BR"/>
      <w14:ligatures w14:val="none"/>
    </w:rPr>
  </w:style>
  <w:style w:type="character" w:customStyle="1" w:styleId="Ttulo5Char">
    <w:name w:val="Título 5 Char"/>
    <w:basedOn w:val="Fontepargpadro"/>
    <w:link w:val="Ttulo5"/>
    <w:uiPriority w:val="9"/>
    <w:semiHidden/>
    <w:rsid w:val="00342AE5"/>
    <w:rPr>
      <w:rFonts w:ascii="Calibri" w:eastAsia="Calibri" w:hAnsi="Calibri" w:cs="Calibri"/>
      <w:b/>
      <w:kern w:val="0"/>
      <w:sz w:val="22"/>
      <w:szCs w:val="22"/>
      <w:lang w:eastAsia="pt-BR"/>
      <w14:ligatures w14:val="none"/>
    </w:rPr>
  </w:style>
  <w:style w:type="character" w:customStyle="1" w:styleId="Ttulo6Char">
    <w:name w:val="Título 6 Char"/>
    <w:basedOn w:val="Fontepargpadro"/>
    <w:link w:val="Ttulo6"/>
    <w:uiPriority w:val="9"/>
    <w:semiHidden/>
    <w:rsid w:val="00342AE5"/>
    <w:rPr>
      <w:rFonts w:ascii="Calibri" w:eastAsia="Calibri" w:hAnsi="Calibri" w:cs="Calibri"/>
      <w:b/>
      <w:kern w:val="0"/>
      <w:sz w:val="20"/>
      <w:szCs w:val="20"/>
      <w:lang w:eastAsia="pt-BR"/>
      <w14:ligatures w14:val="none"/>
    </w:rPr>
  </w:style>
  <w:style w:type="table" w:customStyle="1" w:styleId="TableNormal">
    <w:name w:val="Table Normal"/>
    <w:rsid w:val="00342AE5"/>
    <w:rPr>
      <w:rFonts w:ascii="Calibri" w:eastAsia="Calibri" w:hAnsi="Calibri" w:cs="Calibri"/>
      <w:kern w:val="0"/>
      <w:lang w:eastAsia="pt-BR"/>
      <w14:ligatures w14:val="none"/>
    </w:rPr>
    <w:tblPr>
      <w:tblCellMar>
        <w:top w:w="0" w:type="dxa"/>
        <w:left w:w="0" w:type="dxa"/>
        <w:bottom w:w="0" w:type="dxa"/>
        <w:right w:w="0" w:type="dxa"/>
      </w:tblCellMar>
    </w:tblPr>
  </w:style>
  <w:style w:type="paragraph" w:styleId="Ttulo">
    <w:name w:val="Title"/>
    <w:basedOn w:val="Normal"/>
    <w:next w:val="Normal"/>
    <w:link w:val="TtuloChar"/>
    <w:uiPriority w:val="10"/>
    <w:qFormat/>
    <w:rsid w:val="00342AE5"/>
    <w:pPr>
      <w:keepNext/>
      <w:keepLines/>
      <w:spacing w:before="480" w:after="120"/>
    </w:pPr>
    <w:rPr>
      <w:b/>
      <w:sz w:val="72"/>
      <w:szCs w:val="72"/>
    </w:rPr>
  </w:style>
  <w:style w:type="character" w:customStyle="1" w:styleId="TtuloChar">
    <w:name w:val="Título Char"/>
    <w:basedOn w:val="Fontepargpadro"/>
    <w:link w:val="Ttulo"/>
    <w:uiPriority w:val="10"/>
    <w:rsid w:val="00342AE5"/>
    <w:rPr>
      <w:rFonts w:ascii="Calibri" w:eastAsia="Calibri" w:hAnsi="Calibri" w:cs="Calibri"/>
      <w:b/>
      <w:kern w:val="0"/>
      <w:sz w:val="72"/>
      <w:szCs w:val="72"/>
      <w:lang w:eastAsia="pt-BR"/>
      <w14:ligatures w14:val="none"/>
    </w:rPr>
  </w:style>
  <w:style w:type="character" w:styleId="Nmerodelinha">
    <w:name w:val="line number"/>
    <w:basedOn w:val="Fontepargpadro"/>
    <w:uiPriority w:val="99"/>
    <w:semiHidden/>
    <w:unhideWhenUsed/>
    <w:rsid w:val="00342AE5"/>
  </w:style>
  <w:style w:type="paragraph" w:styleId="Cabealho">
    <w:name w:val="header"/>
    <w:basedOn w:val="Normal"/>
    <w:link w:val="CabealhoChar"/>
    <w:uiPriority w:val="99"/>
    <w:unhideWhenUsed/>
    <w:rsid w:val="00342AE5"/>
    <w:pPr>
      <w:tabs>
        <w:tab w:val="center" w:pos="4252"/>
        <w:tab w:val="right" w:pos="8504"/>
      </w:tabs>
    </w:pPr>
  </w:style>
  <w:style w:type="character" w:customStyle="1" w:styleId="CabealhoChar">
    <w:name w:val="Cabeçalho Char"/>
    <w:basedOn w:val="Fontepargpadro"/>
    <w:link w:val="Cabealho"/>
    <w:uiPriority w:val="99"/>
    <w:rsid w:val="00342AE5"/>
    <w:rPr>
      <w:rFonts w:ascii="Calibri" w:eastAsia="Calibri" w:hAnsi="Calibri" w:cs="Calibri"/>
      <w:kern w:val="0"/>
      <w:lang w:eastAsia="pt-BR"/>
      <w14:ligatures w14:val="none"/>
    </w:rPr>
  </w:style>
  <w:style w:type="paragraph" w:styleId="Rodap">
    <w:name w:val="footer"/>
    <w:basedOn w:val="Normal"/>
    <w:link w:val="RodapChar"/>
    <w:uiPriority w:val="99"/>
    <w:unhideWhenUsed/>
    <w:rsid w:val="00342AE5"/>
    <w:pPr>
      <w:tabs>
        <w:tab w:val="center" w:pos="4252"/>
        <w:tab w:val="right" w:pos="8504"/>
      </w:tabs>
    </w:pPr>
  </w:style>
  <w:style w:type="character" w:customStyle="1" w:styleId="RodapChar">
    <w:name w:val="Rodapé Char"/>
    <w:basedOn w:val="Fontepargpadro"/>
    <w:link w:val="Rodap"/>
    <w:uiPriority w:val="99"/>
    <w:rsid w:val="00342AE5"/>
    <w:rPr>
      <w:rFonts w:ascii="Calibri" w:eastAsia="Calibri" w:hAnsi="Calibri" w:cs="Calibri"/>
      <w:kern w:val="0"/>
      <w:lang w:eastAsia="pt-BR"/>
      <w14:ligatures w14:val="none"/>
    </w:rPr>
  </w:style>
  <w:style w:type="character" w:styleId="Hyperlink">
    <w:name w:val="Hyperlink"/>
    <w:basedOn w:val="Fontepargpadro"/>
    <w:uiPriority w:val="99"/>
    <w:unhideWhenUsed/>
    <w:rsid w:val="00342AE5"/>
    <w:rPr>
      <w:color w:val="0563C1" w:themeColor="hyperlink"/>
      <w:u w:val="single"/>
    </w:rPr>
  </w:style>
  <w:style w:type="paragraph" w:styleId="Textodebalo">
    <w:name w:val="Balloon Text"/>
    <w:basedOn w:val="Normal"/>
    <w:link w:val="TextodebaloChar"/>
    <w:uiPriority w:val="99"/>
    <w:semiHidden/>
    <w:unhideWhenUsed/>
    <w:rsid w:val="00342AE5"/>
    <w:rPr>
      <w:rFonts w:ascii="Tahoma" w:hAnsi="Tahoma" w:cs="Tahoma"/>
      <w:sz w:val="16"/>
      <w:szCs w:val="16"/>
    </w:rPr>
  </w:style>
  <w:style w:type="character" w:customStyle="1" w:styleId="TextodebaloChar">
    <w:name w:val="Texto de balão Char"/>
    <w:basedOn w:val="Fontepargpadro"/>
    <w:link w:val="Textodebalo"/>
    <w:uiPriority w:val="99"/>
    <w:semiHidden/>
    <w:rsid w:val="00342AE5"/>
    <w:rPr>
      <w:rFonts w:ascii="Tahoma" w:eastAsia="Calibri" w:hAnsi="Tahoma" w:cs="Tahoma"/>
      <w:kern w:val="0"/>
      <w:sz w:val="16"/>
      <w:szCs w:val="16"/>
      <w:lang w:eastAsia="pt-BR"/>
      <w14:ligatures w14:val="none"/>
    </w:rPr>
  </w:style>
  <w:style w:type="paragraph" w:styleId="SemEspaamento">
    <w:name w:val="No Spacing"/>
    <w:uiPriority w:val="1"/>
    <w:qFormat/>
    <w:rsid w:val="00342AE5"/>
    <w:pPr>
      <w:jc w:val="both"/>
    </w:pPr>
    <w:rPr>
      <w:rFonts w:ascii="Arial" w:eastAsia="Calibri" w:hAnsi="Arial" w:cs="Arial"/>
      <w:kern w:val="0"/>
      <w:sz w:val="22"/>
      <w:szCs w:val="22"/>
      <w:lang w:eastAsia="pt-BR"/>
      <w14:ligatures w14:val="none"/>
    </w:rPr>
  </w:style>
  <w:style w:type="paragraph" w:styleId="PargrafodaLista">
    <w:name w:val="List Paragraph"/>
    <w:basedOn w:val="Normal"/>
    <w:uiPriority w:val="34"/>
    <w:qFormat/>
    <w:rsid w:val="00342AE5"/>
    <w:pPr>
      <w:ind w:left="720"/>
      <w:contextualSpacing/>
    </w:pPr>
  </w:style>
  <w:style w:type="paragraph" w:customStyle="1" w:styleId="EndNoteBibliographyTitle">
    <w:name w:val="EndNote Bibliography Title"/>
    <w:basedOn w:val="Normal"/>
    <w:rsid w:val="00342AE5"/>
    <w:pPr>
      <w:spacing w:line="480" w:lineRule="auto"/>
      <w:jc w:val="center"/>
    </w:pPr>
    <w:rPr>
      <w:rFonts w:ascii="Times New Roman" w:eastAsia="Times New Roman" w:hAnsi="Times New Roman" w:cs="Times New Roman"/>
      <w:lang w:val="en-GB" w:eastAsia="en-GB"/>
    </w:rPr>
  </w:style>
  <w:style w:type="paragraph" w:customStyle="1" w:styleId="EndNoteBibliography">
    <w:name w:val="EndNote Bibliography"/>
    <w:basedOn w:val="Normal"/>
    <w:rsid w:val="00342AE5"/>
    <w:pPr>
      <w:spacing w:line="480" w:lineRule="auto"/>
    </w:pPr>
    <w:rPr>
      <w:rFonts w:ascii="Times New Roman" w:eastAsia="Times New Roman" w:hAnsi="Times New Roman" w:cs="Times New Roman"/>
      <w:lang w:val="en-GB" w:eastAsia="en-GB"/>
    </w:rPr>
  </w:style>
  <w:style w:type="table" w:styleId="Tabelacomgrade">
    <w:name w:val="Table Grid"/>
    <w:basedOn w:val="Tabelanormal"/>
    <w:uiPriority w:val="59"/>
    <w:rsid w:val="00342AE5"/>
    <w:rPr>
      <w:rFonts w:ascii="Calibri" w:eastAsia="Calibri" w:hAnsi="Calibri" w:cs="Calibri"/>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342AE5"/>
    <w:rPr>
      <w:color w:val="605E5C"/>
      <w:shd w:val="clear" w:color="auto" w:fill="E1DFDD"/>
    </w:rPr>
  </w:style>
  <w:style w:type="character" w:styleId="TextodoEspaoReservado">
    <w:name w:val="Placeholder Text"/>
    <w:basedOn w:val="Fontepargpadro"/>
    <w:uiPriority w:val="99"/>
    <w:semiHidden/>
    <w:rsid w:val="00342AE5"/>
    <w:rPr>
      <w:color w:val="666666"/>
    </w:rPr>
  </w:style>
  <w:style w:type="paragraph" w:styleId="Reviso">
    <w:name w:val="Revision"/>
    <w:hidden/>
    <w:uiPriority w:val="99"/>
    <w:semiHidden/>
    <w:rsid w:val="00342AE5"/>
    <w:rPr>
      <w:rFonts w:ascii="Arial" w:eastAsia="Calibri" w:hAnsi="Arial" w:cs="Arial"/>
      <w:kern w:val="0"/>
      <w:sz w:val="22"/>
      <w:szCs w:val="22"/>
      <w:lang w:eastAsia="pt-BR"/>
      <w14:ligatures w14:val="none"/>
    </w:rPr>
  </w:style>
  <w:style w:type="character" w:styleId="Refdecomentrio">
    <w:name w:val="annotation reference"/>
    <w:basedOn w:val="Fontepargpadro"/>
    <w:uiPriority w:val="99"/>
    <w:semiHidden/>
    <w:unhideWhenUsed/>
    <w:rsid w:val="00342AE5"/>
    <w:rPr>
      <w:sz w:val="16"/>
      <w:szCs w:val="16"/>
    </w:rPr>
  </w:style>
  <w:style w:type="paragraph" w:styleId="Textodecomentrio">
    <w:name w:val="annotation text"/>
    <w:basedOn w:val="Normal"/>
    <w:link w:val="TextodecomentrioChar"/>
    <w:uiPriority w:val="99"/>
    <w:unhideWhenUsed/>
    <w:rsid w:val="00342AE5"/>
    <w:rPr>
      <w:sz w:val="20"/>
      <w:szCs w:val="20"/>
    </w:rPr>
  </w:style>
  <w:style w:type="character" w:customStyle="1" w:styleId="TextodecomentrioChar">
    <w:name w:val="Texto de comentário Char"/>
    <w:basedOn w:val="Fontepargpadro"/>
    <w:link w:val="Textodecomentrio"/>
    <w:uiPriority w:val="99"/>
    <w:rsid w:val="00342AE5"/>
    <w:rPr>
      <w:rFonts w:ascii="Calibri" w:eastAsia="Calibri" w:hAnsi="Calibri" w:cs="Calibri"/>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342AE5"/>
    <w:rPr>
      <w:b/>
      <w:bCs/>
    </w:rPr>
  </w:style>
  <w:style w:type="character" w:customStyle="1" w:styleId="AssuntodocomentrioChar">
    <w:name w:val="Assunto do comentário Char"/>
    <w:basedOn w:val="TextodecomentrioChar"/>
    <w:link w:val="Assuntodocomentrio"/>
    <w:uiPriority w:val="99"/>
    <w:semiHidden/>
    <w:rsid w:val="00342AE5"/>
    <w:rPr>
      <w:rFonts w:ascii="Calibri" w:eastAsia="Calibri" w:hAnsi="Calibri" w:cs="Calibri"/>
      <w:b/>
      <w:bCs/>
      <w:kern w:val="0"/>
      <w:sz w:val="20"/>
      <w:szCs w:val="20"/>
      <w:lang w:eastAsia="pt-BR"/>
      <w14:ligatures w14:val="none"/>
    </w:rPr>
  </w:style>
  <w:style w:type="table" w:styleId="TabeladeGradeClara">
    <w:name w:val="Grid Table Light"/>
    <w:basedOn w:val="Tabelanormal"/>
    <w:uiPriority w:val="40"/>
    <w:rsid w:val="00342AE5"/>
    <w:pPr>
      <w:jc w:val="both"/>
    </w:pPr>
    <w:rPr>
      <w:rFonts w:ascii="Arial" w:eastAsia="Calibri" w:hAnsi="Arial" w:cs="Arial"/>
      <w:kern w:val="0"/>
      <w:sz w:val="22"/>
      <w:szCs w:val="22"/>
      <w:lang w:eastAsia="pt-B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mples4">
    <w:name w:val="Plain Table 4"/>
    <w:basedOn w:val="Tabelanormal"/>
    <w:uiPriority w:val="44"/>
    <w:rsid w:val="00342AE5"/>
    <w:pPr>
      <w:jc w:val="both"/>
    </w:pPr>
    <w:rPr>
      <w:rFonts w:ascii="Arial" w:eastAsia="Calibri" w:hAnsi="Arial" w:cs="Arial"/>
      <w:kern w:val="0"/>
      <w:sz w:val="22"/>
      <w:szCs w:val="22"/>
      <w:lang w:eastAsia="pt-BR"/>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1Clara">
    <w:name w:val="Grid Table 1 Light"/>
    <w:basedOn w:val="Tabelanormal"/>
    <w:uiPriority w:val="46"/>
    <w:rsid w:val="00342AE5"/>
    <w:pPr>
      <w:jc w:val="both"/>
    </w:pPr>
    <w:rPr>
      <w:rFonts w:ascii="Arial" w:eastAsia="Calibri" w:hAnsi="Arial" w:cs="Arial"/>
      <w:kern w:val="0"/>
      <w:sz w:val="22"/>
      <w:szCs w:val="22"/>
      <w:lang w:eastAsia="pt-BR"/>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ubttulo">
    <w:name w:val="Subtitle"/>
    <w:basedOn w:val="Normal"/>
    <w:next w:val="Normal"/>
    <w:link w:val="SubttuloChar"/>
    <w:uiPriority w:val="11"/>
    <w:qFormat/>
    <w:rsid w:val="00342AE5"/>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342AE5"/>
    <w:rPr>
      <w:rFonts w:ascii="Georgia" w:eastAsia="Georgia" w:hAnsi="Georgia" w:cs="Georgia"/>
      <w:i/>
      <w:color w:val="666666"/>
      <w:kern w:val="0"/>
      <w:sz w:val="48"/>
      <w:szCs w:val="48"/>
      <w:lang w:eastAsia="pt-BR"/>
      <w14:ligatures w14:val="none"/>
    </w:rPr>
  </w:style>
  <w:style w:type="character" w:customStyle="1" w:styleId="ztplmc">
    <w:name w:val="ztplmc"/>
    <w:basedOn w:val="Fontepargpadro"/>
    <w:rsid w:val="00FE57CB"/>
  </w:style>
  <w:style w:type="character" w:customStyle="1" w:styleId="hwtze">
    <w:name w:val="hwtze"/>
    <w:basedOn w:val="Fontepargpadro"/>
    <w:rsid w:val="00FE57CB"/>
  </w:style>
  <w:style w:type="character" w:customStyle="1" w:styleId="rynqvb">
    <w:name w:val="rynqvb"/>
    <w:basedOn w:val="Fontepargpadro"/>
    <w:rsid w:val="00FE57CB"/>
  </w:style>
  <w:style w:type="paragraph" w:customStyle="1" w:styleId="Bibliografia1">
    <w:name w:val="Bibliografia1"/>
    <w:basedOn w:val="Normal"/>
    <w:link w:val="BibliographyChar"/>
    <w:rsid w:val="0044337F"/>
    <w:pPr>
      <w:pBdr>
        <w:top w:val="nil"/>
        <w:left w:val="nil"/>
        <w:bottom w:val="nil"/>
        <w:right w:val="nil"/>
        <w:between w:val="nil"/>
      </w:pBdr>
      <w:spacing w:line="480" w:lineRule="auto"/>
      <w:ind w:left="720" w:hanging="720"/>
      <w:jc w:val="both"/>
    </w:pPr>
    <w:rPr>
      <w:rFonts w:ascii="Times New Roman" w:eastAsia="Arial" w:hAnsi="Times New Roman" w:cs="Times New Roman"/>
      <w:color w:val="000000"/>
      <w:sz w:val="20"/>
      <w:szCs w:val="20"/>
    </w:rPr>
  </w:style>
  <w:style w:type="character" w:customStyle="1" w:styleId="BibliographyChar">
    <w:name w:val="Bibliography Char"/>
    <w:basedOn w:val="Fontepargpadro"/>
    <w:link w:val="Bibliografia1"/>
    <w:rsid w:val="0044337F"/>
    <w:rPr>
      <w:rFonts w:ascii="Times New Roman" w:eastAsia="Arial" w:hAnsi="Times New Roman" w:cs="Times New Roman"/>
      <w:color w:val="000000"/>
      <w:kern w:val="0"/>
      <w:sz w:val="20"/>
      <w:szCs w:val="20"/>
      <w:lang w:eastAsia="pt-BR"/>
      <w14:ligatures w14:val="none"/>
    </w:rPr>
  </w:style>
  <w:style w:type="paragraph" w:styleId="NormalWeb">
    <w:name w:val="Normal (Web)"/>
    <w:basedOn w:val="Normal"/>
    <w:uiPriority w:val="99"/>
    <w:unhideWhenUsed/>
    <w:rsid w:val="003865BD"/>
    <w:pPr>
      <w:spacing w:before="100" w:beforeAutospacing="1" w:after="100" w:afterAutospacing="1"/>
    </w:pPr>
    <w:rPr>
      <w:rFonts w:ascii="Times New Roman" w:eastAsia="Times New Roman" w:hAnsi="Times New Roman" w:cs="Times New Roman"/>
    </w:rPr>
  </w:style>
  <w:style w:type="character" w:styleId="Forte">
    <w:name w:val="Strong"/>
    <w:basedOn w:val="Fontepargpadro"/>
    <w:uiPriority w:val="22"/>
    <w:qFormat/>
    <w:rsid w:val="00E4781F"/>
    <w:rPr>
      <w:b/>
      <w:bCs/>
    </w:rPr>
  </w:style>
  <w:style w:type="character" w:styleId="nfase">
    <w:name w:val="Emphasis"/>
    <w:basedOn w:val="Fontepargpadro"/>
    <w:uiPriority w:val="20"/>
    <w:qFormat/>
    <w:rsid w:val="009C4132"/>
    <w:rPr>
      <w:i/>
      <w:iCs/>
    </w:rPr>
  </w:style>
  <w:style w:type="paragraph" w:customStyle="1" w:styleId="Bibliografia2">
    <w:name w:val="Bibliografia2"/>
    <w:basedOn w:val="Normal"/>
    <w:link w:val="BibliographyChar1"/>
    <w:rsid w:val="006B34BA"/>
    <w:pPr>
      <w:spacing w:after="240"/>
      <w:jc w:val="both"/>
    </w:pPr>
    <w:rPr>
      <w:rFonts w:ascii="Times New Roman" w:eastAsia="Arial" w:hAnsi="Times New Roman" w:cs="Times New Roman"/>
      <w:b/>
      <w:sz w:val="20"/>
      <w:szCs w:val="20"/>
      <w:lang w:val="en-US"/>
    </w:rPr>
  </w:style>
  <w:style w:type="character" w:customStyle="1" w:styleId="BibliographyChar1">
    <w:name w:val="Bibliography Char1"/>
    <w:basedOn w:val="Fontepargpadro"/>
    <w:link w:val="Bibliografia2"/>
    <w:rsid w:val="006B34BA"/>
    <w:rPr>
      <w:rFonts w:ascii="Times New Roman" w:eastAsia="Arial" w:hAnsi="Times New Roman" w:cs="Times New Roman"/>
      <w:b/>
      <w:kern w:val="0"/>
      <w:sz w:val="20"/>
      <w:szCs w:val="20"/>
      <w:lang w:val="en-US" w:eastAsia="pt-BR"/>
      <w14:ligatures w14:val="none"/>
    </w:rPr>
  </w:style>
  <w:style w:type="paragraph" w:customStyle="1" w:styleId="Bibliography">
    <w:name w:val="Bibliography"/>
    <w:basedOn w:val="Normal"/>
    <w:link w:val="BibliographyChar2"/>
    <w:rsid w:val="00F74DF6"/>
    <w:pPr>
      <w:spacing w:line="480" w:lineRule="auto"/>
      <w:ind w:left="720" w:hanging="720"/>
      <w:jc w:val="center"/>
    </w:pPr>
    <w:rPr>
      <w:rFonts w:ascii="Arial" w:eastAsia="Arial" w:hAnsi="Arial" w:cs="Arial"/>
      <w:bCs/>
      <w:lang w:val="en-US"/>
    </w:rPr>
  </w:style>
  <w:style w:type="character" w:customStyle="1" w:styleId="BibliographyChar2">
    <w:name w:val="Bibliography Char2"/>
    <w:basedOn w:val="Fontepargpadro"/>
    <w:link w:val="Bibliography"/>
    <w:rsid w:val="00F74DF6"/>
    <w:rPr>
      <w:rFonts w:ascii="Arial" w:eastAsia="Arial" w:hAnsi="Arial" w:cs="Arial"/>
      <w:bCs/>
      <w:kern w:val="0"/>
      <w:lang w:val="en-US"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6624">
      <w:bodyDiv w:val="1"/>
      <w:marLeft w:val="0"/>
      <w:marRight w:val="0"/>
      <w:marTop w:val="0"/>
      <w:marBottom w:val="0"/>
      <w:divBdr>
        <w:top w:val="none" w:sz="0" w:space="0" w:color="auto"/>
        <w:left w:val="none" w:sz="0" w:space="0" w:color="auto"/>
        <w:bottom w:val="none" w:sz="0" w:space="0" w:color="auto"/>
        <w:right w:val="none" w:sz="0" w:space="0" w:color="auto"/>
      </w:divBdr>
    </w:div>
    <w:div w:id="414011820">
      <w:bodyDiv w:val="1"/>
      <w:marLeft w:val="0"/>
      <w:marRight w:val="0"/>
      <w:marTop w:val="0"/>
      <w:marBottom w:val="0"/>
      <w:divBdr>
        <w:top w:val="none" w:sz="0" w:space="0" w:color="auto"/>
        <w:left w:val="none" w:sz="0" w:space="0" w:color="auto"/>
        <w:bottom w:val="none" w:sz="0" w:space="0" w:color="auto"/>
        <w:right w:val="none" w:sz="0" w:space="0" w:color="auto"/>
      </w:divBdr>
      <w:divsChild>
        <w:div w:id="592280735">
          <w:marLeft w:val="0"/>
          <w:marRight w:val="0"/>
          <w:marTop w:val="0"/>
          <w:marBottom w:val="0"/>
          <w:divBdr>
            <w:top w:val="none" w:sz="0" w:space="0" w:color="auto"/>
            <w:left w:val="none" w:sz="0" w:space="0" w:color="auto"/>
            <w:bottom w:val="none" w:sz="0" w:space="0" w:color="auto"/>
            <w:right w:val="none" w:sz="0" w:space="0" w:color="auto"/>
          </w:divBdr>
        </w:div>
      </w:divsChild>
    </w:div>
    <w:div w:id="1059938610">
      <w:bodyDiv w:val="1"/>
      <w:marLeft w:val="0"/>
      <w:marRight w:val="0"/>
      <w:marTop w:val="0"/>
      <w:marBottom w:val="0"/>
      <w:divBdr>
        <w:top w:val="none" w:sz="0" w:space="0" w:color="auto"/>
        <w:left w:val="none" w:sz="0" w:space="0" w:color="auto"/>
        <w:bottom w:val="none" w:sz="0" w:space="0" w:color="auto"/>
        <w:right w:val="none" w:sz="0" w:space="0" w:color="auto"/>
      </w:divBdr>
    </w:div>
    <w:div w:id="1114253785">
      <w:bodyDiv w:val="1"/>
      <w:marLeft w:val="0"/>
      <w:marRight w:val="0"/>
      <w:marTop w:val="0"/>
      <w:marBottom w:val="0"/>
      <w:divBdr>
        <w:top w:val="none" w:sz="0" w:space="0" w:color="auto"/>
        <w:left w:val="none" w:sz="0" w:space="0" w:color="auto"/>
        <w:bottom w:val="none" w:sz="0" w:space="0" w:color="auto"/>
        <w:right w:val="none" w:sz="0" w:space="0" w:color="auto"/>
      </w:divBdr>
      <w:divsChild>
        <w:div w:id="993949920">
          <w:marLeft w:val="0"/>
          <w:marRight w:val="0"/>
          <w:marTop w:val="0"/>
          <w:marBottom w:val="0"/>
          <w:divBdr>
            <w:top w:val="none" w:sz="0" w:space="0" w:color="auto"/>
            <w:left w:val="none" w:sz="0" w:space="0" w:color="auto"/>
            <w:bottom w:val="none" w:sz="0" w:space="0" w:color="auto"/>
            <w:right w:val="none" w:sz="0" w:space="0" w:color="auto"/>
          </w:divBdr>
        </w:div>
        <w:div w:id="699820091">
          <w:marLeft w:val="0"/>
          <w:marRight w:val="0"/>
          <w:marTop w:val="0"/>
          <w:marBottom w:val="0"/>
          <w:divBdr>
            <w:top w:val="none" w:sz="0" w:space="0" w:color="auto"/>
            <w:left w:val="none" w:sz="0" w:space="0" w:color="auto"/>
            <w:bottom w:val="none" w:sz="0" w:space="0" w:color="auto"/>
            <w:right w:val="none" w:sz="0" w:space="0" w:color="auto"/>
          </w:divBdr>
          <w:divsChild>
            <w:div w:id="1835609806">
              <w:marLeft w:val="0"/>
              <w:marRight w:val="0"/>
              <w:marTop w:val="0"/>
              <w:marBottom w:val="0"/>
              <w:divBdr>
                <w:top w:val="none" w:sz="0" w:space="0" w:color="auto"/>
                <w:left w:val="none" w:sz="0" w:space="0" w:color="auto"/>
                <w:bottom w:val="none" w:sz="0" w:space="0" w:color="auto"/>
                <w:right w:val="none" w:sz="0" w:space="0" w:color="auto"/>
              </w:divBdr>
              <w:divsChild>
                <w:div w:id="126426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9834">
          <w:marLeft w:val="0"/>
          <w:marRight w:val="0"/>
          <w:marTop w:val="0"/>
          <w:marBottom w:val="0"/>
          <w:divBdr>
            <w:top w:val="none" w:sz="0" w:space="0" w:color="auto"/>
            <w:left w:val="none" w:sz="0" w:space="0" w:color="auto"/>
            <w:bottom w:val="none" w:sz="0" w:space="0" w:color="auto"/>
            <w:right w:val="none" w:sz="0" w:space="0" w:color="auto"/>
          </w:divBdr>
        </w:div>
        <w:div w:id="1437408129">
          <w:marLeft w:val="0"/>
          <w:marRight w:val="0"/>
          <w:marTop w:val="0"/>
          <w:marBottom w:val="0"/>
          <w:divBdr>
            <w:top w:val="none" w:sz="0" w:space="0" w:color="auto"/>
            <w:left w:val="none" w:sz="0" w:space="0" w:color="auto"/>
            <w:bottom w:val="none" w:sz="0" w:space="0" w:color="auto"/>
            <w:right w:val="none" w:sz="0" w:space="0" w:color="auto"/>
          </w:divBdr>
          <w:divsChild>
            <w:div w:id="1363090896">
              <w:marLeft w:val="0"/>
              <w:marRight w:val="0"/>
              <w:marTop w:val="0"/>
              <w:marBottom w:val="0"/>
              <w:divBdr>
                <w:top w:val="none" w:sz="0" w:space="0" w:color="auto"/>
                <w:left w:val="none" w:sz="0" w:space="0" w:color="auto"/>
                <w:bottom w:val="none" w:sz="0" w:space="0" w:color="auto"/>
                <w:right w:val="none" w:sz="0" w:space="0" w:color="auto"/>
              </w:divBdr>
              <w:divsChild>
                <w:div w:id="645547729">
                  <w:marLeft w:val="0"/>
                  <w:marRight w:val="0"/>
                  <w:marTop w:val="0"/>
                  <w:marBottom w:val="0"/>
                  <w:divBdr>
                    <w:top w:val="none" w:sz="0" w:space="0" w:color="auto"/>
                    <w:left w:val="none" w:sz="0" w:space="0" w:color="auto"/>
                    <w:bottom w:val="none" w:sz="0" w:space="0" w:color="auto"/>
                    <w:right w:val="none" w:sz="0" w:space="0" w:color="auto"/>
                  </w:divBdr>
                  <w:divsChild>
                    <w:div w:id="1204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439179">
      <w:bodyDiv w:val="1"/>
      <w:marLeft w:val="0"/>
      <w:marRight w:val="0"/>
      <w:marTop w:val="0"/>
      <w:marBottom w:val="0"/>
      <w:divBdr>
        <w:top w:val="none" w:sz="0" w:space="0" w:color="auto"/>
        <w:left w:val="none" w:sz="0" w:space="0" w:color="auto"/>
        <w:bottom w:val="none" w:sz="0" w:space="0" w:color="auto"/>
        <w:right w:val="none" w:sz="0" w:space="0" w:color="auto"/>
      </w:divBdr>
    </w:div>
    <w:div w:id="1583949518">
      <w:bodyDiv w:val="1"/>
      <w:marLeft w:val="0"/>
      <w:marRight w:val="0"/>
      <w:marTop w:val="0"/>
      <w:marBottom w:val="0"/>
      <w:divBdr>
        <w:top w:val="none" w:sz="0" w:space="0" w:color="auto"/>
        <w:left w:val="none" w:sz="0" w:space="0" w:color="auto"/>
        <w:bottom w:val="none" w:sz="0" w:space="0" w:color="auto"/>
        <w:right w:val="none" w:sz="0" w:space="0" w:color="auto"/>
      </w:divBdr>
    </w:div>
    <w:div w:id="1664967034">
      <w:bodyDiv w:val="1"/>
      <w:marLeft w:val="0"/>
      <w:marRight w:val="0"/>
      <w:marTop w:val="0"/>
      <w:marBottom w:val="0"/>
      <w:divBdr>
        <w:top w:val="none" w:sz="0" w:space="0" w:color="auto"/>
        <w:left w:val="none" w:sz="0" w:space="0" w:color="auto"/>
        <w:bottom w:val="none" w:sz="0" w:space="0" w:color="auto"/>
        <w:right w:val="none" w:sz="0" w:space="0" w:color="auto"/>
      </w:divBdr>
      <w:divsChild>
        <w:div w:id="1155100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9A156-E6C0-F640-A634-663C134E0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21</Pages>
  <Words>17391</Words>
  <Characters>93916</Characters>
  <Application>Microsoft Office Word</Application>
  <DocSecurity>0</DocSecurity>
  <Lines>782</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Lívia bueno</dc:creator>
  <cp:keywords/>
  <dc:description/>
  <cp:lastModifiedBy>Lívia bueno</cp:lastModifiedBy>
  <cp:revision>10</cp:revision>
  <dcterms:created xsi:type="dcterms:W3CDTF">2025-12-06T20:27:00Z</dcterms:created>
  <dcterms:modified xsi:type="dcterms:W3CDTF">2025-12-08T23:02:00Z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id="qMjpNfT5"/&gt;&lt;style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