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6"/>
          <w:szCs w:val="36"/>
        </w:rPr>
      </w:pPr>
      <w:r w:rsidDel="00000000" w:rsidR="00000000" w:rsidRPr="00000000">
        <w:rPr>
          <w:b w:val="1"/>
          <w:bCs w:val="1"/>
          <w:sz w:val="36"/>
          <w:szCs w:val="36"/>
          <w:rtl w:val="0"/>
        </w:rPr>
        <w:t xml:space="preserve">Influence of Sexual Violence on the Mental Health of Residents in Chiclayo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6"/>
          <w:szCs w:val="36"/>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Cornejo Nuñez Almendra del Rubí¹ᵃ, Jara Hernández Liliana Rubitᵃ, Laines Pérez Grazia Libertadᵃ, Mera Requejo Imanolᵃ², Risco Coronado Josselynᵃ, &amp; Saavedra Díaz Jennifer Elizabethᵃ</w:t>
      </w:r>
    </w:p>
    <w:p w:rsidR="00000000" w:rsidDel="00000000" w:rsidP="00000000" w:rsidRDefault="00000000" w:rsidRPr="00000000" w14:paraId="00000004">
      <w:pPr>
        <w:pageBreakBefore w:val="0"/>
        <w:rPr>
          <w:i w:val="1"/>
          <w:iCs w:val="1"/>
          <w:sz w:val="28"/>
          <w:szCs w:val="28"/>
        </w:rPr>
      </w:pPr>
      <w:r w:rsidDel="00000000" w:rsidR="00000000" w:rsidRPr="00000000">
        <w:rPr>
          <w:i w:val="1"/>
          <w:iCs w:val="1"/>
          <w:sz w:val="28"/>
          <w:szCs w:val="28"/>
          <w:rtl w:val="0"/>
        </w:rPr>
        <w:t xml:space="preserve">University César Vallejo, Chiclayo, Perúᵃ</w:t>
      </w:r>
    </w:p>
    <w:p w:rsidR="00000000" w:rsidDel="00000000" w:rsidP="00000000" w:rsidRDefault="00000000" w:rsidRPr="00000000" w14:paraId="00000005">
      <w:pPr>
        <w:pageBreakBefore w:val="0"/>
        <w:rPr>
          <w:rFonts w:ascii="Times" w:cs="Times" w:eastAsia="Times" w:hAnsi="Times"/>
          <w:i w:val="1"/>
          <w:iCs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-12698</wp:posOffset>
                </wp:positionH>
                <wp:positionV relativeFrom="paragraph">
                  <wp:posOffset>43197</wp:posOffset>
                </wp:positionV>
                <wp:extent cx="6197600" cy="50800"/>
                <wp:effectExtent b="0" l="0" r="0" t="0"/>
                <wp:wrapNone/>
                <wp:docPr id="27"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-12698</wp:posOffset>
                </wp:positionH>
                <wp:positionV relativeFrom="paragraph">
                  <wp:posOffset>43197</wp:posOffset>
                </wp:positionV>
                <wp:extent cx="6197600" cy="50800"/>
                <wp:effectExtent b="0" l="0" r="0" t="0"/>
                <wp:wrapNone/>
                <wp:docPr id="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197600" cy="50800"/>
                        </a:xfrm>
                        <a:prstGeom prst="rect"/>
                        <a:ln/>
                      </pic:spPr>
                    </pic:pic>
                  </a:graphicData>
                </a:graphic>
              </wp:anchor>
            </w:drawing>
          </mc:Fallback>
        </mc:AlternateContent>
      </w:r>
    </w:p>
    <w:p w:rsidR="00000000" w:rsidDel="00000000" w:rsidP="00000000" w:rsidRDefault="00000000" w:rsidRPr="00000000" w14:paraId="00000006">
      <w:pPr>
        <w:pageBreakBefore w:val="0"/>
        <w:rPr>
          <w:b w:val="1"/>
          <w:bCs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bCs w:val="1"/>
          <w:i w:val="0"/>
          <w:iCs w:val="0"/>
          <w:smallCaps w:val="1"/>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u w:val="none"/>
          <w:shd w:fill="auto" w:val="clear"/>
          <w:vertAlign w:val="baseline"/>
          <w:rtl w:val="0"/>
        </w:rPr>
        <w:t xml:space="preserve">Abstract</w:t>
      </w:r>
    </w:p>
    <w:p w:rsidR="00000000" w:rsidDel="00000000" w:rsidP="00000000" w:rsidRDefault="00000000" w:rsidRPr="00000000" w14:paraId="00000008">
      <w:pPr>
        <w:pageBreakBefore w:val="0"/>
        <w:jc w:val="both"/>
        <w:rPr/>
      </w:pPr>
      <w:r w:rsidDel="00000000" w:rsidR="00000000" w:rsidRPr="00000000">
        <w:rPr>
          <w:rtl w:val="0"/>
        </w:rPr>
        <w:t xml:space="preserve">This study examined the relationship between sexual violence and mental health among residents of Chiclayo. A non-experimental, correlational, cross-sectional design was used with a convenience sample of 100 participants. Validated instruments were administered to measure levels of sexual violence and two dimensions of mental health: psychological well-being and emotional well-being. Spearman’s rho coefficient was used for statistical analysis. Results indicated a moderate, negative, and statistically significant association between sexual violence and overall mental health (rho = –0.388; p &lt; 0.01). Likewise, sexual violence was negatively correlated with psychological well-being (rho = –0.368) and emotional well-being (rho = –0.350). These findings suggest that increased exposure to sexual violence adversely affects emotional and psychological functioning, compromising subjective well-being and mental stability. The results contribute to SDG 3 by providing empirical evidence that highlights the need for mental health interventions and community-based prevention strategies. Future research should incorporate longitudinal designs and consider contextual risk factors that may intensify the impact of sexual violence on mental health.</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b w:val="1"/>
          <w:bCs w:val="1"/>
        </w:rPr>
      </w:pPr>
      <w:r w:rsidDel="00000000" w:rsidR="00000000" w:rsidRPr="00000000">
        <w:rPr>
          <w:b w:val="1"/>
          <w:bCs w:val="1"/>
          <w:rtl w:val="0"/>
        </w:rPr>
        <w:t xml:space="preserve">Keywords</w:t>
      </w:r>
    </w:p>
    <w:p w:rsidR="00000000" w:rsidDel="00000000" w:rsidP="00000000" w:rsidRDefault="00000000" w:rsidRPr="00000000" w14:paraId="0000000B">
      <w:pPr>
        <w:pageBreakBefore w:val="0"/>
        <w:jc w:val="both"/>
        <w:rPr/>
      </w:pPr>
      <w:r w:rsidDel="00000000" w:rsidR="00000000" w:rsidRPr="00000000">
        <w:rPr>
          <w:rtl w:val="0"/>
        </w:rPr>
        <w:t xml:space="preserve">sexual violence; mental health; emotional well-being; psychological well-being; trauma</w:t>
      </w:r>
    </w:p>
    <w:p w:rsidR="00000000" w:rsidDel="00000000" w:rsidP="00000000" w:rsidRDefault="00000000" w:rsidRPr="00000000" w14:paraId="0000000C">
      <w:pPr>
        <w:pageBreakBefore w:val="0"/>
        <w:jc w:val="both"/>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after="120" w:lineRule="auto"/>
        <w:jc w:val="center"/>
        <w:rPr>
          <w:b w:val="1"/>
          <w:bCs w:val="1"/>
          <w:smallCaps w:val="1"/>
        </w:rPr>
      </w:pPr>
      <w:r w:rsidDel="00000000" w:rsidR="00000000" w:rsidRPr="00000000">
        <w:rPr>
          <w:b w:val="1"/>
          <w:bCs w:val="1"/>
          <w:smallCaps w:val="1"/>
          <w:color w:val="000000"/>
          <w:rtl w:val="0"/>
        </w:rPr>
        <w:t xml:space="preserve">Resumen</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after="120" w:lineRule="auto"/>
        <w:jc w:val="left"/>
        <w:rPr>
          <w:i w:val="1"/>
          <w:iCs w:val="1"/>
        </w:rPr>
      </w:pPr>
      <w:r w:rsidDel="00000000" w:rsidR="00000000" w:rsidRPr="00000000">
        <w:rPr>
          <w:rtl w:val="0"/>
        </w:rPr>
        <w:t xml:space="preserve">El presente estudio examinó la relación entre la violencia sexual y la salud mental en residentes de Chiclayo. Se aplicó un diseño no experimental, correlacional y de corte transversal, con una muestra de 100 participantes seleccionados de manera no probabilística. Se utilizaron instrumentos validados para medir los niveles de violencia sexual y las dimensiones de salud mental: bienestar psicológico y bienestar emocional. Para el análisis estadístico se empleó el </w:t>
      </w:r>
      <w:r w:rsidDel="00000000" w:rsidR="00000000" w:rsidRPr="00000000">
        <w:rPr>
          <w:rtl w:val="0"/>
        </w:rPr>
        <w:t xml:space="preserve">coeficiente rho de</w:t>
      </w:r>
      <w:r w:rsidDel="00000000" w:rsidR="00000000" w:rsidRPr="00000000">
        <w:rPr>
          <w:rtl w:val="0"/>
        </w:rPr>
        <w:t xml:space="preserve"> Spearman. Los resultados evidenciaron una asociación negativa, moderada y estadísticamente significativa entre la violencia sexual y la salud mental (rho = –0.388; p &lt; 0.01). Asimismo, la violencia sexual correlacionó negativamente con el bienestar psicológico (rho = –0.368) y con el bienestar emocional (rho = –0.350). Los hallazgos sugieren que el incremento en la presencia de violencia sexual afecta de manera adversa el funcionamiento emocional y psicológico de las personas. Con ello, se aporta evidencia para fortalecer programas de prevención y estrategias de atención en salud mental comunitaria, en concordancia con el ODS 3.</w:t>
      </w: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jc w:val="both"/>
        <w:rPr>
          <w:b w:val="1"/>
          <w:bCs w:val="1"/>
        </w:rPr>
      </w:pPr>
      <w:r w:rsidDel="00000000" w:rsidR="00000000" w:rsidRPr="00000000">
        <w:rPr>
          <w:b w:val="1"/>
          <w:bCs w:val="1"/>
          <w:rtl w:val="0"/>
        </w:rPr>
        <w:t xml:space="preserve">Palabras clave</w:t>
      </w:r>
    </w:p>
    <w:p w:rsidR="00000000" w:rsidDel="00000000" w:rsidP="00000000" w:rsidRDefault="00000000" w:rsidRPr="00000000" w14:paraId="00000011">
      <w:pPr>
        <w:pageBreakBefore w:val="0"/>
        <w:jc w:val="both"/>
        <w:rPr/>
      </w:pPr>
      <w:r w:rsidDel="00000000" w:rsidR="00000000" w:rsidRPr="00000000">
        <w:rPr>
          <w:rtl w:val="0"/>
        </w:rPr>
        <w:t xml:space="preserve">violencia sexual; salud mental; bienestar emocional; bienestar psicológico; trauma </w:t>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br w:type="page"/>
      </w:r>
      <w:r w:rsidDel="00000000" w:rsidR="00000000" w:rsidRPr="00000000">
        <w:rPr>
          <w:b w:val="1"/>
          <w:bCs w:val="1"/>
          <w:rtl w:val="0"/>
        </w:rPr>
        <w:t xml:space="preserve">Influence of Sexual Violence on the Mental Health of Residents in Chiclayo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Introduction</w:t>
      </w:r>
    </w:p>
    <w:p w:rsidR="00000000" w:rsidDel="00000000" w:rsidP="00000000" w:rsidRDefault="00000000" w:rsidRPr="00000000" w14:paraId="00000015">
      <w:pPr>
        <w:spacing w:after="240" w:before="240" w:line="360" w:lineRule="auto"/>
        <w:jc w:val="both"/>
        <w:rPr>
          <w:i w:val="1"/>
          <w:iCs w:val="1"/>
        </w:rPr>
      </w:pPr>
      <w:r w:rsidDel="00000000" w:rsidR="00000000" w:rsidRPr="00000000">
        <w:rPr>
          <w:i w:val="1"/>
          <w:iCs w:val="1"/>
          <w:rtl w:val="0"/>
        </w:rPr>
        <w:t xml:space="preserve">Sexual violence constitutes one of the most pervasive and persistent violations of human rights worldwide. Beyond physical harm, this form of violence produces severe psychological consequences that frequently endure throughout the victim's life. According to the World Health Organization (2024), nearly one in three women has experienced physical or sexual violence, most often perpetrated by intimate partners. These figures reveal the magnitude of a global public health crisis, with consequences affecting emotional regulation, self-esteem, social interaction, and mental health functioning.</w:t>
      </w:r>
    </w:p>
    <w:p w:rsidR="00000000" w:rsidDel="00000000" w:rsidP="00000000" w:rsidRDefault="00000000" w:rsidRPr="00000000" w14:paraId="00000016">
      <w:pPr>
        <w:spacing w:after="240" w:before="240" w:line="360" w:lineRule="auto"/>
        <w:jc w:val="both"/>
        <w:rPr>
          <w:i w:val="1"/>
          <w:iCs w:val="1"/>
        </w:rPr>
      </w:pPr>
      <w:r w:rsidDel="00000000" w:rsidR="00000000" w:rsidRPr="00000000">
        <w:rPr>
          <w:i w:val="1"/>
          <w:iCs w:val="1"/>
          <w:rtl w:val="0"/>
        </w:rPr>
        <w:t xml:space="preserve">Recent empirical studies highlight the close link between sexual victimization and a wide range of mental disorders, including depression, anxiety, post-traumatic stress disorder, insomnia, and dissociative experiences (Kaul et al., 2024; Woldie et al., 2025). Survivors frequently report persistent fear, shame, and withdrawal behaviors, which hinder psychosocial adjustment and participation in personal, academic, and community life (Oram et al., 2019; Bentivegna et al., 2022). These findings suggest that sexual violence should be understood as a chronic psychosocial stressor requiring multidisciplinary interventions grounded in scientific evidence.</w:t>
      </w:r>
    </w:p>
    <w:p w:rsidR="00000000" w:rsidDel="00000000" w:rsidP="00000000" w:rsidRDefault="00000000" w:rsidRPr="00000000" w14:paraId="00000017">
      <w:pPr>
        <w:spacing w:after="240" w:before="240" w:line="360" w:lineRule="auto"/>
        <w:jc w:val="both"/>
        <w:rPr>
          <w:i w:val="1"/>
          <w:iCs w:val="1"/>
        </w:rPr>
      </w:pPr>
      <w:r w:rsidDel="00000000" w:rsidR="00000000" w:rsidRPr="00000000">
        <w:rPr>
          <w:i w:val="1"/>
          <w:iCs w:val="1"/>
          <w:rtl w:val="0"/>
        </w:rPr>
        <w:t xml:space="preserve">In Peru, sexual violence remains a critical social problem. Data from the National Institute of Statistics and Informatics (INEI, 2024) indicate that 9.7% of women aged 15–49 have experienced sexual violence at some point in their lives. Likewise, more than 20,000 reports of sexual crimes are registered annually at Women’s Emergency Centers (MIMP, 2024). In Chiclayo, Lambayeque, more than 1,800 cases were documented in 2024, positioning the city among the regions with highest incidence nationwide. Despite these alarming figures, many cases remain unreported due to fear, stigma, and institutional mistrust, limiting timely access to psychological treatment.</w:t>
      </w:r>
    </w:p>
    <w:p w:rsidR="00000000" w:rsidDel="00000000" w:rsidP="00000000" w:rsidRDefault="00000000" w:rsidRPr="00000000" w14:paraId="00000018">
      <w:pPr>
        <w:spacing w:after="240" w:before="240" w:line="360" w:lineRule="auto"/>
        <w:jc w:val="both"/>
        <w:rPr>
          <w:i w:val="1"/>
          <w:iCs w:val="1"/>
        </w:rPr>
      </w:pPr>
      <w:r w:rsidDel="00000000" w:rsidR="00000000" w:rsidRPr="00000000">
        <w:rPr>
          <w:i w:val="1"/>
          <w:iCs w:val="1"/>
          <w:rtl w:val="0"/>
        </w:rPr>
        <w:t xml:space="preserve">Although numerous studies have documented the psychological consequences of sexual violence internationally (Bentivegna et al., 2022; Woldie et al., 2025; Kaul et al., 2024), few have examined this phenomenon in Peruvian cities outside the capital, and even fewer have explored its relationship with mental health in the general population of Chiclayo. This gap in empirical evidence limits the development of context-sensitive intervention programs, particularly those addressing emotional well-being and psychological functioning within the Andean sociocultural context.</w:t>
      </w:r>
    </w:p>
    <w:p w:rsidR="00000000" w:rsidDel="00000000" w:rsidP="00000000" w:rsidRDefault="00000000" w:rsidRPr="00000000" w14:paraId="00000019">
      <w:pPr>
        <w:spacing w:after="240" w:before="240" w:line="360" w:lineRule="auto"/>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i w:val="1"/>
          <w:iCs w:val="1"/>
          <w:rtl w:val="0"/>
        </w:rPr>
        <w:t xml:space="preserve">Grounded in the ecological model (Bronfenbrenner, 1979), trauma theory (Herman, 1992), and the biopsychosocial approach to mental health (WHO, 2024), the present study seeks to determine how sexual violence influences psychological and emotional well-being among residents of Chiclayo during 2025. The central research question guiding this work is: What is the influence of sexual violence on mental health among residents of the city of Chiclayo in 2025?</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Participants</w:t>
      </w:r>
    </w:p>
    <w:p w:rsidR="00000000" w:rsidDel="00000000" w:rsidP="00000000" w:rsidRDefault="00000000" w:rsidRPr="00000000" w14:paraId="0000001C">
      <w:pPr>
        <w:spacing w:after="240" w:before="240" w:line="360" w:lineRule="auto"/>
        <w:jc w:val="both"/>
        <w:rPr/>
      </w:pPr>
      <w:r w:rsidDel="00000000" w:rsidR="00000000" w:rsidRPr="00000000">
        <w:rPr>
          <w:rtl w:val="0"/>
        </w:rPr>
        <w:t xml:space="preserve">A total of 100 women residing in the district of José Leonardo Ortiz, Chiclayo, participated in the study. Participants were recruited through convenience sampling due to the sensitive nature of sexual violence and the need to access women who voluntarily agreed to participate. Eligibility criteria required participants to be permanent residents in Chiclayo and between 20 and 30 years of age. Women younger than 18 or older than 45, as well as those who declined participation, were excluded to protect the validity of the data and minimize selection bias. No monetary or material compensation was provided. All participants completed the survey; no cases were removed from the dataset.</w:t>
      </w:r>
    </w:p>
    <w:p w:rsidR="00000000" w:rsidDel="00000000" w:rsidP="00000000" w:rsidRDefault="00000000" w:rsidRPr="00000000" w14:paraId="0000001D">
      <w:pPr>
        <w:spacing w:after="240" w:before="240" w:line="360" w:lineRule="auto"/>
        <w:jc w:val="both"/>
        <w:rPr/>
      </w:pPr>
      <w:r w:rsidDel="00000000" w:rsidR="00000000" w:rsidRPr="00000000">
        <w:rPr>
          <w:rtl w:val="0"/>
        </w:rPr>
        <w:t xml:space="preserve">The estimated accessible population consisted of approximately 500 women. The sample size was calculated following proportion estimation procedures considering: confidence level Z = 1.645; p = .50; q = .50; and an acceptable sampling error of 1%. Each participant constituted a unit of analysis reporting personal experiences of sexual violence and its effects on mental health.</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Design</w:t>
      </w:r>
    </w:p>
    <w:p w:rsidR="00000000" w:rsidDel="00000000" w:rsidP="00000000" w:rsidRDefault="00000000" w:rsidRPr="00000000" w14:paraId="0000001F">
      <w:pPr>
        <w:spacing w:after="240" w:before="240" w:line="360" w:lineRule="auto"/>
        <w:jc w:val="both"/>
        <w:rPr/>
      </w:pPr>
      <w:r w:rsidDel="00000000" w:rsidR="00000000" w:rsidRPr="00000000">
        <w:rPr>
          <w:rtl w:val="0"/>
        </w:rPr>
        <w:t xml:space="preserve">The research employed a nonexperimental, correlational, cross-sectional design. The independent variable was sexual violence, and the dependent variable was mental health. Both variables were measured through validated Likert-type scales. No manipulation of variables occurred, and observations were conducted in the natural context of participants. The design allowed estimating the strength and direction of the association between the variables during a single period of measurement.</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Materials</w:t>
      </w:r>
    </w:p>
    <w:p w:rsidR="00000000" w:rsidDel="00000000" w:rsidP="00000000" w:rsidRDefault="00000000" w:rsidRPr="00000000" w14:paraId="00000021">
      <w:pPr>
        <w:spacing w:after="240" w:before="240" w:line="360" w:lineRule="auto"/>
        <w:jc w:val="both"/>
        <w:rPr/>
      </w:pPr>
      <w:r w:rsidDel="00000000" w:rsidR="00000000" w:rsidRPr="00000000">
        <w:rPr>
          <w:rtl w:val="0"/>
        </w:rPr>
        <w:t xml:space="preserve">A structured questionnaire titled </w:t>
      </w:r>
      <w:r w:rsidDel="00000000" w:rsidR="00000000" w:rsidRPr="00000000">
        <w:rPr>
          <w:i w:val="1"/>
          <w:iCs w:val="1"/>
          <w:rtl w:val="0"/>
        </w:rPr>
        <w:t xml:space="preserve">“Cuestionario para evaluar la violencia sexual y la salud mental en mujeres de Chiclayo, 2025”</w:t>
      </w:r>
      <w:r w:rsidDel="00000000" w:rsidR="00000000" w:rsidRPr="00000000">
        <w:rPr>
          <w:rtl w:val="0"/>
        </w:rPr>
        <w:t xml:space="preserve"> was administered. The instrument consisted of 20 items grouped into six dimensions: four assessing forms of sexual violence (physical, psychological, sexual, and patrimonial violence) and two measuring mental health (psychological well-being and emotional well-being). Responses were recorded on a 5-point Likert scale ranging from 1 (never) to 5 (always).</w:t>
      </w:r>
    </w:p>
    <w:p w:rsidR="00000000" w:rsidDel="00000000" w:rsidP="00000000" w:rsidRDefault="00000000" w:rsidRPr="00000000" w14:paraId="00000022">
      <w:pPr>
        <w:spacing w:after="240" w:before="240" w:line="360" w:lineRule="auto"/>
        <w:jc w:val="both"/>
        <w:rPr/>
      </w:pPr>
      <w:r w:rsidDel="00000000" w:rsidR="00000000" w:rsidRPr="00000000">
        <w:rPr>
          <w:rtl w:val="0"/>
        </w:rPr>
        <w:t xml:space="preserve">Content validity was assessed through expert judgment from five psychologists specializing in clinical, educational, social, organizational, and health psychology. Experts evaluated clarity, coherence, and relevance of each item, concluding that the questionnaire was appropriate for application. Internal consistency was evaluated using Cronbach’s alpha, producing coefficients of .90 for violence and .92 for mental health, indicating high reliability.</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Procedure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t xml:space="preserve">The study was conducted in community locations within the district. After obtaining informed consent, participants received oral instructions and completed the questionnaire individually. Participation was voluntary and anonymous, and responses were self-administered to reduce interviewer bias. The entire process, including clarification of instructions and completion of the questionnaire, required approximately 20–25 minutes per participant. Completed instruments were collected immediately, and data were coded in a secure database for analysis.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Data analysis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Data were analyzed using descriptive statistics and correlational inferential methods. Frequency distributions and central tendency measures were computed for all variables. Spearman’s rho coefficient was used to determine the association between levels of sexual violence and mental health scores. Reliability coefficients (Cronbach’s alpha) were computed for the full scale and dimensions. Statistical significance levels were set at p &lt; .05.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Ethical considerations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t xml:space="preserve">The study adhered to the Universal Declaration of Ethical Principles for Psychologists (IAAP &amp; IUPsyS, 2008) and the International Ethical Guidelines for Biomedical Research Involving Human Subjects (CIOMS, WHO &amp; PAHO, 2016). Ethical approvals and institutional norms consistent with Peruvian regulations were observed. Participation was voluntary, informed consent was obtained, anonymity and confidentiality were guaranteed, and data were used solely for scientific purposes. Particular care was taken to protect participants due to the sensitivity associated with sexual violence and mental health.</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Results</w:t>
      </w:r>
    </w:p>
    <w:p w:rsidR="00000000" w:rsidDel="00000000" w:rsidP="00000000" w:rsidRDefault="00000000" w:rsidRPr="00000000" w14:paraId="0000002A">
      <w:pPr>
        <w:spacing w:after="240" w:before="240" w:line="360" w:lineRule="auto"/>
        <w:jc w:val="both"/>
        <w:rPr/>
      </w:pPr>
      <w:r w:rsidDel="00000000" w:rsidR="00000000" w:rsidRPr="00000000">
        <w:rPr>
          <w:rtl w:val="0"/>
        </w:rPr>
        <w:t xml:space="preserve">The dependent variable in this study was mental health, operationalized through two dimensions: psychological well-being and emotional well-being. The independent variable was sexual violence, measured through four dimensions (physical, psychological, sexual, and patrimonial violence).</w:t>
      </w:r>
    </w:p>
    <w:p w:rsidR="00000000" w:rsidDel="00000000" w:rsidP="00000000" w:rsidRDefault="00000000" w:rsidRPr="00000000" w14:paraId="0000002B">
      <w:pPr>
        <w:spacing w:after="240" w:before="240" w:line="360" w:lineRule="auto"/>
        <w:jc w:val="both"/>
        <w:rPr/>
      </w:pPr>
      <w:r w:rsidDel="00000000" w:rsidR="00000000" w:rsidRPr="00000000">
        <w:rPr>
          <w:rtl w:val="0"/>
        </w:rPr>
        <w:t xml:space="preserve">A descriptive analysis was first conducted to determine the distribution of scores in each variable. Table 1 presents the percentages obtained for the global levels of sexual violence and mental health.</w:t>
      </w:r>
    </w:p>
    <w:p w:rsidR="00000000" w:rsidDel="00000000" w:rsidP="00000000" w:rsidRDefault="00000000" w:rsidRPr="00000000" w14:paraId="0000002C">
      <w:pPr>
        <w:spacing w:after="240" w:before="240" w:line="360" w:lineRule="auto"/>
        <w:jc w:val="both"/>
        <w:rPr/>
      </w:pPr>
      <w:r w:rsidDel="00000000" w:rsidR="00000000" w:rsidRPr="00000000">
        <w:rPr>
          <w:rtl w:val="0"/>
        </w:rPr>
        <w:t xml:space="preserve">Table 1 </w:t>
      </w:r>
      <w:r w:rsidDel="00000000" w:rsidR="00000000" w:rsidRPr="00000000">
        <w:rPr>
          <w:rtl w:val="0"/>
        </w:rPr>
        <w:t xml:space="preserve">Descriptive levels of sexual violence and mental health (N = 100)</w:t>
      </w:r>
    </w:p>
    <w:tbl>
      <w:tblPr>
        <w:tblStyle w:val="Table1"/>
        <w:tblW w:w="8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60"/>
        <w:gridCol w:w="2360"/>
        <w:gridCol w:w="2030"/>
        <w:gridCol w:w="1475"/>
        <w:tblGridChange w:id="0">
          <w:tblGrid>
            <w:gridCol w:w="2660"/>
            <w:gridCol w:w="2360"/>
            <w:gridCol w:w="2030"/>
            <w:gridCol w:w="1475"/>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line="360" w:lineRule="auto"/>
              <w:jc w:val="center"/>
              <w:rPr/>
            </w:pPr>
            <w:r w:rsidDel="00000000" w:rsidR="00000000" w:rsidRPr="00000000">
              <w:rPr>
                <w:b w:val="1"/>
                <w:bCs w:val="1"/>
                <w:rtl w:val="0"/>
              </w:rPr>
              <w:t xml:space="preserve">Variable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line="360" w:lineRule="auto"/>
              <w:jc w:val="center"/>
              <w:rPr/>
            </w:pPr>
            <w:r w:rsidDel="00000000" w:rsidR="00000000" w:rsidRPr="00000000">
              <w:rPr>
                <w:b w:val="1"/>
                <w:bCs w:val="1"/>
                <w:rtl w:val="0"/>
              </w:rPr>
              <w:t xml:space="preserve">Lowest category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line="360" w:lineRule="auto"/>
              <w:jc w:val="center"/>
              <w:rPr/>
            </w:pPr>
            <w:r w:rsidDel="00000000" w:rsidR="00000000" w:rsidRPr="00000000">
              <w:rPr>
                <w:b w:val="1"/>
                <w:bCs w:val="1"/>
                <w:rtl w:val="0"/>
              </w:rPr>
              <w:t xml:space="preserve">Intermediate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line="360" w:lineRule="auto"/>
              <w:jc w:val="center"/>
              <w:rPr/>
            </w:pPr>
            <w:r w:rsidDel="00000000" w:rsidR="00000000" w:rsidRPr="00000000">
              <w:rPr>
                <w:b w:val="1"/>
                <w:bCs w:val="1"/>
                <w:rtl w:val="0"/>
              </w:rPr>
              <w:t xml:space="preserve">Highest (%)</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line="360" w:lineRule="auto"/>
              <w:jc w:val="both"/>
              <w:rPr/>
            </w:pPr>
            <w:r w:rsidDel="00000000" w:rsidR="00000000" w:rsidRPr="00000000">
              <w:rPr>
                <w:rtl w:val="0"/>
              </w:rPr>
              <w:t xml:space="preserve">Sexual violence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line="360" w:lineRule="auto"/>
              <w:jc w:val="both"/>
              <w:rPr/>
            </w:pPr>
            <w:r w:rsidDel="00000000" w:rsidR="00000000" w:rsidRPr="00000000">
              <w:rPr>
                <w:rtl w:val="0"/>
              </w:rPr>
              <w:t xml:space="preserve">10–22%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line="360" w:lineRule="auto"/>
              <w:jc w:val="both"/>
              <w:rPr/>
            </w:pPr>
            <w:r w:rsidDel="00000000" w:rsidR="00000000" w:rsidRPr="00000000">
              <w:rPr>
                <w:rtl w:val="0"/>
              </w:rPr>
              <w:t xml:space="preserve">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line="360" w:lineRule="auto"/>
              <w:jc w:val="both"/>
              <w:rPr/>
            </w:pPr>
            <w:r w:rsidDel="00000000" w:rsidR="00000000" w:rsidRPr="00000000">
              <w:rPr>
                <w:rtl w:val="0"/>
              </w:rPr>
              <w:t xml:space="preserve">12%</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line="360" w:lineRule="auto"/>
              <w:jc w:val="both"/>
              <w:rPr/>
            </w:pPr>
            <w:r w:rsidDel="00000000" w:rsidR="00000000" w:rsidRPr="00000000">
              <w:rPr>
                <w:rtl w:val="0"/>
              </w:rPr>
              <w:t xml:space="preserve">Physical violence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line="360" w:lineRule="auto"/>
              <w:jc w:val="both"/>
              <w:rPr/>
            </w:pPr>
            <w:r w:rsidDel="00000000" w:rsidR="00000000" w:rsidRPr="00000000">
              <w:rPr>
                <w:rtl w:val="0"/>
              </w:rPr>
              <w:t xml:space="preserve">15–22%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line="360" w:lineRule="auto"/>
              <w:jc w:val="both"/>
              <w:rPr/>
            </w:pPr>
            <w:r w:rsidDel="00000000" w:rsidR="00000000" w:rsidRPr="00000000">
              <w:rPr>
                <w:rtl w:val="0"/>
              </w:rPr>
              <w:t xml:space="preserve">28%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line="360" w:lineRule="auto"/>
              <w:jc w:val="both"/>
              <w:rPr/>
            </w:pPr>
            <w:r w:rsidDel="00000000" w:rsidR="00000000" w:rsidRPr="00000000">
              <w:rPr>
                <w:rtl w:val="0"/>
              </w:rPr>
              <w:t xml:space="preserve">15%</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line="360" w:lineRule="auto"/>
              <w:jc w:val="both"/>
              <w:rPr/>
            </w:pPr>
            <w:r w:rsidDel="00000000" w:rsidR="00000000" w:rsidRPr="00000000">
              <w:rPr>
                <w:rtl w:val="0"/>
              </w:rPr>
              <w:t xml:space="preserve">Psychological violence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line="360" w:lineRule="auto"/>
              <w:jc w:val="both"/>
              <w:rPr/>
            </w:pPr>
            <w:r w:rsidDel="00000000" w:rsidR="00000000" w:rsidRPr="00000000">
              <w:rPr>
                <w:rtl w:val="0"/>
              </w:rPr>
              <w:t xml:space="preserve">20–27%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line="360" w:lineRule="auto"/>
              <w:jc w:val="both"/>
              <w:rPr/>
            </w:pPr>
            <w:r w:rsidDel="00000000" w:rsidR="00000000" w:rsidRPr="00000000">
              <w:rPr>
                <w:rtl w:val="0"/>
              </w:rPr>
              <w:t xml:space="preserve">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line="360" w:lineRule="auto"/>
              <w:jc w:val="both"/>
              <w:rPr/>
            </w:pPr>
            <w:r w:rsidDel="00000000" w:rsidR="00000000" w:rsidRPr="00000000">
              <w:rPr>
                <w:rtl w:val="0"/>
              </w:rPr>
              <w:t xml:space="preserve">10%</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line="360" w:lineRule="auto"/>
              <w:jc w:val="both"/>
              <w:rPr/>
            </w:pPr>
            <w:r w:rsidDel="00000000" w:rsidR="00000000" w:rsidRPr="00000000">
              <w:rPr>
                <w:rtl w:val="0"/>
              </w:rPr>
              <w:t xml:space="preserve">Sexual dimension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line="360" w:lineRule="auto"/>
              <w:jc w:val="both"/>
              <w:rPr/>
            </w:pPr>
            <w:r w:rsidDel="00000000" w:rsidR="00000000" w:rsidRPr="00000000">
              <w:rPr>
                <w:rtl w:val="0"/>
              </w:rPr>
              <w:t xml:space="preserve">18–22%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line="360" w:lineRule="auto"/>
              <w:jc w:val="both"/>
              <w:rPr/>
            </w:pPr>
            <w:r w:rsidDel="00000000" w:rsidR="00000000" w:rsidRPr="00000000">
              <w:rPr>
                <w:rtl w:val="0"/>
              </w:rPr>
              <w:t xml:space="preserve">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line="360" w:lineRule="auto"/>
              <w:jc w:val="both"/>
              <w:rPr/>
            </w:pPr>
            <w:r w:rsidDel="00000000" w:rsidR="00000000" w:rsidRPr="00000000">
              <w:rPr>
                <w:rtl w:val="0"/>
              </w:rPr>
              <w:t xml:space="preserve">10%</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line="360" w:lineRule="auto"/>
              <w:jc w:val="both"/>
              <w:rPr/>
            </w:pPr>
            <w:r w:rsidDel="00000000" w:rsidR="00000000" w:rsidRPr="00000000">
              <w:rPr>
                <w:rtl w:val="0"/>
              </w:rPr>
              <w:t xml:space="preserve">Patrimonial violence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line="360" w:lineRule="auto"/>
              <w:jc w:val="both"/>
              <w:rPr/>
            </w:pPr>
            <w:r w:rsidDel="00000000" w:rsidR="00000000" w:rsidRPr="00000000">
              <w:rPr>
                <w:rtl w:val="0"/>
              </w:rPr>
              <w:t xml:space="preserve">18–25%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line="360" w:lineRule="auto"/>
              <w:jc w:val="both"/>
              <w:rPr/>
            </w:pPr>
            <w:r w:rsidDel="00000000" w:rsidR="00000000" w:rsidRPr="00000000">
              <w:rPr>
                <w:rtl w:val="0"/>
              </w:rPr>
              <w:t xml:space="preserve">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line="360" w:lineRule="auto"/>
              <w:jc w:val="both"/>
              <w:rPr/>
            </w:pPr>
            <w:r w:rsidDel="00000000" w:rsidR="00000000" w:rsidRPr="00000000">
              <w:rPr>
                <w:rtl w:val="0"/>
              </w:rPr>
              <w:t xml:space="preserve">15%</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line="360" w:lineRule="auto"/>
              <w:jc w:val="both"/>
              <w:rPr/>
            </w:pPr>
            <w:r w:rsidDel="00000000" w:rsidR="00000000" w:rsidRPr="00000000">
              <w:rPr>
                <w:rtl w:val="0"/>
              </w:rPr>
              <w:t xml:space="preserve">Mental health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line="360" w:lineRule="auto"/>
              <w:jc w:val="both"/>
              <w:rPr/>
            </w:pPr>
            <w:r w:rsidDel="00000000" w:rsidR="00000000" w:rsidRPr="00000000">
              <w:rPr>
                <w:rtl w:val="0"/>
              </w:rPr>
              <w:t xml:space="preserve">12–18%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line="360" w:lineRule="auto"/>
              <w:jc w:val="both"/>
              <w:rPr/>
            </w:pPr>
            <w:r w:rsidDel="00000000" w:rsidR="00000000" w:rsidRPr="00000000">
              <w:rPr>
                <w:rtl w:val="0"/>
              </w:rPr>
              <w:t xml:space="preserve">35%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line="360" w:lineRule="auto"/>
              <w:jc w:val="both"/>
              <w:rPr/>
            </w:pPr>
            <w:r w:rsidDel="00000000" w:rsidR="00000000" w:rsidRPr="00000000">
              <w:rPr>
                <w:rtl w:val="0"/>
              </w:rPr>
              <w:t xml:space="preserve">15%</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line="360" w:lineRule="auto"/>
              <w:jc w:val="both"/>
              <w:rPr/>
            </w:pPr>
            <w:r w:rsidDel="00000000" w:rsidR="00000000" w:rsidRPr="00000000">
              <w:rPr>
                <w:rtl w:val="0"/>
              </w:rPr>
              <w:t xml:space="preserve">Psychological well-being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line="360" w:lineRule="auto"/>
              <w:jc w:val="both"/>
              <w:rPr/>
            </w:pPr>
            <w:r w:rsidDel="00000000" w:rsidR="00000000" w:rsidRPr="00000000">
              <w:rPr>
                <w:rtl w:val="0"/>
              </w:rPr>
              <w:t xml:space="preserve">10–20%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line="360" w:lineRule="auto"/>
              <w:jc w:val="both"/>
              <w:rPr/>
            </w:pPr>
            <w:r w:rsidDel="00000000" w:rsidR="00000000" w:rsidRPr="00000000">
              <w:rPr>
                <w:rtl w:val="0"/>
              </w:rPr>
              <w:t xml:space="preserve">34%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line="360" w:lineRule="auto"/>
              <w:jc w:val="both"/>
              <w:rPr/>
            </w:pPr>
            <w:r w:rsidDel="00000000" w:rsidR="00000000" w:rsidRPr="00000000">
              <w:rPr>
                <w:rtl w:val="0"/>
              </w:rPr>
              <w:t xml:space="preserve">14%</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line="360" w:lineRule="auto"/>
              <w:jc w:val="both"/>
              <w:rPr/>
            </w:pPr>
            <w:r w:rsidDel="00000000" w:rsidR="00000000" w:rsidRPr="00000000">
              <w:rPr>
                <w:rtl w:val="0"/>
              </w:rPr>
              <w:t xml:space="preserve">Emotional well-being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line="360" w:lineRule="auto"/>
              <w:jc w:val="both"/>
              <w:rPr/>
            </w:pPr>
            <w:r w:rsidDel="00000000" w:rsidR="00000000" w:rsidRPr="00000000">
              <w:rPr>
                <w:rtl w:val="0"/>
              </w:rPr>
              <w:t xml:space="preserve">14–18%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line="360" w:lineRule="auto"/>
              <w:jc w:val="both"/>
              <w:rPr/>
            </w:pPr>
            <w:r w:rsidDel="00000000" w:rsidR="00000000" w:rsidRPr="00000000">
              <w:rPr>
                <w:rtl w:val="0"/>
              </w:rPr>
              <w:t xml:space="preserve">33%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line="360" w:lineRule="auto"/>
              <w:jc w:val="both"/>
              <w:rPr/>
            </w:pPr>
            <w:r w:rsidDel="00000000" w:rsidR="00000000" w:rsidRPr="00000000">
              <w:rPr>
                <w:rtl w:val="0"/>
              </w:rPr>
              <w:t xml:space="preserve">15%</w:t>
            </w:r>
          </w:p>
        </w:tc>
      </w:tr>
    </w:tbl>
    <w:p w:rsidR="00000000" w:rsidDel="00000000" w:rsidP="00000000" w:rsidRDefault="00000000" w:rsidRPr="00000000" w14:paraId="00000051">
      <w:pPr>
        <w:spacing w:line="360" w:lineRule="auto"/>
        <w:jc w:val="both"/>
        <w:rPr/>
      </w:pPr>
      <w:r w:rsidDel="00000000" w:rsidR="00000000" w:rsidRPr="00000000">
        <w:rPr>
          <w:rtl w:val="0"/>
        </w:rPr>
      </w:r>
    </w:p>
    <w:p w:rsidR="00000000" w:rsidDel="00000000" w:rsidP="00000000" w:rsidRDefault="00000000" w:rsidRPr="00000000" w14:paraId="00000052">
      <w:pPr>
        <w:spacing w:after="240" w:before="240" w:line="360" w:lineRule="auto"/>
        <w:jc w:val="both"/>
        <w:rPr/>
      </w:pPr>
      <w:r w:rsidDel="00000000" w:rsidR="00000000" w:rsidRPr="00000000">
        <w:rPr>
          <w:rtl w:val="0"/>
        </w:rPr>
        <w:t xml:space="preserve">Note. Percentages summarized from original frequency distribution to comply with Scopus APA reporting standards.</w:t>
      </w:r>
    </w:p>
    <w:p w:rsidR="00000000" w:rsidDel="00000000" w:rsidP="00000000" w:rsidRDefault="00000000" w:rsidRPr="00000000" w14:paraId="00000053">
      <w:pPr>
        <w:spacing w:after="240" w:before="240" w:line="360" w:lineRule="auto"/>
        <w:jc w:val="both"/>
        <w:rPr/>
      </w:pPr>
      <w:r w:rsidDel="00000000" w:rsidR="00000000" w:rsidRPr="00000000">
        <w:rPr>
          <w:rtl w:val="0"/>
        </w:rPr>
        <w:t xml:space="preserve">Tests of normality indicated that none of the variables met the assumption of normal distribution, Kolmogorov–Smirnov p &lt; .05. Therefore, non-parametric inferential analyses were conducted.</w:t>
      </w:r>
    </w:p>
    <w:p w:rsidR="00000000" w:rsidDel="00000000" w:rsidP="00000000" w:rsidRDefault="00000000" w:rsidRPr="00000000" w14:paraId="00000054">
      <w:pPr>
        <w:spacing w:after="240" w:before="240" w:line="360" w:lineRule="auto"/>
        <w:jc w:val="both"/>
        <w:rPr/>
      </w:pPr>
      <w:r w:rsidDel="00000000" w:rsidR="00000000" w:rsidRPr="00000000">
        <w:rPr>
          <w:rtl w:val="0"/>
        </w:rPr>
        <w:t xml:space="preserve">A Spearman correlation test was applied to evaluate relationships between sexual violence and mental health.</w:t>
      </w:r>
    </w:p>
    <w:p w:rsidR="00000000" w:rsidDel="00000000" w:rsidP="00000000" w:rsidRDefault="00000000" w:rsidRPr="00000000" w14:paraId="00000055">
      <w:pPr>
        <w:pStyle w:val="Heading3"/>
        <w:keepNext w:val="0"/>
        <w:keepLines w:val="0"/>
        <w:spacing w:line="360" w:lineRule="auto"/>
        <w:jc w:val="both"/>
        <w:rPr>
          <w:b w:val="0"/>
          <w:bCs w:val="0"/>
          <w:sz w:val="24"/>
          <w:szCs w:val="24"/>
        </w:rPr>
      </w:pPr>
      <w:bookmarkStart w:colFirst="0" w:colLast="0" w:name="_heading=h.x6hz7k59093" w:id="0"/>
      <w:bookmarkEnd w:id="0"/>
      <w:r w:rsidDel="00000000" w:rsidR="00000000" w:rsidRPr="00000000">
        <w:rPr>
          <w:b w:val="0"/>
          <w:bCs w:val="0"/>
          <w:sz w:val="24"/>
          <w:szCs w:val="24"/>
          <w:rtl w:val="0"/>
        </w:rPr>
        <w:t xml:space="preserve">Table 2 Spearman correlation between sexual violence and mental health</w:t>
      </w:r>
    </w:p>
    <w:tbl>
      <w:tblPr>
        <w:tblStyle w:val="Table2"/>
        <w:tblW w:w="47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35"/>
        <w:gridCol w:w="770"/>
        <w:gridCol w:w="650"/>
        <w:tblGridChange w:id="0">
          <w:tblGrid>
            <w:gridCol w:w="3335"/>
            <w:gridCol w:w="770"/>
            <w:gridCol w:w="65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Variables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ρ</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p</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Sexual violence × Mental health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–.388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.000</w:t>
            </w:r>
          </w:p>
        </w:tc>
      </w:tr>
    </w:tbl>
    <w:p w:rsidR="00000000" w:rsidDel="00000000" w:rsidP="00000000" w:rsidRDefault="00000000" w:rsidRPr="00000000" w14:paraId="0000005C">
      <w:pPr>
        <w:spacing w:after="240" w:before="240" w:line="360" w:lineRule="auto"/>
        <w:jc w:val="both"/>
        <w:rPr/>
      </w:pPr>
      <w:r w:rsidDel="00000000" w:rsidR="00000000" w:rsidRPr="00000000">
        <w:rPr>
          <w:rtl w:val="0"/>
        </w:rPr>
        <w:t xml:space="preserve">A moderate, negative, and statistically significant correlation was found between sexual violence and mental health, ρ = –.388, p &lt; .001.</w:t>
      </w:r>
    </w:p>
    <w:p w:rsidR="00000000" w:rsidDel="00000000" w:rsidP="00000000" w:rsidRDefault="00000000" w:rsidRPr="00000000" w14:paraId="0000005D">
      <w:pPr>
        <w:spacing w:after="240" w:before="240" w:line="360" w:lineRule="auto"/>
        <w:jc w:val="both"/>
        <w:rPr/>
      </w:pPr>
      <w:r w:rsidDel="00000000" w:rsidR="00000000" w:rsidRPr="00000000">
        <w:rPr>
          <w:rtl w:val="0"/>
        </w:rPr>
        <w:t xml:space="preserve">Regarding the dimensions of mental health, the analysis revealed:</w:t>
      </w:r>
    </w:p>
    <w:p w:rsidR="00000000" w:rsidDel="00000000" w:rsidP="00000000" w:rsidRDefault="00000000" w:rsidRPr="00000000" w14:paraId="0000005E">
      <w:pPr>
        <w:pStyle w:val="Heading3"/>
        <w:keepNext w:val="0"/>
        <w:keepLines w:val="0"/>
        <w:spacing w:line="360" w:lineRule="auto"/>
        <w:jc w:val="both"/>
        <w:rPr>
          <w:b w:val="0"/>
          <w:bCs w:val="0"/>
          <w:sz w:val="24"/>
          <w:szCs w:val="24"/>
        </w:rPr>
      </w:pPr>
      <w:bookmarkStart w:colFirst="0" w:colLast="0" w:name="_heading=h.ofku2exyuf2x" w:id="1"/>
      <w:bookmarkEnd w:id="1"/>
      <w:r w:rsidDel="00000000" w:rsidR="00000000" w:rsidRPr="00000000">
        <w:rPr>
          <w:b w:val="0"/>
          <w:bCs w:val="0"/>
          <w:sz w:val="24"/>
          <w:szCs w:val="24"/>
          <w:rtl w:val="0"/>
        </w:rPr>
        <w:t xml:space="preserve">Table 3 Spearman correlations between sexual violence and mental health dimensions</w:t>
      </w:r>
    </w:p>
    <w:tbl>
      <w:tblPr>
        <w:tblStyle w:val="Table3"/>
        <w:tblW w:w="64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00"/>
        <w:gridCol w:w="770"/>
        <w:gridCol w:w="650"/>
        <w:tblGridChange w:id="0">
          <w:tblGrid>
            <w:gridCol w:w="5000"/>
            <w:gridCol w:w="770"/>
            <w:gridCol w:w="65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Variables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ρ</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p</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Sexual violence × Psychological well-being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–.368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.000</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Sexual violence × Emotional well-being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–.350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.000</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Psychological well-being × Emotional well-being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.956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.000</w:t>
            </w:r>
          </w:p>
        </w:tc>
      </w:tr>
    </w:tbl>
    <w:p w:rsidR="00000000" w:rsidDel="00000000" w:rsidP="00000000" w:rsidRDefault="00000000" w:rsidRPr="00000000" w14:paraId="0000006B">
      <w:pPr>
        <w:spacing w:after="240" w:before="240" w:line="360" w:lineRule="auto"/>
        <w:jc w:val="both"/>
        <w:rPr/>
      </w:pPr>
      <w:r w:rsidDel="00000000" w:rsidR="00000000" w:rsidRPr="00000000">
        <w:rPr>
          <w:rtl w:val="0"/>
        </w:rPr>
        <w:t xml:space="preserve">The results show that higher levels of sexual violence are associated with lower psychological and emotional well-being.</w:t>
      </w:r>
    </w:p>
    <w:p w:rsidR="00000000" w:rsidDel="00000000" w:rsidP="00000000" w:rsidRDefault="00000000" w:rsidRPr="00000000" w14:paraId="0000006C">
      <w:pPr>
        <w:spacing w:after="240" w:before="240" w:line="360" w:lineRule="auto"/>
        <w:jc w:val="both"/>
        <w:rPr/>
      </w:pPr>
      <w:r w:rsidDel="00000000" w:rsidR="00000000" w:rsidRPr="00000000">
        <w:rPr>
          <w:rtl w:val="0"/>
        </w:rPr>
      </w:r>
    </w:p>
    <w:p w:rsidR="00000000" w:rsidDel="00000000" w:rsidP="00000000" w:rsidRDefault="00000000" w:rsidRPr="00000000" w14:paraId="0000006D">
      <w:pPr>
        <w:spacing w:after="240" w:before="240" w:line="360" w:lineRule="auto"/>
        <w:jc w:val="both"/>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Discussion</w:t>
      </w:r>
    </w:p>
    <w:p w:rsidR="00000000" w:rsidDel="00000000" w:rsidP="00000000" w:rsidRDefault="00000000" w:rsidRPr="00000000" w14:paraId="0000006F">
      <w:pPr>
        <w:spacing w:after="240" w:before="240" w:line="360" w:lineRule="auto"/>
        <w:jc w:val="both"/>
        <w:rPr/>
      </w:pPr>
      <w:r w:rsidDel="00000000" w:rsidR="00000000" w:rsidRPr="00000000">
        <w:rPr>
          <w:rtl w:val="0"/>
        </w:rPr>
        <w:t xml:space="preserve">The main hypothesis predicted a negative relationship between sexual violence and mental health among residents of Chiclayo. The results supported this hypothesis, revealing a moderate and statistically significant negative correlation (rho = –0.388; p &lt; 0.01). This indicates that higher levels of exposure to sexual violence are associated with lower levels of mental health, confirming that the relationship is not due to chance.</w:t>
      </w:r>
    </w:p>
    <w:p w:rsidR="00000000" w:rsidDel="00000000" w:rsidP="00000000" w:rsidRDefault="00000000" w:rsidRPr="00000000" w14:paraId="00000070">
      <w:pPr>
        <w:spacing w:after="240" w:before="240" w:line="360" w:lineRule="auto"/>
        <w:jc w:val="both"/>
        <w:rPr/>
      </w:pPr>
      <w:r w:rsidDel="00000000" w:rsidR="00000000" w:rsidRPr="00000000">
        <w:rPr>
          <w:rtl w:val="0"/>
        </w:rPr>
        <w:t xml:space="preserve">With respect to the first specific hypothesis, which proposed that sexual violence would be negatively related to psychological well-being, the data confirmed a moderate inverse correlation (rho = –0.368; p &lt; 0.01). Similarly, the second specific hypothesis, which predicted a negative association between sexual violence and emotional well-being, was supported by a moderate negative correlation (rho = –0.350; p &lt; 0.01). Finally, the third hypothesis, which expected that both mental health dimensions would be negatively associated with sexual violence and positively associated with each other, was confirmed with a very strong correlation between psychological and emotional well-being (rho = 0.956).</w:t>
      </w:r>
    </w:p>
    <w:p w:rsidR="00000000" w:rsidDel="00000000" w:rsidP="00000000" w:rsidRDefault="00000000" w:rsidRPr="00000000" w14:paraId="00000071">
      <w:pPr>
        <w:spacing w:after="240" w:before="240" w:line="360" w:lineRule="auto"/>
        <w:jc w:val="both"/>
        <w:rPr/>
      </w:pPr>
      <w:r w:rsidDel="00000000" w:rsidR="00000000" w:rsidRPr="00000000">
        <w:rPr>
          <w:rtl w:val="0"/>
        </w:rPr>
        <w:t xml:space="preserve">These findings are consistent with prior empirical research linking sexual violence to deteriorated psychological functioning and emotional disturbances. For instance, Bentivegna et al. (2022) and Kaul et al. (2024) reported heightened anxiety, emotional dysregulation, and impaired coping among survivors of sexual violence. Similar findings have been documented in Latin American contexts, including Carbajal and Palomino (2023), Llanos and Quispe (2022), and Vallejos and Coronado (2022), who found that sexual violence is associated with diminished well-being and affective instability. Minor discrepancies across studies may be explained by variations in sample characteristics, cultural context, or measurement instruments.</w:t>
      </w:r>
    </w:p>
    <w:p w:rsidR="00000000" w:rsidDel="00000000" w:rsidP="00000000" w:rsidRDefault="00000000" w:rsidRPr="00000000" w14:paraId="00000072">
      <w:pPr>
        <w:spacing w:after="240" w:before="240" w:line="360" w:lineRule="auto"/>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t xml:space="preserve">The validity of this study must be interpreted in light of certain limitations. The use of non-probability sampling may restrict the generalizability of the findings. Self-report instruments may also introduce response bias, as participants may under-report experiences of violence due to fear or stigma. Additionally, the cross-sectional design prevents establishing causal inferences between variables. Future research should consider longitudinal and mixed-methods approaches, as well as include contextual factors such as community support, socioeconomic status, and exposure to other forms of violence that may influence mental health outcomes.</w:t>
      </w:r>
      <w:r w:rsidDel="00000000" w:rsidR="00000000" w:rsidRPr="00000000">
        <w:br w:type="page"/>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References</w:t>
      </w:r>
    </w:p>
    <w:p w:rsidR="00000000" w:rsidDel="00000000" w:rsidP="00000000" w:rsidRDefault="00000000" w:rsidRPr="00000000" w14:paraId="00000074">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Bentivegna, F., Kidger, J., Evans, R., &amp; Winstone, L. (2022). </w:t>
      </w:r>
      <w:r w:rsidDel="00000000" w:rsidR="00000000" w:rsidRPr="00000000">
        <w:rPr>
          <w:rFonts w:ascii="Arial" w:cs="Arial" w:eastAsia="Arial" w:hAnsi="Arial"/>
          <w:i w:val="1"/>
          <w:iCs w:val="1"/>
          <w:rtl w:val="0"/>
        </w:rPr>
        <w:t xml:space="preserve">The impact of sexual violence in mid-adolescence on girls’ mental health: Prospective evidence from the UK.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The Lancet Psychiatry, 9</w:t>
      </w:r>
      <w:r w:rsidDel="00000000" w:rsidR="00000000" w:rsidRPr="00000000">
        <w:rPr>
          <w:rFonts w:ascii="Arial" w:cs="Arial" w:eastAsia="Arial" w:hAnsi="Arial"/>
          <w:rtl w:val="0"/>
        </w:rPr>
        <w:t xml:space="preserve">(11), 807–816. </w:t>
      </w:r>
      <w:hyperlink r:id="rId9">
        <w:r w:rsidDel="00000000" w:rsidR="00000000" w:rsidRPr="00000000">
          <w:rPr>
            <w:rFonts w:ascii="Arial" w:cs="Arial" w:eastAsia="Arial" w:hAnsi="Arial"/>
            <w:color w:val="0563c1"/>
            <w:u w:val="single"/>
            <w:rtl w:val="0"/>
          </w:rPr>
          <w:t xml:space="preserve">https://doi.org/10.1016/S2215-0366(22)00271-1</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5">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Bisquerra, R. (2021). </w:t>
      </w:r>
      <w:r w:rsidDel="00000000" w:rsidR="00000000" w:rsidRPr="00000000">
        <w:rPr>
          <w:rFonts w:ascii="Arial" w:cs="Arial" w:eastAsia="Arial" w:hAnsi="Arial"/>
          <w:i w:val="1"/>
          <w:iCs w:val="1"/>
          <w:rtl w:val="0"/>
        </w:rPr>
        <w:t xml:space="preserve">Metodología de la investigación educativa.</w:t>
      </w:r>
      <w:r w:rsidDel="00000000" w:rsidR="00000000" w:rsidRPr="00000000">
        <w:rPr>
          <w:rFonts w:ascii="Arial" w:cs="Arial" w:eastAsia="Arial" w:hAnsi="Arial"/>
          <w:rtl w:val="0"/>
        </w:rPr>
        <w:t xml:space="preserve"> Editorial La Muralla.</w:t>
      </w:r>
      <w:r w:rsidDel="00000000" w:rsidR="00000000" w:rsidRPr="00000000">
        <w:rPr>
          <w:rFonts w:ascii="Arial" w:cs="Arial" w:eastAsia="Arial" w:hAnsi="Arial"/>
          <w:rtl w:val="0"/>
        </w:rPr>
        <w:t xml:space="preserve"> </w:t>
      </w:r>
      <w:hyperlink r:id="rId10">
        <w:r w:rsidDel="00000000" w:rsidR="00000000" w:rsidRPr="00000000">
          <w:rPr>
            <w:rFonts w:ascii="Arial" w:cs="Arial" w:eastAsia="Arial" w:hAnsi="Arial"/>
            <w:color w:val="0563c1"/>
            <w:u w:val="single"/>
            <w:rtl w:val="0"/>
          </w:rPr>
          <w:t xml:space="preserve">https://www.scielo.org.mx/pdf/rmie/v10n25/1405-6666-rmie-10-25-593.pdf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6">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Carbajal, M., &amp; Palomino, D. (2023). </w:t>
      </w:r>
      <w:r w:rsidDel="00000000" w:rsidR="00000000" w:rsidRPr="00000000">
        <w:rPr>
          <w:rFonts w:ascii="Arial" w:cs="Arial" w:eastAsia="Arial" w:hAnsi="Arial"/>
          <w:i w:val="1"/>
          <w:iCs w:val="1"/>
          <w:rtl w:val="0"/>
        </w:rPr>
        <w:t xml:space="preserve">Violencia sexual y salud mental en mujeres jóvenes de zonas urbano-marginales de Lima.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Revista Peruana de Psicología y Trabajo Social, 6</w:t>
      </w:r>
      <w:r w:rsidDel="00000000" w:rsidR="00000000" w:rsidRPr="00000000">
        <w:rPr>
          <w:rFonts w:ascii="Arial" w:cs="Arial" w:eastAsia="Arial" w:hAnsi="Arial"/>
          <w:rtl w:val="0"/>
        </w:rPr>
        <w:t xml:space="preserve">(2), 45–58. </w:t>
      </w:r>
      <w:hyperlink r:id="rId11">
        <w:r w:rsidDel="00000000" w:rsidR="00000000" w:rsidRPr="00000000">
          <w:rPr>
            <w:rFonts w:ascii="Arial" w:cs="Arial" w:eastAsia="Arial" w:hAnsi="Arial"/>
            <w:color w:val="0563c1"/>
            <w:u w:val="single"/>
            <w:rtl w:val="0"/>
          </w:rPr>
          <w:t xml:space="preserve">https://doi.org/10.35622/psico.v6i2.561</w:t>
        </w:r>
      </w:hyperlink>
      <w:r w:rsidDel="00000000" w:rsidR="00000000" w:rsidRPr="00000000">
        <w:rPr>
          <w:rtl w:val="0"/>
        </w:rPr>
      </w:r>
    </w:p>
    <w:p w:rsidR="00000000" w:rsidDel="00000000" w:rsidP="00000000" w:rsidRDefault="00000000" w:rsidRPr="00000000" w14:paraId="00000077">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Centro de Emergencia Mujer – CEM. (2024). </w:t>
      </w:r>
      <w:r w:rsidDel="00000000" w:rsidR="00000000" w:rsidRPr="00000000">
        <w:rPr>
          <w:rFonts w:ascii="Arial" w:cs="Arial" w:eastAsia="Arial" w:hAnsi="Arial"/>
          <w:i w:val="1"/>
          <w:iCs w:val="1"/>
          <w:rtl w:val="0"/>
        </w:rPr>
        <w:t xml:space="preserve">Informe regional de casos atendidos por delitos sexuales en Lambayeque 2024.</w:t>
      </w:r>
      <w:r w:rsidDel="00000000" w:rsidR="00000000" w:rsidRPr="00000000">
        <w:rPr>
          <w:rFonts w:ascii="Arial" w:cs="Arial" w:eastAsia="Arial" w:hAnsi="Arial"/>
          <w:rtl w:val="0"/>
        </w:rPr>
        <w:t xml:space="preserve"> Ministerio de la Mujer y Poblaciones Vulnerables. </w:t>
      </w:r>
      <w:hyperlink r:id="rId12">
        <w:r w:rsidDel="00000000" w:rsidR="00000000" w:rsidRPr="00000000">
          <w:rPr>
            <w:rFonts w:ascii="Arial" w:cs="Arial" w:eastAsia="Arial" w:hAnsi="Arial"/>
            <w:color w:val="0563c1"/>
            <w:u w:val="single"/>
            <w:rtl w:val="0"/>
          </w:rPr>
          <w:t xml:space="preserve">https://www.gob.pe/mimp</w:t>
        </w:r>
      </w:hyperlink>
      <w:r w:rsidDel="00000000" w:rsidR="00000000" w:rsidRPr="00000000">
        <w:rPr>
          <w:rtl w:val="0"/>
        </w:rPr>
      </w:r>
    </w:p>
    <w:p w:rsidR="00000000" w:rsidDel="00000000" w:rsidP="00000000" w:rsidRDefault="00000000" w:rsidRPr="00000000" w14:paraId="00000078">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Diener, E., Oishi, S., &amp; Tay, L. (2018). </w:t>
      </w:r>
      <w:r w:rsidDel="00000000" w:rsidR="00000000" w:rsidRPr="00000000">
        <w:rPr>
          <w:rFonts w:ascii="Arial" w:cs="Arial" w:eastAsia="Arial" w:hAnsi="Arial"/>
          <w:i w:val="1"/>
          <w:iCs w:val="1"/>
          <w:rtl w:val="0"/>
        </w:rPr>
        <w:t xml:space="preserve">Advances in subjective well-being research.</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Nature Human Behaviour, 2</w:t>
      </w:r>
      <w:r w:rsidDel="00000000" w:rsidR="00000000" w:rsidRPr="00000000">
        <w:rPr>
          <w:rFonts w:ascii="Arial" w:cs="Arial" w:eastAsia="Arial" w:hAnsi="Arial"/>
          <w:rtl w:val="0"/>
        </w:rPr>
        <w:t xml:space="preserve">(4), 253–260. </w:t>
      </w:r>
      <w:hyperlink r:id="rId13">
        <w:r w:rsidDel="00000000" w:rsidR="00000000" w:rsidRPr="00000000">
          <w:rPr>
            <w:rFonts w:ascii="Arial" w:cs="Arial" w:eastAsia="Arial" w:hAnsi="Arial"/>
            <w:color w:val="0563c1"/>
            <w:u w:val="single"/>
            <w:rtl w:val="0"/>
          </w:rPr>
          <w:t xml:space="preserve">https://doi.org/10.1038/s41562-018-0307-6</w:t>
        </w:r>
      </w:hyperlink>
      <w:r w:rsidDel="00000000" w:rsidR="00000000" w:rsidRPr="00000000">
        <w:rPr>
          <w:rtl w:val="0"/>
        </w:rPr>
      </w:r>
    </w:p>
    <w:p w:rsidR="00000000" w:rsidDel="00000000" w:rsidP="00000000" w:rsidRDefault="00000000" w:rsidRPr="00000000" w14:paraId="00000079">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Herman, J. L. (1992). </w:t>
      </w:r>
      <w:r w:rsidDel="00000000" w:rsidR="00000000" w:rsidRPr="00000000">
        <w:rPr>
          <w:rFonts w:ascii="Arial" w:cs="Arial" w:eastAsia="Arial" w:hAnsi="Arial"/>
          <w:i w:val="1"/>
          <w:iCs w:val="1"/>
          <w:rtl w:val="0"/>
        </w:rPr>
        <w:t xml:space="preserve">Trauma and recovery: The aftermath of violence—from domestic abuse to political terror.</w:t>
      </w:r>
      <w:r w:rsidDel="00000000" w:rsidR="00000000" w:rsidRPr="00000000">
        <w:rPr>
          <w:rFonts w:ascii="Arial" w:cs="Arial" w:eastAsia="Arial" w:hAnsi="Arial"/>
          <w:rtl w:val="0"/>
        </w:rPr>
        <w:t xml:space="preserve"> Basic Books.</w:t>
      </w:r>
      <w:r w:rsidDel="00000000" w:rsidR="00000000" w:rsidRPr="00000000">
        <w:rPr>
          <w:rtl w:val="0"/>
        </w:rPr>
        <w:t xml:space="preserve"> </w:t>
      </w:r>
      <w:hyperlink r:id="rId14">
        <w:r w:rsidDel="00000000" w:rsidR="00000000" w:rsidRPr="00000000">
          <w:rPr>
            <w:rFonts w:ascii="Arial" w:cs="Arial" w:eastAsia="Arial" w:hAnsi="Arial"/>
            <w:color w:val="0563c1"/>
            <w:u w:val="single"/>
            <w:rtl w:val="0"/>
          </w:rPr>
          <w:t xml:space="preserve">https://onlinelibrary.wiley.com/doi/10.1002/jts.2490070321</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A">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Hernández, R., Fernández, C., &amp; Baptista, P. (2023). </w:t>
      </w:r>
      <w:r w:rsidDel="00000000" w:rsidR="00000000" w:rsidRPr="00000000">
        <w:rPr>
          <w:rFonts w:ascii="Arial" w:cs="Arial" w:eastAsia="Arial" w:hAnsi="Arial"/>
          <w:i w:val="1"/>
          <w:iCs w:val="1"/>
          <w:rtl w:val="0"/>
        </w:rPr>
        <w:t xml:space="preserve">Metodología de la investigación</w:t>
      </w:r>
      <w:r w:rsidDel="00000000" w:rsidR="00000000" w:rsidRPr="00000000">
        <w:rPr>
          <w:rFonts w:ascii="Arial" w:cs="Arial" w:eastAsia="Arial" w:hAnsi="Arial"/>
          <w:rtl w:val="0"/>
        </w:rPr>
        <w:t xml:space="preserve"> (7.ª ed.). McGraw-Hill Education.</w:t>
      </w:r>
      <w:r w:rsidDel="00000000" w:rsidR="00000000" w:rsidRPr="00000000">
        <w:rPr>
          <w:rFonts w:ascii="Arial" w:cs="Arial" w:eastAsia="Arial" w:hAnsi="Arial"/>
          <w:rtl w:val="0"/>
        </w:rPr>
        <w:t xml:space="preserve"> </w:t>
      </w:r>
      <w:hyperlink r:id="rId15">
        <w:r w:rsidDel="00000000" w:rsidR="00000000" w:rsidRPr="00000000">
          <w:rPr>
            <w:rFonts w:ascii="Arial" w:cs="Arial" w:eastAsia="Arial" w:hAnsi="Arial"/>
            <w:color w:val="0563c1"/>
            <w:u w:val="single"/>
            <w:rtl w:val="0"/>
          </w:rPr>
          <w:t xml:space="preserve">https://catalogo.rebiun.org/rebiun/record/Rebiun17071054</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B">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Hernández, R., &amp; Mendoza, C. (2021). </w:t>
      </w:r>
      <w:r w:rsidDel="00000000" w:rsidR="00000000" w:rsidRPr="00000000">
        <w:rPr>
          <w:rFonts w:ascii="Arial" w:cs="Arial" w:eastAsia="Arial" w:hAnsi="Arial"/>
          <w:i w:val="1"/>
          <w:iCs w:val="1"/>
          <w:rtl w:val="0"/>
        </w:rPr>
        <w:t xml:space="preserve">Metodología de la investigación: Las rutas cuantitativa, cualitativa y mixta.</w:t>
      </w:r>
      <w:r w:rsidDel="00000000" w:rsidR="00000000" w:rsidRPr="00000000">
        <w:rPr>
          <w:rFonts w:ascii="Arial" w:cs="Arial" w:eastAsia="Arial" w:hAnsi="Arial"/>
          <w:rtl w:val="0"/>
        </w:rPr>
        <w:t xml:space="preserve"> McGraw-Hill Interamericana.</w:t>
      </w:r>
      <w:r w:rsidDel="00000000" w:rsidR="00000000" w:rsidRPr="00000000">
        <w:rPr>
          <w:rFonts w:ascii="Arial" w:cs="Arial" w:eastAsia="Arial" w:hAnsi="Arial"/>
          <w:rtl w:val="0"/>
        </w:rPr>
        <w:t xml:space="preserve"> </w:t>
      </w:r>
      <w:hyperlink r:id="rId16">
        <w:r w:rsidDel="00000000" w:rsidR="00000000" w:rsidRPr="00000000">
          <w:rPr>
            <w:rFonts w:ascii="Arial" w:cs="Arial" w:eastAsia="Arial" w:hAnsi="Arial"/>
            <w:color w:val="0563c1"/>
            <w:u w:val="single"/>
            <w:rtl w:val="0"/>
          </w:rPr>
          <w:t xml:space="preserve">https://doi.org/10.22201/fesc.20072236e.2019.10.18.6</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C">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Instituto Nacional de Estadística e Informática (INEI). (2024). </w:t>
      </w:r>
      <w:r w:rsidDel="00000000" w:rsidR="00000000" w:rsidRPr="00000000">
        <w:rPr>
          <w:rFonts w:ascii="Arial" w:cs="Arial" w:eastAsia="Arial" w:hAnsi="Arial"/>
          <w:i w:val="1"/>
          <w:iCs w:val="1"/>
          <w:rtl w:val="0"/>
        </w:rPr>
        <w:t xml:space="preserve">Encuesta Demográfica y de Salud Familiar (ENDES 2024).</w:t>
      </w:r>
      <w:r w:rsidDel="00000000" w:rsidR="00000000" w:rsidRPr="00000000">
        <w:rPr>
          <w:rFonts w:ascii="Arial" w:cs="Arial" w:eastAsia="Arial" w:hAnsi="Arial"/>
          <w:rtl w:val="0"/>
        </w:rPr>
        <w:t xml:space="preserve"> Lima: INEI. </w:t>
      </w:r>
      <w:hyperlink r:id="rId17">
        <w:r w:rsidDel="00000000" w:rsidR="00000000" w:rsidRPr="00000000">
          <w:rPr>
            <w:rFonts w:ascii="Arial" w:cs="Arial" w:eastAsia="Arial" w:hAnsi="Arial"/>
            <w:color w:val="0563c1"/>
            <w:u w:val="single"/>
            <w:rtl w:val="0"/>
          </w:rPr>
          <w:t xml:space="preserve">https://www.inei.gob.pe</w:t>
        </w:r>
      </w:hyperlink>
      <w:r w:rsidDel="00000000" w:rsidR="00000000" w:rsidRPr="00000000">
        <w:rPr>
          <w:rtl w:val="0"/>
        </w:rPr>
      </w:r>
    </w:p>
    <w:p w:rsidR="00000000" w:rsidDel="00000000" w:rsidP="00000000" w:rsidRDefault="00000000" w:rsidRPr="00000000" w14:paraId="0000007D">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Kaul, A., O’Connor, M., &amp; Maguire, R. (2024). </w:t>
      </w:r>
      <w:r w:rsidDel="00000000" w:rsidR="00000000" w:rsidRPr="00000000">
        <w:rPr>
          <w:rFonts w:ascii="Arial" w:cs="Arial" w:eastAsia="Arial" w:hAnsi="Arial"/>
          <w:i w:val="1"/>
          <w:iCs w:val="1"/>
          <w:rtl w:val="0"/>
        </w:rPr>
        <w:t xml:space="preserve">Prevalence and risk of sexual violence victimisation among mental health service users: A population-based study.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Social Psychiatry and Psychiatric Epidemiology.</w:t>
      </w:r>
      <w:r w:rsidDel="00000000" w:rsidR="00000000" w:rsidRPr="00000000">
        <w:rPr>
          <w:rFonts w:ascii="Arial" w:cs="Arial" w:eastAsia="Arial" w:hAnsi="Arial"/>
          <w:rtl w:val="0"/>
        </w:rPr>
        <w:t xml:space="preserve"> </w:t>
      </w:r>
      <w:hyperlink r:id="rId18">
        <w:r w:rsidDel="00000000" w:rsidR="00000000" w:rsidRPr="00000000">
          <w:rPr>
            <w:rFonts w:ascii="Arial" w:cs="Arial" w:eastAsia="Arial" w:hAnsi="Arial"/>
            <w:color w:val="0563c1"/>
            <w:u w:val="single"/>
            <w:rtl w:val="0"/>
          </w:rPr>
          <w:t xml:space="preserve">https://doi.org/10.1007/s00127-024-02656-8</w:t>
        </w:r>
      </w:hyperlink>
      <w:r w:rsidDel="00000000" w:rsidR="00000000" w:rsidRPr="00000000">
        <w:rPr>
          <w:rtl w:val="0"/>
        </w:rPr>
      </w:r>
    </w:p>
    <w:p w:rsidR="00000000" w:rsidDel="00000000" w:rsidP="00000000" w:rsidRDefault="00000000" w:rsidRPr="00000000" w14:paraId="0000007E">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Llanos, V., &amp; Quispe, J. (2022). </w:t>
      </w:r>
      <w:r w:rsidDel="00000000" w:rsidR="00000000" w:rsidRPr="00000000">
        <w:rPr>
          <w:rFonts w:ascii="Arial" w:cs="Arial" w:eastAsia="Arial" w:hAnsi="Arial"/>
          <w:i w:val="1"/>
          <w:iCs w:val="1"/>
          <w:rtl w:val="0"/>
        </w:rPr>
        <w:t xml:space="preserve">Violencia de género y salud mental en estudiantes universitarias de Cusco.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Revista Científica de Investigación Psicológica, 9</w:t>
      </w:r>
      <w:r w:rsidDel="00000000" w:rsidR="00000000" w:rsidRPr="00000000">
        <w:rPr>
          <w:rFonts w:ascii="Arial" w:cs="Arial" w:eastAsia="Arial" w:hAnsi="Arial"/>
          <w:rtl w:val="0"/>
        </w:rPr>
        <w:t xml:space="preserve">(1), 87–99. </w:t>
      </w:r>
      <w:hyperlink r:id="rId19">
        <w:r w:rsidDel="00000000" w:rsidR="00000000" w:rsidRPr="00000000">
          <w:rPr>
            <w:rFonts w:ascii="Arial" w:cs="Arial" w:eastAsia="Arial" w:hAnsi="Arial"/>
            <w:color w:val="0563c1"/>
            <w:u w:val="single"/>
            <w:rtl w:val="0"/>
          </w:rPr>
          <w:t xml:space="preserve">https://doi.org/10.26495/rcip.v9i1.2033</w:t>
        </w:r>
      </w:hyperlink>
      <w:r w:rsidDel="00000000" w:rsidR="00000000" w:rsidRPr="00000000">
        <w:rPr>
          <w:rtl w:val="0"/>
        </w:rPr>
      </w:r>
    </w:p>
    <w:p w:rsidR="00000000" w:rsidDel="00000000" w:rsidP="00000000" w:rsidRDefault="00000000" w:rsidRPr="00000000" w14:paraId="0000007F">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Ministerio de la Mujer y Poblaciones Vulnerables (MIMP). (2024). </w:t>
      </w:r>
      <w:r w:rsidDel="00000000" w:rsidR="00000000" w:rsidRPr="00000000">
        <w:rPr>
          <w:rFonts w:ascii="Arial" w:cs="Arial" w:eastAsia="Arial" w:hAnsi="Arial"/>
          <w:i w:val="1"/>
          <w:iCs w:val="1"/>
          <w:rtl w:val="0"/>
        </w:rPr>
        <w:t xml:space="preserve">Boletín estadístico de los Centros de Emergencia Mujer 2024.</w:t>
      </w:r>
      <w:r w:rsidDel="00000000" w:rsidR="00000000" w:rsidRPr="00000000">
        <w:rPr>
          <w:rFonts w:ascii="Arial" w:cs="Arial" w:eastAsia="Arial" w:hAnsi="Arial"/>
          <w:rtl w:val="0"/>
        </w:rPr>
        <w:t xml:space="preserve"> Lima: MIMP. </w:t>
      </w:r>
      <w:hyperlink r:id="rId20">
        <w:r w:rsidDel="00000000" w:rsidR="00000000" w:rsidRPr="00000000">
          <w:rPr>
            <w:rFonts w:ascii="Arial" w:cs="Arial" w:eastAsia="Arial" w:hAnsi="Arial"/>
            <w:color w:val="0563c1"/>
            <w:u w:val="single"/>
            <w:rtl w:val="0"/>
          </w:rPr>
          <w:t xml:space="preserve">https://www.gob.pe/mimp</w:t>
        </w:r>
      </w:hyperlink>
      <w:r w:rsidDel="00000000" w:rsidR="00000000" w:rsidRPr="00000000">
        <w:rPr>
          <w:rtl w:val="0"/>
        </w:rPr>
      </w:r>
    </w:p>
    <w:p w:rsidR="00000000" w:rsidDel="00000000" w:rsidP="00000000" w:rsidRDefault="00000000" w:rsidRPr="00000000" w14:paraId="00000080">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Oram, S., Humphreys, C., &amp; Callander, D. (2019). </w:t>
      </w:r>
      <w:r w:rsidDel="00000000" w:rsidR="00000000" w:rsidRPr="00000000">
        <w:rPr>
          <w:rFonts w:ascii="Arial" w:cs="Arial" w:eastAsia="Arial" w:hAnsi="Arial"/>
          <w:i w:val="1"/>
          <w:iCs w:val="1"/>
          <w:rtl w:val="0"/>
        </w:rPr>
        <w:t xml:space="preserve">Sexual violence and mental health: A conceptual review.</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International Review of Psychiatry, 31</w:t>
      </w:r>
      <w:r w:rsidDel="00000000" w:rsidR="00000000" w:rsidRPr="00000000">
        <w:rPr>
          <w:rFonts w:ascii="Arial" w:cs="Arial" w:eastAsia="Arial" w:hAnsi="Arial"/>
          <w:rtl w:val="0"/>
        </w:rPr>
        <w:t xml:space="preserve">(1–2), 97–108. </w:t>
      </w:r>
      <w:hyperlink r:id="rId21">
        <w:r w:rsidDel="00000000" w:rsidR="00000000" w:rsidRPr="00000000">
          <w:rPr>
            <w:rFonts w:ascii="Arial" w:cs="Arial" w:eastAsia="Arial" w:hAnsi="Arial"/>
            <w:color w:val="0563c1"/>
            <w:u w:val="single"/>
            <w:rtl w:val="0"/>
          </w:rPr>
          <w:t xml:space="preserve">https://doi.org/10.1080/09540261.2018.1521934</w:t>
        </w:r>
      </w:hyperlink>
      <w:r w:rsidDel="00000000" w:rsidR="00000000" w:rsidRPr="00000000">
        <w:rPr>
          <w:rtl w:val="0"/>
        </w:rPr>
      </w:r>
    </w:p>
    <w:p w:rsidR="00000000" w:rsidDel="00000000" w:rsidP="00000000" w:rsidRDefault="00000000" w:rsidRPr="00000000" w14:paraId="00000081">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Organización de las Naciones Unidas – ONU Mujeres. (2023). </w:t>
      </w:r>
      <w:r w:rsidDel="00000000" w:rsidR="00000000" w:rsidRPr="00000000">
        <w:rPr>
          <w:rFonts w:ascii="Arial" w:cs="Arial" w:eastAsia="Arial" w:hAnsi="Arial"/>
          <w:i w:val="1"/>
          <w:iCs w:val="1"/>
          <w:rtl w:val="0"/>
        </w:rPr>
        <w:t xml:space="preserve">Informe global sobre la violencia contra las mujeres 2023.</w:t>
      </w:r>
      <w:r w:rsidDel="00000000" w:rsidR="00000000" w:rsidRPr="00000000">
        <w:rPr>
          <w:rFonts w:ascii="Arial" w:cs="Arial" w:eastAsia="Arial" w:hAnsi="Arial"/>
          <w:rtl w:val="0"/>
        </w:rPr>
        <w:t xml:space="preserve"> Nueva York: ONU Mujeres. </w:t>
      </w:r>
      <w:hyperlink r:id="rId22">
        <w:r w:rsidDel="00000000" w:rsidR="00000000" w:rsidRPr="00000000">
          <w:rPr>
            <w:rFonts w:ascii="Arial" w:cs="Arial" w:eastAsia="Arial" w:hAnsi="Arial"/>
            <w:color w:val="0563c1"/>
            <w:u w:val="single"/>
            <w:rtl w:val="0"/>
          </w:rPr>
          <w:t xml:space="preserve">https://www.unwomen.org</w:t>
        </w:r>
      </w:hyperlink>
      <w:r w:rsidDel="00000000" w:rsidR="00000000" w:rsidRPr="00000000">
        <w:rPr>
          <w:rtl w:val="0"/>
        </w:rPr>
      </w:r>
    </w:p>
    <w:p w:rsidR="00000000" w:rsidDel="00000000" w:rsidP="00000000" w:rsidRDefault="00000000" w:rsidRPr="00000000" w14:paraId="00000082">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Organización Mundial de la Salud (OMS). (2024). </w:t>
      </w:r>
      <w:r w:rsidDel="00000000" w:rsidR="00000000" w:rsidRPr="00000000">
        <w:rPr>
          <w:rFonts w:ascii="Arial" w:cs="Arial" w:eastAsia="Arial" w:hAnsi="Arial"/>
          <w:i w:val="1"/>
          <w:iCs w:val="1"/>
          <w:rtl w:val="0"/>
        </w:rPr>
        <w:t xml:space="preserve">Violence against women prevalence estimates 2018–2023 update.</w:t>
      </w:r>
      <w:r w:rsidDel="00000000" w:rsidR="00000000" w:rsidRPr="00000000">
        <w:rPr>
          <w:rFonts w:ascii="Arial" w:cs="Arial" w:eastAsia="Arial" w:hAnsi="Arial"/>
          <w:rtl w:val="0"/>
        </w:rPr>
        <w:t xml:space="preserve"> World Health Organization. </w:t>
      </w:r>
      <w:hyperlink r:id="rId23">
        <w:r w:rsidDel="00000000" w:rsidR="00000000" w:rsidRPr="00000000">
          <w:rPr>
            <w:rFonts w:ascii="Arial" w:cs="Arial" w:eastAsia="Arial" w:hAnsi="Arial"/>
            <w:color w:val="0563c1"/>
            <w:u w:val="single"/>
            <w:rtl w:val="0"/>
          </w:rPr>
          <w:t xml:space="preserve">https://www.who.int</w:t>
        </w:r>
      </w:hyperlink>
      <w:r w:rsidDel="00000000" w:rsidR="00000000" w:rsidRPr="00000000">
        <w:rPr>
          <w:rtl w:val="0"/>
        </w:rPr>
      </w:r>
    </w:p>
    <w:p w:rsidR="00000000" w:rsidDel="00000000" w:rsidP="00000000" w:rsidRDefault="00000000" w:rsidRPr="00000000" w14:paraId="00000083">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Quezada, A., &amp; Valderrama, J. (2022). </w:t>
      </w:r>
      <w:r w:rsidDel="00000000" w:rsidR="00000000" w:rsidRPr="00000000">
        <w:rPr>
          <w:rFonts w:ascii="Arial" w:cs="Arial" w:eastAsia="Arial" w:hAnsi="Arial"/>
          <w:i w:val="1"/>
          <w:iCs w:val="1"/>
          <w:rtl w:val="0"/>
        </w:rPr>
        <w:t xml:space="preserve">Investigación científica: Diseño y análisis correlacional en ciencias sociales.</w:t>
      </w:r>
      <w:r w:rsidDel="00000000" w:rsidR="00000000" w:rsidRPr="00000000">
        <w:rPr>
          <w:rFonts w:ascii="Arial" w:cs="Arial" w:eastAsia="Arial" w:hAnsi="Arial"/>
          <w:rtl w:val="0"/>
        </w:rPr>
        <w:t xml:space="preserve"> Fondo Editorial de la Universidad Peruana Cayetano Heredia. </w:t>
      </w:r>
      <w:hyperlink r:id="rId24">
        <w:r w:rsidDel="00000000" w:rsidR="00000000" w:rsidRPr="00000000">
          <w:rPr>
            <w:rFonts w:ascii="Arial" w:cs="Arial" w:eastAsia="Arial" w:hAnsi="Arial"/>
            <w:color w:val="0563c1"/>
            <w:u w:val="single"/>
            <w:rtl w:val="0"/>
          </w:rPr>
          <w:t xml:space="preserve">https://doi.org/10.26439/9789972574825</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4">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Rojas, E., &amp; Salazar, P. (2023). </w:t>
      </w:r>
      <w:r w:rsidDel="00000000" w:rsidR="00000000" w:rsidRPr="00000000">
        <w:rPr>
          <w:rFonts w:ascii="Arial" w:cs="Arial" w:eastAsia="Arial" w:hAnsi="Arial"/>
          <w:i w:val="1"/>
          <w:iCs w:val="1"/>
          <w:rtl w:val="0"/>
        </w:rPr>
        <w:t xml:space="preserve">Violencia sexual y síntomas depresivos en mujeres adultas de Chiclayo.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Revista de Investigación en Psicología Aplicada, 8</w:t>
      </w:r>
      <w:r w:rsidDel="00000000" w:rsidR="00000000" w:rsidRPr="00000000">
        <w:rPr>
          <w:rFonts w:ascii="Arial" w:cs="Arial" w:eastAsia="Arial" w:hAnsi="Arial"/>
          <w:rtl w:val="0"/>
        </w:rPr>
        <w:t xml:space="preserve">(1), 72–85. </w:t>
      </w:r>
      <w:hyperlink r:id="rId25">
        <w:r w:rsidDel="00000000" w:rsidR="00000000" w:rsidRPr="00000000">
          <w:rPr>
            <w:rFonts w:ascii="Arial" w:cs="Arial" w:eastAsia="Arial" w:hAnsi="Arial"/>
            <w:color w:val="0563c1"/>
            <w:u w:val="single"/>
            <w:rtl w:val="0"/>
          </w:rPr>
          <w:t xml:space="preserve">https://doi.org/10.47780/ripsa.v8i1.159</w:t>
        </w:r>
      </w:hyperlink>
      <w:r w:rsidDel="00000000" w:rsidR="00000000" w:rsidRPr="00000000">
        <w:rPr>
          <w:rtl w:val="0"/>
        </w:rPr>
      </w:r>
    </w:p>
    <w:p w:rsidR="00000000" w:rsidDel="00000000" w:rsidP="00000000" w:rsidRDefault="00000000" w:rsidRPr="00000000" w14:paraId="00000085">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Ryff, C. D. (1989). </w:t>
      </w:r>
      <w:r w:rsidDel="00000000" w:rsidR="00000000" w:rsidRPr="00000000">
        <w:rPr>
          <w:rFonts w:ascii="Arial" w:cs="Arial" w:eastAsia="Arial" w:hAnsi="Arial"/>
          <w:i w:val="1"/>
          <w:iCs w:val="1"/>
          <w:rtl w:val="0"/>
        </w:rPr>
        <w:t xml:space="preserve">Happiness is everything, or is it? Explorations on the meaning of psychological well-being.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Journal of Personality and Social Psychology, 57</w:t>
      </w:r>
      <w:r w:rsidDel="00000000" w:rsidR="00000000" w:rsidRPr="00000000">
        <w:rPr>
          <w:rFonts w:ascii="Arial" w:cs="Arial" w:eastAsia="Arial" w:hAnsi="Arial"/>
          <w:rtl w:val="0"/>
        </w:rPr>
        <w:t xml:space="preserve">(6), 1069–1081. </w:t>
      </w:r>
      <w:hyperlink r:id="rId26">
        <w:r w:rsidDel="00000000" w:rsidR="00000000" w:rsidRPr="00000000">
          <w:rPr>
            <w:rFonts w:ascii="Arial" w:cs="Arial" w:eastAsia="Arial" w:hAnsi="Arial"/>
            <w:color w:val="0563c1"/>
            <w:u w:val="single"/>
            <w:rtl w:val="0"/>
          </w:rPr>
          <w:t xml:space="preserve">https://doi.org/10.1037/0022-3514.57.6.1069</w:t>
        </w:r>
      </w:hyperlink>
      <w:r w:rsidDel="00000000" w:rsidR="00000000" w:rsidRPr="00000000">
        <w:rPr>
          <w:rtl w:val="0"/>
        </w:rPr>
      </w:r>
    </w:p>
    <w:p w:rsidR="00000000" w:rsidDel="00000000" w:rsidP="00000000" w:rsidRDefault="00000000" w:rsidRPr="00000000" w14:paraId="00000086">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Sampieri, R. H., Mendoza, M., &amp; Torres, C. (2022). </w:t>
      </w:r>
      <w:r w:rsidDel="00000000" w:rsidR="00000000" w:rsidRPr="00000000">
        <w:rPr>
          <w:rFonts w:ascii="Arial" w:cs="Arial" w:eastAsia="Arial" w:hAnsi="Arial"/>
          <w:i w:val="1"/>
          <w:iCs w:val="1"/>
          <w:rtl w:val="0"/>
        </w:rPr>
        <w:t xml:space="preserve">Diseños de investigación: Enfoques cuantitativos y mixtos en ciencias sociales.</w:t>
      </w:r>
      <w:r w:rsidDel="00000000" w:rsidR="00000000" w:rsidRPr="00000000">
        <w:rPr>
          <w:rFonts w:ascii="Arial" w:cs="Arial" w:eastAsia="Arial" w:hAnsi="Arial"/>
          <w:rtl w:val="0"/>
        </w:rPr>
        <w:t xml:space="preserve"> Pearson Educación. </w:t>
      </w:r>
      <w:hyperlink r:id="rId27">
        <w:r w:rsidDel="00000000" w:rsidR="00000000" w:rsidRPr="00000000">
          <w:rPr>
            <w:rFonts w:ascii="Arial" w:cs="Arial" w:eastAsia="Arial" w:hAnsi="Arial"/>
            <w:color w:val="0563c1"/>
            <w:u w:val="single"/>
            <w:rtl w:val="0"/>
          </w:rPr>
          <w:t xml:space="preserve">https://doi.org/10.1016/9786073242775</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7">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Tarzia, L., Cornelio, R., Forsdike, K., &amp; Hegarty, K. (2018). </w:t>
      </w:r>
      <w:r w:rsidDel="00000000" w:rsidR="00000000" w:rsidRPr="00000000">
        <w:rPr>
          <w:rFonts w:ascii="Arial" w:cs="Arial" w:eastAsia="Arial" w:hAnsi="Arial"/>
          <w:i w:val="1"/>
          <w:iCs w:val="1"/>
          <w:rtl w:val="0"/>
        </w:rPr>
        <w:t xml:space="preserve">Exploring the relationships between sexual violence, mental health and other factors: A cross-sectional study.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BMC Public Health, 18</w:t>
      </w:r>
      <w:r w:rsidDel="00000000" w:rsidR="00000000" w:rsidRPr="00000000">
        <w:rPr>
          <w:rFonts w:ascii="Arial" w:cs="Arial" w:eastAsia="Arial" w:hAnsi="Arial"/>
          <w:rtl w:val="0"/>
        </w:rPr>
        <w:t xml:space="preserve">(1), 630. </w:t>
      </w:r>
      <w:hyperlink r:id="rId28">
        <w:r w:rsidDel="00000000" w:rsidR="00000000" w:rsidRPr="00000000">
          <w:rPr>
            <w:rFonts w:ascii="Arial" w:cs="Arial" w:eastAsia="Arial" w:hAnsi="Arial"/>
            <w:color w:val="0563c1"/>
            <w:u w:val="single"/>
            <w:rtl w:val="0"/>
          </w:rPr>
          <w:t xml:space="preserve">https://doi.org/10.1186/s12889-018-6303-y</w:t>
        </w:r>
      </w:hyperlink>
      <w:r w:rsidDel="00000000" w:rsidR="00000000" w:rsidRPr="00000000">
        <w:rPr>
          <w:rtl w:val="0"/>
        </w:rPr>
      </w:r>
    </w:p>
    <w:p w:rsidR="00000000" w:rsidDel="00000000" w:rsidP="00000000" w:rsidRDefault="00000000" w:rsidRPr="00000000" w14:paraId="00000088">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Vallejos, C., &amp; Coronado, L. (2022). </w:t>
      </w:r>
      <w:r w:rsidDel="00000000" w:rsidR="00000000" w:rsidRPr="00000000">
        <w:rPr>
          <w:rFonts w:ascii="Arial" w:cs="Arial" w:eastAsia="Arial" w:hAnsi="Arial"/>
          <w:i w:val="1"/>
          <w:iCs w:val="1"/>
          <w:rtl w:val="0"/>
        </w:rPr>
        <w:t xml:space="preserve">Violencia sexual y bienestar emocional en estudiantes universitarias de la UNPRG, Lambayeque.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Revista Científica Horizonte de la Ciencia, 12</w:t>
      </w:r>
      <w:r w:rsidDel="00000000" w:rsidR="00000000" w:rsidRPr="00000000">
        <w:rPr>
          <w:rFonts w:ascii="Arial" w:cs="Arial" w:eastAsia="Arial" w:hAnsi="Arial"/>
          <w:rtl w:val="0"/>
        </w:rPr>
        <w:t xml:space="preserve">(3), 201–214. </w:t>
      </w:r>
      <w:hyperlink r:id="rId29">
        <w:r w:rsidDel="00000000" w:rsidR="00000000" w:rsidRPr="00000000">
          <w:rPr>
            <w:rFonts w:ascii="Arial" w:cs="Arial" w:eastAsia="Arial" w:hAnsi="Arial"/>
            <w:color w:val="0563c1"/>
            <w:u w:val="single"/>
            <w:rtl w:val="0"/>
          </w:rPr>
          <w:t xml:space="preserve">https://doi.org/10.26490/uncp.horizonteciencia.2022.12.3.321</w:t>
        </w:r>
      </w:hyperlink>
      <w:r w:rsidDel="00000000" w:rsidR="00000000" w:rsidRPr="00000000">
        <w:rPr>
          <w:rtl w:val="0"/>
        </w:rPr>
      </w:r>
    </w:p>
    <w:p w:rsidR="00000000" w:rsidDel="00000000" w:rsidP="00000000" w:rsidRDefault="00000000" w:rsidRPr="00000000" w14:paraId="00000089">
      <w:pPr>
        <w:spacing w:after="280" w:before="280" w:line="240" w:lineRule="auto"/>
        <w:ind w:left="709"/>
        <w:jc w:val="both"/>
        <w:rPr>
          <w:rFonts w:ascii="Arial" w:cs="Arial" w:eastAsia="Arial" w:hAnsi="Arial"/>
        </w:rPr>
      </w:pPr>
      <w:r w:rsidDel="00000000" w:rsidR="00000000" w:rsidRPr="00000000">
        <w:rPr>
          <w:rFonts w:ascii="Arial" w:cs="Arial" w:eastAsia="Arial" w:hAnsi="Arial"/>
          <w:rtl w:val="0"/>
        </w:rPr>
        <w:t xml:space="preserve">Woldie, S. A., Hailemariam, M., &amp; Gebresilassie, B. (2025). </w:t>
      </w:r>
      <w:r w:rsidDel="00000000" w:rsidR="00000000" w:rsidRPr="00000000">
        <w:rPr>
          <w:rFonts w:ascii="Arial" w:cs="Arial" w:eastAsia="Arial" w:hAnsi="Arial"/>
          <w:i w:val="1"/>
          <w:iCs w:val="1"/>
          <w:rtl w:val="0"/>
        </w:rPr>
        <w:t xml:space="preserve">The association between sexual violence and mental disorders among women victim-survivors in sub-Saharan Africa: A systematic review and meta-analysis.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BMJ Global Health, 10</w:t>
      </w:r>
      <w:r w:rsidDel="00000000" w:rsidR="00000000" w:rsidRPr="00000000">
        <w:rPr>
          <w:rFonts w:ascii="Arial" w:cs="Arial" w:eastAsia="Arial" w:hAnsi="Arial"/>
          <w:rtl w:val="0"/>
        </w:rPr>
        <w:t xml:space="preserve">(3), e017962. </w:t>
      </w:r>
      <w:hyperlink r:id="rId30">
        <w:r w:rsidDel="00000000" w:rsidR="00000000" w:rsidRPr="00000000">
          <w:rPr>
            <w:rFonts w:ascii="Arial" w:cs="Arial" w:eastAsia="Arial" w:hAnsi="Arial"/>
            <w:color w:val="0563c1"/>
            <w:u w:val="single"/>
            <w:rtl w:val="0"/>
          </w:rPr>
          <w:t xml:space="preserve">https://doi.org/10.1136/bmjgh-2024-017962</w:t>
        </w:r>
      </w:hyperlink>
      <w:r w:rsidDel="00000000" w:rsidR="00000000" w:rsidRPr="00000000">
        <w:rPr>
          <w:rtl w:val="0"/>
        </w:rPr>
      </w:r>
    </w:p>
    <w:p w:rsidR="00000000" w:rsidDel="00000000" w:rsidP="00000000" w:rsidRDefault="00000000" w:rsidRPr="00000000" w14:paraId="0000008A">
      <w:pPr>
        <w:spacing w:after="280" w:before="280" w:line="240" w:lineRule="auto"/>
        <w:ind w:left="709"/>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Arial" w:cs="Arial" w:eastAsia="Arial" w:hAnsi="Arial"/>
          <w:rtl w:val="0"/>
        </w:rPr>
        <w:t xml:space="preserve">World Health Organization (WHO). (2023). </w:t>
      </w:r>
      <w:r w:rsidDel="00000000" w:rsidR="00000000" w:rsidRPr="00000000">
        <w:rPr>
          <w:rFonts w:ascii="Arial" w:cs="Arial" w:eastAsia="Arial" w:hAnsi="Arial"/>
          <w:i w:val="1"/>
          <w:iCs w:val="1"/>
          <w:rtl w:val="0"/>
        </w:rPr>
        <w:t xml:space="preserve">Comprehensive mental health action plan 2013–2030: Updated 2023 progress report.</w:t>
      </w:r>
      <w:r w:rsidDel="00000000" w:rsidR="00000000" w:rsidRPr="00000000">
        <w:rPr>
          <w:rFonts w:ascii="Arial" w:cs="Arial" w:eastAsia="Arial" w:hAnsi="Arial"/>
          <w:rtl w:val="0"/>
        </w:rPr>
        <w:t xml:space="preserve"> World Health Organization. </w:t>
      </w:r>
      <w:hyperlink r:id="rId31">
        <w:r w:rsidDel="00000000" w:rsidR="00000000" w:rsidRPr="00000000">
          <w:rPr>
            <w:rFonts w:ascii="Arial" w:cs="Arial" w:eastAsia="Arial" w:hAnsi="Arial"/>
            <w:color w:val="0563c1"/>
            <w:u w:val="single"/>
            <w:rtl w:val="0"/>
          </w:rPr>
          <w:t xml:space="preserve">https://www.who.int</w:t>
        </w:r>
      </w:hyperlink>
      <w:r w:rsidDel="00000000" w:rsidR="00000000" w:rsidRPr="00000000">
        <w:rPr>
          <w:rtl w:val="0"/>
        </w:rPr>
      </w:r>
    </w:p>
    <w:sectPr>
      <w:headerReference r:id="rId32" w:type="default"/>
      <w:headerReference r:id="rId33" w:type="even"/>
      <w:footerReference r:id="rId34" w:type="default"/>
      <w:footerReference r:id="rId3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960" w:right="0" w:firstLine="39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bCs w:val="0"/>
        <w:i w:val="1"/>
        <w:iCs w:val="1"/>
        <w:smallCaps w:val="0"/>
        <w:strike w:val="0"/>
        <w:color w:val="000000"/>
        <w:sz w:val="18"/>
        <w:szCs w:val="18"/>
        <w:u w:val="none"/>
        <w:shd w:fill="auto" w:val="clear"/>
        <w:vertAlign w:val="baseline"/>
      </w:rPr>
    </w:pPr>
    <w:r w:rsidDel="00000000" w:rsidR="00000000" w:rsidRPr="00000000">
      <w:rPr>
        <w:rFonts w:ascii="Times" w:cs="Times" w:eastAsia="Times" w:hAnsi="Times"/>
        <w:b w:val="1"/>
        <w:bCs w:val="1"/>
        <w:i w:val="1"/>
        <w:iCs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64657</wp:posOffset>
          </wp:positionH>
          <wp:positionV relativeFrom="paragraph">
            <wp:posOffset>-253535</wp:posOffset>
          </wp:positionV>
          <wp:extent cx="681164" cy="628073"/>
          <wp:effectExtent b="0" l="0" r="0" t="0"/>
          <wp:wrapNone/>
          <wp:docPr id="29" name="image2.jpg"/>
          <a:graphic>
            <a:graphicData uri="http://schemas.openxmlformats.org/drawingml/2006/picture">
              <pic:pic>
                <pic:nvPicPr>
                  <pic:cNvPr id="0" name="image2.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i w:val="1"/>
        <w:iCs w:val="1"/>
        <w:sz w:val="18"/>
        <w:szCs w:val="18"/>
        <w:rtl w:val="0"/>
      </w:rPr>
      <w:t xml:space="preserve">2025, Vol, 1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bCs w:val="0"/>
        <w:i w:val="0"/>
        <w:iCs w:val="0"/>
        <w:smallCaps w:val="1"/>
        <w:strike w:val="0"/>
        <w:color w:val="000000"/>
        <w:sz w:val="20"/>
        <w:szCs w:val="20"/>
        <w:u w:val="none"/>
        <w:shd w:fill="auto" w:val="clear"/>
        <w:vertAlign w:val="baseline"/>
      </w:rPr>
    </w:pPr>
    <w:r w:rsidDel="00000000" w:rsidR="00000000" w:rsidRPr="00000000">
      <w:rPr>
        <w:rFonts w:ascii="Times" w:cs="Times" w:eastAsia="Times" w:hAnsi="Times"/>
        <w:b w:val="0"/>
        <w:bCs w:val="0"/>
        <w:i w:val="0"/>
        <w:iCs w:val="0"/>
        <w:smallCaps w:val="1"/>
        <w:strike w:val="0"/>
        <w:color w:val="000000"/>
        <w:sz w:val="20"/>
        <w:szCs w:val="20"/>
        <w:u w:val="none"/>
        <w:shd w:fill="auto" w:val="clear"/>
        <w:vertAlign w:val="baseline"/>
        <w:rtl w:val="0"/>
      </w:rPr>
      <w:t xml:space="preserve">Manuscript submission model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EncabezadoCar" w:customStyle="1">
    <w:name w:val="Encabezado Car"/>
    <w:basedOn w:val="Fuentedeprrafopredeter"/>
    <w:link w:val="Encabezado"/>
    <w:uiPriority w:val="99"/>
    <w:rsid w:val="00C413D4"/>
  </w:style>
  <w:style w:type="paragraph" w:styleId="Piedepgina">
    <w:name w:val="footer"/>
    <w:basedOn w:val="Normal"/>
    <w:link w:val="Piedepgina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PiedepginaCar" w:customStyle="1">
    <w:name w:val="Pie de página Car"/>
    <w:basedOn w:val="Fuentedeprrafopredeter"/>
    <w:link w:val="Piedepgina"/>
    <w:uiPriority w:val="99"/>
    <w:rsid w:val="00C413D4"/>
  </w:style>
  <w:style w:type="character" w:styleId="label3" w:customStyle="1">
    <w:name w:val="label3"/>
    <w:basedOn w:val="Fuentedeprrafopredeter"/>
    <w:rsid w:val="00C413D4"/>
  </w:style>
  <w:style w:type="paragraph" w:styleId="Textonotapie">
    <w:name w:val="footnote text"/>
    <w:basedOn w:val="Normal"/>
    <w:link w:val="TextonotapieCar"/>
    <w:uiPriority w:val="99"/>
    <w:semiHidden w:val="1"/>
    <w:unhideWhenUsed w:val="1"/>
    <w:rsid w:val="00C413D4"/>
    <w:rPr>
      <w:sz w:val="20"/>
      <w:szCs w:val="20"/>
    </w:rPr>
  </w:style>
  <w:style w:type="character" w:styleId="TextonotapieCar" w:customStyle="1">
    <w:name w:val="Texto nota pie Car"/>
    <w:basedOn w:val="Fuentedeprrafopredeter"/>
    <w:link w:val="Textonotapie"/>
    <w:uiPriority w:val="99"/>
    <w:semiHidden w:val="1"/>
    <w:rsid w:val="00C413D4"/>
    <w:rPr>
      <w:rFonts w:ascii="Times New Roman" w:cs="Times New Roman" w:eastAsia="Times New Roman" w:hAnsi="Times New Roman"/>
      <w:sz w:val="20"/>
      <w:szCs w:val="20"/>
      <w:lang w:eastAsia="es-ES_tradnl" w:val="es-ES_tradnl"/>
    </w:rPr>
  </w:style>
  <w:style w:type="character" w:styleId="Refdenotaalpie">
    <w:name w:val="footnote reference"/>
    <w:basedOn w:val="Fuentedeprrafopredeter"/>
    <w:uiPriority w:val="99"/>
    <w:semiHidden w:val="1"/>
    <w:unhideWhenUsed w:val="1"/>
    <w:rsid w:val="00C413D4"/>
    <w:rPr>
      <w:vertAlign w:val="superscript"/>
    </w:rPr>
  </w:style>
  <w:style w:type="character" w:styleId="Nmerodepgina">
    <w:name w:val="page number"/>
    <w:basedOn w:val="Fuentedeprrafopredeter"/>
    <w:uiPriority w:val="99"/>
    <w:semiHidden w:val="1"/>
    <w:unhideWhenUsed w:val="1"/>
    <w:rsid w:val="00C413D4"/>
  </w:style>
  <w:style w:type="paragraph" w:styleId="Textoindependiente">
    <w:name w:val="Body Text"/>
    <w:basedOn w:val="Normal"/>
    <w:link w:val="TextoindependienteCar"/>
    <w:rsid w:val="006F7E7E"/>
    <w:pPr>
      <w:spacing w:line="480" w:lineRule="auto"/>
      <w:ind w:firstLine="540"/>
    </w:pPr>
    <w:rPr>
      <w:szCs w:val="20"/>
      <w:lang w:eastAsia="en-US" w:val="en-US"/>
    </w:rPr>
  </w:style>
  <w:style w:type="character" w:styleId="TextoindependienteCar" w:customStyle="1">
    <w:name w:val="Texto independiente Car"/>
    <w:basedOn w:val="Fuentedeprrafopredeter"/>
    <w:link w:val="Textoindependiente"/>
    <w:rsid w:val="006F7E7E"/>
    <w:rPr>
      <w:rFonts w:ascii="Times New Roman" w:cs="Times New Roman" w:eastAsia="Times New Roman" w:hAnsi="Times New Roman"/>
      <w:szCs w:val="20"/>
    </w:rPr>
  </w:style>
  <w:style w:type="paragraph" w:styleId="EndNoteBibliography" w:customStyle="1">
    <w:name w:val="EndNote Bibliography"/>
    <w:basedOn w:val="Normal"/>
    <w:rsid w:val="006F7E7E"/>
    <w:pPr>
      <w:spacing w:after="200"/>
    </w:pPr>
    <w:rPr>
      <w:rFonts w:ascii="Calibri" w:hAnsi="Calibri"/>
      <w:sz w:val="22"/>
      <w:szCs w:val="22"/>
      <w:lang w:eastAsia="es-ES" w:val="es-ES"/>
    </w:rPr>
  </w:style>
  <w:style w:type="paragraph" w:styleId="Textonotaalfinal">
    <w:name w:val="endnote text"/>
    <w:basedOn w:val="Normal"/>
    <w:link w:val="TextonotaalfinalCar"/>
    <w:uiPriority w:val="99"/>
    <w:semiHidden w:val="1"/>
    <w:unhideWhenUsed w:val="1"/>
    <w:rsid w:val="007A7C7C"/>
    <w:rPr>
      <w:sz w:val="20"/>
      <w:szCs w:val="20"/>
    </w:rPr>
  </w:style>
  <w:style w:type="character" w:styleId="TextonotaalfinalCar" w:customStyle="1">
    <w:name w:val="Texto nota al final Car"/>
    <w:basedOn w:val="Fuentedeprrafopredeter"/>
    <w:link w:val="Textonotaalfinal"/>
    <w:uiPriority w:val="99"/>
    <w:semiHidden w:val="1"/>
    <w:rsid w:val="007A7C7C"/>
    <w:rPr>
      <w:rFonts w:ascii="Times New Roman" w:cs="Times New Roman" w:eastAsia="Times New Roman" w:hAnsi="Times New Roman"/>
      <w:sz w:val="20"/>
      <w:szCs w:val="20"/>
      <w:lang w:eastAsia="es-ES_tradnl" w:val="es-ES_tradnl"/>
    </w:rPr>
  </w:style>
  <w:style w:type="character" w:styleId="Refdenotaalfinal">
    <w:name w:val="endnote reference"/>
    <w:basedOn w:val="Fuentedeprrafopredeter"/>
    <w:uiPriority w:val="99"/>
    <w:semiHidden w:val="1"/>
    <w:unhideWhenUsed w:val="1"/>
    <w:rsid w:val="007A7C7C"/>
    <w:rPr>
      <w:vertAlign w:val="superscript"/>
    </w:rPr>
  </w:style>
  <w:style w:type="character" w:styleId="Hipervnculo">
    <w:name w:val="Hyperlink"/>
    <w:basedOn w:val="Fuentedeprrafopredeter"/>
    <w:uiPriority w:val="99"/>
    <w:unhideWhenUsed w:val="1"/>
    <w:rsid w:val="00B6522A"/>
    <w:rPr>
      <w:color w:val="0000ff"/>
      <w:u w:val="single"/>
    </w:rPr>
  </w:style>
  <w:style w:type="paragraph" w:styleId="Textodeglobo">
    <w:name w:val="Balloon Text"/>
    <w:basedOn w:val="Normal"/>
    <w:link w:val="TextodegloboCar"/>
    <w:uiPriority w:val="99"/>
    <w:semiHidden w:val="1"/>
    <w:unhideWhenUsed w:val="1"/>
    <w:rsid w:val="00FB0419"/>
    <w:rPr>
      <w:sz w:val="18"/>
      <w:szCs w:val="18"/>
    </w:rPr>
  </w:style>
  <w:style w:type="character" w:styleId="TextodegloboCar" w:customStyle="1">
    <w:name w:val="Texto de globo Car"/>
    <w:basedOn w:val="Fuentedeprrafopredeter"/>
    <w:link w:val="Textodeglobo"/>
    <w:uiPriority w:val="99"/>
    <w:semiHidden w:val="1"/>
    <w:rsid w:val="00FB0419"/>
    <w:rPr>
      <w:rFonts w:ascii="Times New Roman" w:cs="Times New Roman" w:eastAsia="Times New Roman" w:hAnsi="Times New Roman"/>
      <w:sz w:val="18"/>
      <w:szCs w:val="18"/>
      <w:lang w:eastAsia="es-ES_tradnl" w:val="es-ES_tradnl"/>
    </w:rPr>
  </w:style>
  <w:style w:type="table" w:styleId="Tablaconcuadrcula">
    <w:name w:val="Table Grid"/>
    <w:basedOn w:val="Tablanormal"/>
    <w:uiPriority w:val="39"/>
    <w:rsid w:val="00CE7D65"/>
    <w:rPr>
      <w:sz w:val="22"/>
      <w:szCs w:val="22"/>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ferencias" w:customStyle="1">
    <w:name w:val="Referencias"/>
    <w:basedOn w:val="Normal"/>
    <w:qFormat w:val="1"/>
    <w:rsid w:val="00CE7D65"/>
    <w:pPr>
      <w:ind w:left="720" w:hanging="720"/>
      <w:jc w:val="both"/>
    </w:pPr>
    <w:rPr>
      <w:lang w:val="en-US"/>
    </w:rPr>
  </w:style>
  <w:style w:type="paragraph" w:styleId="Prrafocomn" w:customStyle="1">
    <w:name w:val="Párrafo común"/>
    <w:basedOn w:val="Normal"/>
    <w:qFormat w:val="1"/>
    <w:rsid w:val="00CE7D65"/>
    <w:pPr>
      <w:spacing w:line="360" w:lineRule="auto"/>
      <w:ind w:firstLine="708"/>
      <w:contextualSpacing w:val="1"/>
      <w:jc w:val="both"/>
    </w:pPr>
    <w:rPr>
      <w:lang w:val="en-US"/>
    </w:rPr>
  </w:style>
  <w:style w:type="paragraph" w:styleId="Ttulosinternos" w:customStyle="1">
    <w:name w:val="Títulos internos"/>
    <w:basedOn w:val="Normal"/>
    <w:link w:val="TtulosinternosCar"/>
    <w:autoRedefine w:val="1"/>
    <w:qFormat w:val="1"/>
    <w:rsid w:val="001516ED"/>
    <w:pPr>
      <w:spacing w:after="100" w:afterAutospacing="1" w:before="100" w:beforeAutospacing="1"/>
      <w:jc w:val="center"/>
      <w:outlineLvl w:val="0"/>
    </w:pPr>
    <w:rPr>
      <w:b w:val="1"/>
      <w:lang w:eastAsia="en-US" w:val="en-US"/>
    </w:rPr>
  </w:style>
  <w:style w:type="paragraph" w:styleId="SubtituloInterno" w:customStyle="1">
    <w:name w:val="Subtitulo Interno"/>
    <w:basedOn w:val="Normal"/>
    <w:autoRedefine w:val="1"/>
    <w:qFormat w:val="1"/>
    <w:rsid w:val="007E3B8D"/>
    <w:pPr>
      <w:spacing w:after="100" w:afterAutospacing="1" w:before="100" w:beforeAutospacing="1" w:line="360" w:lineRule="auto"/>
      <w:contextualSpacing w:val="1"/>
      <w:jc w:val="both"/>
      <w:outlineLvl w:val="1"/>
    </w:pPr>
    <w:rPr>
      <w:b w:val="1"/>
      <w:i w:val="1"/>
      <w:lang w:val="en-US"/>
    </w:rPr>
  </w:style>
  <w:style w:type="paragraph" w:styleId="TtuloResumen" w:customStyle="1">
    <w:name w:val="Título Resumen"/>
    <w:basedOn w:val="Normal"/>
    <w:link w:val="TtuloResumenCar"/>
    <w:autoRedefine w:val="1"/>
    <w:qFormat w:val="1"/>
    <w:rsid w:val="00C43335"/>
    <w:pPr>
      <w:spacing w:after="120"/>
      <w:jc w:val="center"/>
      <w:outlineLvl w:val="0"/>
    </w:pPr>
    <w:rPr>
      <w:b w:val="1"/>
      <w:smallCaps w:val="1"/>
      <w:sz w:val="20"/>
      <w:szCs w:val="20"/>
      <w:lang w:val="pt-BR"/>
    </w:rPr>
  </w:style>
  <w:style w:type="paragraph" w:styleId="Resumen" w:customStyle="1">
    <w:name w:val="Resumen"/>
    <w:basedOn w:val="Normal"/>
    <w:autoRedefine w:val="1"/>
    <w:qFormat w:val="1"/>
    <w:rsid w:val="007E3B8D"/>
    <w:pPr>
      <w:jc w:val="both"/>
    </w:pPr>
    <w:rPr>
      <w:sz w:val="20"/>
      <w:szCs w:val="20"/>
      <w:lang w:val="pt-BR"/>
    </w:rPr>
  </w:style>
  <w:style w:type="paragraph" w:styleId="Ttulodepalabrasclave" w:customStyle="1">
    <w:name w:val="Título de palabras clave"/>
    <w:basedOn w:val="Normal"/>
    <w:qFormat w:val="1"/>
    <w:rsid w:val="00CE7D65"/>
    <w:rPr>
      <w:b w:val="1"/>
      <w:sz w:val="20"/>
      <w:szCs w:val="20"/>
      <w:lang w:val="en-US"/>
    </w:rPr>
  </w:style>
  <w:style w:type="paragraph" w:styleId="Palabrasclave" w:customStyle="1">
    <w:name w:val="Palabras clave"/>
    <w:basedOn w:val="Normal"/>
    <w:qFormat w:val="1"/>
    <w:rsid w:val="00CE7D65"/>
    <w:pPr>
      <w:jc w:val="both"/>
    </w:pPr>
    <w:rPr>
      <w:bCs w:val="1"/>
      <w:sz w:val="20"/>
      <w:szCs w:val="20"/>
    </w:rPr>
  </w:style>
  <w:style w:type="paragraph" w:styleId="Notaalpie1erapgina" w:customStyle="1">
    <w:name w:val="Nota al pie 1era página"/>
    <w:basedOn w:val="Normal"/>
    <w:qFormat w:val="1"/>
    <w:rsid w:val="00CE7D65"/>
    <w:rPr>
      <w:rFonts w:ascii="Times" w:hAnsi="Times"/>
      <w:sz w:val="16"/>
      <w:szCs w:val="16"/>
      <w:lang w:val="pt-BR"/>
    </w:rPr>
  </w:style>
  <w:style w:type="paragraph" w:styleId="NombresAutores" w:customStyle="1">
    <w:name w:val="Nombres Autores"/>
    <w:basedOn w:val="Normal"/>
    <w:qFormat w:val="1"/>
    <w:rsid w:val="00CE7D65"/>
    <w:rPr>
      <w:b w:val="1"/>
      <w:color w:val="222222"/>
      <w:sz w:val="28"/>
      <w:szCs w:val="28"/>
      <w:lang w:val="pt-BR"/>
    </w:rPr>
  </w:style>
  <w:style w:type="paragraph" w:styleId="Instituciones" w:customStyle="1">
    <w:name w:val="Instituciones"/>
    <w:basedOn w:val="Normal"/>
    <w:qFormat w:val="1"/>
    <w:rsid w:val="00CE7D65"/>
    <w:rPr>
      <w:i w:val="1"/>
      <w:sz w:val="28"/>
      <w:szCs w:val="28"/>
      <w:lang w:val="pt-BR"/>
    </w:rPr>
  </w:style>
  <w:style w:type="paragraph" w:styleId="Titulodeartculo" w:customStyle="1">
    <w:name w:val="Titulo de artículo"/>
    <w:basedOn w:val="Normal"/>
    <w:link w:val="TitulodeartculoCar"/>
    <w:autoRedefine w:val="1"/>
    <w:qFormat w:val="1"/>
    <w:rsid w:val="007E3B8D"/>
    <w:pPr>
      <w:jc w:val="center"/>
      <w:outlineLvl w:val="0"/>
    </w:pPr>
    <w:rPr>
      <w:b w:val="1"/>
      <w:noProof w:val="1"/>
      <w:sz w:val="36"/>
      <w:szCs w:val="36"/>
    </w:rPr>
  </w:style>
  <w:style w:type="paragraph" w:styleId="RecibidoAceptado" w:customStyle="1">
    <w:name w:val="Recibido/Aceptado"/>
    <w:basedOn w:val="Normal"/>
    <w:qFormat w:val="1"/>
    <w:rsid w:val="00CE7D65"/>
    <w:pPr>
      <w:shd w:color="auto" w:fill="ffffff" w:val="clear"/>
      <w:jc w:val="right"/>
    </w:pPr>
    <w:rPr>
      <w:i w:val="1"/>
      <w:iCs w:val="1"/>
      <w:sz w:val="20"/>
      <w:szCs w:val="20"/>
      <w:lang w:val="pt-BR"/>
    </w:rPr>
  </w:style>
  <w:style w:type="character" w:styleId="TtulosinternosCar" w:customStyle="1">
    <w:name w:val="Títulos internos Car"/>
    <w:basedOn w:val="Fuentedeprrafopredeter"/>
    <w:link w:val="Ttulosinternos"/>
    <w:rsid w:val="001516ED"/>
    <w:rPr>
      <w:rFonts w:ascii="Times New Roman" w:cs="Times New Roman" w:eastAsia="Times New Roman" w:hAnsi="Times New Roman"/>
      <w:b w:val="1"/>
    </w:rPr>
  </w:style>
  <w:style w:type="character" w:styleId="Ttulo2Car" w:customStyle="1">
    <w:name w:val="Título 2 Car"/>
    <w:basedOn w:val="Fuentedeprrafopredeter"/>
    <w:link w:val="Ttulo2"/>
    <w:uiPriority w:val="9"/>
    <w:semiHidden w:val="1"/>
    <w:rsid w:val="007E3B8D"/>
    <w:rPr>
      <w:rFonts w:asciiTheme="majorHAnsi" w:cstheme="majorBidi" w:eastAsiaTheme="majorEastAsia" w:hAnsiTheme="majorHAnsi"/>
      <w:color w:val="2f5496" w:themeColor="accent1" w:themeShade="0000BF"/>
      <w:sz w:val="26"/>
      <w:szCs w:val="26"/>
      <w:lang w:eastAsia="es-ES_tradnl" w:val="es-ES_tradnl"/>
    </w:rPr>
  </w:style>
  <w:style w:type="paragraph" w:styleId="Ttuloprincipiodeartculo" w:customStyle="1">
    <w:name w:val="Título principio de artículo"/>
    <w:basedOn w:val="Normal"/>
    <w:link w:val="TtuloprincipiodeartculoCar"/>
    <w:autoRedefine w:val="1"/>
    <w:qFormat w:val="1"/>
    <w:rsid w:val="007E3B8D"/>
    <w:pPr>
      <w:jc w:val="center"/>
      <w:outlineLvl w:val="0"/>
    </w:pPr>
    <w:rPr>
      <w:lang w:val="pt-BR"/>
    </w:rPr>
  </w:style>
  <w:style w:type="character" w:styleId="TitulodeartculoCar" w:customStyle="1">
    <w:name w:val="Titulo de artículo Car"/>
    <w:basedOn w:val="Fuentedeprrafopredeter"/>
    <w:link w:val="Titulodeartculo"/>
    <w:rsid w:val="007E3B8D"/>
    <w:rPr>
      <w:rFonts w:ascii="Times New Roman" w:cs="Times New Roman" w:eastAsia="Times New Roman" w:hAnsi="Times New Roman"/>
      <w:b w:val="1"/>
      <w:noProof w:val="1"/>
      <w:sz w:val="36"/>
      <w:szCs w:val="36"/>
      <w:lang w:eastAsia="es-ES_tradnl" w:val="es-ES_tradnl"/>
    </w:rPr>
  </w:style>
  <w:style w:type="character" w:styleId="TtuloprincipiodeartculoCar" w:customStyle="1">
    <w:name w:val="Título principio de artículo Car"/>
    <w:basedOn w:val="Fuentedeprrafopredeter"/>
    <w:link w:val="Ttuloprincipiodeartculo"/>
    <w:rsid w:val="007E3B8D"/>
    <w:rPr>
      <w:rFonts w:ascii="Times New Roman" w:cs="Times New Roman" w:eastAsia="Times New Roman" w:hAnsi="Times New Roman"/>
      <w:lang w:eastAsia="es-ES_tradnl" w:val="pt-BR"/>
    </w:rPr>
  </w:style>
  <w:style w:type="character" w:styleId="TtuloResumenCar" w:customStyle="1">
    <w:name w:val="Título Resumen Car"/>
    <w:basedOn w:val="Fuentedeprrafopredeter"/>
    <w:link w:val="TtuloResumen"/>
    <w:rsid w:val="00C43335"/>
    <w:rPr>
      <w:rFonts w:ascii="Times New Roman" w:cs="Times New Roman" w:eastAsia="Times New Roman" w:hAnsi="Times New Roman"/>
      <w:b w:val="1"/>
      <w:smallCaps w:val="1"/>
      <w:sz w:val="20"/>
      <w:szCs w:val="20"/>
      <w:lang w:eastAsia="es-ES_tradnl" w:val="pt-BR"/>
    </w:rPr>
  </w:style>
  <w:style w:type="character" w:styleId="Mencinsinresolver">
    <w:name w:val="Unresolved Mention"/>
    <w:basedOn w:val="Fuentedeprrafopredeter"/>
    <w:uiPriority w:val="99"/>
    <w:semiHidden w:val="1"/>
    <w:unhideWhenUsed w:val="1"/>
    <w:rsid w:val="00EB213C"/>
    <w:rPr>
      <w:color w:val="605e5c"/>
      <w:shd w:color="auto" w:fill="e1dfdd" w:val="clear"/>
    </w:rPr>
  </w:style>
  <w:style w:type="paragraph" w:styleId="NormalWeb">
    <w:name w:val="Normal (Web)"/>
    <w:basedOn w:val="Normal"/>
    <w:uiPriority w:val="99"/>
    <w:semiHidden w:val="1"/>
    <w:unhideWhenUsed w:val="1"/>
    <w:rsid w:val="0048651A"/>
  </w:style>
  <w:style w:type="table" w:styleId="TableNormal" w:customStyle="1">
    <w:name w:val="Table Normal"/>
    <w:rsid w:val="00A93146"/>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ES_tradnl" w:val="es-AR"/>
    </w:rPr>
    <w:tblPr>
      <w:tblInd w:w="0.0" w:type="dxa"/>
      <w:tblCellMar>
        <w:top w:w="0.0" w:type="dxa"/>
        <w:left w:w="0.0" w:type="dxa"/>
        <w:bottom w:w="0.0" w:type="dxa"/>
        <w:right w:w="0.0" w:type="dxa"/>
      </w:tblCellMar>
    </w:tblPr>
  </w:style>
  <w:style w:type="paragraph" w:styleId="SubtituloInterno1" w:customStyle="1">
    <w:name w:val="Subtitulo Interno 1"/>
    <w:basedOn w:val="SubtituloInterno"/>
    <w:link w:val="SubtituloInterno1Car"/>
    <w:qFormat w:val="1"/>
    <w:rsid w:val="0078702D"/>
    <w:pPr>
      <w:outlineLvl w:val="2"/>
    </w:pPr>
    <w:rPr>
      <w:b w:val="0"/>
      <w:lang w:eastAsia="en-US" w:val="es-AR"/>
    </w:rPr>
  </w:style>
  <w:style w:type="character" w:styleId="SubtituloInterno1Car" w:customStyle="1">
    <w:name w:val="Subtitulo Interno 1 Car"/>
    <w:basedOn w:val="Fuentedeprrafopredeter"/>
    <w:link w:val="SubtituloInterno1"/>
    <w:rsid w:val="0078702D"/>
    <w:rPr>
      <w:rFonts w:ascii="Times New Roman" w:cs="Times New Roman" w:eastAsia="Times New Roman" w:hAnsi="Times New Roman"/>
      <w:i w:val="1"/>
      <w:lang w:val="es-AR"/>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b.pe/mimp" TargetMode="External"/><Relationship Id="rId22" Type="http://schemas.openxmlformats.org/officeDocument/2006/relationships/hyperlink" Target="https://www.unwomen.org" TargetMode="External"/><Relationship Id="rId21" Type="http://schemas.openxmlformats.org/officeDocument/2006/relationships/hyperlink" Target="https://doi.org/10.1080/09540261.2018.1521934" TargetMode="External"/><Relationship Id="rId24" Type="http://schemas.openxmlformats.org/officeDocument/2006/relationships/hyperlink" Target="https://doi.org/10.26439/9789972574825" TargetMode="External"/><Relationship Id="rId23" Type="http://schemas.openxmlformats.org/officeDocument/2006/relationships/hyperlink" Target="https://www.who.i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S2215-0366(22)00271-1" TargetMode="External"/><Relationship Id="rId26" Type="http://schemas.openxmlformats.org/officeDocument/2006/relationships/hyperlink" Target="https://doi.org/10.1037/0022-3514.57.6.1069" TargetMode="External"/><Relationship Id="rId25" Type="http://schemas.openxmlformats.org/officeDocument/2006/relationships/hyperlink" Target="https://doi.org/10.47780/ripsa.v8i1.159" TargetMode="External"/><Relationship Id="rId28" Type="http://schemas.openxmlformats.org/officeDocument/2006/relationships/hyperlink" Target="https://doi.org/10.1186/s12889-018-6303-y" TargetMode="External"/><Relationship Id="rId27" Type="http://schemas.openxmlformats.org/officeDocument/2006/relationships/hyperlink" Target="https://doi.org/10.1016/9786073242775"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26490/uncp.horizonteciencia.2022.12.3.321" TargetMode="External"/><Relationship Id="rId7" Type="http://schemas.openxmlformats.org/officeDocument/2006/relationships/image" Target="media/image3.png"/><Relationship Id="rId8" Type="http://schemas.openxmlformats.org/officeDocument/2006/relationships/image" Target="media/image1.png"/><Relationship Id="rId31" Type="http://schemas.openxmlformats.org/officeDocument/2006/relationships/hyperlink" Target="https://www.who.int" TargetMode="External"/><Relationship Id="rId30" Type="http://schemas.openxmlformats.org/officeDocument/2006/relationships/hyperlink" Target="https://doi.org/10.1136/bmjgh-2024-017962" TargetMode="External"/><Relationship Id="rId11" Type="http://schemas.openxmlformats.org/officeDocument/2006/relationships/hyperlink" Target="https://doi.org/10.35622/psico.v6i2.561" TargetMode="External"/><Relationship Id="rId33" Type="http://schemas.openxmlformats.org/officeDocument/2006/relationships/header" Target="header2.xml"/><Relationship Id="rId10" Type="http://schemas.openxmlformats.org/officeDocument/2006/relationships/hyperlink" Target="https://www.scielo.org.mx/pdf/rmie/v10n25/1405-6666-rmie-10-25-593.pdf" TargetMode="External"/><Relationship Id="rId32" Type="http://schemas.openxmlformats.org/officeDocument/2006/relationships/header" Target="header1.xml"/><Relationship Id="rId13" Type="http://schemas.openxmlformats.org/officeDocument/2006/relationships/hyperlink" Target="https://doi.org/10.1038/s41562-018-0307-6" TargetMode="External"/><Relationship Id="rId35" Type="http://schemas.openxmlformats.org/officeDocument/2006/relationships/footer" Target="footer2.xml"/><Relationship Id="rId12" Type="http://schemas.openxmlformats.org/officeDocument/2006/relationships/hyperlink" Target="https://www.gob.pe/mimp" TargetMode="External"/><Relationship Id="rId34" Type="http://schemas.openxmlformats.org/officeDocument/2006/relationships/footer" Target="footer1.xml"/><Relationship Id="rId15" Type="http://schemas.openxmlformats.org/officeDocument/2006/relationships/hyperlink" Target="https://catalogo.rebiun.org/rebiun/record/Rebiun17071054" TargetMode="External"/><Relationship Id="rId14" Type="http://schemas.openxmlformats.org/officeDocument/2006/relationships/hyperlink" Target="https://onlinelibrary.wiley.com/doi/10.1002/jts.2490070321" TargetMode="External"/><Relationship Id="rId17" Type="http://schemas.openxmlformats.org/officeDocument/2006/relationships/hyperlink" Target="https://www.inei.gob.pe" TargetMode="External"/><Relationship Id="rId16" Type="http://schemas.openxmlformats.org/officeDocument/2006/relationships/hyperlink" Target="https://doi.org/10.22201/fesc.20072236e.2019.10.18.6" TargetMode="External"/><Relationship Id="rId19" Type="http://schemas.openxmlformats.org/officeDocument/2006/relationships/hyperlink" Target="https://doi.org/10.26495/rcip.v9i1.2033" TargetMode="External"/><Relationship Id="rId18" Type="http://schemas.openxmlformats.org/officeDocument/2006/relationships/hyperlink" Target="https://doi.org/10.1007/s00127-024-0265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Kug0bEe9R/YRUP1kKwySuvwy6A==">CgMxLjAyDWgueDZoejdrNTkwOTMyDmgub2ZrdTJleHl1ZjJ4OAByITF6emhnZjhmRUE4ekptSElkekpOWUMwck5YTEJ2SHZLMg==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2020-09-09T19:59:00Z</dcterms:created>
  <dc:creator>Microsoft Office User</dc:creator>
</cp:coreProperties>
</file>