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03EFC" w14:textId="08652D25" w:rsidR="00EC5AF6" w:rsidRPr="008A0B5F" w:rsidRDefault="00000000">
      <w:pPr>
        <w:pBdr>
          <w:top w:val="nil"/>
          <w:left w:val="nil"/>
          <w:bottom w:val="nil"/>
          <w:right w:val="nil"/>
          <w:between w:val="nil"/>
        </w:pBdr>
        <w:jc w:val="center"/>
        <w:rPr>
          <w:b/>
          <w:color w:val="000000"/>
          <w:sz w:val="36"/>
          <w:szCs w:val="36"/>
          <w:lang w:val="en-US"/>
        </w:rPr>
      </w:pPr>
      <w:r w:rsidRPr="008A0B5F">
        <w:rPr>
          <w:b/>
          <w:color w:val="000000"/>
          <w:sz w:val="36"/>
          <w:szCs w:val="36"/>
          <w:lang w:val="en-US"/>
        </w:rPr>
        <w:t xml:space="preserve"> </w:t>
      </w:r>
      <w:r w:rsidR="008A0B5F" w:rsidRPr="008A0B5F">
        <w:rPr>
          <w:b/>
          <w:color w:val="000000"/>
          <w:sz w:val="36"/>
          <w:szCs w:val="36"/>
          <w:lang w:val="en-US"/>
        </w:rPr>
        <w:t>Effects of acute sucrose intake on performance in an operant conditioning task in an albino rat</w:t>
      </w:r>
    </w:p>
    <w:p w14:paraId="080D08B7" w14:textId="77777777" w:rsidR="00EC5AF6" w:rsidRPr="008A0B5F" w:rsidRDefault="00EC5AF6">
      <w:pPr>
        <w:rPr>
          <w:b/>
          <w:lang w:val="en-US"/>
        </w:rPr>
      </w:pPr>
    </w:p>
    <w:p w14:paraId="7714182D" w14:textId="77777777" w:rsidR="00EC5AF6" w:rsidRPr="008A0B5F" w:rsidRDefault="00EC5AF6">
      <w:pPr>
        <w:rPr>
          <w:i/>
          <w:sz w:val="28"/>
          <w:szCs w:val="28"/>
          <w:lang w:val="en-US"/>
        </w:rPr>
      </w:pPr>
    </w:p>
    <w:p w14:paraId="58F067AD" w14:textId="77777777" w:rsidR="00EC5AF6" w:rsidRPr="008A0B5F" w:rsidRDefault="00000000">
      <w:pPr>
        <w:rPr>
          <w:rFonts w:ascii="Times" w:eastAsia="Times" w:hAnsi="Times" w:cs="Times"/>
          <w:i/>
          <w:sz w:val="28"/>
          <w:szCs w:val="28"/>
          <w:lang w:val="en-US"/>
        </w:rPr>
      </w:pPr>
      <w:r>
        <w:rPr>
          <w:noProof/>
        </w:rPr>
        <mc:AlternateContent>
          <mc:Choice Requires="wps">
            <w:drawing>
              <wp:anchor distT="4294967295" distB="4294967295" distL="114300" distR="114300" simplePos="0" relativeHeight="251657216" behindDoc="0" locked="0" layoutInCell="1" hidden="0" allowOverlap="1" wp14:anchorId="354BFBF8" wp14:editId="34E2C1E4">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0A5CE1EA" id="_x0000_t32" coordsize="21600,21600" o:spt="32" o:oned="t" path="m,l21600,21600e" filled="f">
                <v:path arrowok="t" fillok="f" o:connecttype="none"/>
                <o:lock v:ext="edit" shapetype="t"/>
              </v:shapetype>
              <v:shape id="Conector recto de flecha 23" o:spid="_x0000_s1026" type="#_x0000_t32" style="position:absolute;margin-left:0;margin-top:4.4pt;width:486pt;height:2pt;z-index:2516572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" strokeweight="2pt">
                <v:stroke startarrowwidth="narrow" startarrowlength="short" endarrowwidth="narrow" endarrowlength="short"/>
              </v:shape>
            </w:pict>
          </mc:Fallback>
        </mc:AlternateContent>
      </w:r>
    </w:p>
    <w:p w14:paraId="19C63AAE" w14:textId="77777777" w:rsidR="00EC5AF6" w:rsidRPr="008A0B5F" w:rsidRDefault="00EC5AF6">
      <w:pPr>
        <w:rPr>
          <w:b/>
          <w:sz w:val="20"/>
          <w:szCs w:val="20"/>
          <w:lang w:val="en-US"/>
        </w:rPr>
      </w:pPr>
    </w:p>
    <w:p w14:paraId="64C5EF17" w14:textId="77777777" w:rsidR="00EC5AF6" w:rsidRDefault="00000000">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0AB070E0" w14:textId="77777777" w:rsidR="008A0B5F" w:rsidRPr="008A0B5F" w:rsidRDefault="008A0B5F" w:rsidP="008A0B5F">
      <w:pPr>
        <w:jc w:val="both"/>
        <w:rPr>
          <w:sz w:val="20"/>
          <w:szCs w:val="20"/>
          <w:lang w:val="en-US"/>
        </w:rPr>
      </w:pPr>
      <w:r w:rsidRPr="008A0B5F">
        <w:rPr>
          <w:sz w:val="20"/>
          <w:szCs w:val="20"/>
          <w:lang w:val="en-US"/>
        </w:rPr>
        <w:t xml:space="preserve">In recent decades, the global nutritional transition has highlighted excessive free sugar consumption as a factor capable of modulating brain function and learning processes. Given that sucrose acts as a behavioral reinforcer through activation of the </w:t>
      </w:r>
      <w:proofErr w:type="spellStart"/>
      <w:r w:rsidRPr="008A0B5F">
        <w:rPr>
          <w:sz w:val="20"/>
          <w:szCs w:val="20"/>
          <w:lang w:val="en-US"/>
        </w:rPr>
        <w:t>mesocorticolimbic</w:t>
      </w:r>
      <w:proofErr w:type="spellEnd"/>
      <w:r w:rsidRPr="008A0B5F">
        <w:rPr>
          <w:sz w:val="20"/>
          <w:szCs w:val="20"/>
          <w:lang w:val="en-US"/>
        </w:rPr>
        <w:t xml:space="preserve"> dopaminergic system, this study aimed to examine the effect of acute sucrose intake on performance in an operant conditioning task in an albino rat. An A–B–A within-subject reversal design was conducted with a male Wistar rat over 21 days. During the intervention phase, the subject consumed a 5.7% w/v sucrose solution (0.17 g in 2 mL of water) fifteen minutes prior to 45-minute operant chamber sessions. All experimental procedures were approved by the Ethics Committee of César Vallejo University. The results showed a significant increase in correct responses during the intervention compared to baseline (</w:t>
      </w:r>
      <w:proofErr w:type="gramStart"/>
      <w:r w:rsidRPr="008A0B5F">
        <w:rPr>
          <w:i/>
          <w:iCs/>
          <w:sz w:val="20"/>
          <w:szCs w:val="20"/>
          <w:lang w:val="en-US"/>
        </w:rPr>
        <w:t>t</w:t>
      </w:r>
      <w:r w:rsidRPr="008A0B5F">
        <w:rPr>
          <w:sz w:val="20"/>
          <w:szCs w:val="20"/>
          <w:lang w:val="en-US"/>
        </w:rPr>
        <w:t>(</w:t>
      </w:r>
      <w:proofErr w:type="gramEnd"/>
      <w:r w:rsidRPr="008A0B5F">
        <w:rPr>
          <w:sz w:val="20"/>
          <w:szCs w:val="20"/>
          <w:lang w:val="en-US"/>
        </w:rPr>
        <w:t xml:space="preserve">4) = −3.078, </w:t>
      </w:r>
      <w:r w:rsidRPr="008A0B5F">
        <w:rPr>
          <w:i/>
          <w:iCs/>
          <w:sz w:val="20"/>
          <w:szCs w:val="20"/>
          <w:lang w:val="en-US"/>
        </w:rPr>
        <w:t>p</w:t>
      </w:r>
      <w:r w:rsidRPr="008A0B5F">
        <w:rPr>
          <w:sz w:val="20"/>
          <w:szCs w:val="20"/>
          <w:lang w:val="en-US"/>
        </w:rPr>
        <w:t xml:space="preserve"> = .037). After the withdrawal of the stimulus, a significant reduction in errors was observed (</w:t>
      </w:r>
      <w:r w:rsidRPr="008A0B5F">
        <w:rPr>
          <w:i/>
          <w:iCs/>
          <w:sz w:val="20"/>
          <w:szCs w:val="20"/>
          <w:lang w:val="en-US"/>
        </w:rPr>
        <w:t>p</w:t>
      </w:r>
      <w:r w:rsidRPr="008A0B5F">
        <w:rPr>
          <w:sz w:val="20"/>
          <w:szCs w:val="20"/>
          <w:lang w:val="en-US"/>
        </w:rPr>
        <w:t xml:space="preserve"> = .03). These findings indicate that acute sucrose intake enhances immediate behavioral productivity and precision, suggesting that palatable reinforcers may facilitate habit consolidation even after removal of the incentive.</w:t>
      </w:r>
    </w:p>
    <w:p w14:paraId="6DB34C5E" w14:textId="77777777" w:rsidR="00EC5AF6" w:rsidRPr="008A0B5F" w:rsidRDefault="00EC5AF6">
      <w:pPr>
        <w:rPr>
          <w:sz w:val="20"/>
          <w:szCs w:val="20"/>
          <w:lang w:val="en-US"/>
        </w:rPr>
      </w:pPr>
    </w:p>
    <w:p w14:paraId="1285A3AB" w14:textId="77777777" w:rsidR="00EC5AF6" w:rsidRPr="008A0B5F" w:rsidRDefault="00000000">
      <w:pPr>
        <w:rPr>
          <w:b/>
          <w:sz w:val="20"/>
          <w:szCs w:val="20"/>
          <w:lang w:val="en-US"/>
        </w:rPr>
      </w:pPr>
      <w:r w:rsidRPr="008A0B5F">
        <w:rPr>
          <w:b/>
          <w:sz w:val="20"/>
          <w:szCs w:val="20"/>
          <w:lang w:val="en-US"/>
        </w:rPr>
        <w:t>Keywords</w:t>
      </w:r>
    </w:p>
    <w:p w14:paraId="2BE491CB" w14:textId="7A9425DD" w:rsidR="00EC5AF6" w:rsidRPr="008A0B5F" w:rsidRDefault="008A0B5F">
      <w:pPr>
        <w:jc w:val="both"/>
        <w:rPr>
          <w:sz w:val="20"/>
          <w:szCs w:val="20"/>
          <w:lang w:val="en-US"/>
        </w:rPr>
      </w:pPr>
      <w:r w:rsidRPr="008A0B5F">
        <w:rPr>
          <w:sz w:val="20"/>
          <w:szCs w:val="20"/>
          <w:lang w:val="en-US"/>
        </w:rPr>
        <w:t>o</w:t>
      </w:r>
      <w:r w:rsidRPr="008A0B5F">
        <w:rPr>
          <w:sz w:val="20"/>
          <w:szCs w:val="20"/>
          <w:lang w:val="en-US"/>
        </w:rPr>
        <w:t>perant conditioning, acute intake, Wistar rat, positive reinforcement, sucrose.</w:t>
      </w:r>
    </w:p>
    <w:p w14:paraId="7AB9D4D6" w14:textId="77777777" w:rsidR="00EC5AF6" w:rsidRPr="008A0B5F" w:rsidRDefault="00EC5AF6">
      <w:pPr>
        <w:jc w:val="both"/>
        <w:rPr>
          <w:sz w:val="20"/>
          <w:szCs w:val="20"/>
          <w:lang w:val="en-US"/>
        </w:rPr>
      </w:pPr>
    </w:p>
    <w:p w14:paraId="46270982" w14:textId="77777777" w:rsidR="00EC5AF6"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4EA2460C" w14:textId="1B4D945E" w:rsidR="008A0B5F" w:rsidRPr="008A0B5F" w:rsidRDefault="008A0B5F" w:rsidP="008A0B5F">
      <w:pPr>
        <w:jc w:val="both"/>
        <w:rPr>
          <w:sz w:val="20"/>
          <w:szCs w:val="20"/>
        </w:rPr>
      </w:pPr>
      <w:r w:rsidRPr="008A0B5F">
        <w:rPr>
          <w:sz w:val="20"/>
          <w:szCs w:val="20"/>
        </w:rPr>
        <w:t xml:space="preserve">En las últimas décadas, la transición nutricional ha posicionado al consumo excesivo de azúcares libres como un factor capaz de modular el funcionamiento cerebral y los procesos de aprendizaje. Dado que la sacarosa actúa como un reforzador conductual al activar el sistema dopaminérgico </w:t>
      </w:r>
      <w:proofErr w:type="spellStart"/>
      <w:r w:rsidRPr="008A0B5F">
        <w:rPr>
          <w:sz w:val="20"/>
          <w:szCs w:val="20"/>
        </w:rPr>
        <w:t>mesocorticolímbico</w:t>
      </w:r>
      <w:proofErr w:type="spellEnd"/>
      <w:r w:rsidRPr="008A0B5F">
        <w:rPr>
          <w:sz w:val="20"/>
          <w:szCs w:val="20"/>
        </w:rPr>
        <w:t xml:space="preserve">, este estudio tuvo como objetivo evaluar el efecto de la ingesta aguda de sacarosa sobre el desempeño en una tarea de condicionamiento operante en una rata albina. Se utilizó un diseño experimental </w:t>
      </w:r>
      <w:proofErr w:type="spellStart"/>
      <w:r w:rsidRPr="008A0B5F">
        <w:rPr>
          <w:sz w:val="20"/>
          <w:szCs w:val="20"/>
        </w:rPr>
        <w:t>intrasujeto</w:t>
      </w:r>
      <w:proofErr w:type="spellEnd"/>
      <w:r w:rsidRPr="008A0B5F">
        <w:rPr>
          <w:sz w:val="20"/>
          <w:szCs w:val="20"/>
        </w:rPr>
        <w:t xml:space="preserve"> de reversión A–B–A con un ejemplar macho de la cepa </w:t>
      </w:r>
      <w:proofErr w:type="spellStart"/>
      <w:r w:rsidRPr="008A0B5F">
        <w:rPr>
          <w:sz w:val="20"/>
          <w:szCs w:val="20"/>
        </w:rPr>
        <w:t>Wistar</w:t>
      </w:r>
      <w:proofErr w:type="spellEnd"/>
      <w:r w:rsidRPr="008A0B5F">
        <w:rPr>
          <w:sz w:val="20"/>
          <w:szCs w:val="20"/>
        </w:rPr>
        <w:t xml:space="preserve">, evaluado durante 21 días. En la fase de intervención, el sujeto consumió una solución de sacarosa al 5.7 % w/v (0.17 g en 2 </w:t>
      </w:r>
      <w:proofErr w:type="spellStart"/>
      <w:r w:rsidRPr="008A0B5F">
        <w:rPr>
          <w:sz w:val="20"/>
          <w:szCs w:val="20"/>
        </w:rPr>
        <w:t>mL</w:t>
      </w:r>
      <w:proofErr w:type="spellEnd"/>
      <w:r w:rsidRPr="008A0B5F">
        <w:rPr>
          <w:sz w:val="20"/>
          <w:szCs w:val="20"/>
        </w:rPr>
        <w:t xml:space="preserve"> de agua) quince minutos antes de sesiones de 45 minutos en cámara operante.</w:t>
      </w:r>
      <w:r>
        <w:rPr>
          <w:sz w:val="20"/>
          <w:szCs w:val="20"/>
        </w:rPr>
        <w:t xml:space="preserve"> </w:t>
      </w:r>
      <w:r w:rsidRPr="008A0B5F">
        <w:rPr>
          <w:sz w:val="20"/>
          <w:szCs w:val="20"/>
        </w:rPr>
        <w:t>Todo el procedimiento experimental fue aprobado por el Comité de Ética de la Universidad César Vallejo. Los resultados mostraron un incremento significativo de aciertos durante la intervención respecto a la línea base (</w:t>
      </w:r>
      <w:proofErr w:type="gramStart"/>
      <w:r w:rsidRPr="008A0B5F">
        <w:rPr>
          <w:i/>
          <w:iCs/>
          <w:sz w:val="20"/>
          <w:szCs w:val="20"/>
        </w:rPr>
        <w:t>t</w:t>
      </w:r>
      <w:r w:rsidRPr="008A0B5F">
        <w:rPr>
          <w:sz w:val="20"/>
          <w:szCs w:val="20"/>
        </w:rPr>
        <w:t>(</w:t>
      </w:r>
      <w:proofErr w:type="gramEnd"/>
      <w:r w:rsidRPr="008A0B5F">
        <w:rPr>
          <w:sz w:val="20"/>
          <w:szCs w:val="20"/>
        </w:rPr>
        <w:t>4) = −3.078, p = .037). Tras la retirada del estímulo, se observó una reducción significativa de errores (p = .03). Se concluye que la ingesta aguda de sacarosa potencia transitoriamente la precisión conductual y favorece la consolidación del hábito.</w:t>
      </w:r>
    </w:p>
    <w:p w14:paraId="7756218E" w14:textId="77777777" w:rsidR="00EC5AF6" w:rsidRDefault="00EC5AF6">
      <w:pPr>
        <w:rPr>
          <w:sz w:val="20"/>
          <w:szCs w:val="20"/>
        </w:rPr>
      </w:pPr>
    </w:p>
    <w:p w14:paraId="68B70D2F" w14:textId="77777777" w:rsidR="008A0B5F" w:rsidRDefault="00000000">
      <w:pPr>
        <w:jc w:val="both"/>
        <w:rPr>
          <w:b/>
          <w:sz w:val="20"/>
          <w:szCs w:val="20"/>
        </w:rPr>
      </w:pPr>
      <w:r>
        <w:rPr>
          <w:b/>
          <w:sz w:val="20"/>
          <w:szCs w:val="20"/>
        </w:rPr>
        <w:t>Palabras clave</w:t>
      </w:r>
    </w:p>
    <w:p w14:paraId="74767317" w14:textId="7AE97193" w:rsidR="00EC5AF6" w:rsidRPr="008A0B5F" w:rsidRDefault="008A0B5F">
      <w:pPr>
        <w:jc w:val="both"/>
        <w:rPr>
          <w:b/>
          <w:sz w:val="16"/>
          <w:szCs w:val="16"/>
        </w:rPr>
      </w:pPr>
      <w:r w:rsidRPr="008A0B5F">
        <w:rPr>
          <w:sz w:val="20"/>
          <w:szCs w:val="20"/>
        </w:rPr>
        <w:t xml:space="preserve">condicionamiento operante, ingesta aguda, rata </w:t>
      </w:r>
      <w:proofErr w:type="spellStart"/>
      <w:r w:rsidRPr="008A0B5F">
        <w:rPr>
          <w:sz w:val="20"/>
          <w:szCs w:val="20"/>
        </w:rPr>
        <w:t>Wistar</w:t>
      </w:r>
      <w:proofErr w:type="spellEnd"/>
      <w:r w:rsidRPr="008A0B5F">
        <w:rPr>
          <w:sz w:val="20"/>
          <w:szCs w:val="20"/>
        </w:rPr>
        <w:t>, refuerzo positivo, sacarosa.</w:t>
      </w:r>
    </w:p>
    <w:p w14:paraId="7F2A35E2" w14:textId="77777777" w:rsidR="00EC5AF6" w:rsidRDefault="00000000">
      <w:pPr>
        <w:jc w:val="both"/>
        <w:rPr>
          <w:sz w:val="20"/>
          <w:szCs w:val="20"/>
        </w:rPr>
      </w:pPr>
      <w:r>
        <w:rPr>
          <w:noProof/>
        </w:rPr>
        <w:drawing>
          <wp:anchor distT="0" distB="0" distL="114300" distR="114300" simplePos="0" relativeHeight="251658240" behindDoc="0" locked="0" layoutInCell="1" hidden="0" allowOverlap="1" wp14:anchorId="1AF93836" wp14:editId="7A3505F1">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11621B1C" w14:textId="77777777" w:rsidR="00EC5AF6" w:rsidRDefault="00EC5AF6">
      <w:pPr>
        <w:rPr>
          <w:b/>
        </w:rPr>
      </w:pPr>
    </w:p>
    <w:p w14:paraId="7BB6CC52" w14:textId="3D17E400" w:rsidR="00EC5AF6" w:rsidRDefault="00000000">
      <w:pPr>
        <w:pBdr>
          <w:top w:val="nil"/>
          <w:left w:val="nil"/>
          <w:bottom w:val="nil"/>
          <w:right w:val="nil"/>
          <w:between w:val="nil"/>
        </w:pBdr>
        <w:jc w:val="center"/>
        <w:rPr>
          <w:color w:val="000000"/>
        </w:rPr>
      </w:pPr>
      <w:r>
        <w:br w:type="page"/>
      </w:r>
      <w:r w:rsidR="008A0B5F" w:rsidRPr="008A0B5F">
        <w:rPr>
          <w:color w:val="000000"/>
        </w:rPr>
        <w:lastRenderedPageBreak/>
        <w:t>Efectos de la ingesta aguda de sacarosa sobre el desempeño en una tarea de condicionamiento operante en una rata albina</w:t>
      </w:r>
    </w:p>
    <w:p w14:paraId="6FD251CB" w14:textId="7298BA26" w:rsidR="008A0B5F" w:rsidRDefault="00000000" w:rsidP="008A0B5F">
      <w:pPr>
        <w:pBdr>
          <w:top w:val="nil"/>
          <w:left w:val="nil"/>
          <w:bottom w:val="nil"/>
          <w:right w:val="nil"/>
          <w:between w:val="nil"/>
        </w:pBdr>
        <w:jc w:val="center"/>
        <w:rPr>
          <w:b/>
          <w:color w:val="000000"/>
        </w:rPr>
      </w:pPr>
      <w:r>
        <w:rPr>
          <w:b/>
          <w:color w:val="000000"/>
        </w:rPr>
        <w:t>Introducción</w:t>
      </w:r>
    </w:p>
    <w:p w14:paraId="62DC904F" w14:textId="77777777" w:rsidR="008A0B5F" w:rsidRPr="004A63CC" w:rsidRDefault="008A0B5F" w:rsidP="008A0B5F">
      <w:pPr>
        <w:spacing w:line="360" w:lineRule="auto"/>
        <w:ind w:firstLine="720"/>
        <w:jc w:val="both"/>
      </w:pPr>
      <w:r w:rsidRPr="004A63CC">
        <w:t>En las últimas décadas, la transición nutricional global ha dado lugar a una modificación drástica en los patrones de consumo alimentario, caracterizada por la incorporación masiva de azúcares libres en la dieta cotidiana. Este fenómeno ha dejado de considerarse un simple hábito alimenticio para configurarse como un factor de riesgo crítico capaz de alterar de manera significativa el funcionamiento del cerebro, afectando procesos fundamentales como la memoria, la atención y el aprendizaje (Gillespie et al., 2023). En este sentido, la presente investigación, en correspondencia con el Objetivo de Desarrollo Sostenible tres de la Agenda 2030, busca profundizar en la comprensión del efecto de la sacarosa sobre el aprendizaje, partiendo de una problemática que supera lo estrictamente nutricional para situarse en el ámbito del desarrollo humano integral (Organización de las Naciones Unidas [ONU], 2023).</w:t>
      </w:r>
    </w:p>
    <w:p w14:paraId="429913F2" w14:textId="77777777" w:rsidR="008A0B5F" w:rsidRPr="004A63CC" w:rsidRDefault="008A0B5F" w:rsidP="008A0B5F">
      <w:pPr>
        <w:spacing w:line="360" w:lineRule="auto"/>
        <w:ind w:firstLine="720"/>
        <w:jc w:val="both"/>
      </w:pPr>
      <w:r w:rsidRPr="004A63CC">
        <w:t>La Organización Mundial de la Salud (OMS) ha establecido directrices claras al respecto, sugiriendo que la ingesta de azúcares libres no debe superar el cinco por ciento de las calarías diarias para obtener beneficios adicionales de salud; sin embargo, en regiones como América Latina, los promedios de consumo oscilan alarmantemente entre el nueve por ciento y el 15 % (</w:t>
      </w:r>
      <w:proofErr w:type="spellStart"/>
      <w:r w:rsidRPr="004A63CC">
        <w:t>Ivaturi</w:t>
      </w:r>
      <w:proofErr w:type="spellEnd"/>
      <w:r w:rsidRPr="004A63CC">
        <w:t xml:space="preserve"> et al., 2024). Esta disparidad evidencia un consumo sostenidamente alto, impulsado por la disponibilidad ubicua de sacarosa en alimentos </w:t>
      </w:r>
      <w:proofErr w:type="spellStart"/>
      <w:r w:rsidRPr="004A63CC">
        <w:t>ultraprocesados</w:t>
      </w:r>
      <w:proofErr w:type="spellEnd"/>
      <w:r w:rsidRPr="004A63CC">
        <w:t xml:space="preserve"> y bebidas azucaradas, cuyo uso a nivel mundial ha experimentado un incremento del 23 % desde 1990 (Lara-Castor et al., 2024). La exposición prolongada a estos niveles de azúcar no solo se asocia con enfermedades no transmisibles, sino que impacta directamente en las capacidades ejecutivas de los individuos.</w:t>
      </w:r>
    </w:p>
    <w:p w14:paraId="059EFE50" w14:textId="77777777" w:rsidR="008A0B5F" w:rsidRPr="004A63CC" w:rsidRDefault="008A0B5F" w:rsidP="008A0B5F">
      <w:pPr>
        <w:spacing w:line="360" w:lineRule="auto"/>
        <w:ind w:firstLine="720"/>
        <w:jc w:val="both"/>
      </w:pPr>
      <w:r w:rsidRPr="004A63CC">
        <w:t>En el contexto específico del Perú, la situación es particularmente preocupante y demanda una atención científica rigurosa. El consumo diario de azúcar alcanza un promedio de 106.4 g, lo que representa aproximadamente el 18 % de la ingesta calórica total, es decir, más del triple de lo recomendado por los organismos internacionales (</w:t>
      </w:r>
      <w:proofErr w:type="spellStart"/>
      <w:r w:rsidRPr="004A63CC">
        <w:t>Fisberg</w:t>
      </w:r>
      <w:proofErr w:type="spellEnd"/>
      <w:r w:rsidRPr="004A63CC">
        <w:t xml:space="preserve"> et al., 2018</w:t>
      </w:r>
      <w:r>
        <w:t xml:space="preserve">; </w:t>
      </w:r>
      <w:r w:rsidRPr="00102984">
        <w:t>Pineda, 2022</w:t>
      </w:r>
      <w:r w:rsidRPr="004A63CC">
        <w:t xml:space="preserve">). Esta tendencia se ha vinculado directamente con el aumento de disfunciones metabólicas, como la adiposidad excesiva y la diabetes tipo dos, pero también con el deterioro cognitivo leve observado en poblaciones jóvenes </w:t>
      </w:r>
      <w:r w:rsidRPr="00102984">
        <w:t xml:space="preserve">(Araujo </w:t>
      </w:r>
      <w:proofErr w:type="spellStart"/>
      <w:r w:rsidRPr="00102984">
        <w:t>Anticona</w:t>
      </w:r>
      <w:proofErr w:type="spellEnd"/>
      <w:r w:rsidRPr="00102984">
        <w:t xml:space="preserve"> et al., 2021; Obando Leiva &amp; Ortiz Luján, 2018; Veit et al., 2022; Veronese et al., 2017)</w:t>
      </w:r>
      <w:r>
        <w:t xml:space="preserve">. </w:t>
      </w:r>
      <w:r w:rsidRPr="004A63CC">
        <w:t>La literatura científica reciente sugiere que el exceso de azúcar no solo impacta la salud periférica, sino que induce cambios neurobiológicos permanentes que comprometen la plasticidad sináptica y la eficiencia de los procesos de aprendizaje.</w:t>
      </w:r>
    </w:p>
    <w:p w14:paraId="3F8EFCE8" w14:textId="77777777" w:rsidR="008A0B5F" w:rsidRDefault="008A0B5F" w:rsidP="008A0B5F">
      <w:pPr>
        <w:spacing w:line="360" w:lineRule="auto"/>
        <w:ind w:firstLine="720"/>
        <w:jc w:val="both"/>
      </w:pPr>
      <w:r w:rsidRPr="004A63CC">
        <w:lastRenderedPageBreak/>
        <w:t>Diversos estudios han demostrado que el consumo crónico de dietas ricas en sacarosa altera la función del hipocampo, una estructura cerebral clave para la consolidación de la memoria y la navegación espacial (Gillespie et al., 202</w:t>
      </w:r>
      <w:r>
        <w:t>3</w:t>
      </w:r>
      <w:r w:rsidRPr="004A63CC">
        <w:t xml:space="preserve">). Investigaciones en modelos murinos han revelado que el exceso de azúcar puede provocar estrés oxidativo y procesos </w:t>
      </w:r>
      <w:proofErr w:type="spellStart"/>
      <w:r w:rsidRPr="004A63CC">
        <w:t>neuroinflamatorios</w:t>
      </w:r>
      <w:proofErr w:type="spellEnd"/>
      <w:r w:rsidRPr="004A63CC">
        <w:t xml:space="preserve"> que resultan en un menor desempeño en tareas que requieren flexibilidad cognitiva y toma de decisiones (Li et al., 2023</w:t>
      </w:r>
      <w:r>
        <w:t>;</w:t>
      </w:r>
      <w:r w:rsidRPr="00696976">
        <w:rPr>
          <w:lang w:val="es-PE"/>
        </w:rPr>
        <w:t xml:space="preserve"> </w:t>
      </w:r>
      <w:proofErr w:type="spellStart"/>
      <w:r w:rsidRPr="00696976">
        <w:rPr>
          <w:lang w:val="es-PE"/>
        </w:rPr>
        <w:t>Kennard</w:t>
      </w:r>
      <w:proofErr w:type="spellEnd"/>
      <w:r w:rsidRPr="00696976">
        <w:t xml:space="preserve"> et al., 202</w:t>
      </w:r>
      <w:r>
        <w:t>1</w:t>
      </w:r>
      <w:r w:rsidRPr="00696976">
        <w:t>;</w:t>
      </w:r>
      <w:r>
        <w:t xml:space="preserve"> </w:t>
      </w:r>
      <w:r w:rsidRPr="00354972">
        <w:t>Milstein &amp; Ferris, 2021; Zhang et al., 2024).</w:t>
      </w:r>
      <w:r>
        <w:t xml:space="preserve"> </w:t>
      </w:r>
      <w:r w:rsidRPr="004A63CC">
        <w:t>Por ejemplo, se ha observado que ratas alimentadas con soluciones de sacarosa muestran dificultades significativas en pruebas de memoria de trabajo</w:t>
      </w:r>
      <w:r>
        <w:t xml:space="preserve"> y espaciales</w:t>
      </w:r>
      <w:r w:rsidRPr="004A63CC">
        <w:t>, lo que sugiere un impacto directo en la comunicación entre neuronas y en la síntesis de factores neurotróficos esenciales</w:t>
      </w:r>
      <w:r>
        <w:t xml:space="preserve"> (B</w:t>
      </w:r>
      <w:r w:rsidRPr="00354972">
        <w:t xml:space="preserve">eecher et al., 2021; </w:t>
      </w:r>
      <w:proofErr w:type="spellStart"/>
      <w:r w:rsidRPr="00354972">
        <w:t>Coirini</w:t>
      </w:r>
      <w:proofErr w:type="spellEnd"/>
      <w:r w:rsidRPr="00354972">
        <w:t xml:space="preserve"> et al., 2022; </w:t>
      </w:r>
      <w:proofErr w:type="spellStart"/>
      <w:r w:rsidRPr="00354972">
        <w:t>Hsu</w:t>
      </w:r>
      <w:proofErr w:type="spellEnd"/>
      <w:r w:rsidRPr="00354972">
        <w:t xml:space="preserve"> et al., 2015; </w:t>
      </w:r>
      <w:proofErr w:type="spellStart"/>
      <w:r w:rsidRPr="00354972">
        <w:t>Patkar</w:t>
      </w:r>
      <w:proofErr w:type="spellEnd"/>
      <w:r w:rsidRPr="00354972">
        <w:t xml:space="preserve"> et al. 2021; </w:t>
      </w:r>
      <w:proofErr w:type="spellStart"/>
      <w:r w:rsidRPr="00354972">
        <w:t>Reichelt</w:t>
      </w:r>
      <w:proofErr w:type="spellEnd"/>
      <w:r w:rsidRPr="00354972">
        <w:t xml:space="preserve"> et al., 2015;</w:t>
      </w:r>
      <w:r>
        <w:t xml:space="preserve"> </w:t>
      </w:r>
      <w:r w:rsidRPr="00407B17">
        <w:rPr>
          <w:lang w:val="es-PE"/>
        </w:rPr>
        <w:t>Tran</w:t>
      </w:r>
      <w:r w:rsidRPr="00407B17">
        <w:t xml:space="preserve"> et al., 2025,</w:t>
      </w:r>
      <w:r w:rsidRPr="00354972">
        <w:t xml:space="preserve"> Ye et al., 2011).</w:t>
      </w:r>
    </w:p>
    <w:p w14:paraId="6B8932CF" w14:textId="77777777" w:rsidR="008A0B5F" w:rsidRPr="004A63CC" w:rsidRDefault="008A0B5F" w:rsidP="008A0B5F">
      <w:pPr>
        <w:spacing w:line="360" w:lineRule="auto"/>
        <w:ind w:firstLine="720"/>
        <w:jc w:val="both"/>
      </w:pPr>
      <w:r w:rsidRPr="004A63CC">
        <w:t>Sin embargo, mientras que los efectos del consumo crónico están ampliamente documentados, existe un vacío significativo en el conocimiento sobre el impacto agudo de la sacarosa. La ingesta puntual o aguda podría actuar como un estímulo facilitador o, por el contrario, como un distractor en el desempeño motor y cognitivo inmediato (</w:t>
      </w:r>
      <w:proofErr w:type="spellStart"/>
      <w:r w:rsidRPr="004A63CC">
        <w:t>Kendig</w:t>
      </w:r>
      <w:proofErr w:type="spellEnd"/>
      <w:r w:rsidRPr="004A63CC">
        <w:t>, 2014). El estudio de las respuestas conductuales tras una sola exposición a la sacarosa es crucial para entender la dinámica de los sistemas de recompensa y su interacción con los procesos de aprendizaje operante. Es imperativo discernir si la estimulación inmediata por azúcar mejora la ejecución de una tarea por una vía motivacional o si genera una desestabilización en la precisión de la respuesta.</w:t>
      </w:r>
    </w:p>
    <w:p w14:paraId="096F29EF" w14:textId="77777777" w:rsidR="008A0B5F" w:rsidRPr="004A63CC" w:rsidRDefault="008A0B5F" w:rsidP="008A0B5F">
      <w:pPr>
        <w:spacing w:line="360" w:lineRule="auto"/>
        <w:ind w:firstLine="720"/>
        <w:jc w:val="both"/>
      </w:pPr>
      <w:r w:rsidRPr="004A63CC">
        <w:t xml:space="preserve">Desde una perspectiva teórica, esta investigación se sustenta en el modelo de la "adicción a la comida". Esta teoría postula que ciertos alimentos, especialmente aquellos con alta concentración de azúcar, poseen un potencial adictivo debido a su capacidad para activar el sistema dopaminérgico </w:t>
      </w:r>
      <w:proofErr w:type="spellStart"/>
      <w:r w:rsidRPr="004A63CC">
        <w:t>mesocorticolímbico</w:t>
      </w:r>
      <w:proofErr w:type="spellEnd"/>
      <w:r w:rsidRPr="004A63CC">
        <w:t xml:space="preserve"> (Santiago González, 2017). La ingesta de sacarosa desencadena una liberación de dopamina en el núcleo accumbens de forma análoga a la observada con drogas de abuso, lo que refuerza la conducta de búsqueda y consumo (</w:t>
      </w:r>
      <w:proofErr w:type="spellStart"/>
      <w:r w:rsidRPr="004A63CC">
        <w:t>Minnaard</w:t>
      </w:r>
      <w:proofErr w:type="spellEnd"/>
      <w:r w:rsidRPr="004A63CC">
        <w:t xml:space="preserve"> et al., 2022). Este mecanismo biológico sugiere que la sacarosa no solo funciona como un sustrato energético, sino como un potente modulador del comportamiento y de los umbrales de refuerzo.</w:t>
      </w:r>
    </w:p>
    <w:p w14:paraId="08A87DAF" w14:textId="77777777" w:rsidR="008A0B5F" w:rsidRPr="004A63CC" w:rsidRDefault="008A0B5F" w:rsidP="008A0B5F">
      <w:pPr>
        <w:spacing w:line="360" w:lineRule="auto"/>
        <w:ind w:firstLine="720"/>
        <w:jc w:val="both"/>
      </w:pPr>
      <w:r w:rsidRPr="004A63CC">
        <w:t xml:space="preserve">Complementariamente, el marco del condicionamiento operante propuesto por Skinner (1953) proporciona la base metodológica y conceptual para evaluar estas respuestas. En este paradigma, el comportamiento es moldeado y mantenido por sus consecuencias; la sacarosa actúa aquí como un reforzador primario de alta palatabilidad que incrementa la probabilidad de que una </w:t>
      </w:r>
      <w:r w:rsidRPr="004A63CC">
        <w:lastRenderedPageBreak/>
        <w:t>respuesta motora específica, como la presión de una palanca, se repita en el futuro. Por otro lado, la teoría del impulso de Hull (1943) permite interpretar cómo el estado motivacional del sujeto, influenciado por la ingesta previa de azúcar, afecta la fuerza del hábito y la ejecución conductual (</w:t>
      </w:r>
      <w:proofErr w:type="spellStart"/>
      <w:r w:rsidRPr="004A63CC">
        <w:t>Bandhu</w:t>
      </w:r>
      <w:proofErr w:type="spellEnd"/>
      <w:r w:rsidRPr="004A63CC">
        <w:t xml:space="preserve"> et al., 2024; Chen, 2023). La interacción entre el impulso generado por la privación y el valor de incentivo de la sacarosa determina la tasa de respuestas en el experimento</w:t>
      </w:r>
      <w:r>
        <w:t xml:space="preserve"> (</w:t>
      </w:r>
      <w:proofErr w:type="spellStart"/>
      <w:r w:rsidRPr="001C2661">
        <w:rPr>
          <w:lang w:val="es-PE"/>
        </w:rPr>
        <w:t>Dubljević</w:t>
      </w:r>
      <w:proofErr w:type="spellEnd"/>
      <w:r>
        <w:t xml:space="preserve"> et al., 2022; </w:t>
      </w:r>
      <w:r w:rsidRPr="001C2661">
        <w:rPr>
          <w:lang w:val="es-PE"/>
        </w:rPr>
        <w:t>Wei</w:t>
      </w:r>
      <w:r w:rsidRPr="001C2661">
        <w:t xml:space="preserve"> et al., 202</w:t>
      </w:r>
      <w:r>
        <w:t>1</w:t>
      </w:r>
      <w:r w:rsidRPr="001C2661">
        <w:t>)</w:t>
      </w:r>
      <w:r w:rsidRPr="004A63CC">
        <w:t>.</w:t>
      </w:r>
    </w:p>
    <w:p w14:paraId="42EA5D78" w14:textId="77777777" w:rsidR="008A0B5F" w:rsidRPr="004A63CC" w:rsidRDefault="008A0B5F" w:rsidP="008A0B5F">
      <w:pPr>
        <w:spacing w:line="360" w:lineRule="auto"/>
        <w:ind w:firstLine="720"/>
        <w:jc w:val="both"/>
      </w:pPr>
      <w:r w:rsidRPr="004A63CC">
        <w:t xml:space="preserve">El uso de modelos animales, específicamente la rata albina de la cepa </w:t>
      </w:r>
      <w:proofErr w:type="spellStart"/>
      <w:r w:rsidRPr="004A63CC">
        <w:t>Wistar</w:t>
      </w:r>
      <w:proofErr w:type="spellEnd"/>
      <w:r w:rsidRPr="004A63CC">
        <w:t xml:space="preserve"> (</w:t>
      </w:r>
      <w:proofErr w:type="spellStart"/>
      <w:r w:rsidRPr="004A63CC">
        <w:rPr>
          <w:i/>
          <w:iCs/>
        </w:rPr>
        <w:t>Rattus</w:t>
      </w:r>
      <w:proofErr w:type="spellEnd"/>
      <w:r w:rsidRPr="004A63CC">
        <w:rPr>
          <w:i/>
          <w:iCs/>
        </w:rPr>
        <w:t xml:space="preserve"> </w:t>
      </w:r>
      <w:proofErr w:type="spellStart"/>
      <w:r w:rsidRPr="004A63CC">
        <w:rPr>
          <w:i/>
          <w:iCs/>
        </w:rPr>
        <w:t>norvegicus</w:t>
      </w:r>
      <w:proofErr w:type="spellEnd"/>
      <w:r w:rsidRPr="004A63CC">
        <w:t>), resulta idóneo para estas investigaciones debido a las similitudes neuroanatómicas y neuroquímicas que comparten con los seres humanos en lo que respecta a los sistemas de recompensa y procesamiento de reforzadores (</w:t>
      </w:r>
      <w:proofErr w:type="spellStart"/>
      <w:r w:rsidRPr="00E40C01">
        <w:rPr>
          <w:lang w:val="es-PE"/>
        </w:rPr>
        <w:t>Krubaa</w:t>
      </w:r>
      <w:proofErr w:type="spellEnd"/>
      <w:r w:rsidRPr="00E40C01">
        <w:t xml:space="preserve"> </w:t>
      </w:r>
      <w:r w:rsidRPr="00E40C01">
        <w:rPr>
          <w:lang w:val="es-PE"/>
        </w:rPr>
        <w:t xml:space="preserve">&amp; </w:t>
      </w:r>
      <w:proofErr w:type="spellStart"/>
      <w:r w:rsidRPr="00E40C01">
        <w:rPr>
          <w:lang w:val="es-PE"/>
        </w:rPr>
        <w:t>Yogitha</w:t>
      </w:r>
      <w:proofErr w:type="spellEnd"/>
      <w:r w:rsidRPr="00E40C01">
        <w:rPr>
          <w:lang w:val="es-PE"/>
        </w:rPr>
        <w:t>,</w:t>
      </w:r>
      <w:r w:rsidRPr="00E40C01">
        <w:t xml:space="preserve"> </w:t>
      </w:r>
      <w:r w:rsidRPr="00E40C01">
        <w:rPr>
          <w:lang w:val="es-PE"/>
        </w:rPr>
        <w:t>2024</w:t>
      </w:r>
      <w:r w:rsidRPr="00E40C01">
        <w:t>;</w:t>
      </w:r>
      <w:r>
        <w:t xml:space="preserve"> </w:t>
      </w:r>
      <w:r w:rsidRPr="004A63CC">
        <w:t>Oliveira et al., 2022</w:t>
      </w:r>
      <w:r>
        <w:t xml:space="preserve">; </w:t>
      </w:r>
      <w:proofErr w:type="spellStart"/>
      <w:r w:rsidRPr="00E40C01">
        <w:rPr>
          <w:lang w:val="es-PE"/>
        </w:rPr>
        <w:t>Rautio</w:t>
      </w:r>
      <w:proofErr w:type="spellEnd"/>
      <w:r w:rsidRPr="00E40C01">
        <w:rPr>
          <w:lang w:val="es-PE"/>
        </w:rPr>
        <w:t xml:space="preserve"> et al.,</w:t>
      </w:r>
      <w:r w:rsidRPr="00E40C01">
        <w:t xml:space="preserve"> 2024</w:t>
      </w:r>
      <w:r w:rsidRPr="004A63CC">
        <w:t>). Los estudios murinos permiten un control experimental absoluto sobre las variables intervinientes, como la dosis exacta de sacarosa administrada, las horas de privación y las condiciones ambientales de la cámara operante, lo que facilita la observación de cambios sutiles en la tasa de aciertos y errores que serían difíciles de aislar en sujetos humanos</w:t>
      </w:r>
      <w:r>
        <w:t xml:space="preserve"> (</w:t>
      </w:r>
      <w:proofErr w:type="spellStart"/>
      <w:r w:rsidRPr="001C2661">
        <w:rPr>
          <w:lang w:val="es-PE"/>
        </w:rPr>
        <w:t>Domjan</w:t>
      </w:r>
      <w:proofErr w:type="spellEnd"/>
      <w:r w:rsidRPr="001C2661">
        <w:rPr>
          <w:lang w:val="es-PE"/>
        </w:rPr>
        <w:t xml:space="preserve">, 2018; </w:t>
      </w:r>
      <w:proofErr w:type="spellStart"/>
      <w:r>
        <w:t>Kendig</w:t>
      </w:r>
      <w:proofErr w:type="spellEnd"/>
      <w:r>
        <w:t xml:space="preserve"> et al., 2013; </w:t>
      </w:r>
      <w:proofErr w:type="spellStart"/>
      <w:r w:rsidRPr="001C2661">
        <w:rPr>
          <w:lang w:val="es-PE"/>
        </w:rPr>
        <w:t>Khajehnejad</w:t>
      </w:r>
      <w:proofErr w:type="spellEnd"/>
      <w:r w:rsidRPr="001C2661">
        <w:rPr>
          <w:lang w:val="es-PE"/>
        </w:rPr>
        <w:t xml:space="preserve"> &amp; Linder, 2022)</w:t>
      </w:r>
      <w:r w:rsidRPr="004A63CC">
        <w:t>.</w:t>
      </w:r>
    </w:p>
    <w:p w14:paraId="34109598" w14:textId="77777777" w:rsidR="008A0B5F" w:rsidRPr="004A63CC" w:rsidRDefault="008A0B5F" w:rsidP="008A0B5F">
      <w:pPr>
        <w:spacing w:line="360" w:lineRule="auto"/>
        <w:ind w:firstLine="720"/>
        <w:jc w:val="both"/>
      </w:pPr>
      <w:r w:rsidRPr="004A63CC">
        <w:t>En el presente experimento, se utiliza una tarea de presión de palanca bajo un programa de reforzamiento, la cual requiere no solo actividad motora, sino una discriminación precisa de los estímulos asociados al refuerzo</w:t>
      </w:r>
      <w:r>
        <w:t xml:space="preserve"> (</w:t>
      </w:r>
      <w:proofErr w:type="spellStart"/>
      <w:r w:rsidRPr="00354972">
        <w:rPr>
          <w:lang w:val="es-PE"/>
        </w:rPr>
        <w:t>Guttlein</w:t>
      </w:r>
      <w:proofErr w:type="spellEnd"/>
      <w:r w:rsidRPr="00354972">
        <w:rPr>
          <w:lang w:val="es-PE"/>
        </w:rPr>
        <w:t>,</w:t>
      </w:r>
      <w:r w:rsidRPr="00354972">
        <w:t xml:space="preserve"> et al., 2021</w:t>
      </w:r>
      <w:r>
        <w:t xml:space="preserve">; </w:t>
      </w:r>
      <w:proofErr w:type="spellStart"/>
      <w:r w:rsidRPr="005A6997">
        <w:rPr>
          <w:lang w:val="es-PE"/>
        </w:rPr>
        <w:t>Krasno</w:t>
      </w:r>
      <w:proofErr w:type="spellEnd"/>
      <w:r w:rsidRPr="005A6997">
        <w:rPr>
          <w:lang w:val="es-PE"/>
        </w:rPr>
        <w:t>, 2021</w:t>
      </w:r>
      <w:r w:rsidRPr="005A6997">
        <w:t xml:space="preserve">; </w:t>
      </w:r>
      <w:proofErr w:type="spellStart"/>
      <w:r w:rsidRPr="005A6997">
        <w:rPr>
          <w:lang w:val="es-PE"/>
        </w:rPr>
        <w:t>Nist</w:t>
      </w:r>
      <w:proofErr w:type="spellEnd"/>
      <w:r w:rsidRPr="005A6997">
        <w:rPr>
          <w:lang w:val="es-PE"/>
        </w:rPr>
        <w:t xml:space="preserve"> &amp; </w:t>
      </w:r>
      <w:proofErr w:type="spellStart"/>
      <w:r w:rsidRPr="005A6997">
        <w:rPr>
          <w:lang w:val="es-PE"/>
        </w:rPr>
        <w:t>Shahan</w:t>
      </w:r>
      <w:proofErr w:type="spellEnd"/>
      <w:r>
        <w:t>, 2021</w:t>
      </w:r>
      <w:r w:rsidRPr="00354972">
        <w:t>)</w:t>
      </w:r>
      <w:r w:rsidRPr="004A63CC">
        <w:t xml:space="preserve">. La literatura sugiere que la sacarosa puede actuar como un "combustible" cerebral rápido que mejora la velocidad de respuesta, pero también existe el riesgo de que la </w:t>
      </w:r>
      <w:proofErr w:type="spellStart"/>
      <w:r w:rsidRPr="004A63CC">
        <w:t>hiperexcitabilidad</w:t>
      </w:r>
      <w:proofErr w:type="spellEnd"/>
      <w:r w:rsidRPr="004A63CC">
        <w:t xml:space="preserve"> del sistema de recompensa provoque una pérdida de precisión conductual o un aumento en las respuestas impulsivas (</w:t>
      </w:r>
      <w:proofErr w:type="spellStart"/>
      <w:r w:rsidRPr="004F280D">
        <w:rPr>
          <w:lang w:val="es-PE"/>
        </w:rPr>
        <w:t>Garcez</w:t>
      </w:r>
      <w:proofErr w:type="spellEnd"/>
      <w:r w:rsidRPr="005A6997">
        <w:t xml:space="preserve"> </w:t>
      </w:r>
      <w:r>
        <w:t xml:space="preserve">et al., 2022; </w:t>
      </w:r>
      <w:proofErr w:type="spellStart"/>
      <w:r w:rsidRPr="005A6997">
        <w:rPr>
          <w:lang w:val="es-PE"/>
        </w:rPr>
        <w:t>Rehn</w:t>
      </w:r>
      <w:proofErr w:type="spellEnd"/>
      <w:r w:rsidRPr="005A6997">
        <w:t xml:space="preserve"> </w:t>
      </w:r>
      <w:r w:rsidRPr="005A6997">
        <w:rPr>
          <w:lang w:val="es-PE"/>
        </w:rPr>
        <w:t xml:space="preserve">&amp; </w:t>
      </w:r>
      <w:proofErr w:type="spellStart"/>
      <w:r w:rsidRPr="005A6997">
        <w:rPr>
          <w:lang w:val="es-PE"/>
        </w:rPr>
        <w:t>Boakes</w:t>
      </w:r>
      <w:proofErr w:type="spellEnd"/>
      <w:r w:rsidRPr="005A6997">
        <w:rPr>
          <w:lang w:val="es-PE"/>
        </w:rPr>
        <w:t>,</w:t>
      </w:r>
      <w:r w:rsidRPr="005A6997">
        <w:t xml:space="preserve"> </w:t>
      </w:r>
      <w:r w:rsidRPr="005A6997">
        <w:rPr>
          <w:lang w:val="es-PE"/>
        </w:rPr>
        <w:t>2019</w:t>
      </w:r>
      <w:r w:rsidRPr="005A6997">
        <w:t xml:space="preserve">; </w:t>
      </w:r>
      <w:r w:rsidRPr="004A63CC">
        <w:t>Wong et al., 2017). Analizar este balance es fundamental para comprender las implicaciones del consumo de azúcar en situaciones que requieren un alto desempeño ejecutivo.</w:t>
      </w:r>
    </w:p>
    <w:p w14:paraId="7B47A941" w14:textId="77777777" w:rsidR="008A0B5F" w:rsidRPr="004A63CC" w:rsidRDefault="008A0B5F" w:rsidP="008A0B5F">
      <w:pPr>
        <w:spacing w:line="360" w:lineRule="auto"/>
        <w:ind w:firstLine="720"/>
        <w:jc w:val="both"/>
      </w:pPr>
      <w:r w:rsidRPr="004A63CC">
        <w:t>En este escenario, la investigación plantea una interrogante fundamental: ¿cuál es el efecto de una dosis específica de sacarosa, administrada de forma aguda, sobre la precisión y la tasa de aciertos en una tarea previamente aprendida? Se hipotetiza que la ingesta aguda generará un estado de activación que incrementará inicialmente los aciertos, pero que el verdadero impacto en la estabilidad del aprendizaje se observará durante una fase de reversión, donde el retiro del estímulo permitirá identificar si existe una dependencia del reforzador para el mantenimiento de la conducta o si la huella de memoria persiste de forma autónoma.</w:t>
      </w:r>
    </w:p>
    <w:p w14:paraId="073515EF" w14:textId="77777777" w:rsidR="008A0B5F" w:rsidRDefault="008A0B5F" w:rsidP="008A0B5F">
      <w:pPr>
        <w:spacing w:line="360" w:lineRule="auto"/>
        <w:ind w:firstLine="720"/>
        <w:jc w:val="both"/>
      </w:pPr>
      <w:r w:rsidRPr="004A63CC">
        <w:lastRenderedPageBreak/>
        <w:t xml:space="preserve">Por todo lo expuesto, el objetivo general de este estudio es determinar el efecto de la ingesta aguda de sacarosa sobre el desempeño en una tarea de condicionamiento operante en una rata albina. De manera específica, se busca comparar la ejecución conductual entre una fase de línea base y una fase de intervención con administración de sacarosa al </w:t>
      </w:r>
      <w:r>
        <w:t>5.7</w:t>
      </w:r>
      <w:r w:rsidRPr="004A63CC">
        <w:t xml:space="preserve"> % </w:t>
      </w:r>
      <w:r w:rsidRPr="001F072C">
        <w:t>w/v</w:t>
      </w:r>
      <w:r w:rsidRPr="004A63CC">
        <w:t>, así como evaluar la persistencia de los efectos en una fase de reversión A-B-A. De esta manera, el estudio contribuye a la literatura científica sobre la modulación dietética del comportamiento, proporcionando datos empíricos sobre cómo los reforzadores inmediatos afectan la eficiencia en tareas de aprendizaje espacial y motor en un entorno controlado.</w:t>
      </w:r>
    </w:p>
    <w:p w14:paraId="4B354D1D" w14:textId="77777777" w:rsidR="008A0B5F" w:rsidRDefault="008A0B5F" w:rsidP="008A0B5F">
      <w:pPr>
        <w:pBdr>
          <w:top w:val="nil"/>
          <w:left w:val="nil"/>
          <w:bottom w:val="nil"/>
          <w:right w:val="nil"/>
          <w:between w:val="nil"/>
        </w:pBdr>
        <w:spacing w:line="360" w:lineRule="auto"/>
        <w:jc w:val="both"/>
        <w:rPr>
          <w:color w:val="000000"/>
        </w:rPr>
      </w:pPr>
    </w:p>
    <w:p w14:paraId="16C9916A" w14:textId="77777777" w:rsidR="00EC5AF6" w:rsidRDefault="00000000">
      <w:pPr>
        <w:pBdr>
          <w:top w:val="nil"/>
          <w:left w:val="nil"/>
          <w:bottom w:val="nil"/>
          <w:right w:val="nil"/>
          <w:between w:val="nil"/>
        </w:pBdr>
        <w:jc w:val="center"/>
        <w:rPr>
          <w:b/>
          <w:color w:val="000000"/>
        </w:rPr>
      </w:pPr>
      <w:r>
        <w:rPr>
          <w:b/>
          <w:color w:val="000000"/>
        </w:rPr>
        <w:t>Método</w:t>
      </w:r>
    </w:p>
    <w:p w14:paraId="199785F7" w14:textId="77777777" w:rsidR="00EC5AF6" w:rsidRDefault="00000000">
      <w:pPr>
        <w:pBdr>
          <w:top w:val="nil"/>
          <w:left w:val="nil"/>
          <w:bottom w:val="nil"/>
          <w:right w:val="nil"/>
          <w:between w:val="nil"/>
        </w:pBdr>
        <w:spacing w:line="360" w:lineRule="auto"/>
        <w:jc w:val="both"/>
        <w:rPr>
          <w:b/>
          <w:i/>
          <w:color w:val="000000"/>
        </w:rPr>
      </w:pPr>
      <w:r>
        <w:rPr>
          <w:b/>
          <w:i/>
          <w:color w:val="000000"/>
        </w:rPr>
        <w:t>Participantes</w:t>
      </w:r>
    </w:p>
    <w:p w14:paraId="406FF0DC" w14:textId="7E12D2A8" w:rsidR="008A0B5F" w:rsidRDefault="008A0B5F" w:rsidP="008A0B5F">
      <w:pPr>
        <w:spacing w:line="360" w:lineRule="auto"/>
        <w:ind w:firstLine="720"/>
        <w:jc w:val="both"/>
      </w:pPr>
      <w:r>
        <w:t>Se s</w:t>
      </w:r>
      <w:r w:rsidRPr="006C4977">
        <w:t xml:space="preserve">eleccionó un sujeto único, consistente en una rata albina macho de la cepa </w:t>
      </w:r>
      <w:proofErr w:type="spellStart"/>
      <w:r w:rsidRPr="006C4977">
        <w:t>Wistar</w:t>
      </w:r>
      <w:proofErr w:type="spellEnd"/>
      <w:r w:rsidRPr="006C4977">
        <w:t xml:space="preserve"> (</w:t>
      </w:r>
      <w:proofErr w:type="spellStart"/>
      <w:r w:rsidRPr="006C4977">
        <w:t>Rattus</w:t>
      </w:r>
      <w:proofErr w:type="spellEnd"/>
      <w:r w:rsidRPr="006C4977">
        <w:t xml:space="preserve"> </w:t>
      </w:r>
      <w:proofErr w:type="spellStart"/>
      <w:r w:rsidRPr="006C4977">
        <w:t>norvegicus</w:t>
      </w:r>
      <w:proofErr w:type="spellEnd"/>
      <w:r w:rsidRPr="006C4977">
        <w:t xml:space="preserve">). Al inicio del estudio, el espécimen presentaba una edad aproximada de tres meses y un peso corporal de </w:t>
      </w:r>
      <w:r>
        <w:t>170</w:t>
      </w:r>
      <w:r w:rsidRPr="006C4977">
        <w:t xml:space="preserve"> gramos. Con el fin de asegurar una motivación óptima para la ejecución de la tarea de condicionamiento operante, el sujeto fue sometido a un régimen de restricción alimenticia moderada, manteniendo su peso corporal alrededor del 85 % de su peso ad libitum. </w:t>
      </w:r>
    </w:p>
    <w:p w14:paraId="64FB23DA" w14:textId="2177EFC8" w:rsidR="00EC5AF6" w:rsidRDefault="00EC5AF6">
      <w:pPr>
        <w:pBdr>
          <w:top w:val="nil"/>
          <w:left w:val="nil"/>
          <w:bottom w:val="nil"/>
          <w:right w:val="nil"/>
          <w:between w:val="nil"/>
        </w:pBdr>
        <w:spacing w:line="360" w:lineRule="auto"/>
        <w:ind w:firstLine="708"/>
        <w:jc w:val="both"/>
        <w:rPr>
          <w:color w:val="000000"/>
        </w:rPr>
      </w:pPr>
    </w:p>
    <w:p w14:paraId="119B5B35" w14:textId="77777777" w:rsidR="00EC5AF6" w:rsidRDefault="00000000">
      <w:pPr>
        <w:pBdr>
          <w:top w:val="nil"/>
          <w:left w:val="nil"/>
          <w:bottom w:val="nil"/>
          <w:right w:val="nil"/>
          <w:between w:val="nil"/>
        </w:pBdr>
        <w:spacing w:line="360" w:lineRule="auto"/>
        <w:jc w:val="both"/>
        <w:rPr>
          <w:b/>
          <w:i/>
          <w:color w:val="000000"/>
        </w:rPr>
      </w:pPr>
      <w:r>
        <w:rPr>
          <w:b/>
          <w:i/>
          <w:color w:val="000000"/>
        </w:rPr>
        <w:t>Diseño</w:t>
      </w:r>
    </w:p>
    <w:p w14:paraId="5B35FB44" w14:textId="77777777" w:rsidR="008A0B5F" w:rsidRDefault="008A0B5F" w:rsidP="008A0B5F">
      <w:pPr>
        <w:spacing w:line="360" w:lineRule="auto"/>
        <w:ind w:firstLine="720"/>
        <w:jc w:val="both"/>
      </w:pPr>
      <w:r w:rsidRPr="004A63CC">
        <w:t xml:space="preserve">Se implementó un diseño experimental </w:t>
      </w:r>
      <w:proofErr w:type="spellStart"/>
      <w:r w:rsidRPr="004A63CC">
        <w:t>intrasujeto</w:t>
      </w:r>
      <w:proofErr w:type="spellEnd"/>
      <w:r w:rsidRPr="004A63CC">
        <w:t xml:space="preserve"> de reversión A-B-A, estructurado en tres fases consecutivas con una duración de una semana por fase, completando un ciclo total de 21 días. A diferencia de los protocolos de evaluación diaria, en el presente estudio se programaron únicamente tres sesiones por semana en cada fase. Estas sesiones se realizaron de manera intermitente, dejando un intervalo de separación de 48 horas entre cada una de ellas para permitir la estabilización de los niveles metabólicos del sujeto y evitar efectos de fatiga acumulada. En la Fase A1 o Línea Base, se registró la ejecución conductual sin manipulación dietética. Durante la Fase B o de Intervención, se administró la solución de sacarosa previo a las sesiones evaluativas. Finalmente, en la Fase A2 o de Reversión, se retiró el estímulo azucarado para evaluar la persistencia de la respuesta bajo las condiciones iniciales.</w:t>
      </w:r>
    </w:p>
    <w:p w14:paraId="1006C125" w14:textId="77B44E8A" w:rsidR="00EC5AF6" w:rsidRDefault="00EC5AF6">
      <w:pPr>
        <w:pBdr>
          <w:top w:val="nil"/>
          <w:left w:val="nil"/>
          <w:bottom w:val="nil"/>
          <w:right w:val="nil"/>
          <w:between w:val="nil"/>
        </w:pBdr>
        <w:spacing w:line="360" w:lineRule="auto"/>
        <w:ind w:firstLine="708"/>
        <w:jc w:val="both"/>
        <w:rPr>
          <w:color w:val="000000"/>
        </w:rPr>
      </w:pPr>
    </w:p>
    <w:p w14:paraId="6E2C6774" w14:textId="77777777" w:rsidR="00EC5AF6" w:rsidRDefault="00000000">
      <w:pPr>
        <w:pBdr>
          <w:top w:val="nil"/>
          <w:left w:val="nil"/>
          <w:bottom w:val="nil"/>
          <w:right w:val="nil"/>
          <w:between w:val="nil"/>
        </w:pBdr>
        <w:spacing w:line="360" w:lineRule="auto"/>
        <w:jc w:val="both"/>
        <w:rPr>
          <w:b/>
          <w:i/>
          <w:color w:val="000000"/>
        </w:rPr>
      </w:pPr>
      <w:r>
        <w:rPr>
          <w:b/>
          <w:i/>
          <w:color w:val="000000"/>
        </w:rPr>
        <w:t>Materiales</w:t>
      </w:r>
    </w:p>
    <w:p w14:paraId="7677D6D6" w14:textId="6983E945" w:rsidR="008A0B5F" w:rsidRPr="00933C21" w:rsidRDefault="008A0B5F" w:rsidP="008A0B5F">
      <w:pPr>
        <w:spacing w:line="360" w:lineRule="auto"/>
        <w:ind w:firstLine="720"/>
        <w:jc w:val="both"/>
      </w:pPr>
      <w:r w:rsidRPr="00933C21">
        <w:lastRenderedPageBreak/>
        <w:t>El sujeto fue alojado individualmente en una jaula de policarbonato estándar bajo condiciones ambientales controladas, manteniendo una temperatura constante de 22 °C (± 2 °C) y un ciclo de luz y oscuridad de 12 horas. El acceso al agua se mantuvo libre durante todo el experimento, salvo en los periodos de evaluación dentro de la cámara operante.</w:t>
      </w:r>
      <w:r>
        <w:t xml:space="preserve"> </w:t>
      </w:r>
      <w:r w:rsidRPr="00933C21">
        <w:t>Las sesiones experimentales se llevaron a cabo en una cámara de condicionamiento operante de dimensiones estándar (</w:t>
      </w:r>
      <w:r>
        <w:t>50</w:t>
      </w:r>
      <w:r w:rsidRPr="00933C21">
        <w:t xml:space="preserve"> cm x </w:t>
      </w:r>
      <w:r>
        <w:t xml:space="preserve">50 </w:t>
      </w:r>
      <w:r w:rsidRPr="00933C21">
        <w:t xml:space="preserve">cm x </w:t>
      </w:r>
      <w:r>
        <w:t>70</w:t>
      </w:r>
      <w:r w:rsidRPr="00933C21">
        <w:t xml:space="preserve"> cm). La cámara estaba equipada con una palanca retráctil de</w:t>
      </w:r>
      <w:r w:rsidRPr="00CE581F">
        <w:t xml:space="preserve"> madera recubierta de melamina</w:t>
      </w:r>
      <w:r>
        <w:rPr>
          <w:b/>
          <w:bCs/>
        </w:rPr>
        <w:t xml:space="preserve"> </w:t>
      </w:r>
      <w:r w:rsidRPr="00933C21">
        <w:t xml:space="preserve">situada a cinco centímetros por encima del suelo de rejilla, un dispensador de pellets mecánicos y un sistema de iluminación mediante diodos emisores de luz (LED) para la presentación de estímulos discriminativos. El control de los eventos experimentales y el registro automático de las respuestas se gestionó mediante </w:t>
      </w:r>
      <w:r>
        <w:t>el instrumento Registro</w:t>
      </w:r>
      <w:r w:rsidRPr="00CE581F">
        <w:t xml:space="preserve"> Activado por Transiciones</w:t>
      </w:r>
      <w:r>
        <w:t xml:space="preserve"> (</w:t>
      </w:r>
      <w:r w:rsidRPr="00CE581F">
        <w:t>RAT)</w:t>
      </w:r>
      <w:r w:rsidRPr="00D02DAF">
        <w:rPr>
          <w:lang w:val="es-PE"/>
        </w:rPr>
        <w:t xml:space="preserve"> (Anguera et al., 2018)</w:t>
      </w:r>
      <w:r>
        <w:t>.</w:t>
      </w:r>
      <w:r w:rsidRPr="00CB2663">
        <w:t xml:space="preserve"> Para cada sesión de intervención, se preparó una solución de sacarosa consistente en 0.17 g disueltos en </w:t>
      </w:r>
      <w:r>
        <w:t>2</w:t>
      </w:r>
      <w:r w:rsidRPr="00CB2663">
        <w:t xml:space="preserve"> </w:t>
      </w:r>
      <w:proofErr w:type="spellStart"/>
      <w:r w:rsidRPr="00CB2663">
        <w:t>mL</w:t>
      </w:r>
      <w:proofErr w:type="spellEnd"/>
      <w:r w:rsidRPr="00CB2663">
        <w:t xml:space="preserve"> de agua, correspondiente a una concentración aproximada del 5.7 % w/v.</w:t>
      </w:r>
      <w:r>
        <w:t xml:space="preserve"> </w:t>
      </w:r>
      <w:r w:rsidRPr="00933C21">
        <w:t xml:space="preserve">La administración de la dosis </w:t>
      </w:r>
      <w:r>
        <w:t>s</w:t>
      </w:r>
      <w:r w:rsidRPr="00933C21">
        <w:t>e realizó mediante un bebedero graduado de alta precisión, asegurando que el sujeto consumiera la totalidad de la solución antes de iniciar la tarea.</w:t>
      </w:r>
    </w:p>
    <w:p w14:paraId="3889C421" w14:textId="6E79B7F7" w:rsidR="00EC5AF6" w:rsidRDefault="00EC5AF6">
      <w:pPr>
        <w:pBdr>
          <w:top w:val="nil"/>
          <w:left w:val="nil"/>
          <w:bottom w:val="nil"/>
          <w:right w:val="nil"/>
          <w:between w:val="nil"/>
        </w:pBdr>
        <w:spacing w:line="360" w:lineRule="auto"/>
        <w:ind w:firstLine="708"/>
        <w:jc w:val="both"/>
        <w:rPr>
          <w:color w:val="000000"/>
        </w:rPr>
      </w:pPr>
    </w:p>
    <w:p w14:paraId="1835EA8D" w14:textId="77777777" w:rsidR="00EC5AF6" w:rsidRDefault="00000000">
      <w:pPr>
        <w:pBdr>
          <w:top w:val="nil"/>
          <w:left w:val="nil"/>
          <w:bottom w:val="nil"/>
          <w:right w:val="nil"/>
          <w:between w:val="nil"/>
        </w:pBdr>
        <w:spacing w:line="360" w:lineRule="auto"/>
        <w:jc w:val="both"/>
        <w:rPr>
          <w:b/>
          <w:i/>
          <w:color w:val="000000"/>
        </w:rPr>
      </w:pPr>
      <w:r>
        <w:rPr>
          <w:b/>
          <w:i/>
          <w:color w:val="000000"/>
        </w:rPr>
        <w:t>Procedimientos</w:t>
      </w:r>
    </w:p>
    <w:p w14:paraId="468DCFD0" w14:textId="6EC22B57" w:rsidR="008A0B5F" w:rsidRDefault="008A0B5F" w:rsidP="008A0B5F">
      <w:pPr>
        <w:spacing w:line="360" w:lineRule="auto"/>
        <w:ind w:firstLine="720"/>
        <w:jc w:val="both"/>
      </w:pPr>
      <w:r w:rsidRPr="004A63CC">
        <w:t xml:space="preserve">Tras un periodo de habituación y entrenamiento previo en un programa de reforzamiento continuo, se dio inicio a la recolección de datos. Las sesiones experimentales tuvieron una duración de </w:t>
      </w:r>
      <w:r>
        <w:t>cuarenta y cinco</w:t>
      </w:r>
      <w:r w:rsidRPr="004A63CC">
        <w:t xml:space="preserve"> minutos y se llevaron a cabo siempre a las </w:t>
      </w:r>
      <w:r>
        <w:t>18</w:t>
      </w:r>
      <w:r w:rsidRPr="004A63CC">
        <w:t>:00 h. Durante la Fase B, el procedimiento específico consistió en permitir la ingesta voluntaria de la dosis de sacarosa en una caja de transferencia diez minutos antes del inicio de la tarea operante. El intervalo de 48 horas entre sesiones aseguró que el impacto de la ingesta aguda pudiera ser aislado en cada ensayo. Se definieron operacionalmente dos variables dependientes: los aciertos, entendidos como las presiones de palanca ante el estímulo discriminativo, y los errores, que comprenden las respuestas emitidas en ausencia de dicho estímulo.</w:t>
      </w:r>
    </w:p>
    <w:p w14:paraId="6773DE6A" w14:textId="496A4956" w:rsidR="00EC5AF6" w:rsidRDefault="00EC5AF6" w:rsidP="00F35560">
      <w:pPr>
        <w:pBdr>
          <w:top w:val="nil"/>
          <w:left w:val="nil"/>
          <w:bottom w:val="nil"/>
          <w:right w:val="nil"/>
          <w:between w:val="nil"/>
        </w:pBdr>
        <w:spacing w:line="360" w:lineRule="auto"/>
        <w:jc w:val="both"/>
        <w:rPr>
          <w:color w:val="000000"/>
        </w:rPr>
      </w:pPr>
    </w:p>
    <w:p w14:paraId="5575F7A3" w14:textId="77777777" w:rsidR="00F35560" w:rsidRDefault="00000000" w:rsidP="00F35560">
      <w:pPr>
        <w:pBdr>
          <w:top w:val="nil"/>
          <w:left w:val="nil"/>
          <w:bottom w:val="nil"/>
          <w:right w:val="nil"/>
          <w:between w:val="nil"/>
        </w:pBdr>
        <w:spacing w:line="360" w:lineRule="auto"/>
        <w:jc w:val="both"/>
        <w:rPr>
          <w:b/>
          <w:i/>
          <w:color w:val="000000"/>
        </w:rPr>
      </w:pPr>
      <w:r>
        <w:rPr>
          <w:b/>
          <w:i/>
          <w:color w:val="000000"/>
        </w:rPr>
        <w:t>Análisis de los datos</w:t>
      </w:r>
    </w:p>
    <w:p w14:paraId="38EC0D85" w14:textId="0BB26268" w:rsidR="00F35560" w:rsidRPr="00F35560" w:rsidRDefault="00F35560" w:rsidP="00F35560">
      <w:pPr>
        <w:pBdr>
          <w:top w:val="nil"/>
          <w:left w:val="nil"/>
          <w:bottom w:val="nil"/>
          <w:right w:val="nil"/>
          <w:between w:val="nil"/>
        </w:pBdr>
        <w:spacing w:line="360" w:lineRule="auto"/>
        <w:ind w:firstLine="720"/>
        <w:jc w:val="both"/>
        <w:rPr>
          <w:b/>
          <w:i/>
          <w:color w:val="000000"/>
        </w:rPr>
      </w:pPr>
      <w:r w:rsidRPr="00D1739A">
        <w:t xml:space="preserve">Los datos fueron analizados mediante el paquete estadístico SPSS versión 26. En una primera etapa, la comparación de medias entre las fases A1, B y A2 se realizó mediante la prueba </w:t>
      </w:r>
      <w:r w:rsidRPr="00D1739A">
        <w:rPr>
          <w:i/>
          <w:iCs/>
        </w:rPr>
        <w:t>t</w:t>
      </w:r>
      <w:r w:rsidRPr="00D1739A">
        <w:t xml:space="preserve"> de </w:t>
      </w:r>
      <w:proofErr w:type="spellStart"/>
      <w:r w:rsidRPr="00D1739A">
        <w:t>Student</w:t>
      </w:r>
      <w:proofErr w:type="spellEnd"/>
      <w:r w:rsidRPr="00D1739A">
        <w:t xml:space="preserve"> para muestras relacionadas, verificando previamente el supuesto de normalidad. </w:t>
      </w:r>
      <w:r w:rsidRPr="00D1739A">
        <w:lastRenderedPageBreak/>
        <w:t xml:space="preserve">Posteriormente, se llevó a cabo un análisis de varianza (ANOVA) de un factor, considerando la fase experimental como variable independiente, con el fin de evaluar diferencias globales entre las condiciones. Cuando el ANOVA resultó significativo, se aplicaron comparaciones post hoc con corrección de Bonferroni. El nivel de significancia estadística se estableció en un valor de </w:t>
      </w:r>
      <w:r w:rsidRPr="00D1739A">
        <w:rPr>
          <w:i/>
          <w:iCs/>
        </w:rPr>
        <w:t>p</w:t>
      </w:r>
      <w:r w:rsidRPr="00D1739A">
        <w:t xml:space="preserve"> &lt; 0.05. Asimismo, se calcularon la media y la desviación estándar de los aciertos y errores por intervalos de tiempo para las tres sesiones correspondientes a cada fase. Finalmente, la representación gráfica de los resultados permitió observar la variabilidad del desempeño conductual a lo largo de las nueve sesiones totales del experimento.</w:t>
      </w:r>
    </w:p>
    <w:p w14:paraId="222BE128" w14:textId="52CF668E" w:rsidR="00EC5AF6" w:rsidRDefault="00EC5AF6">
      <w:pPr>
        <w:pBdr>
          <w:top w:val="nil"/>
          <w:left w:val="nil"/>
          <w:bottom w:val="nil"/>
          <w:right w:val="nil"/>
          <w:between w:val="nil"/>
        </w:pBdr>
        <w:spacing w:line="360" w:lineRule="auto"/>
        <w:ind w:firstLine="708"/>
        <w:jc w:val="both"/>
        <w:rPr>
          <w:color w:val="000000"/>
        </w:rPr>
      </w:pPr>
    </w:p>
    <w:p w14:paraId="086989FC" w14:textId="77777777" w:rsidR="00EC5AF6" w:rsidRDefault="00000000">
      <w:pPr>
        <w:pBdr>
          <w:top w:val="nil"/>
          <w:left w:val="nil"/>
          <w:bottom w:val="nil"/>
          <w:right w:val="nil"/>
          <w:between w:val="nil"/>
        </w:pBdr>
        <w:spacing w:line="360" w:lineRule="auto"/>
        <w:jc w:val="both"/>
        <w:rPr>
          <w:b/>
          <w:i/>
          <w:color w:val="000000"/>
        </w:rPr>
      </w:pPr>
      <w:r>
        <w:rPr>
          <w:b/>
          <w:i/>
          <w:color w:val="000000"/>
        </w:rPr>
        <w:t>Consideraciones éticas</w:t>
      </w:r>
    </w:p>
    <w:p w14:paraId="53DF42D7" w14:textId="73B37ABA" w:rsidR="00EC5AF6" w:rsidRDefault="00F35560" w:rsidP="00F35560">
      <w:pPr>
        <w:pBdr>
          <w:top w:val="nil"/>
          <w:left w:val="nil"/>
          <w:bottom w:val="nil"/>
          <w:right w:val="nil"/>
          <w:between w:val="nil"/>
        </w:pBdr>
        <w:spacing w:line="360" w:lineRule="auto"/>
        <w:ind w:firstLine="708"/>
        <w:jc w:val="both"/>
        <w:rPr>
          <w:color w:val="000000"/>
        </w:rPr>
      </w:pPr>
      <w:r w:rsidRPr="00F35560">
        <w:rPr>
          <w:color w:val="000000"/>
        </w:rPr>
        <w:t xml:space="preserve">Finalmente, el estudio se desarrolló conforme a los principios éticos generales que rigen la práctica científica y el bienestar del sujeto experimental (Asociación Americana de Psicología [APA], 2017), así como a la Declaración Universal de Principios Éticos para Psicólogas y Psicólogos (IAAP &amp; </w:t>
      </w:r>
      <w:proofErr w:type="spellStart"/>
      <w:r w:rsidRPr="00F35560">
        <w:rPr>
          <w:color w:val="000000"/>
        </w:rPr>
        <w:t>IUPsyS</w:t>
      </w:r>
      <w:proofErr w:type="spellEnd"/>
      <w:r w:rsidRPr="00F35560">
        <w:rPr>
          <w:color w:val="000000"/>
        </w:rPr>
        <w:t>, 2008). En concordancia con los lineamientos editoriales de la revista, se tomó como marco de referencia ético general las Pautas Éticas Internacionales para la Investigación Biomédica en Seres Humanos (CIOMS, OMS &amp; OPS, 2016), reconociendo que la presente investigación no involucró participantes humanos. Asimismo, se consideraron las declaraciones éticas vigentes de la Sociedad Interamericana de Psicología (SIP, 1978, 2008a, 2008b, 2014, 2016, 2018, 2019). El proyecto contó con la aprobación del Comité de Ética en Investigación de la Universidad César Vallejo (UCV, 2024).</w:t>
      </w:r>
    </w:p>
    <w:p w14:paraId="4ADB26C2" w14:textId="77777777" w:rsidR="00F35560" w:rsidRPr="00F35560" w:rsidRDefault="00F35560" w:rsidP="00F35560">
      <w:pPr>
        <w:pBdr>
          <w:top w:val="nil"/>
          <w:left w:val="nil"/>
          <w:bottom w:val="nil"/>
          <w:right w:val="nil"/>
          <w:between w:val="nil"/>
        </w:pBdr>
        <w:spacing w:line="360" w:lineRule="auto"/>
        <w:ind w:firstLine="708"/>
        <w:jc w:val="both"/>
      </w:pPr>
    </w:p>
    <w:p w14:paraId="18ECBFA3" w14:textId="6D7D8565" w:rsidR="00EC5AF6" w:rsidRPr="001F0A5E" w:rsidRDefault="00000000" w:rsidP="001F0A5E">
      <w:pPr>
        <w:pBdr>
          <w:top w:val="nil"/>
          <w:left w:val="nil"/>
          <w:bottom w:val="nil"/>
          <w:right w:val="nil"/>
          <w:between w:val="nil"/>
        </w:pBdr>
        <w:jc w:val="center"/>
        <w:rPr>
          <w:b/>
          <w:color w:val="000000"/>
        </w:rPr>
      </w:pPr>
      <w:r>
        <w:rPr>
          <w:b/>
          <w:color w:val="000000"/>
        </w:rPr>
        <w:t>Resultados</w:t>
      </w:r>
    </w:p>
    <w:p w14:paraId="10C05FA0" w14:textId="77777777" w:rsidR="00E4612C" w:rsidRPr="00E4612C" w:rsidRDefault="00E4612C" w:rsidP="00E4612C">
      <w:pPr>
        <w:pStyle w:val="Descripcin"/>
        <w:keepNext/>
        <w:spacing w:before="120" w:after="120"/>
        <w:jc w:val="both"/>
        <w:rPr>
          <w:rFonts w:ascii="Times New Roman" w:hAnsi="Times New Roman" w:cs="Times New Roman"/>
          <w:b/>
          <w:bCs/>
          <w:i w:val="0"/>
          <w:iCs w:val="0"/>
          <w:color w:val="auto"/>
          <w:sz w:val="22"/>
          <w:szCs w:val="22"/>
        </w:rPr>
      </w:pPr>
      <w:bookmarkStart w:id="0" w:name="_Toc216018867"/>
      <w:r w:rsidRPr="00E4612C">
        <w:rPr>
          <w:rFonts w:ascii="Times New Roman" w:hAnsi="Times New Roman" w:cs="Times New Roman"/>
          <w:b/>
          <w:bCs/>
          <w:i w:val="0"/>
          <w:iCs w:val="0"/>
          <w:color w:val="auto"/>
          <w:sz w:val="22"/>
          <w:szCs w:val="22"/>
        </w:rPr>
        <w:t xml:space="preserve">Tabla </w:t>
      </w:r>
      <w:r w:rsidRPr="00E4612C">
        <w:rPr>
          <w:rFonts w:ascii="Times New Roman" w:hAnsi="Times New Roman" w:cs="Times New Roman"/>
          <w:b/>
          <w:bCs/>
          <w:i w:val="0"/>
          <w:iCs w:val="0"/>
          <w:color w:val="auto"/>
          <w:sz w:val="22"/>
          <w:szCs w:val="22"/>
        </w:rPr>
        <w:fldChar w:fldCharType="begin"/>
      </w:r>
      <w:r w:rsidRPr="00E4612C">
        <w:rPr>
          <w:rFonts w:ascii="Times New Roman" w:hAnsi="Times New Roman" w:cs="Times New Roman"/>
          <w:b/>
          <w:bCs/>
          <w:i w:val="0"/>
          <w:iCs w:val="0"/>
          <w:color w:val="auto"/>
          <w:sz w:val="22"/>
          <w:szCs w:val="22"/>
        </w:rPr>
        <w:instrText xml:space="preserve"> SEQ Tabla \* ARABIC </w:instrText>
      </w:r>
      <w:r w:rsidRPr="00E4612C">
        <w:rPr>
          <w:rFonts w:ascii="Times New Roman" w:hAnsi="Times New Roman" w:cs="Times New Roman"/>
          <w:b/>
          <w:bCs/>
          <w:i w:val="0"/>
          <w:iCs w:val="0"/>
          <w:color w:val="auto"/>
          <w:sz w:val="22"/>
          <w:szCs w:val="22"/>
        </w:rPr>
        <w:fldChar w:fldCharType="separate"/>
      </w:r>
      <w:r w:rsidRPr="00E4612C">
        <w:rPr>
          <w:rFonts w:ascii="Times New Roman" w:hAnsi="Times New Roman" w:cs="Times New Roman"/>
          <w:b/>
          <w:bCs/>
          <w:i w:val="0"/>
          <w:iCs w:val="0"/>
          <w:noProof/>
          <w:color w:val="auto"/>
          <w:sz w:val="22"/>
          <w:szCs w:val="22"/>
        </w:rPr>
        <w:t>1</w:t>
      </w:r>
      <w:r w:rsidRPr="00E4612C">
        <w:rPr>
          <w:rFonts w:ascii="Times New Roman" w:hAnsi="Times New Roman" w:cs="Times New Roman"/>
          <w:b/>
          <w:bCs/>
          <w:i w:val="0"/>
          <w:iCs w:val="0"/>
          <w:color w:val="auto"/>
          <w:sz w:val="22"/>
          <w:szCs w:val="22"/>
        </w:rPr>
        <w:fldChar w:fldCharType="end"/>
      </w:r>
      <w:bookmarkEnd w:id="0"/>
    </w:p>
    <w:p w14:paraId="3F212A3B" w14:textId="77777777" w:rsidR="00E4612C" w:rsidRPr="00E4612C" w:rsidRDefault="00E4612C" w:rsidP="00E4612C">
      <w:pPr>
        <w:pStyle w:val="Descripcin"/>
        <w:keepNext/>
        <w:spacing w:before="240" w:after="120"/>
        <w:rPr>
          <w:rFonts w:ascii="Times New Roman" w:hAnsi="Times New Roman" w:cs="Times New Roman"/>
          <w:b/>
          <w:bCs/>
          <w:i w:val="0"/>
          <w:iCs w:val="0"/>
          <w:color w:val="auto"/>
          <w:sz w:val="22"/>
          <w:szCs w:val="22"/>
        </w:rPr>
      </w:pPr>
      <w:r w:rsidRPr="00E4612C">
        <w:rPr>
          <w:rFonts w:ascii="Times New Roman" w:hAnsi="Times New Roman" w:cs="Times New Roman"/>
          <w:color w:val="auto"/>
          <w:sz w:val="22"/>
          <w:szCs w:val="22"/>
        </w:rPr>
        <w:t>Diferencias en Aciertos y Errores entre las Fases de Línea Base (A</w:t>
      </w:r>
      <w:r w:rsidRPr="00E4612C">
        <w:rPr>
          <w:rFonts w:ascii="Times New Roman" w:hAnsi="Times New Roman" w:cs="Times New Roman"/>
          <w:color w:val="auto"/>
          <w:sz w:val="22"/>
          <w:szCs w:val="22"/>
          <w:vertAlign w:val="subscript"/>
        </w:rPr>
        <w:t>1</w:t>
      </w:r>
      <w:r w:rsidRPr="00E4612C">
        <w:rPr>
          <w:rFonts w:ascii="Times New Roman" w:hAnsi="Times New Roman" w:cs="Times New Roman"/>
          <w:color w:val="auto"/>
          <w:sz w:val="22"/>
          <w:szCs w:val="22"/>
        </w:rPr>
        <w:t>) e Intervención (B)</w:t>
      </w:r>
    </w:p>
    <w:tbl>
      <w:tblPr>
        <w:tblStyle w:val="APA7MA"/>
        <w:tblW w:w="9392" w:type="dxa"/>
        <w:tblLook w:val="04A0" w:firstRow="1" w:lastRow="0" w:firstColumn="1" w:lastColumn="0" w:noHBand="0" w:noVBand="1"/>
      </w:tblPr>
      <w:tblGrid>
        <w:gridCol w:w="1075"/>
        <w:gridCol w:w="1294"/>
        <w:gridCol w:w="388"/>
        <w:gridCol w:w="1073"/>
        <w:gridCol w:w="1799"/>
        <w:gridCol w:w="1826"/>
        <w:gridCol w:w="1937"/>
      </w:tblGrid>
      <w:tr w:rsidR="00E4612C" w:rsidRPr="00E4612C" w14:paraId="179DF877" w14:textId="77777777" w:rsidTr="00ED5C08">
        <w:trPr>
          <w:cnfStyle w:val="100000000000" w:firstRow="1" w:lastRow="0" w:firstColumn="0" w:lastColumn="0" w:oddVBand="0" w:evenVBand="0" w:oddHBand="0" w:evenHBand="0" w:firstRowFirstColumn="0" w:firstRowLastColumn="0" w:lastRowFirstColumn="0" w:lastRowLastColumn="0"/>
          <w:trHeight w:val="676"/>
        </w:trPr>
        <w:tc>
          <w:tcPr>
            <w:tcW w:w="1075" w:type="dxa"/>
            <w:hideMark/>
          </w:tcPr>
          <w:p w14:paraId="765E009B"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Variable</w:t>
            </w:r>
          </w:p>
        </w:tc>
        <w:tc>
          <w:tcPr>
            <w:tcW w:w="1294" w:type="dxa"/>
            <w:hideMark/>
          </w:tcPr>
          <w:p w14:paraId="0F4A3F16" w14:textId="77777777" w:rsidR="00E4612C" w:rsidRPr="00E4612C" w:rsidRDefault="00E4612C" w:rsidP="00E4612C">
            <w:pPr>
              <w:spacing w:before="120" w:after="120" w:line="240" w:lineRule="auto"/>
              <w:jc w:val="center"/>
              <w:rPr>
                <w:i/>
                <w:iCs/>
                <w:color w:val="1F1F1F"/>
                <w:kern w:val="0"/>
                <w:sz w:val="22"/>
                <w:lang w:eastAsia="es-PE"/>
                <w14:ligatures w14:val="none"/>
              </w:rPr>
            </w:pPr>
            <w:r w:rsidRPr="00E4612C">
              <w:rPr>
                <w:i/>
                <w:iCs/>
                <w:color w:val="1F1F1F"/>
                <w:kern w:val="0"/>
                <w:sz w:val="22"/>
                <w:lang w:eastAsia="es-PE"/>
                <w14:ligatures w14:val="none"/>
              </w:rPr>
              <w:t>t</w:t>
            </w:r>
          </w:p>
        </w:tc>
        <w:tc>
          <w:tcPr>
            <w:tcW w:w="0" w:type="auto"/>
            <w:hideMark/>
          </w:tcPr>
          <w:p w14:paraId="2E62DD60" w14:textId="77777777" w:rsidR="00E4612C" w:rsidRPr="00E4612C" w:rsidRDefault="00E4612C" w:rsidP="00E4612C">
            <w:pPr>
              <w:spacing w:before="120" w:after="120" w:line="240" w:lineRule="auto"/>
              <w:jc w:val="center"/>
              <w:rPr>
                <w:i/>
                <w:iCs/>
                <w:color w:val="1F1F1F"/>
                <w:kern w:val="0"/>
                <w:sz w:val="22"/>
                <w:lang w:eastAsia="es-PE"/>
                <w14:ligatures w14:val="none"/>
              </w:rPr>
            </w:pPr>
            <w:proofErr w:type="spellStart"/>
            <w:r w:rsidRPr="00E4612C">
              <w:rPr>
                <w:i/>
                <w:iCs/>
                <w:color w:val="1F1F1F"/>
                <w:kern w:val="0"/>
                <w:sz w:val="22"/>
                <w:lang w:eastAsia="es-PE"/>
                <w14:ligatures w14:val="none"/>
              </w:rPr>
              <w:t>gl</w:t>
            </w:r>
            <w:proofErr w:type="spellEnd"/>
          </w:p>
        </w:tc>
        <w:tc>
          <w:tcPr>
            <w:tcW w:w="1073" w:type="dxa"/>
            <w:hideMark/>
          </w:tcPr>
          <w:p w14:paraId="21D37010" w14:textId="77777777" w:rsidR="00E4612C" w:rsidRPr="00E4612C" w:rsidRDefault="00E4612C" w:rsidP="00E4612C">
            <w:pPr>
              <w:spacing w:before="120" w:after="120" w:line="240" w:lineRule="auto"/>
              <w:jc w:val="center"/>
              <w:rPr>
                <w:i/>
                <w:iCs/>
                <w:color w:val="1F1F1F"/>
                <w:kern w:val="0"/>
                <w:sz w:val="22"/>
                <w:lang w:eastAsia="es-PE"/>
                <w14:ligatures w14:val="none"/>
              </w:rPr>
            </w:pPr>
            <w:r w:rsidRPr="00E4612C">
              <w:rPr>
                <w:i/>
                <w:iCs/>
                <w:color w:val="1F1F1F"/>
                <w:kern w:val="0"/>
                <w:sz w:val="22"/>
                <w:lang w:eastAsia="es-PE"/>
                <w14:ligatures w14:val="none"/>
              </w:rPr>
              <w:t>p</w:t>
            </w:r>
          </w:p>
        </w:tc>
        <w:tc>
          <w:tcPr>
            <w:tcW w:w="0" w:type="auto"/>
            <w:hideMark/>
          </w:tcPr>
          <w:p w14:paraId="477ED487"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Diferencia de medias</w:t>
            </w:r>
          </w:p>
        </w:tc>
        <w:tc>
          <w:tcPr>
            <w:tcW w:w="1826" w:type="dxa"/>
            <w:hideMark/>
          </w:tcPr>
          <w:p w14:paraId="67AC1A27" w14:textId="77777777" w:rsidR="00E4612C" w:rsidRPr="00E4612C" w:rsidRDefault="00E4612C" w:rsidP="00E4612C">
            <w:pPr>
              <w:spacing w:before="120" w:after="120" w:line="240" w:lineRule="auto"/>
              <w:ind w:left="122" w:hanging="122"/>
              <w:jc w:val="center"/>
              <w:rPr>
                <w:color w:val="1F1F1F"/>
                <w:kern w:val="0"/>
                <w:sz w:val="22"/>
                <w:lang w:eastAsia="es-PE"/>
                <w14:ligatures w14:val="none"/>
              </w:rPr>
            </w:pPr>
            <w:r w:rsidRPr="00E4612C">
              <w:rPr>
                <w:color w:val="1F1F1F"/>
                <w:kern w:val="0"/>
                <w:sz w:val="22"/>
                <w:lang w:eastAsia="es-PE"/>
                <w14:ligatures w14:val="none"/>
              </w:rPr>
              <w:t>Error estándar de la diferencia</w:t>
            </w:r>
          </w:p>
        </w:tc>
        <w:tc>
          <w:tcPr>
            <w:tcW w:w="0" w:type="auto"/>
            <w:hideMark/>
          </w:tcPr>
          <w:p w14:paraId="50744593"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95% IC de la diferencia</w:t>
            </w:r>
          </w:p>
        </w:tc>
      </w:tr>
      <w:tr w:rsidR="00E4612C" w:rsidRPr="00E4612C" w14:paraId="2C70EEB6" w14:textId="77777777" w:rsidTr="00EE493E">
        <w:trPr>
          <w:trHeight w:val="633"/>
        </w:trPr>
        <w:tc>
          <w:tcPr>
            <w:tcW w:w="1075" w:type="dxa"/>
            <w:hideMark/>
          </w:tcPr>
          <w:p w14:paraId="22519B77" w14:textId="77777777" w:rsidR="00E4612C" w:rsidRPr="00E4612C" w:rsidRDefault="00E4612C" w:rsidP="00E4612C">
            <w:pPr>
              <w:spacing w:before="120" w:after="120" w:line="240" w:lineRule="auto"/>
              <w:rPr>
                <w:color w:val="1F1F1F"/>
                <w:kern w:val="0"/>
                <w:sz w:val="22"/>
                <w:lang w:eastAsia="es-PE"/>
                <w14:ligatures w14:val="none"/>
              </w:rPr>
            </w:pPr>
            <w:r w:rsidRPr="00E4612C">
              <w:rPr>
                <w:color w:val="1F1F1F"/>
                <w:kern w:val="0"/>
                <w:sz w:val="22"/>
                <w:lang w:eastAsia="es-PE"/>
                <w14:ligatures w14:val="none"/>
              </w:rPr>
              <w:t>Aciertos</w:t>
            </w:r>
          </w:p>
        </w:tc>
        <w:tc>
          <w:tcPr>
            <w:tcW w:w="1294" w:type="dxa"/>
            <w:hideMark/>
          </w:tcPr>
          <w:p w14:paraId="2FC5DA7B"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-3.078</w:t>
            </w:r>
          </w:p>
        </w:tc>
        <w:tc>
          <w:tcPr>
            <w:tcW w:w="0" w:type="auto"/>
            <w:hideMark/>
          </w:tcPr>
          <w:p w14:paraId="545B67A4"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4</w:t>
            </w:r>
          </w:p>
        </w:tc>
        <w:tc>
          <w:tcPr>
            <w:tcW w:w="1073" w:type="dxa"/>
            <w:hideMark/>
          </w:tcPr>
          <w:p w14:paraId="51A3D8F1"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0.037</w:t>
            </w:r>
          </w:p>
        </w:tc>
        <w:tc>
          <w:tcPr>
            <w:tcW w:w="0" w:type="auto"/>
            <w:hideMark/>
          </w:tcPr>
          <w:p w14:paraId="15C671A4"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-18.67</w:t>
            </w:r>
          </w:p>
        </w:tc>
        <w:tc>
          <w:tcPr>
            <w:tcW w:w="1826" w:type="dxa"/>
            <w:hideMark/>
          </w:tcPr>
          <w:p w14:paraId="79025D1E"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6.06</w:t>
            </w:r>
          </w:p>
        </w:tc>
        <w:tc>
          <w:tcPr>
            <w:tcW w:w="0" w:type="auto"/>
            <w:hideMark/>
          </w:tcPr>
          <w:p w14:paraId="6ABB3F1B"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[-35.504, -1.829]</w:t>
            </w:r>
          </w:p>
        </w:tc>
      </w:tr>
      <w:tr w:rsidR="00E4612C" w:rsidRPr="00E4612C" w14:paraId="3E53061F" w14:textId="77777777" w:rsidTr="00ED5C08">
        <w:trPr>
          <w:trHeight w:val="423"/>
        </w:trPr>
        <w:tc>
          <w:tcPr>
            <w:tcW w:w="1075" w:type="dxa"/>
            <w:hideMark/>
          </w:tcPr>
          <w:p w14:paraId="03829848" w14:textId="77777777" w:rsidR="00E4612C" w:rsidRPr="00E4612C" w:rsidRDefault="00E4612C" w:rsidP="00E4612C">
            <w:pPr>
              <w:spacing w:before="120" w:after="120" w:line="240" w:lineRule="auto"/>
              <w:rPr>
                <w:color w:val="1F1F1F"/>
                <w:kern w:val="0"/>
                <w:sz w:val="22"/>
                <w:lang w:eastAsia="es-PE"/>
                <w14:ligatures w14:val="none"/>
              </w:rPr>
            </w:pPr>
            <w:r w:rsidRPr="00E4612C">
              <w:rPr>
                <w:color w:val="1F1F1F"/>
                <w:kern w:val="0"/>
                <w:sz w:val="22"/>
                <w:lang w:eastAsia="es-PE"/>
                <w14:ligatures w14:val="none"/>
              </w:rPr>
              <w:t>Errores</w:t>
            </w:r>
          </w:p>
        </w:tc>
        <w:tc>
          <w:tcPr>
            <w:tcW w:w="1294" w:type="dxa"/>
            <w:hideMark/>
          </w:tcPr>
          <w:p w14:paraId="4418C5AB"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0.69</w:t>
            </w:r>
          </w:p>
        </w:tc>
        <w:tc>
          <w:tcPr>
            <w:tcW w:w="0" w:type="auto"/>
            <w:hideMark/>
          </w:tcPr>
          <w:p w14:paraId="0563FDDA"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4</w:t>
            </w:r>
          </w:p>
        </w:tc>
        <w:tc>
          <w:tcPr>
            <w:tcW w:w="1073" w:type="dxa"/>
            <w:hideMark/>
          </w:tcPr>
          <w:p w14:paraId="680E47AB"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0.528</w:t>
            </w:r>
          </w:p>
        </w:tc>
        <w:tc>
          <w:tcPr>
            <w:tcW w:w="0" w:type="auto"/>
            <w:hideMark/>
          </w:tcPr>
          <w:p w14:paraId="06E06329"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5.67</w:t>
            </w:r>
          </w:p>
        </w:tc>
        <w:tc>
          <w:tcPr>
            <w:tcW w:w="1826" w:type="dxa"/>
            <w:hideMark/>
          </w:tcPr>
          <w:p w14:paraId="6948CEEB"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8.21</w:t>
            </w:r>
          </w:p>
        </w:tc>
        <w:tc>
          <w:tcPr>
            <w:tcW w:w="0" w:type="auto"/>
            <w:hideMark/>
          </w:tcPr>
          <w:p w14:paraId="293701F6" w14:textId="77777777" w:rsidR="00E4612C" w:rsidRPr="00E4612C" w:rsidRDefault="00E4612C" w:rsidP="00E4612C">
            <w:pPr>
              <w:spacing w:before="120" w:after="120" w:line="240" w:lineRule="auto"/>
              <w:jc w:val="center"/>
              <w:rPr>
                <w:color w:val="1F1F1F"/>
                <w:kern w:val="0"/>
                <w:sz w:val="22"/>
                <w:lang w:eastAsia="es-PE"/>
                <w14:ligatures w14:val="none"/>
              </w:rPr>
            </w:pPr>
            <w:r w:rsidRPr="00E4612C">
              <w:rPr>
                <w:color w:val="1F1F1F"/>
                <w:kern w:val="0"/>
                <w:sz w:val="22"/>
                <w:lang w:eastAsia="es-PE"/>
                <w14:ligatures w14:val="none"/>
              </w:rPr>
              <w:t>[-17.135, 28.468]</w:t>
            </w:r>
          </w:p>
        </w:tc>
      </w:tr>
    </w:tbl>
    <w:p w14:paraId="121E9F3E" w14:textId="77777777" w:rsidR="00E4612C" w:rsidRPr="00E4612C" w:rsidRDefault="00E4612C" w:rsidP="00E4612C">
      <w:pPr>
        <w:pStyle w:val="NOTASTABLASAPA7"/>
        <w:spacing w:before="120" w:after="120" w:line="240" w:lineRule="auto"/>
        <w:jc w:val="both"/>
        <w:rPr>
          <w:sz w:val="22"/>
          <w:szCs w:val="22"/>
        </w:rPr>
      </w:pPr>
      <w:r w:rsidRPr="00E4612C">
        <w:rPr>
          <w:i/>
          <w:iCs w:val="0"/>
          <w:sz w:val="22"/>
          <w:szCs w:val="22"/>
        </w:rPr>
        <w:t>Nota</w:t>
      </w:r>
      <w:r w:rsidRPr="00E4612C">
        <w:rPr>
          <w:sz w:val="22"/>
          <w:szCs w:val="22"/>
        </w:rPr>
        <w:t xml:space="preserve">. </w:t>
      </w:r>
      <w:proofErr w:type="spellStart"/>
      <w:r w:rsidRPr="00E4612C">
        <w:rPr>
          <w:i/>
          <w:iCs w:val="0"/>
          <w:sz w:val="22"/>
          <w:szCs w:val="22"/>
        </w:rPr>
        <w:t>gl</w:t>
      </w:r>
      <w:proofErr w:type="spellEnd"/>
      <w:r w:rsidRPr="00E4612C">
        <w:rPr>
          <w:sz w:val="22"/>
          <w:szCs w:val="22"/>
        </w:rPr>
        <w:t xml:space="preserve"> = grados de libertad; p = significancia bilateral; IC = intervalo de confianza. La fase A</w:t>
      </w:r>
      <w:r w:rsidRPr="00E4612C">
        <w:rPr>
          <w:sz w:val="22"/>
          <w:szCs w:val="22"/>
          <w:vertAlign w:val="subscript"/>
        </w:rPr>
        <w:t>1</w:t>
      </w:r>
      <w:r w:rsidRPr="00E4612C">
        <w:rPr>
          <w:sz w:val="22"/>
          <w:szCs w:val="22"/>
        </w:rPr>
        <w:t xml:space="preserve"> corresponde a la condición sin sacarosa (línea base) y la fase B corresponde a la condición con sacarosa (intervención). Se asume un nivel de significancia de </w:t>
      </w:r>
      <w:r w:rsidRPr="00E4612C">
        <w:rPr>
          <w:i/>
          <w:iCs w:val="0"/>
          <w:sz w:val="22"/>
          <w:szCs w:val="22"/>
        </w:rPr>
        <w:t xml:space="preserve">p </w:t>
      </w:r>
      <w:r w:rsidRPr="00E4612C">
        <w:rPr>
          <w:sz w:val="22"/>
          <w:szCs w:val="22"/>
        </w:rPr>
        <w:t>= .05.</w:t>
      </w:r>
    </w:p>
    <w:p w14:paraId="3A7F0539" w14:textId="77777777" w:rsidR="00EC5AF6" w:rsidRDefault="00EC5AF6">
      <w:pPr>
        <w:pBdr>
          <w:top w:val="nil"/>
          <w:left w:val="nil"/>
          <w:bottom w:val="nil"/>
          <w:right w:val="nil"/>
          <w:between w:val="nil"/>
        </w:pBdr>
        <w:spacing w:line="360" w:lineRule="auto"/>
        <w:jc w:val="both"/>
      </w:pPr>
    </w:p>
    <w:p w14:paraId="611A85AD" w14:textId="77777777" w:rsidR="00E4612C" w:rsidRDefault="00E4612C" w:rsidP="00E4612C">
      <w:pPr>
        <w:spacing w:line="360" w:lineRule="auto"/>
        <w:ind w:firstLine="720"/>
        <w:jc w:val="both"/>
      </w:pPr>
      <w:r>
        <w:t>En la Tabla 1, l</w:t>
      </w:r>
      <w:r w:rsidRPr="00D045FF">
        <w:t xml:space="preserve">os resultados de la prueba </w:t>
      </w:r>
      <w:r w:rsidRPr="0093255E">
        <w:rPr>
          <w:i/>
          <w:iCs/>
        </w:rPr>
        <w:t>t</w:t>
      </w:r>
      <w:r w:rsidRPr="00D045FF">
        <w:t xml:space="preserve"> de </w:t>
      </w:r>
      <w:proofErr w:type="spellStart"/>
      <w:r w:rsidRPr="00D045FF">
        <w:t>Student</w:t>
      </w:r>
      <w:proofErr w:type="spellEnd"/>
      <w:r w:rsidRPr="00D045FF">
        <w:t xml:space="preserve"> revelaron una diferencia estadísticamente significativa en la variable Aciertos (</w:t>
      </w:r>
      <w:proofErr w:type="gramStart"/>
      <w:r w:rsidRPr="00D045FF">
        <w:rPr>
          <w:i/>
          <w:iCs/>
        </w:rPr>
        <w:t>t</w:t>
      </w:r>
      <w:r w:rsidRPr="00D045FF">
        <w:t>(</w:t>
      </w:r>
      <w:proofErr w:type="gramEnd"/>
      <w:r w:rsidRPr="00D045FF">
        <w:t xml:space="preserve">4) = -3.078, </w:t>
      </w:r>
      <w:r w:rsidRPr="001F072C">
        <w:rPr>
          <w:i/>
          <w:iCs/>
        </w:rPr>
        <w:t>p</w:t>
      </w:r>
      <w:r w:rsidRPr="00D045FF">
        <w:t xml:space="preserve"> = .037), donde se observó un incremento promedio de 18.67 puntos durante la fase de intervención en comparación con la línea base (IC 95% [-35.50, -1.82]).</w:t>
      </w:r>
      <w:r w:rsidRPr="0093255E">
        <w:t xml:space="preserve"> </w:t>
      </w:r>
      <w:r w:rsidRPr="002149C0">
        <w:t>Este hallazgo valida el papel de la sacarosa como un estímulo facilitador que potencia la respuesta operante de manera inmediata.</w:t>
      </w:r>
      <w:r w:rsidRPr="00D045FF">
        <w:t xml:space="preserve"> Por el contrario, la variable Errores no mostró cambios significativos (</w:t>
      </w:r>
      <w:proofErr w:type="gramStart"/>
      <w:r w:rsidRPr="00D045FF">
        <w:rPr>
          <w:i/>
          <w:iCs/>
        </w:rPr>
        <w:t>t</w:t>
      </w:r>
      <w:r w:rsidRPr="00D045FF">
        <w:t>(</w:t>
      </w:r>
      <w:proofErr w:type="gramEnd"/>
      <w:r w:rsidRPr="00D045FF">
        <w:t xml:space="preserve">4) = 0.69, </w:t>
      </w:r>
      <w:r w:rsidRPr="00B079E2">
        <w:rPr>
          <w:i/>
          <w:iCs/>
        </w:rPr>
        <w:t>p</w:t>
      </w:r>
      <w:r w:rsidRPr="00D045FF">
        <w:t xml:space="preserve"> = .528, IC 95% [-17.13, 28.46]), lo que sugiere que la intervención fue efectiva para potenciar el rendimiento positivo, pero no tuvo un impacto relevante en la reducción o incremento de las equivocaciones cometidas.</w:t>
      </w:r>
    </w:p>
    <w:p w14:paraId="4F471945" w14:textId="77777777" w:rsidR="00E4612C" w:rsidRDefault="00E4612C" w:rsidP="00E4612C">
      <w:pPr>
        <w:spacing w:line="360" w:lineRule="auto"/>
        <w:ind w:firstLine="720"/>
        <w:jc w:val="both"/>
      </w:pPr>
    </w:p>
    <w:p w14:paraId="273263D5" w14:textId="77777777" w:rsidR="00E4612C" w:rsidRPr="00C337D4" w:rsidRDefault="00E4612C" w:rsidP="00E4612C">
      <w:pPr>
        <w:pStyle w:val="Descripcin"/>
        <w:keepNext/>
        <w:spacing w:after="0"/>
        <w:jc w:val="both"/>
        <w:rPr>
          <w:rFonts w:ascii="Times New Roman" w:hAnsi="Times New Roman" w:cs="Times New Roman"/>
          <w:color w:val="auto"/>
          <w:sz w:val="22"/>
          <w:szCs w:val="22"/>
        </w:rPr>
      </w:pPr>
      <w:bookmarkStart w:id="1" w:name="_Toc216018868"/>
      <w:r w:rsidRPr="00C337D4">
        <w:rPr>
          <w:rFonts w:ascii="Times New Roman" w:hAnsi="Times New Roman" w:cs="Times New Roman"/>
          <w:b/>
          <w:bCs/>
          <w:i w:val="0"/>
          <w:iCs w:val="0"/>
          <w:color w:val="auto"/>
          <w:sz w:val="22"/>
          <w:szCs w:val="22"/>
        </w:rPr>
        <w:t xml:space="preserve">Tabla </w:t>
      </w:r>
      <w:r w:rsidRPr="00C337D4">
        <w:rPr>
          <w:rFonts w:ascii="Times New Roman" w:hAnsi="Times New Roman" w:cs="Times New Roman"/>
          <w:b/>
          <w:bCs/>
          <w:i w:val="0"/>
          <w:iCs w:val="0"/>
          <w:color w:val="auto"/>
          <w:sz w:val="22"/>
          <w:szCs w:val="22"/>
        </w:rPr>
        <w:fldChar w:fldCharType="begin"/>
      </w:r>
      <w:r w:rsidRPr="00C337D4">
        <w:rPr>
          <w:rFonts w:ascii="Times New Roman" w:hAnsi="Times New Roman" w:cs="Times New Roman"/>
          <w:b/>
          <w:bCs/>
          <w:i w:val="0"/>
          <w:iCs w:val="0"/>
          <w:color w:val="auto"/>
          <w:sz w:val="22"/>
          <w:szCs w:val="22"/>
        </w:rPr>
        <w:instrText xml:space="preserve"> SEQ Tabla \* ARABIC </w:instrText>
      </w:r>
      <w:r w:rsidRPr="00C337D4">
        <w:rPr>
          <w:rFonts w:ascii="Times New Roman" w:hAnsi="Times New Roman" w:cs="Times New Roman"/>
          <w:b/>
          <w:bCs/>
          <w:i w:val="0"/>
          <w:iCs w:val="0"/>
          <w:color w:val="auto"/>
          <w:sz w:val="22"/>
          <w:szCs w:val="22"/>
        </w:rPr>
        <w:fldChar w:fldCharType="separate"/>
      </w:r>
      <w:r w:rsidRPr="00C337D4">
        <w:rPr>
          <w:rFonts w:ascii="Times New Roman" w:hAnsi="Times New Roman" w:cs="Times New Roman"/>
          <w:b/>
          <w:bCs/>
          <w:i w:val="0"/>
          <w:iCs w:val="0"/>
          <w:noProof/>
          <w:color w:val="auto"/>
          <w:sz w:val="22"/>
          <w:szCs w:val="22"/>
        </w:rPr>
        <w:t>2</w:t>
      </w:r>
      <w:r w:rsidRPr="00C337D4">
        <w:rPr>
          <w:rFonts w:ascii="Times New Roman" w:hAnsi="Times New Roman" w:cs="Times New Roman"/>
          <w:b/>
          <w:bCs/>
          <w:i w:val="0"/>
          <w:iCs w:val="0"/>
          <w:color w:val="auto"/>
          <w:sz w:val="22"/>
          <w:szCs w:val="22"/>
        </w:rPr>
        <w:fldChar w:fldCharType="end"/>
      </w:r>
    </w:p>
    <w:p w14:paraId="532C9B8C" w14:textId="77777777" w:rsidR="00E4612C" w:rsidRPr="00C337D4" w:rsidRDefault="00E4612C" w:rsidP="00E4612C">
      <w:pPr>
        <w:pStyle w:val="Descripcin"/>
        <w:keepNext/>
        <w:spacing w:before="240" w:after="120"/>
        <w:rPr>
          <w:rFonts w:ascii="Times New Roman" w:hAnsi="Times New Roman" w:cs="Times New Roman"/>
          <w:color w:val="auto"/>
          <w:sz w:val="22"/>
          <w:szCs w:val="22"/>
        </w:rPr>
      </w:pPr>
      <w:r w:rsidRPr="00C337D4">
        <w:rPr>
          <w:rFonts w:ascii="Times New Roman" w:hAnsi="Times New Roman" w:cs="Times New Roman"/>
          <w:color w:val="auto"/>
          <w:sz w:val="22"/>
          <w:szCs w:val="22"/>
        </w:rPr>
        <w:t>Diferencias en Aciertos y Errores entre la Fase de intervención (B) y la fase de reversión (A</w:t>
      </w:r>
      <w:r w:rsidRPr="00C337D4">
        <w:rPr>
          <w:rFonts w:ascii="Times New Roman" w:hAnsi="Times New Roman" w:cs="Times New Roman"/>
          <w:color w:val="auto"/>
          <w:sz w:val="22"/>
          <w:szCs w:val="22"/>
          <w:vertAlign w:val="subscript"/>
        </w:rPr>
        <w:t>2</w:t>
      </w:r>
      <w:r w:rsidRPr="00C337D4">
        <w:rPr>
          <w:rFonts w:ascii="Times New Roman" w:hAnsi="Times New Roman" w:cs="Times New Roman"/>
          <w:color w:val="auto"/>
          <w:sz w:val="22"/>
          <w:szCs w:val="22"/>
        </w:rPr>
        <w:t>) del estudio</w:t>
      </w:r>
      <w:bookmarkEnd w:id="1"/>
    </w:p>
    <w:tbl>
      <w:tblPr>
        <w:tblStyle w:val="APA7MA"/>
        <w:tblW w:w="4969" w:type="pct"/>
        <w:tblLook w:val="04A0" w:firstRow="1" w:lastRow="0" w:firstColumn="1" w:lastColumn="0" w:noHBand="0" w:noVBand="1"/>
      </w:tblPr>
      <w:tblGrid>
        <w:gridCol w:w="1469"/>
        <w:gridCol w:w="1029"/>
        <w:gridCol w:w="735"/>
        <w:gridCol w:w="1029"/>
        <w:gridCol w:w="1589"/>
        <w:gridCol w:w="1767"/>
        <w:gridCol w:w="1684"/>
      </w:tblGrid>
      <w:tr w:rsidR="00E4612C" w:rsidRPr="00C337D4" w14:paraId="7DA90682" w14:textId="77777777" w:rsidTr="00EE493E">
        <w:trPr>
          <w:cnfStyle w:val="100000000000" w:firstRow="1" w:lastRow="0" w:firstColumn="0" w:lastColumn="0" w:oddVBand="0" w:evenVBand="0" w:oddHBand="0" w:evenHBand="0" w:firstRowFirstColumn="0" w:firstRowLastColumn="0" w:lastRowFirstColumn="0" w:lastRowLastColumn="0"/>
          <w:trHeight w:val="368"/>
        </w:trPr>
        <w:tc>
          <w:tcPr>
            <w:tcW w:w="790" w:type="pct"/>
            <w:hideMark/>
          </w:tcPr>
          <w:p w14:paraId="71583A6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Variable</w:t>
            </w:r>
          </w:p>
        </w:tc>
        <w:tc>
          <w:tcPr>
            <w:tcW w:w="553" w:type="pct"/>
            <w:hideMark/>
          </w:tcPr>
          <w:p w14:paraId="60C55483" w14:textId="77777777" w:rsidR="00E4612C" w:rsidRPr="00C337D4" w:rsidRDefault="00E4612C" w:rsidP="00EE493E">
            <w:pPr>
              <w:spacing w:before="120" w:after="120" w:line="240" w:lineRule="auto"/>
              <w:jc w:val="center"/>
              <w:rPr>
                <w:i/>
                <w:iCs/>
                <w:color w:val="1F1F1F"/>
                <w:kern w:val="0"/>
                <w:sz w:val="22"/>
                <w:lang w:eastAsia="es-PE"/>
                <w14:ligatures w14:val="none"/>
              </w:rPr>
            </w:pPr>
            <w:r w:rsidRPr="00C337D4">
              <w:rPr>
                <w:i/>
                <w:iCs/>
                <w:color w:val="1F1F1F"/>
                <w:kern w:val="0"/>
                <w:sz w:val="22"/>
                <w:lang w:eastAsia="es-PE"/>
                <w14:ligatures w14:val="none"/>
              </w:rPr>
              <w:t>t</w:t>
            </w:r>
          </w:p>
        </w:tc>
        <w:tc>
          <w:tcPr>
            <w:tcW w:w="395" w:type="pct"/>
            <w:hideMark/>
          </w:tcPr>
          <w:p w14:paraId="0D48105E" w14:textId="77777777" w:rsidR="00E4612C" w:rsidRPr="00C337D4" w:rsidRDefault="00E4612C" w:rsidP="00EE493E">
            <w:pPr>
              <w:spacing w:before="120" w:after="120" w:line="240" w:lineRule="auto"/>
              <w:jc w:val="center"/>
              <w:rPr>
                <w:i/>
                <w:iCs/>
                <w:color w:val="1F1F1F"/>
                <w:kern w:val="0"/>
                <w:sz w:val="22"/>
                <w:lang w:eastAsia="es-PE"/>
                <w14:ligatures w14:val="none"/>
              </w:rPr>
            </w:pPr>
            <w:proofErr w:type="spellStart"/>
            <w:r w:rsidRPr="00C337D4">
              <w:rPr>
                <w:i/>
                <w:iCs/>
                <w:color w:val="1F1F1F"/>
                <w:kern w:val="0"/>
                <w:sz w:val="22"/>
                <w:lang w:eastAsia="es-PE"/>
                <w14:ligatures w14:val="none"/>
              </w:rPr>
              <w:t>gl</w:t>
            </w:r>
            <w:proofErr w:type="spellEnd"/>
          </w:p>
        </w:tc>
        <w:tc>
          <w:tcPr>
            <w:tcW w:w="553" w:type="pct"/>
            <w:hideMark/>
          </w:tcPr>
          <w:p w14:paraId="20A89368" w14:textId="77777777" w:rsidR="00E4612C" w:rsidRPr="00C337D4" w:rsidRDefault="00E4612C" w:rsidP="00EE493E">
            <w:pPr>
              <w:spacing w:before="120" w:after="120" w:line="240" w:lineRule="auto"/>
              <w:jc w:val="center"/>
              <w:rPr>
                <w:i/>
                <w:iCs/>
                <w:color w:val="1F1F1F"/>
                <w:kern w:val="0"/>
                <w:sz w:val="22"/>
                <w:lang w:eastAsia="es-PE"/>
                <w14:ligatures w14:val="none"/>
              </w:rPr>
            </w:pPr>
            <w:r w:rsidRPr="00C337D4">
              <w:rPr>
                <w:i/>
                <w:iCs/>
                <w:color w:val="1F1F1F"/>
                <w:kern w:val="0"/>
                <w:sz w:val="22"/>
                <w:lang w:eastAsia="es-PE"/>
                <w14:ligatures w14:val="none"/>
              </w:rPr>
              <w:t>p</w:t>
            </w:r>
          </w:p>
        </w:tc>
        <w:tc>
          <w:tcPr>
            <w:tcW w:w="854" w:type="pct"/>
            <w:hideMark/>
          </w:tcPr>
          <w:p w14:paraId="7E2BCB87"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Diferencia de medias</w:t>
            </w:r>
          </w:p>
        </w:tc>
        <w:tc>
          <w:tcPr>
            <w:tcW w:w="950" w:type="pct"/>
            <w:hideMark/>
          </w:tcPr>
          <w:p w14:paraId="712BF692"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Error estándar de la diferencia</w:t>
            </w:r>
          </w:p>
        </w:tc>
        <w:tc>
          <w:tcPr>
            <w:tcW w:w="905" w:type="pct"/>
            <w:hideMark/>
          </w:tcPr>
          <w:p w14:paraId="3E9F3B0C"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95% IC de la diferencia</w:t>
            </w:r>
          </w:p>
        </w:tc>
      </w:tr>
      <w:tr w:rsidR="00E4612C" w:rsidRPr="00C337D4" w14:paraId="7A08B16E" w14:textId="77777777" w:rsidTr="00EE493E">
        <w:trPr>
          <w:trHeight w:val="368"/>
        </w:trPr>
        <w:tc>
          <w:tcPr>
            <w:tcW w:w="790" w:type="pct"/>
            <w:hideMark/>
          </w:tcPr>
          <w:p w14:paraId="586BB08C" w14:textId="77777777" w:rsidR="00E4612C" w:rsidRPr="00C337D4" w:rsidRDefault="00E4612C" w:rsidP="00EE493E">
            <w:pPr>
              <w:spacing w:before="120" w:after="120" w:line="240" w:lineRule="auto"/>
              <w:rPr>
                <w:color w:val="1F1F1F"/>
                <w:kern w:val="0"/>
                <w:sz w:val="22"/>
                <w:lang w:eastAsia="es-PE"/>
                <w14:ligatures w14:val="none"/>
              </w:rPr>
            </w:pPr>
            <w:r w:rsidRPr="00C337D4">
              <w:rPr>
                <w:color w:val="1F1F1F"/>
                <w:kern w:val="0"/>
                <w:sz w:val="22"/>
                <w:lang w:eastAsia="es-PE"/>
                <w14:ligatures w14:val="none"/>
              </w:rPr>
              <w:t>Aciertos</w:t>
            </w:r>
          </w:p>
        </w:tc>
        <w:tc>
          <w:tcPr>
            <w:tcW w:w="553" w:type="pct"/>
            <w:hideMark/>
          </w:tcPr>
          <w:p w14:paraId="3660C67F"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2.06</w:t>
            </w:r>
          </w:p>
        </w:tc>
        <w:tc>
          <w:tcPr>
            <w:tcW w:w="395" w:type="pct"/>
            <w:hideMark/>
          </w:tcPr>
          <w:p w14:paraId="39ABD599"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4</w:t>
            </w:r>
          </w:p>
        </w:tc>
        <w:tc>
          <w:tcPr>
            <w:tcW w:w="553" w:type="pct"/>
            <w:hideMark/>
          </w:tcPr>
          <w:p w14:paraId="102E11CC"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0.11</w:t>
            </w:r>
          </w:p>
        </w:tc>
        <w:tc>
          <w:tcPr>
            <w:tcW w:w="854" w:type="pct"/>
            <w:hideMark/>
          </w:tcPr>
          <w:p w14:paraId="526D6FF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14.33</w:t>
            </w:r>
          </w:p>
        </w:tc>
        <w:tc>
          <w:tcPr>
            <w:tcW w:w="950" w:type="pct"/>
            <w:hideMark/>
          </w:tcPr>
          <w:p w14:paraId="4B6D1AB1"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6.94</w:t>
            </w:r>
          </w:p>
        </w:tc>
        <w:tc>
          <w:tcPr>
            <w:tcW w:w="905" w:type="pct"/>
            <w:hideMark/>
          </w:tcPr>
          <w:p w14:paraId="33A5C87A"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[-4.95, 33.61]</w:t>
            </w:r>
          </w:p>
        </w:tc>
      </w:tr>
      <w:tr w:rsidR="00E4612C" w:rsidRPr="00C337D4" w14:paraId="6FA546EC" w14:textId="77777777" w:rsidTr="00EE493E">
        <w:trPr>
          <w:trHeight w:val="368"/>
        </w:trPr>
        <w:tc>
          <w:tcPr>
            <w:tcW w:w="790" w:type="pct"/>
            <w:hideMark/>
          </w:tcPr>
          <w:p w14:paraId="3A8BC33F" w14:textId="77777777" w:rsidR="00E4612C" w:rsidRPr="00C337D4" w:rsidRDefault="00E4612C" w:rsidP="00EE493E">
            <w:pPr>
              <w:spacing w:before="120" w:after="120" w:line="240" w:lineRule="auto"/>
              <w:rPr>
                <w:color w:val="1F1F1F"/>
                <w:kern w:val="0"/>
                <w:sz w:val="22"/>
                <w:lang w:eastAsia="es-PE"/>
                <w14:ligatures w14:val="none"/>
              </w:rPr>
            </w:pPr>
            <w:r w:rsidRPr="00C337D4">
              <w:rPr>
                <w:color w:val="1F1F1F"/>
                <w:kern w:val="0"/>
                <w:sz w:val="22"/>
                <w:lang w:eastAsia="es-PE"/>
                <w14:ligatures w14:val="none"/>
              </w:rPr>
              <w:t>Errores</w:t>
            </w:r>
          </w:p>
        </w:tc>
        <w:tc>
          <w:tcPr>
            <w:tcW w:w="553" w:type="pct"/>
            <w:hideMark/>
          </w:tcPr>
          <w:p w14:paraId="1ECE0C2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1.09</w:t>
            </w:r>
          </w:p>
        </w:tc>
        <w:tc>
          <w:tcPr>
            <w:tcW w:w="395" w:type="pct"/>
            <w:hideMark/>
          </w:tcPr>
          <w:p w14:paraId="61B4D37C"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4</w:t>
            </w:r>
          </w:p>
        </w:tc>
        <w:tc>
          <w:tcPr>
            <w:tcW w:w="553" w:type="pct"/>
            <w:hideMark/>
          </w:tcPr>
          <w:p w14:paraId="7122396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0.33</w:t>
            </w:r>
          </w:p>
        </w:tc>
        <w:tc>
          <w:tcPr>
            <w:tcW w:w="854" w:type="pct"/>
            <w:hideMark/>
          </w:tcPr>
          <w:p w14:paraId="4900F9D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8.33</w:t>
            </w:r>
          </w:p>
        </w:tc>
        <w:tc>
          <w:tcPr>
            <w:tcW w:w="950" w:type="pct"/>
            <w:hideMark/>
          </w:tcPr>
          <w:p w14:paraId="457D6347"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7.58</w:t>
            </w:r>
          </w:p>
        </w:tc>
        <w:tc>
          <w:tcPr>
            <w:tcW w:w="905" w:type="pct"/>
            <w:hideMark/>
          </w:tcPr>
          <w:p w14:paraId="76568124"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[-12.71, 29.38]</w:t>
            </w:r>
          </w:p>
        </w:tc>
      </w:tr>
    </w:tbl>
    <w:p w14:paraId="329ECDE3" w14:textId="77777777" w:rsidR="00E4612C" w:rsidRPr="00C337D4" w:rsidRDefault="00E4612C" w:rsidP="00E4612C">
      <w:pPr>
        <w:pStyle w:val="NOTASTABLASAPA7"/>
        <w:spacing w:before="120" w:after="120" w:line="240" w:lineRule="auto"/>
        <w:jc w:val="both"/>
        <w:rPr>
          <w:sz w:val="22"/>
          <w:szCs w:val="22"/>
        </w:rPr>
      </w:pPr>
      <w:r w:rsidRPr="00C337D4">
        <w:rPr>
          <w:i/>
          <w:iCs w:val="0"/>
          <w:sz w:val="22"/>
          <w:szCs w:val="22"/>
        </w:rPr>
        <w:t>Nota</w:t>
      </w:r>
      <w:r w:rsidRPr="00C337D4">
        <w:rPr>
          <w:sz w:val="22"/>
          <w:szCs w:val="22"/>
        </w:rPr>
        <w:t xml:space="preserve">. </w:t>
      </w:r>
      <w:proofErr w:type="spellStart"/>
      <w:r w:rsidRPr="00C337D4">
        <w:rPr>
          <w:i/>
          <w:iCs w:val="0"/>
          <w:sz w:val="22"/>
          <w:szCs w:val="22"/>
        </w:rPr>
        <w:t>gl</w:t>
      </w:r>
      <w:proofErr w:type="spellEnd"/>
      <w:r w:rsidRPr="00C337D4">
        <w:rPr>
          <w:sz w:val="22"/>
          <w:szCs w:val="22"/>
        </w:rPr>
        <w:t xml:space="preserve"> = grados de libertad; IC = intervalo de confianza. La fase B corresponde a la condición Con Sacarosa (Intervención) y la Fase A</w:t>
      </w:r>
      <w:r w:rsidRPr="00C337D4">
        <w:rPr>
          <w:sz w:val="22"/>
          <w:szCs w:val="22"/>
          <w:vertAlign w:val="subscript"/>
        </w:rPr>
        <w:t>2</w:t>
      </w:r>
      <w:r w:rsidRPr="00C337D4">
        <w:rPr>
          <w:sz w:val="22"/>
          <w:szCs w:val="22"/>
        </w:rPr>
        <w:t xml:space="preserve"> corresponde a la condición Sin Sacarosa (Reversión). Se asume un nivel de significancia de </w:t>
      </w:r>
      <w:r w:rsidRPr="001F072C">
        <w:rPr>
          <w:i/>
          <w:iCs w:val="0"/>
          <w:sz w:val="22"/>
          <w:szCs w:val="22"/>
        </w:rPr>
        <w:t>p</w:t>
      </w:r>
      <w:r w:rsidRPr="00C337D4">
        <w:rPr>
          <w:sz w:val="22"/>
          <w:szCs w:val="22"/>
        </w:rPr>
        <w:t xml:space="preserve"> = .05.</w:t>
      </w:r>
    </w:p>
    <w:p w14:paraId="4F733F21" w14:textId="77777777" w:rsidR="00E4612C" w:rsidRDefault="00E4612C" w:rsidP="00E4612C">
      <w:pPr>
        <w:tabs>
          <w:tab w:val="left" w:pos="9356"/>
        </w:tabs>
        <w:spacing w:line="480" w:lineRule="auto"/>
        <w:jc w:val="both"/>
      </w:pPr>
    </w:p>
    <w:p w14:paraId="6DCF7F3A" w14:textId="7F8FEC90" w:rsidR="00E4612C" w:rsidRDefault="00E4612C" w:rsidP="00E4612C">
      <w:pPr>
        <w:tabs>
          <w:tab w:val="left" w:pos="9356"/>
        </w:tabs>
        <w:spacing w:line="360" w:lineRule="auto"/>
        <w:ind w:firstLine="720"/>
        <w:jc w:val="both"/>
      </w:pPr>
      <w:r>
        <w:t>En la Tabla 2, a</w:t>
      </w:r>
      <w:r w:rsidRPr="002149C0">
        <w:t xml:space="preserve">l transitar hacia la fase </w:t>
      </w:r>
      <w:r>
        <w:t xml:space="preserve">A2, </w:t>
      </w:r>
      <w:r w:rsidRPr="002149C0">
        <w:t>donde se suprimió la administración del azúcar, se detectó un cambio en la tendencia de respuesta.</w:t>
      </w:r>
      <w:r w:rsidRPr="0093255E">
        <w:rPr>
          <w:lang w:eastAsia="es-PE"/>
        </w:rPr>
        <w:t xml:space="preserve"> Lo</w:t>
      </w:r>
      <w:r w:rsidRPr="0093255E">
        <w:t xml:space="preserve">s resultados de la prueba </w:t>
      </w:r>
      <w:r w:rsidRPr="0093255E">
        <w:rPr>
          <w:i/>
          <w:iCs/>
        </w:rPr>
        <w:t xml:space="preserve">t </w:t>
      </w:r>
      <w:r w:rsidRPr="0093255E">
        <w:t>indican que no existen diferencias estadísticamente significativas en ninguna de las variables evaluadas. En la variable Aciertos, a pesar de una diferencia de medias de 14.33, el valor de significancia fue superior al umbral (</w:t>
      </w:r>
      <w:proofErr w:type="gramStart"/>
      <w:r w:rsidRPr="0093255E">
        <w:rPr>
          <w:i/>
          <w:iCs/>
        </w:rPr>
        <w:t>t</w:t>
      </w:r>
      <w:r w:rsidRPr="0093255E">
        <w:t>(</w:t>
      </w:r>
      <w:proofErr w:type="gramEnd"/>
      <w:r w:rsidRPr="0093255E">
        <w:t xml:space="preserve">4) = 2.06, </w:t>
      </w:r>
      <w:r w:rsidRPr="00CB2663">
        <w:rPr>
          <w:i/>
          <w:iCs/>
        </w:rPr>
        <w:t>p</w:t>
      </w:r>
      <w:r w:rsidRPr="0093255E">
        <w:t xml:space="preserve"> = .11), y el intervalo de confianza incluyó el cero (IC 95% [-4.95, 33.61]). Aunque los aciertos descienden de B a A2, este nivel de ejecución no retorna a las cifras más bajas observadas en A1. Esta reducción es coherente con la desaparición del efecto transitorio del reforzador, ya que la sacarosa elevó el rendimiento a su punto máximo en B, pero dicho incremento disminuyó de manera esperada al retirarse en A2. Respecto de la variable Errores, no se mostraron cambios relevantes (</w:t>
      </w:r>
      <w:proofErr w:type="gramStart"/>
      <w:r w:rsidRPr="0093255E">
        <w:rPr>
          <w:i/>
          <w:iCs/>
        </w:rPr>
        <w:t>t</w:t>
      </w:r>
      <w:r w:rsidRPr="0093255E">
        <w:t>(</w:t>
      </w:r>
      <w:proofErr w:type="gramEnd"/>
      <w:r w:rsidRPr="0093255E">
        <w:t xml:space="preserve">4) = 1.09, </w:t>
      </w:r>
      <w:r w:rsidRPr="00CB2663">
        <w:rPr>
          <w:i/>
          <w:iCs/>
        </w:rPr>
        <w:t>p</w:t>
      </w:r>
      <w:r w:rsidRPr="0093255E">
        <w:t xml:space="preserve"> = .33), la diferencia de medias de 8.33, aun sin significancia estadística, sugiere un cambio cualitativo en la ejecución: aunque la cantidad </w:t>
      </w:r>
      <w:r w:rsidRPr="0093255E">
        <w:lastRenderedPageBreak/>
        <w:t>de aciertos desciende respecto a B, el patrón de errores revela una ejecución más precisa, estable y eficiente.  Esto apunta a la consolidación de un aprendizaje adquirido durante el procedimiento.</w:t>
      </w:r>
    </w:p>
    <w:p w14:paraId="00293B0A" w14:textId="77777777" w:rsidR="00E4612C" w:rsidRDefault="00E4612C" w:rsidP="00E4612C">
      <w:pPr>
        <w:tabs>
          <w:tab w:val="left" w:pos="9356"/>
        </w:tabs>
        <w:spacing w:line="360" w:lineRule="auto"/>
        <w:ind w:firstLine="720"/>
        <w:jc w:val="both"/>
      </w:pPr>
    </w:p>
    <w:p w14:paraId="1E64B669" w14:textId="77777777" w:rsidR="00E4612C" w:rsidRPr="00C337D4" w:rsidRDefault="00E4612C" w:rsidP="00E4612C">
      <w:pPr>
        <w:pStyle w:val="Descripcin"/>
        <w:keepNext/>
        <w:spacing w:before="120" w:after="120"/>
        <w:jc w:val="both"/>
        <w:rPr>
          <w:rFonts w:ascii="Times New Roman" w:hAnsi="Times New Roman" w:cs="Times New Roman"/>
          <w:b/>
          <w:bCs/>
          <w:i w:val="0"/>
          <w:iCs w:val="0"/>
          <w:color w:val="auto"/>
          <w:sz w:val="22"/>
          <w:szCs w:val="22"/>
        </w:rPr>
      </w:pPr>
      <w:r w:rsidRPr="00C337D4">
        <w:rPr>
          <w:rFonts w:ascii="Times New Roman" w:hAnsi="Times New Roman" w:cs="Times New Roman"/>
          <w:b/>
          <w:bCs/>
          <w:i w:val="0"/>
          <w:iCs w:val="0"/>
          <w:color w:val="auto"/>
          <w:sz w:val="22"/>
          <w:szCs w:val="22"/>
        </w:rPr>
        <w:t xml:space="preserve">Tabla </w:t>
      </w:r>
      <w:r w:rsidRPr="00C337D4">
        <w:rPr>
          <w:rFonts w:ascii="Times New Roman" w:hAnsi="Times New Roman" w:cs="Times New Roman"/>
          <w:b/>
          <w:bCs/>
          <w:i w:val="0"/>
          <w:iCs w:val="0"/>
          <w:color w:val="auto"/>
          <w:sz w:val="22"/>
          <w:szCs w:val="22"/>
        </w:rPr>
        <w:fldChar w:fldCharType="begin"/>
      </w:r>
      <w:r w:rsidRPr="00C337D4">
        <w:rPr>
          <w:rFonts w:ascii="Times New Roman" w:hAnsi="Times New Roman" w:cs="Times New Roman"/>
          <w:b/>
          <w:bCs/>
          <w:i w:val="0"/>
          <w:iCs w:val="0"/>
          <w:color w:val="auto"/>
          <w:sz w:val="22"/>
          <w:szCs w:val="22"/>
        </w:rPr>
        <w:instrText xml:space="preserve"> SEQ Tabla \* ARABIC </w:instrText>
      </w:r>
      <w:r w:rsidRPr="00C337D4">
        <w:rPr>
          <w:rFonts w:ascii="Times New Roman" w:hAnsi="Times New Roman" w:cs="Times New Roman"/>
          <w:b/>
          <w:bCs/>
          <w:i w:val="0"/>
          <w:iCs w:val="0"/>
          <w:color w:val="auto"/>
          <w:sz w:val="22"/>
          <w:szCs w:val="22"/>
        </w:rPr>
        <w:fldChar w:fldCharType="separate"/>
      </w:r>
      <w:r w:rsidRPr="00C337D4">
        <w:rPr>
          <w:rFonts w:ascii="Times New Roman" w:hAnsi="Times New Roman" w:cs="Times New Roman"/>
          <w:b/>
          <w:bCs/>
          <w:i w:val="0"/>
          <w:iCs w:val="0"/>
          <w:noProof/>
          <w:color w:val="auto"/>
          <w:sz w:val="22"/>
          <w:szCs w:val="22"/>
        </w:rPr>
        <w:t>3</w:t>
      </w:r>
      <w:r w:rsidRPr="00C337D4">
        <w:rPr>
          <w:rFonts w:ascii="Times New Roman" w:hAnsi="Times New Roman" w:cs="Times New Roman"/>
          <w:b/>
          <w:bCs/>
          <w:i w:val="0"/>
          <w:iCs w:val="0"/>
          <w:color w:val="auto"/>
          <w:sz w:val="22"/>
          <w:szCs w:val="22"/>
        </w:rPr>
        <w:fldChar w:fldCharType="end"/>
      </w:r>
    </w:p>
    <w:p w14:paraId="18B6A84C" w14:textId="77777777" w:rsidR="00E4612C" w:rsidRPr="00C337D4" w:rsidRDefault="00E4612C" w:rsidP="00E4612C">
      <w:pPr>
        <w:pStyle w:val="Descripcin"/>
        <w:keepNext/>
        <w:spacing w:before="240" w:after="120"/>
        <w:rPr>
          <w:rFonts w:ascii="Times New Roman" w:hAnsi="Times New Roman" w:cs="Times New Roman"/>
          <w:b/>
          <w:bCs/>
          <w:i w:val="0"/>
          <w:iCs w:val="0"/>
          <w:color w:val="auto"/>
          <w:sz w:val="22"/>
          <w:szCs w:val="22"/>
        </w:rPr>
      </w:pPr>
      <w:r w:rsidRPr="00C337D4">
        <w:rPr>
          <w:rFonts w:ascii="Times New Roman" w:hAnsi="Times New Roman" w:cs="Times New Roman"/>
          <w:color w:val="auto"/>
          <w:sz w:val="22"/>
          <w:szCs w:val="22"/>
        </w:rPr>
        <w:t>Resultados del Análisis de Varianza para Aciertos y Errores entre las fases A</w:t>
      </w:r>
      <w:r w:rsidRPr="00C337D4">
        <w:rPr>
          <w:rFonts w:ascii="Times New Roman" w:hAnsi="Times New Roman" w:cs="Times New Roman"/>
          <w:color w:val="auto"/>
          <w:sz w:val="22"/>
          <w:szCs w:val="22"/>
          <w:vertAlign w:val="subscript"/>
        </w:rPr>
        <w:t>1</w:t>
      </w:r>
      <w:r w:rsidRPr="00C337D4">
        <w:rPr>
          <w:rFonts w:ascii="Times New Roman" w:hAnsi="Times New Roman" w:cs="Times New Roman"/>
          <w:color w:val="auto"/>
          <w:sz w:val="22"/>
          <w:szCs w:val="22"/>
        </w:rPr>
        <w:t>, B y A</w:t>
      </w:r>
      <w:r w:rsidRPr="00C337D4">
        <w:rPr>
          <w:rFonts w:ascii="Times New Roman" w:hAnsi="Times New Roman" w:cs="Times New Roman"/>
          <w:color w:val="auto"/>
          <w:sz w:val="22"/>
          <w:szCs w:val="22"/>
          <w:vertAlign w:val="subscript"/>
        </w:rPr>
        <w:t>2</w:t>
      </w:r>
    </w:p>
    <w:tbl>
      <w:tblPr>
        <w:tblStyle w:val="APA7MA"/>
        <w:tblW w:w="9423" w:type="dxa"/>
        <w:tblLook w:val="04A0" w:firstRow="1" w:lastRow="0" w:firstColumn="1" w:lastColumn="0" w:noHBand="0" w:noVBand="1"/>
      </w:tblPr>
      <w:tblGrid>
        <w:gridCol w:w="1090"/>
        <w:gridCol w:w="2698"/>
        <w:gridCol w:w="1561"/>
        <w:gridCol w:w="673"/>
        <w:gridCol w:w="1478"/>
        <w:gridCol w:w="794"/>
        <w:gridCol w:w="1129"/>
      </w:tblGrid>
      <w:tr w:rsidR="00E4612C" w:rsidRPr="00C337D4" w14:paraId="5ECE8D72" w14:textId="77777777" w:rsidTr="00EE493E">
        <w:trPr>
          <w:cnfStyle w:val="100000000000" w:firstRow="1" w:lastRow="0" w:firstColumn="0" w:lastColumn="0" w:oddVBand="0" w:evenVBand="0" w:oddHBand="0" w:evenHBand="0" w:firstRowFirstColumn="0" w:firstRowLastColumn="0" w:lastRowFirstColumn="0" w:lastRowLastColumn="0"/>
          <w:trHeight w:val="526"/>
        </w:trPr>
        <w:tc>
          <w:tcPr>
            <w:tcW w:w="0" w:type="auto"/>
            <w:hideMark/>
          </w:tcPr>
          <w:p w14:paraId="32633065"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Variable</w:t>
            </w:r>
          </w:p>
        </w:tc>
        <w:tc>
          <w:tcPr>
            <w:tcW w:w="0" w:type="auto"/>
            <w:hideMark/>
          </w:tcPr>
          <w:p w14:paraId="224462CB"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Fuente de Variación</w:t>
            </w:r>
          </w:p>
        </w:tc>
        <w:tc>
          <w:tcPr>
            <w:tcW w:w="1561" w:type="dxa"/>
            <w:hideMark/>
          </w:tcPr>
          <w:p w14:paraId="348EBFE4"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Suma de cuadrados</w:t>
            </w:r>
          </w:p>
        </w:tc>
        <w:tc>
          <w:tcPr>
            <w:tcW w:w="673" w:type="dxa"/>
            <w:hideMark/>
          </w:tcPr>
          <w:p w14:paraId="636465DE" w14:textId="77777777" w:rsidR="00E4612C" w:rsidRPr="00233B2B" w:rsidRDefault="00E4612C" w:rsidP="00EE493E">
            <w:pPr>
              <w:spacing w:before="120" w:after="120" w:line="240" w:lineRule="auto"/>
              <w:ind w:left="-24"/>
              <w:jc w:val="center"/>
              <w:rPr>
                <w:i/>
                <w:iCs/>
                <w:color w:val="1F1F1F"/>
                <w:kern w:val="0"/>
                <w:sz w:val="22"/>
                <w:lang w:eastAsia="es-PE"/>
                <w14:ligatures w14:val="none"/>
              </w:rPr>
            </w:pPr>
            <w:proofErr w:type="spellStart"/>
            <w:r w:rsidRPr="00233B2B">
              <w:rPr>
                <w:i/>
                <w:iCs/>
                <w:color w:val="1F1F1F"/>
                <w:kern w:val="0"/>
                <w:sz w:val="22"/>
                <w:lang w:eastAsia="es-PE"/>
                <w14:ligatures w14:val="none"/>
              </w:rPr>
              <w:t>gl</w:t>
            </w:r>
            <w:proofErr w:type="spellEnd"/>
          </w:p>
        </w:tc>
        <w:tc>
          <w:tcPr>
            <w:tcW w:w="1478" w:type="dxa"/>
            <w:hideMark/>
          </w:tcPr>
          <w:p w14:paraId="1DA4DFE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Media cuadrática</w:t>
            </w:r>
          </w:p>
        </w:tc>
        <w:tc>
          <w:tcPr>
            <w:tcW w:w="0" w:type="auto"/>
            <w:hideMark/>
          </w:tcPr>
          <w:p w14:paraId="592E43C2" w14:textId="77777777" w:rsidR="00E4612C" w:rsidRPr="00233B2B" w:rsidRDefault="00E4612C" w:rsidP="00EE493E">
            <w:pPr>
              <w:spacing w:before="120" w:after="120" w:line="240" w:lineRule="auto"/>
              <w:jc w:val="center"/>
              <w:rPr>
                <w:i/>
                <w:iCs/>
                <w:color w:val="1F1F1F"/>
                <w:kern w:val="0"/>
                <w:sz w:val="22"/>
                <w:lang w:eastAsia="es-PE"/>
                <w14:ligatures w14:val="none"/>
              </w:rPr>
            </w:pPr>
            <w:r w:rsidRPr="00233B2B">
              <w:rPr>
                <w:i/>
                <w:iCs/>
                <w:color w:val="1F1F1F"/>
                <w:kern w:val="0"/>
                <w:sz w:val="22"/>
                <w:lang w:eastAsia="es-PE"/>
                <w14:ligatures w14:val="none"/>
              </w:rPr>
              <w:t>F</w:t>
            </w:r>
          </w:p>
        </w:tc>
        <w:tc>
          <w:tcPr>
            <w:tcW w:w="1129" w:type="dxa"/>
            <w:hideMark/>
          </w:tcPr>
          <w:p w14:paraId="5EEA5512" w14:textId="77777777" w:rsidR="00E4612C" w:rsidRPr="00C337D4" w:rsidRDefault="00E4612C" w:rsidP="00EE493E">
            <w:pPr>
              <w:spacing w:before="120" w:after="120" w:line="240" w:lineRule="auto"/>
              <w:jc w:val="center"/>
              <w:rPr>
                <w:i/>
                <w:iCs/>
                <w:color w:val="1F1F1F"/>
                <w:kern w:val="0"/>
                <w:sz w:val="22"/>
                <w:lang w:eastAsia="es-PE"/>
                <w14:ligatures w14:val="none"/>
              </w:rPr>
            </w:pPr>
            <w:r w:rsidRPr="00C337D4">
              <w:rPr>
                <w:i/>
                <w:iCs/>
                <w:color w:val="1F1F1F"/>
                <w:kern w:val="0"/>
                <w:sz w:val="22"/>
                <w:lang w:eastAsia="es-PE"/>
                <w14:ligatures w14:val="none"/>
              </w:rPr>
              <w:t>p</w:t>
            </w:r>
          </w:p>
        </w:tc>
      </w:tr>
      <w:tr w:rsidR="00E4612C" w:rsidRPr="00C337D4" w14:paraId="3B3097E6" w14:textId="77777777" w:rsidTr="00EE493E">
        <w:trPr>
          <w:trHeight w:val="526"/>
        </w:trPr>
        <w:tc>
          <w:tcPr>
            <w:tcW w:w="0" w:type="auto"/>
            <w:vMerge w:val="restart"/>
            <w:hideMark/>
          </w:tcPr>
          <w:p w14:paraId="35153C8F"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Aciertos</w:t>
            </w:r>
          </w:p>
        </w:tc>
        <w:tc>
          <w:tcPr>
            <w:tcW w:w="0" w:type="auto"/>
            <w:hideMark/>
          </w:tcPr>
          <w:p w14:paraId="0AC1143E"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Entre grupos</w:t>
            </w:r>
          </w:p>
        </w:tc>
        <w:tc>
          <w:tcPr>
            <w:tcW w:w="0" w:type="auto"/>
          </w:tcPr>
          <w:p w14:paraId="2C323D48"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572.66</w:t>
            </w:r>
          </w:p>
        </w:tc>
        <w:tc>
          <w:tcPr>
            <w:tcW w:w="0" w:type="auto"/>
          </w:tcPr>
          <w:p w14:paraId="1E65B3D2"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2</w:t>
            </w:r>
          </w:p>
        </w:tc>
        <w:tc>
          <w:tcPr>
            <w:tcW w:w="1478" w:type="dxa"/>
          </w:tcPr>
          <w:p w14:paraId="3EB04FC3"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286.33</w:t>
            </w:r>
          </w:p>
        </w:tc>
        <w:tc>
          <w:tcPr>
            <w:tcW w:w="0" w:type="auto"/>
          </w:tcPr>
          <w:p w14:paraId="0CF0C8D4" w14:textId="77777777" w:rsidR="00E4612C" w:rsidRPr="00C337D4" w:rsidRDefault="00E4612C" w:rsidP="00EE493E">
            <w:pPr>
              <w:spacing w:before="120" w:after="120" w:line="240" w:lineRule="auto"/>
              <w:ind w:left="-112"/>
              <w:jc w:val="center"/>
              <w:rPr>
                <w:color w:val="1F1F1F"/>
                <w:kern w:val="0"/>
                <w:sz w:val="22"/>
                <w:lang w:eastAsia="es-PE"/>
                <w14:ligatures w14:val="none"/>
              </w:rPr>
            </w:pPr>
            <w:r w:rsidRPr="00C337D4">
              <w:rPr>
                <w:color w:val="1F1F1F"/>
                <w:kern w:val="0"/>
                <w:sz w:val="22"/>
                <w:lang w:eastAsia="es-PE"/>
                <w14:ligatures w14:val="none"/>
              </w:rPr>
              <w:t>4.368</w:t>
            </w:r>
          </w:p>
        </w:tc>
        <w:tc>
          <w:tcPr>
            <w:tcW w:w="1129" w:type="dxa"/>
          </w:tcPr>
          <w:p w14:paraId="0C553074"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.068</w:t>
            </w:r>
          </w:p>
        </w:tc>
      </w:tr>
      <w:tr w:rsidR="00E4612C" w:rsidRPr="00C337D4" w14:paraId="66C52376" w14:textId="77777777" w:rsidTr="00EE493E">
        <w:trPr>
          <w:trHeight w:val="526"/>
        </w:trPr>
        <w:tc>
          <w:tcPr>
            <w:tcW w:w="0" w:type="auto"/>
            <w:vMerge/>
            <w:hideMark/>
          </w:tcPr>
          <w:p w14:paraId="52403084" w14:textId="77777777" w:rsidR="00E4612C" w:rsidRPr="00C337D4" w:rsidRDefault="00E4612C" w:rsidP="00EE493E">
            <w:pPr>
              <w:spacing w:before="120" w:after="120" w:line="240" w:lineRule="auto"/>
              <w:jc w:val="center"/>
              <w:rPr>
                <w:color w:val="1F1F1F"/>
                <w:kern w:val="0"/>
                <w:sz w:val="22"/>
                <w:lang w:eastAsia="es-PE"/>
                <w14:ligatures w14:val="none"/>
              </w:rPr>
            </w:pPr>
          </w:p>
        </w:tc>
        <w:tc>
          <w:tcPr>
            <w:tcW w:w="0" w:type="auto"/>
            <w:hideMark/>
          </w:tcPr>
          <w:p w14:paraId="03920941"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Dentro de grupos (Error)</w:t>
            </w:r>
          </w:p>
        </w:tc>
        <w:tc>
          <w:tcPr>
            <w:tcW w:w="0" w:type="auto"/>
          </w:tcPr>
          <w:p w14:paraId="1479B92A"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393.33</w:t>
            </w:r>
          </w:p>
        </w:tc>
        <w:tc>
          <w:tcPr>
            <w:tcW w:w="0" w:type="auto"/>
          </w:tcPr>
          <w:p w14:paraId="1CC13CBA"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6</w:t>
            </w:r>
          </w:p>
        </w:tc>
        <w:tc>
          <w:tcPr>
            <w:tcW w:w="1478" w:type="dxa"/>
          </w:tcPr>
          <w:p w14:paraId="3C437573"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65.55</w:t>
            </w:r>
          </w:p>
        </w:tc>
        <w:tc>
          <w:tcPr>
            <w:tcW w:w="0" w:type="auto"/>
          </w:tcPr>
          <w:p w14:paraId="02FD9A5E" w14:textId="77777777" w:rsidR="00E4612C" w:rsidRPr="00C337D4" w:rsidRDefault="00E4612C" w:rsidP="00EE493E">
            <w:pPr>
              <w:spacing w:before="120" w:after="120" w:line="240" w:lineRule="auto"/>
              <w:ind w:left="-112"/>
              <w:jc w:val="center"/>
              <w:rPr>
                <w:color w:val="1F1F1F"/>
                <w:kern w:val="0"/>
                <w:sz w:val="22"/>
                <w:lang w:eastAsia="es-PE"/>
                <w14:ligatures w14:val="none"/>
              </w:rPr>
            </w:pPr>
          </w:p>
        </w:tc>
        <w:tc>
          <w:tcPr>
            <w:tcW w:w="1129" w:type="dxa"/>
          </w:tcPr>
          <w:p w14:paraId="5617B69A" w14:textId="77777777" w:rsidR="00E4612C" w:rsidRPr="00C337D4" w:rsidRDefault="00E4612C" w:rsidP="00EE493E">
            <w:pPr>
              <w:spacing w:before="120" w:after="120" w:line="240" w:lineRule="auto"/>
              <w:jc w:val="center"/>
              <w:rPr>
                <w:kern w:val="0"/>
                <w:sz w:val="22"/>
                <w:lang w:eastAsia="es-PE"/>
                <w14:ligatures w14:val="none"/>
              </w:rPr>
            </w:pPr>
          </w:p>
        </w:tc>
      </w:tr>
      <w:tr w:rsidR="00E4612C" w:rsidRPr="00C337D4" w14:paraId="5841CD57" w14:textId="77777777" w:rsidTr="00EE493E">
        <w:trPr>
          <w:trHeight w:val="526"/>
        </w:trPr>
        <w:tc>
          <w:tcPr>
            <w:tcW w:w="0" w:type="auto"/>
            <w:vMerge w:val="restart"/>
            <w:hideMark/>
          </w:tcPr>
          <w:p w14:paraId="33EE5DD4"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Errores</w:t>
            </w:r>
          </w:p>
        </w:tc>
        <w:tc>
          <w:tcPr>
            <w:tcW w:w="0" w:type="auto"/>
            <w:hideMark/>
          </w:tcPr>
          <w:p w14:paraId="5A92606F"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Entre grupos</w:t>
            </w:r>
          </w:p>
        </w:tc>
        <w:tc>
          <w:tcPr>
            <w:tcW w:w="0" w:type="auto"/>
          </w:tcPr>
          <w:p w14:paraId="3C8A7B09"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320.88</w:t>
            </w:r>
          </w:p>
        </w:tc>
        <w:tc>
          <w:tcPr>
            <w:tcW w:w="0" w:type="auto"/>
          </w:tcPr>
          <w:p w14:paraId="279ED3A6"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2</w:t>
            </w:r>
          </w:p>
        </w:tc>
        <w:tc>
          <w:tcPr>
            <w:tcW w:w="1478" w:type="dxa"/>
          </w:tcPr>
          <w:p w14:paraId="132A56CF"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160.44</w:t>
            </w:r>
          </w:p>
        </w:tc>
        <w:tc>
          <w:tcPr>
            <w:tcW w:w="0" w:type="auto"/>
          </w:tcPr>
          <w:p w14:paraId="5A50EBF5" w14:textId="77777777" w:rsidR="00E4612C" w:rsidRPr="00C337D4" w:rsidRDefault="00E4612C" w:rsidP="00EE493E">
            <w:pPr>
              <w:spacing w:before="120" w:after="120" w:line="240" w:lineRule="auto"/>
              <w:ind w:left="-112"/>
              <w:jc w:val="center"/>
              <w:rPr>
                <w:color w:val="1F1F1F"/>
                <w:kern w:val="0"/>
                <w:sz w:val="22"/>
                <w:lang w:eastAsia="es-PE"/>
                <w14:ligatures w14:val="none"/>
              </w:rPr>
            </w:pPr>
            <w:r w:rsidRPr="00C337D4">
              <w:rPr>
                <w:color w:val="1F1F1F"/>
                <w:kern w:val="0"/>
                <w:sz w:val="22"/>
                <w:lang w:eastAsia="es-PE"/>
                <w14:ligatures w14:val="none"/>
              </w:rPr>
              <w:t>7.482</w:t>
            </w:r>
          </w:p>
        </w:tc>
        <w:tc>
          <w:tcPr>
            <w:tcW w:w="1129" w:type="dxa"/>
          </w:tcPr>
          <w:p w14:paraId="6D790F03"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.023</w:t>
            </w:r>
          </w:p>
        </w:tc>
      </w:tr>
      <w:tr w:rsidR="00E4612C" w:rsidRPr="00C337D4" w14:paraId="2B8C76FB" w14:textId="77777777" w:rsidTr="00EE493E">
        <w:trPr>
          <w:trHeight w:val="526"/>
        </w:trPr>
        <w:tc>
          <w:tcPr>
            <w:tcW w:w="0" w:type="auto"/>
            <w:vMerge/>
            <w:hideMark/>
          </w:tcPr>
          <w:p w14:paraId="6F6F6821" w14:textId="77777777" w:rsidR="00E4612C" w:rsidRPr="00C337D4" w:rsidRDefault="00E4612C" w:rsidP="00EE493E">
            <w:pPr>
              <w:spacing w:before="120" w:after="120" w:line="240" w:lineRule="auto"/>
              <w:jc w:val="center"/>
              <w:rPr>
                <w:color w:val="1F1F1F"/>
                <w:kern w:val="0"/>
                <w:sz w:val="22"/>
                <w:lang w:eastAsia="es-PE"/>
                <w14:ligatures w14:val="none"/>
              </w:rPr>
            </w:pPr>
          </w:p>
        </w:tc>
        <w:tc>
          <w:tcPr>
            <w:tcW w:w="0" w:type="auto"/>
            <w:hideMark/>
          </w:tcPr>
          <w:p w14:paraId="1FFABEEA"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Dentro de grupos (Error)</w:t>
            </w:r>
          </w:p>
        </w:tc>
        <w:tc>
          <w:tcPr>
            <w:tcW w:w="0" w:type="auto"/>
          </w:tcPr>
          <w:p w14:paraId="717AD379"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128.66</w:t>
            </w:r>
          </w:p>
        </w:tc>
        <w:tc>
          <w:tcPr>
            <w:tcW w:w="0" w:type="auto"/>
          </w:tcPr>
          <w:p w14:paraId="100FB934"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6</w:t>
            </w:r>
          </w:p>
        </w:tc>
        <w:tc>
          <w:tcPr>
            <w:tcW w:w="1478" w:type="dxa"/>
          </w:tcPr>
          <w:p w14:paraId="4640B743" w14:textId="77777777" w:rsidR="00E4612C" w:rsidRPr="00C337D4" w:rsidRDefault="00E4612C" w:rsidP="00EE493E">
            <w:pPr>
              <w:spacing w:before="120" w:after="120" w:line="240" w:lineRule="auto"/>
              <w:jc w:val="center"/>
              <w:rPr>
                <w:color w:val="1F1F1F"/>
                <w:kern w:val="0"/>
                <w:sz w:val="22"/>
                <w:lang w:eastAsia="es-PE"/>
                <w14:ligatures w14:val="none"/>
              </w:rPr>
            </w:pPr>
            <w:r w:rsidRPr="00C337D4">
              <w:rPr>
                <w:color w:val="1F1F1F"/>
                <w:kern w:val="0"/>
                <w:sz w:val="22"/>
                <w:lang w:eastAsia="es-PE"/>
                <w14:ligatures w14:val="none"/>
              </w:rPr>
              <w:t>21.44</w:t>
            </w:r>
          </w:p>
        </w:tc>
        <w:tc>
          <w:tcPr>
            <w:tcW w:w="0" w:type="auto"/>
          </w:tcPr>
          <w:p w14:paraId="3BC36819" w14:textId="77777777" w:rsidR="00E4612C" w:rsidRPr="00C337D4" w:rsidRDefault="00E4612C" w:rsidP="00EE493E">
            <w:pPr>
              <w:spacing w:before="120" w:after="120" w:line="240" w:lineRule="auto"/>
              <w:jc w:val="center"/>
              <w:rPr>
                <w:color w:val="1F1F1F"/>
                <w:kern w:val="0"/>
                <w:sz w:val="22"/>
                <w:lang w:eastAsia="es-PE"/>
                <w14:ligatures w14:val="none"/>
              </w:rPr>
            </w:pPr>
          </w:p>
        </w:tc>
        <w:tc>
          <w:tcPr>
            <w:tcW w:w="1129" w:type="dxa"/>
          </w:tcPr>
          <w:p w14:paraId="527D49FE" w14:textId="77777777" w:rsidR="00E4612C" w:rsidRPr="00C337D4" w:rsidRDefault="00E4612C" w:rsidP="00EE493E">
            <w:pPr>
              <w:spacing w:before="120" w:after="120" w:line="240" w:lineRule="auto"/>
              <w:jc w:val="center"/>
              <w:rPr>
                <w:kern w:val="0"/>
                <w:sz w:val="22"/>
                <w:lang w:eastAsia="es-PE"/>
                <w14:ligatures w14:val="none"/>
              </w:rPr>
            </w:pPr>
          </w:p>
        </w:tc>
      </w:tr>
    </w:tbl>
    <w:p w14:paraId="46BD4FA1" w14:textId="77777777" w:rsidR="00E4612C" w:rsidRDefault="00E4612C" w:rsidP="00E4612C">
      <w:pPr>
        <w:pStyle w:val="NOTASTABLASAPA7"/>
        <w:spacing w:before="120" w:after="120" w:line="240" w:lineRule="auto"/>
        <w:jc w:val="both"/>
        <w:rPr>
          <w:sz w:val="22"/>
          <w:szCs w:val="22"/>
        </w:rPr>
      </w:pPr>
      <w:r w:rsidRPr="00C337D4">
        <w:rPr>
          <w:i/>
          <w:iCs w:val="0"/>
          <w:sz w:val="22"/>
          <w:szCs w:val="22"/>
        </w:rPr>
        <w:t>Nota</w:t>
      </w:r>
      <w:r w:rsidRPr="00C337D4">
        <w:rPr>
          <w:sz w:val="22"/>
          <w:szCs w:val="22"/>
        </w:rPr>
        <w:t>. A1= línea base (sin sacarosa); B</w:t>
      </w:r>
      <w:r w:rsidRPr="00C337D4">
        <w:rPr>
          <w:sz w:val="22"/>
          <w:szCs w:val="22"/>
          <w:vertAlign w:val="subscript"/>
        </w:rPr>
        <w:t>2</w:t>
      </w:r>
      <w:r w:rsidRPr="00C337D4">
        <w:rPr>
          <w:sz w:val="22"/>
          <w:szCs w:val="22"/>
        </w:rPr>
        <w:t xml:space="preserve"> = fase experimental (con sacarosa); A</w:t>
      </w:r>
      <w:r w:rsidRPr="00C337D4">
        <w:rPr>
          <w:sz w:val="22"/>
          <w:szCs w:val="22"/>
          <w:vertAlign w:val="subscript"/>
        </w:rPr>
        <w:t xml:space="preserve">2 </w:t>
      </w:r>
      <w:r w:rsidRPr="00C337D4">
        <w:rPr>
          <w:sz w:val="22"/>
          <w:szCs w:val="22"/>
        </w:rPr>
        <w:t xml:space="preserve">= fase de reversión (sin sacarosa). </w:t>
      </w:r>
      <w:proofErr w:type="spellStart"/>
      <w:r w:rsidRPr="00C337D4">
        <w:rPr>
          <w:sz w:val="22"/>
          <w:szCs w:val="22"/>
        </w:rPr>
        <w:t>gl</w:t>
      </w:r>
      <w:proofErr w:type="spellEnd"/>
      <w:r w:rsidRPr="00C337D4">
        <w:rPr>
          <w:sz w:val="22"/>
          <w:szCs w:val="22"/>
        </w:rPr>
        <w:t xml:space="preserve"> = grados de libertad. </w:t>
      </w:r>
      <w:bookmarkStart w:id="2" w:name="_Hlk217088659"/>
      <w:r w:rsidRPr="00C337D4">
        <w:rPr>
          <w:sz w:val="22"/>
          <w:szCs w:val="22"/>
        </w:rPr>
        <w:t xml:space="preserve">Se asume un nivel de significancia de </w:t>
      </w:r>
      <w:r w:rsidRPr="00C337D4">
        <w:rPr>
          <w:i/>
          <w:iCs w:val="0"/>
          <w:sz w:val="22"/>
          <w:szCs w:val="22"/>
        </w:rPr>
        <w:t>p</w:t>
      </w:r>
      <w:r w:rsidRPr="00C337D4">
        <w:rPr>
          <w:sz w:val="22"/>
          <w:szCs w:val="22"/>
        </w:rPr>
        <w:t xml:space="preserve"> = .05.</w:t>
      </w:r>
      <w:bookmarkEnd w:id="2"/>
    </w:p>
    <w:p w14:paraId="67A4A229" w14:textId="77777777" w:rsidR="00E4612C" w:rsidRPr="00F53742" w:rsidRDefault="00E4612C" w:rsidP="00E4612C">
      <w:pPr>
        <w:pStyle w:val="NOTASTABLASAPA7"/>
        <w:spacing w:before="120" w:after="120" w:line="240" w:lineRule="auto"/>
        <w:jc w:val="both"/>
        <w:rPr>
          <w:sz w:val="22"/>
          <w:szCs w:val="22"/>
        </w:rPr>
      </w:pPr>
    </w:p>
    <w:tbl>
      <w:tblPr>
        <w:tblW w:w="9427" w:type="dxa"/>
        <w:tblCellMar>
          <w:left w:w="70" w:type="dxa"/>
          <w:right w:w="70" w:type="dxa"/>
        </w:tblCellMar>
        <w:tblLook w:val="04A0" w:firstRow="1" w:lastRow="0" w:firstColumn="1" w:lastColumn="0" w:noHBand="0" w:noVBand="1"/>
      </w:tblPr>
      <w:tblGrid>
        <w:gridCol w:w="1419"/>
        <w:gridCol w:w="1512"/>
        <w:gridCol w:w="1523"/>
        <w:gridCol w:w="1377"/>
        <w:gridCol w:w="1398"/>
        <w:gridCol w:w="757"/>
        <w:gridCol w:w="1441"/>
      </w:tblGrid>
      <w:tr w:rsidR="00E4612C" w:rsidRPr="00B87D34" w14:paraId="3E96074E" w14:textId="77777777" w:rsidTr="00EE493E">
        <w:trPr>
          <w:trHeight w:val="309"/>
        </w:trPr>
        <w:tc>
          <w:tcPr>
            <w:tcW w:w="1419" w:type="dxa"/>
            <w:tcBorders>
              <w:top w:val="nil"/>
              <w:left w:val="nil"/>
              <w:right w:val="nil"/>
            </w:tcBorders>
            <w:noWrap/>
            <w:vAlign w:val="bottom"/>
            <w:hideMark/>
          </w:tcPr>
          <w:p w14:paraId="172DDF4E" w14:textId="77777777" w:rsidR="00E4612C" w:rsidRPr="00B87D34" w:rsidRDefault="00E4612C" w:rsidP="00EE493E">
            <w:pPr>
              <w:rPr>
                <w:b/>
                <w:bCs/>
                <w:color w:val="000000"/>
              </w:rPr>
            </w:pPr>
            <w:r w:rsidRPr="00B87D34">
              <w:rPr>
                <w:b/>
                <w:bCs/>
                <w:color w:val="000000"/>
              </w:rPr>
              <w:t>Tabla 4</w:t>
            </w:r>
          </w:p>
        </w:tc>
        <w:tc>
          <w:tcPr>
            <w:tcW w:w="1512" w:type="dxa"/>
            <w:tcBorders>
              <w:top w:val="nil"/>
              <w:left w:val="nil"/>
              <w:right w:val="nil"/>
            </w:tcBorders>
            <w:noWrap/>
            <w:vAlign w:val="bottom"/>
            <w:hideMark/>
          </w:tcPr>
          <w:p w14:paraId="55DC805C" w14:textId="77777777" w:rsidR="00E4612C" w:rsidRPr="00B87D34" w:rsidRDefault="00E4612C" w:rsidP="00EE493E">
            <w:pPr>
              <w:spacing w:before="120" w:after="120"/>
              <w:rPr>
                <w:b/>
                <w:bCs/>
                <w:color w:val="000000"/>
              </w:rPr>
            </w:pPr>
          </w:p>
        </w:tc>
        <w:tc>
          <w:tcPr>
            <w:tcW w:w="1523" w:type="dxa"/>
            <w:tcBorders>
              <w:top w:val="nil"/>
              <w:left w:val="nil"/>
              <w:right w:val="nil"/>
            </w:tcBorders>
            <w:noWrap/>
            <w:vAlign w:val="bottom"/>
            <w:hideMark/>
          </w:tcPr>
          <w:p w14:paraId="07353F23" w14:textId="77777777" w:rsidR="00E4612C" w:rsidRPr="00B87D34" w:rsidRDefault="00E4612C" w:rsidP="00EE493E">
            <w:pPr>
              <w:spacing w:before="120" w:after="120"/>
              <w:rPr>
                <w:sz w:val="20"/>
                <w:szCs w:val="20"/>
              </w:rPr>
            </w:pPr>
          </w:p>
        </w:tc>
        <w:tc>
          <w:tcPr>
            <w:tcW w:w="1377" w:type="dxa"/>
            <w:tcBorders>
              <w:top w:val="nil"/>
              <w:left w:val="nil"/>
              <w:right w:val="nil"/>
            </w:tcBorders>
            <w:noWrap/>
            <w:vAlign w:val="bottom"/>
            <w:hideMark/>
          </w:tcPr>
          <w:p w14:paraId="20C3E2E8" w14:textId="77777777" w:rsidR="00E4612C" w:rsidRPr="00B87D34" w:rsidRDefault="00E4612C" w:rsidP="00EE493E">
            <w:pPr>
              <w:rPr>
                <w:sz w:val="20"/>
                <w:szCs w:val="20"/>
              </w:rPr>
            </w:pPr>
          </w:p>
        </w:tc>
        <w:tc>
          <w:tcPr>
            <w:tcW w:w="1398" w:type="dxa"/>
            <w:tcBorders>
              <w:top w:val="nil"/>
              <w:left w:val="nil"/>
              <w:right w:val="nil"/>
            </w:tcBorders>
            <w:noWrap/>
            <w:vAlign w:val="bottom"/>
            <w:hideMark/>
          </w:tcPr>
          <w:p w14:paraId="15E492CF" w14:textId="77777777" w:rsidR="00E4612C" w:rsidRPr="00B87D34" w:rsidRDefault="00E4612C" w:rsidP="00EE493E">
            <w:pPr>
              <w:rPr>
                <w:sz w:val="20"/>
                <w:szCs w:val="20"/>
              </w:rPr>
            </w:pPr>
          </w:p>
        </w:tc>
        <w:tc>
          <w:tcPr>
            <w:tcW w:w="757" w:type="dxa"/>
            <w:tcBorders>
              <w:top w:val="nil"/>
              <w:left w:val="nil"/>
              <w:right w:val="nil"/>
            </w:tcBorders>
            <w:noWrap/>
            <w:vAlign w:val="bottom"/>
            <w:hideMark/>
          </w:tcPr>
          <w:p w14:paraId="7CE0CF56" w14:textId="77777777" w:rsidR="00E4612C" w:rsidRPr="00B87D34" w:rsidRDefault="00E4612C" w:rsidP="00EE493E">
            <w:pPr>
              <w:rPr>
                <w:sz w:val="20"/>
                <w:szCs w:val="20"/>
              </w:rPr>
            </w:pPr>
          </w:p>
        </w:tc>
        <w:tc>
          <w:tcPr>
            <w:tcW w:w="1437" w:type="dxa"/>
            <w:tcBorders>
              <w:top w:val="nil"/>
              <w:left w:val="nil"/>
              <w:right w:val="nil"/>
            </w:tcBorders>
            <w:noWrap/>
            <w:vAlign w:val="bottom"/>
            <w:hideMark/>
          </w:tcPr>
          <w:p w14:paraId="577F02AA" w14:textId="77777777" w:rsidR="00E4612C" w:rsidRPr="00B87D34" w:rsidRDefault="00E4612C" w:rsidP="00EE493E">
            <w:pPr>
              <w:rPr>
                <w:sz w:val="20"/>
                <w:szCs w:val="20"/>
              </w:rPr>
            </w:pPr>
          </w:p>
        </w:tc>
      </w:tr>
      <w:tr w:rsidR="00E4612C" w:rsidRPr="00B87D34" w14:paraId="34BB7030" w14:textId="77777777" w:rsidTr="00EE493E">
        <w:trPr>
          <w:trHeight w:val="309"/>
        </w:trPr>
        <w:tc>
          <w:tcPr>
            <w:tcW w:w="9427" w:type="dxa"/>
            <w:gridSpan w:val="7"/>
            <w:tcBorders>
              <w:top w:val="nil"/>
              <w:left w:val="nil"/>
              <w:bottom w:val="single" w:sz="4" w:space="0" w:color="auto"/>
              <w:right w:val="nil"/>
            </w:tcBorders>
            <w:vAlign w:val="bottom"/>
            <w:hideMark/>
          </w:tcPr>
          <w:p w14:paraId="1CA3031F" w14:textId="77777777" w:rsidR="00E4612C" w:rsidRPr="00B87D34" w:rsidRDefault="00E4612C" w:rsidP="00EE493E">
            <w:pPr>
              <w:spacing w:before="120" w:after="120"/>
              <w:rPr>
                <w:i/>
                <w:iCs/>
                <w:color w:val="000000"/>
              </w:rPr>
            </w:pPr>
            <w:r w:rsidRPr="00B87D34">
              <w:rPr>
                <w:i/>
                <w:iCs/>
                <w:color w:val="000000"/>
              </w:rPr>
              <w:t>Comparaciones Post Hoc de Bonferroni para Aciertos y Errores según la fase experimental</w:t>
            </w:r>
          </w:p>
        </w:tc>
      </w:tr>
      <w:tr w:rsidR="00E4612C" w:rsidRPr="00B87D34" w14:paraId="0C18C4F3" w14:textId="77777777" w:rsidTr="00EE493E">
        <w:trPr>
          <w:trHeight w:val="910"/>
        </w:trPr>
        <w:tc>
          <w:tcPr>
            <w:tcW w:w="1419" w:type="dxa"/>
            <w:tcBorders>
              <w:top w:val="single" w:sz="4" w:space="0" w:color="auto"/>
              <w:left w:val="nil"/>
              <w:bottom w:val="single" w:sz="4" w:space="0" w:color="auto"/>
              <w:right w:val="nil"/>
            </w:tcBorders>
            <w:vAlign w:val="center"/>
            <w:hideMark/>
          </w:tcPr>
          <w:p w14:paraId="15CBB68F" w14:textId="77777777" w:rsidR="00E4612C" w:rsidRPr="00B87D34" w:rsidRDefault="00E4612C" w:rsidP="00EE493E">
            <w:pPr>
              <w:spacing w:before="120" w:after="120"/>
              <w:jc w:val="center"/>
              <w:rPr>
                <w:color w:val="000000"/>
              </w:rPr>
            </w:pPr>
            <w:r w:rsidRPr="00B87D34">
              <w:rPr>
                <w:color w:val="000000"/>
              </w:rPr>
              <w:t>Variable dependiente</w:t>
            </w:r>
          </w:p>
        </w:tc>
        <w:tc>
          <w:tcPr>
            <w:tcW w:w="1512" w:type="dxa"/>
            <w:tcBorders>
              <w:top w:val="single" w:sz="4" w:space="0" w:color="auto"/>
              <w:left w:val="nil"/>
              <w:bottom w:val="single" w:sz="4" w:space="0" w:color="auto"/>
              <w:right w:val="nil"/>
            </w:tcBorders>
            <w:vAlign w:val="center"/>
            <w:hideMark/>
          </w:tcPr>
          <w:p w14:paraId="43274C9D" w14:textId="77777777" w:rsidR="00E4612C" w:rsidRPr="00B87D34" w:rsidRDefault="00E4612C" w:rsidP="00EE493E">
            <w:pPr>
              <w:spacing w:before="120" w:after="120"/>
              <w:jc w:val="center"/>
              <w:rPr>
                <w:color w:val="000000"/>
              </w:rPr>
            </w:pPr>
            <w:r w:rsidRPr="00B87D34">
              <w:rPr>
                <w:color w:val="000000"/>
              </w:rPr>
              <w:t>(I) Condición</w:t>
            </w:r>
          </w:p>
        </w:tc>
        <w:tc>
          <w:tcPr>
            <w:tcW w:w="1523" w:type="dxa"/>
            <w:tcBorders>
              <w:top w:val="single" w:sz="4" w:space="0" w:color="auto"/>
              <w:left w:val="nil"/>
              <w:bottom w:val="single" w:sz="4" w:space="0" w:color="auto"/>
              <w:right w:val="nil"/>
            </w:tcBorders>
            <w:vAlign w:val="center"/>
            <w:hideMark/>
          </w:tcPr>
          <w:p w14:paraId="55B2F382" w14:textId="77777777" w:rsidR="00E4612C" w:rsidRPr="00B87D34" w:rsidRDefault="00E4612C" w:rsidP="00EE493E">
            <w:pPr>
              <w:spacing w:before="120" w:after="120"/>
              <w:jc w:val="center"/>
              <w:rPr>
                <w:color w:val="000000"/>
              </w:rPr>
            </w:pPr>
            <w:r w:rsidRPr="00B87D34">
              <w:rPr>
                <w:color w:val="000000"/>
              </w:rPr>
              <w:t>(J) Condición</w:t>
            </w:r>
          </w:p>
        </w:tc>
        <w:tc>
          <w:tcPr>
            <w:tcW w:w="1377" w:type="dxa"/>
            <w:tcBorders>
              <w:top w:val="single" w:sz="4" w:space="0" w:color="auto"/>
              <w:left w:val="nil"/>
              <w:bottom w:val="single" w:sz="4" w:space="0" w:color="auto"/>
              <w:right w:val="nil"/>
            </w:tcBorders>
            <w:vAlign w:val="center"/>
            <w:hideMark/>
          </w:tcPr>
          <w:p w14:paraId="4D349F36" w14:textId="77777777" w:rsidR="00E4612C" w:rsidRPr="00B87D34" w:rsidRDefault="00E4612C" w:rsidP="00EE493E">
            <w:pPr>
              <w:jc w:val="center"/>
              <w:rPr>
                <w:color w:val="000000"/>
              </w:rPr>
            </w:pPr>
            <w:r w:rsidRPr="00B87D34">
              <w:rPr>
                <w:color w:val="000000"/>
              </w:rPr>
              <w:t>Diferencia de medias (I-J)</w:t>
            </w:r>
          </w:p>
        </w:tc>
        <w:tc>
          <w:tcPr>
            <w:tcW w:w="1398" w:type="dxa"/>
            <w:tcBorders>
              <w:top w:val="single" w:sz="4" w:space="0" w:color="auto"/>
              <w:left w:val="nil"/>
              <w:bottom w:val="single" w:sz="4" w:space="0" w:color="auto"/>
              <w:right w:val="nil"/>
            </w:tcBorders>
            <w:vAlign w:val="center"/>
            <w:hideMark/>
          </w:tcPr>
          <w:p w14:paraId="76CCC46A" w14:textId="77777777" w:rsidR="00E4612C" w:rsidRPr="00B87D34" w:rsidRDefault="00E4612C" w:rsidP="00EE493E">
            <w:pPr>
              <w:jc w:val="center"/>
              <w:rPr>
                <w:color w:val="000000"/>
              </w:rPr>
            </w:pPr>
            <w:r w:rsidRPr="00B87D34">
              <w:rPr>
                <w:color w:val="000000"/>
              </w:rPr>
              <w:t>Error estándar</w:t>
            </w:r>
          </w:p>
        </w:tc>
        <w:tc>
          <w:tcPr>
            <w:tcW w:w="757" w:type="dxa"/>
            <w:tcBorders>
              <w:top w:val="single" w:sz="4" w:space="0" w:color="auto"/>
              <w:left w:val="nil"/>
              <w:bottom w:val="single" w:sz="4" w:space="0" w:color="auto"/>
              <w:right w:val="nil"/>
            </w:tcBorders>
            <w:vAlign w:val="center"/>
            <w:hideMark/>
          </w:tcPr>
          <w:p w14:paraId="289802A2" w14:textId="77777777" w:rsidR="00E4612C" w:rsidRPr="00B87D34" w:rsidRDefault="00E4612C" w:rsidP="00EE493E">
            <w:pPr>
              <w:jc w:val="center"/>
              <w:rPr>
                <w:i/>
                <w:iCs/>
                <w:color w:val="000000"/>
              </w:rPr>
            </w:pPr>
            <w:r w:rsidRPr="00B87D34">
              <w:rPr>
                <w:i/>
                <w:iCs/>
                <w:color w:val="000000"/>
              </w:rPr>
              <w:t>p</w:t>
            </w:r>
          </w:p>
        </w:tc>
        <w:tc>
          <w:tcPr>
            <w:tcW w:w="1437" w:type="dxa"/>
            <w:tcBorders>
              <w:top w:val="single" w:sz="4" w:space="0" w:color="auto"/>
              <w:left w:val="nil"/>
              <w:bottom w:val="single" w:sz="4" w:space="0" w:color="auto"/>
              <w:right w:val="nil"/>
            </w:tcBorders>
            <w:vAlign w:val="center"/>
            <w:hideMark/>
          </w:tcPr>
          <w:p w14:paraId="6AA9B885" w14:textId="77777777" w:rsidR="00E4612C" w:rsidRPr="00B87D34" w:rsidRDefault="00E4612C" w:rsidP="00EE493E">
            <w:pPr>
              <w:jc w:val="center"/>
              <w:rPr>
                <w:color w:val="000000"/>
              </w:rPr>
            </w:pPr>
            <w:r w:rsidRPr="00B87D34">
              <w:rPr>
                <w:color w:val="000000"/>
              </w:rPr>
              <w:t>95% IC [LI, LS]</w:t>
            </w:r>
          </w:p>
        </w:tc>
      </w:tr>
      <w:tr w:rsidR="00E4612C" w:rsidRPr="00B87D34" w14:paraId="7F046634" w14:textId="77777777" w:rsidTr="00EE493E">
        <w:trPr>
          <w:trHeight w:val="309"/>
        </w:trPr>
        <w:tc>
          <w:tcPr>
            <w:tcW w:w="1419" w:type="dxa"/>
            <w:vMerge w:val="restart"/>
            <w:tcBorders>
              <w:top w:val="single" w:sz="4" w:space="0" w:color="auto"/>
              <w:left w:val="nil"/>
              <w:bottom w:val="nil"/>
              <w:right w:val="nil"/>
            </w:tcBorders>
            <w:noWrap/>
            <w:vAlign w:val="center"/>
            <w:hideMark/>
          </w:tcPr>
          <w:p w14:paraId="2D4850B5" w14:textId="77777777" w:rsidR="00E4612C" w:rsidRPr="00B87D34" w:rsidRDefault="00E4612C" w:rsidP="00EE493E">
            <w:pPr>
              <w:spacing w:before="120" w:after="120"/>
              <w:jc w:val="center"/>
              <w:rPr>
                <w:color w:val="000000"/>
              </w:rPr>
            </w:pPr>
            <w:r w:rsidRPr="00B87D34">
              <w:rPr>
                <w:color w:val="000000"/>
              </w:rPr>
              <w:t>Aciertos</w:t>
            </w:r>
          </w:p>
        </w:tc>
        <w:tc>
          <w:tcPr>
            <w:tcW w:w="1512" w:type="dxa"/>
            <w:vMerge w:val="restart"/>
            <w:tcBorders>
              <w:top w:val="single" w:sz="4" w:space="0" w:color="auto"/>
              <w:left w:val="nil"/>
              <w:bottom w:val="nil"/>
              <w:right w:val="nil"/>
            </w:tcBorders>
            <w:noWrap/>
            <w:vAlign w:val="center"/>
            <w:hideMark/>
          </w:tcPr>
          <w:p w14:paraId="4A4CEC98" w14:textId="77777777" w:rsidR="00E4612C" w:rsidRPr="00B87D34" w:rsidRDefault="00E4612C" w:rsidP="00EE493E">
            <w:pPr>
              <w:spacing w:before="120" w:after="120"/>
              <w:jc w:val="center"/>
              <w:rPr>
                <w:color w:val="000000"/>
              </w:rPr>
            </w:pPr>
            <w:r w:rsidRPr="00C337D4">
              <w:rPr>
                <w:color w:val="000000"/>
              </w:rPr>
              <w:t>A1</w:t>
            </w:r>
          </w:p>
        </w:tc>
        <w:tc>
          <w:tcPr>
            <w:tcW w:w="1523" w:type="dxa"/>
            <w:tcBorders>
              <w:top w:val="single" w:sz="4" w:space="0" w:color="auto"/>
              <w:left w:val="nil"/>
              <w:bottom w:val="nil"/>
              <w:right w:val="nil"/>
            </w:tcBorders>
            <w:noWrap/>
            <w:vAlign w:val="center"/>
            <w:hideMark/>
          </w:tcPr>
          <w:p w14:paraId="041D6FF2" w14:textId="77777777" w:rsidR="00E4612C" w:rsidRPr="00B87D34" w:rsidRDefault="00E4612C" w:rsidP="00EE493E">
            <w:pPr>
              <w:spacing w:before="120" w:after="120"/>
              <w:jc w:val="center"/>
              <w:rPr>
                <w:color w:val="000000"/>
              </w:rPr>
            </w:pPr>
            <w:r w:rsidRPr="00C337D4">
              <w:rPr>
                <w:color w:val="000000"/>
              </w:rPr>
              <w:t>B</w:t>
            </w:r>
          </w:p>
        </w:tc>
        <w:tc>
          <w:tcPr>
            <w:tcW w:w="1377" w:type="dxa"/>
            <w:tcBorders>
              <w:top w:val="single" w:sz="4" w:space="0" w:color="auto"/>
              <w:left w:val="nil"/>
              <w:bottom w:val="nil"/>
              <w:right w:val="nil"/>
            </w:tcBorders>
            <w:noWrap/>
            <w:vAlign w:val="center"/>
            <w:hideMark/>
          </w:tcPr>
          <w:p w14:paraId="785C3987" w14:textId="77777777" w:rsidR="00E4612C" w:rsidRPr="00B87D34" w:rsidRDefault="00E4612C" w:rsidP="00EE493E">
            <w:pPr>
              <w:jc w:val="center"/>
              <w:rPr>
                <w:color w:val="000000"/>
              </w:rPr>
            </w:pPr>
            <w:r w:rsidRPr="00B87D34">
              <w:rPr>
                <w:color w:val="000000"/>
              </w:rPr>
              <w:t>-18.67</w:t>
            </w:r>
          </w:p>
        </w:tc>
        <w:tc>
          <w:tcPr>
            <w:tcW w:w="1398" w:type="dxa"/>
            <w:tcBorders>
              <w:top w:val="single" w:sz="4" w:space="0" w:color="auto"/>
              <w:left w:val="nil"/>
              <w:bottom w:val="nil"/>
              <w:right w:val="nil"/>
            </w:tcBorders>
            <w:noWrap/>
            <w:vAlign w:val="center"/>
            <w:hideMark/>
          </w:tcPr>
          <w:p w14:paraId="0517ED1A" w14:textId="77777777" w:rsidR="00E4612C" w:rsidRPr="00B87D34" w:rsidRDefault="00E4612C" w:rsidP="00EE493E">
            <w:pPr>
              <w:jc w:val="center"/>
              <w:rPr>
                <w:color w:val="000000"/>
              </w:rPr>
            </w:pPr>
            <w:r w:rsidRPr="00B87D34">
              <w:rPr>
                <w:color w:val="000000"/>
              </w:rPr>
              <w:t>6.61</w:t>
            </w:r>
          </w:p>
        </w:tc>
        <w:tc>
          <w:tcPr>
            <w:tcW w:w="757" w:type="dxa"/>
            <w:tcBorders>
              <w:top w:val="single" w:sz="4" w:space="0" w:color="auto"/>
              <w:left w:val="nil"/>
              <w:bottom w:val="nil"/>
              <w:right w:val="nil"/>
            </w:tcBorders>
            <w:noWrap/>
            <w:vAlign w:val="center"/>
            <w:hideMark/>
          </w:tcPr>
          <w:p w14:paraId="01EFB812" w14:textId="77777777" w:rsidR="00E4612C" w:rsidRPr="00B87D34" w:rsidRDefault="00E4612C" w:rsidP="00EE493E">
            <w:pPr>
              <w:jc w:val="center"/>
              <w:rPr>
                <w:color w:val="000000"/>
              </w:rPr>
            </w:pPr>
            <w:r w:rsidRPr="00B87D34">
              <w:rPr>
                <w:color w:val="000000"/>
              </w:rPr>
              <w:t>0.091</w:t>
            </w:r>
          </w:p>
        </w:tc>
        <w:tc>
          <w:tcPr>
            <w:tcW w:w="1437" w:type="dxa"/>
            <w:tcBorders>
              <w:top w:val="single" w:sz="4" w:space="0" w:color="auto"/>
              <w:left w:val="nil"/>
              <w:bottom w:val="nil"/>
              <w:right w:val="nil"/>
            </w:tcBorders>
            <w:noWrap/>
            <w:vAlign w:val="center"/>
            <w:hideMark/>
          </w:tcPr>
          <w:p w14:paraId="647531CD" w14:textId="77777777" w:rsidR="00E4612C" w:rsidRPr="00B87D34" w:rsidRDefault="00E4612C" w:rsidP="00EE493E">
            <w:pPr>
              <w:jc w:val="center"/>
              <w:rPr>
                <w:color w:val="000000"/>
              </w:rPr>
            </w:pPr>
            <w:r w:rsidRPr="00B87D34">
              <w:rPr>
                <w:color w:val="000000"/>
              </w:rPr>
              <w:t>[-40.40, 3.07]</w:t>
            </w:r>
          </w:p>
        </w:tc>
      </w:tr>
      <w:tr w:rsidR="00E4612C" w:rsidRPr="00B87D34" w14:paraId="04DCA4EE" w14:textId="77777777" w:rsidTr="00EE493E">
        <w:trPr>
          <w:trHeight w:val="309"/>
        </w:trPr>
        <w:tc>
          <w:tcPr>
            <w:tcW w:w="1419" w:type="dxa"/>
            <w:vMerge/>
            <w:tcBorders>
              <w:top w:val="nil"/>
              <w:left w:val="nil"/>
              <w:bottom w:val="nil"/>
              <w:right w:val="nil"/>
            </w:tcBorders>
            <w:vAlign w:val="center"/>
            <w:hideMark/>
          </w:tcPr>
          <w:p w14:paraId="66D1DCD6" w14:textId="77777777" w:rsidR="00E4612C" w:rsidRPr="00B87D34" w:rsidRDefault="00E4612C" w:rsidP="00EE493E">
            <w:pPr>
              <w:spacing w:before="120" w:after="120"/>
              <w:rPr>
                <w:color w:val="000000"/>
              </w:rPr>
            </w:pPr>
          </w:p>
        </w:tc>
        <w:tc>
          <w:tcPr>
            <w:tcW w:w="1512" w:type="dxa"/>
            <w:vMerge/>
            <w:tcBorders>
              <w:top w:val="nil"/>
              <w:left w:val="nil"/>
              <w:bottom w:val="nil"/>
              <w:right w:val="nil"/>
            </w:tcBorders>
            <w:vAlign w:val="center"/>
            <w:hideMark/>
          </w:tcPr>
          <w:p w14:paraId="1C11F900" w14:textId="77777777" w:rsidR="00E4612C" w:rsidRPr="00B87D34" w:rsidRDefault="00E4612C" w:rsidP="00EE493E">
            <w:pPr>
              <w:spacing w:before="120" w:after="120"/>
              <w:jc w:val="center"/>
              <w:rPr>
                <w:color w:val="000000"/>
              </w:rPr>
            </w:pPr>
          </w:p>
        </w:tc>
        <w:tc>
          <w:tcPr>
            <w:tcW w:w="1523" w:type="dxa"/>
            <w:tcBorders>
              <w:top w:val="nil"/>
              <w:left w:val="nil"/>
              <w:bottom w:val="nil"/>
              <w:right w:val="nil"/>
            </w:tcBorders>
            <w:noWrap/>
            <w:vAlign w:val="center"/>
            <w:hideMark/>
          </w:tcPr>
          <w:p w14:paraId="788A471E" w14:textId="77777777" w:rsidR="00E4612C" w:rsidRPr="00B87D34" w:rsidRDefault="00E4612C" w:rsidP="00EE493E">
            <w:pPr>
              <w:spacing w:before="120" w:after="120"/>
              <w:jc w:val="center"/>
              <w:rPr>
                <w:color w:val="000000"/>
              </w:rPr>
            </w:pPr>
            <w:r w:rsidRPr="00C337D4">
              <w:rPr>
                <w:color w:val="000000"/>
              </w:rPr>
              <w:t>A2</w:t>
            </w:r>
          </w:p>
        </w:tc>
        <w:tc>
          <w:tcPr>
            <w:tcW w:w="1377" w:type="dxa"/>
            <w:tcBorders>
              <w:top w:val="nil"/>
              <w:left w:val="nil"/>
              <w:bottom w:val="nil"/>
              <w:right w:val="nil"/>
            </w:tcBorders>
            <w:noWrap/>
            <w:vAlign w:val="center"/>
            <w:hideMark/>
          </w:tcPr>
          <w:p w14:paraId="6BD74D18" w14:textId="77777777" w:rsidR="00E4612C" w:rsidRPr="00B87D34" w:rsidRDefault="00E4612C" w:rsidP="00EE493E">
            <w:pPr>
              <w:jc w:val="center"/>
              <w:rPr>
                <w:color w:val="000000"/>
              </w:rPr>
            </w:pPr>
            <w:r w:rsidRPr="00B87D34">
              <w:rPr>
                <w:color w:val="000000"/>
              </w:rPr>
              <w:t>-4.33</w:t>
            </w:r>
          </w:p>
        </w:tc>
        <w:tc>
          <w:tcPr>
            <w:tcW w:w="1398" w:type="dxa"/>
            <w:tcBorders>
              <w:top w:val="nil"/>
              <w:left w:val="nil"/>
              <w:bottom w:val="nil"/>
              <w:right w:val="nil"/>
            </w:tcBorders>
            <w:noWrap/>
            <w:vAlign w:val="center"/>
            <w:hideMark/>
          </w:tcPr>
          <w:p w14:paraId="3DB59405" w14:textId="77777777" w:rsidR="00E4612C" w:rsidRPr="00B87D34" w:rsidRDefault="00E4612C" w:rsidP="00EE493E">
            <w:pPr>
              <w:jc w:val="center"/>
              <w:rPr>
                <w:color w:val="000000"/>
              </w:rPr>
            </w:pPr>
            <w:r w:rsidRPr="00B87D34">
              <w:rPr>
                <w:color w:val="000000"/>
              </w:rPr>
              <w:t>6.61</w:t>
            </w:r>
          </w:p>
        </w:tc>
        <w:tc>
          <w:tcPr>
            <w:tcW w:w="757" w:type="dxa"/>
            <w:tcBorders>
              <w:top w:val="nil"/>
              <w:left w:val="nil"/>
              <w:bottom w:val="nil"/>
              <w:right w:val="nil"/>
            </w:tcBorders>
            <w:noWrap/>
            <w:vAlign w:val="center"/>
            <w:hideMark/>
          </w:tcPr>
          <w:p w14:paraId="79FC58DB" w14:textId="77777777" w:rsidR="00E4612C" w:rsidRPr="00B87D34" w:rsidRDefault="00E4612C" w:rsidP="00EE493E">
            <w:pPr>
              <w:jc w:val="center"/>
              <w:rPr>
                <w:color w:val="000000"/>
              </w:rPr>
            </w:pPr>
            <w:r w:rsidRPr="00B87D34">
              <w:rPr>
                <w:color w:val="000000"/>
              </w:rPr>
              <w:t>1</w:t>
            </w:r>
          </w:p>
        </w:tc>
        <w:tc>
          <w:tcPr>
            <w:tcW w:w="1437" w:type="dxa"/>
            <w:tcBorders>
              <w:top w:val="nil"/>
              <w:left w:val="nil"/>
              <w:bottom w:val="nil"/>
              <w:right w:val="nil"/>
            </w:tcBorders>
            <w:noWrap/>
            <w:vAlign w:val="center"/>
            <w:hideMark/>
          </w:tcPr>
          <w:p w14:paraId="60E9CFFA" w14:textId="77777777" w:rsidR="00E4612C" w:rsidRPr="00B87D34" w:rsidRDefault="00E4612C" w:rsidP="00EE493E">
            <w:pPr>
              <w:jc w:val="center"/>
              <w:rPr>
                <w:color w:val="000000"/>
              </w:rPr>
            </w:pPr>
            <w:r w:rsidRPr="00B87D34">
              <w:rPr>
                <w:color w:val="000000"/>
              </w:rPr>
              <w:t>[-26.07, 17.40]</w:t>
            </w:r>
          </w:p>
        </w:tc>
      </w:tr>
      <w:tr w:rsidR="00E4612C" w:rsidRPr="00B87D34" w14:paraId="663C8BBA" w14:textId="77777777" w:rsidTr="00EE493E">
        <w:trPr>
          <w:trHeight w:val="309"/>
        </w:trPr>
        <w:tc>
          <w:tcPr>
            <w:tcW w:w="1419" w:type="dxa"/>
            <w:vMerge/>
            <w:tcBorders>
              <w:top w:val="nil"/>
              <w:left w:val="nil"/>
              <w:bottom w:val="nil"/>
              <w:right w:val="nil"/>
            </w:tcBorders>
            <w:vAlign w:val="center"/>
            <w:hideMark/>
          </w:tcPr>
          <w:p w14:paraId="1FB002A6" w14:textId="77777777" w:rsidR="00E4612C" w:rsidRPr="00B87D34" w:rsidRDefault="00E4612C" w:rsidP="00EE493E">
            <w:pPr>
              <w:spacing w:before="120" w:after="120"/>
              <w:rPr>
                <w:color w:val="000000"/>
              </w:rPr>
            </w:pPr>
          </w:p>
        </w:tc>
        <w:tc>
          <w:tcPr>
            <w:tcW w:w="1512" w:type="dxa"/>
            <w:tcBorders>
              <w:top w:val="nil"/>
              <w:left w:val="nil"/>
              <w:bottom w:val="nil"/>
              <w:right w:val="nil"/>
            </w:tcBorders>
            <w:noWrap/>
            <w:vAlign w:val="center"/>
            <w:hideMark/>
          </w:tcPr>
          <w:p w14:paraId="3E625905" w14:textId="77777777" w:rsidR="00E4612C" w:rsidRPr="00B87D34" w:rsidRDefault="00E4612C" w:rsidP="00EE493E">
            <w:pPr>
              <w:spacing w:before="120" w:after="120"/>
              <w:jc w:val="center"/>
              <w:rPr>
                <w:color w:val="000000"/>
              </w:rPr>
            </w:pPr>
            <w:r w:rsidRPr="00C337D4">
              <w:rPr>
                <w:color w:val="000000"/>
              </w:rPr>
              <w:t>B</w:t>
            </w:r>
          </w:p>
        </w:tc>
        <w:tc>
          <w:tcPr>
            <w:tcW w:w="1523" w:type="dxa"/>
            <w:tcBorders>
              <w:top w:val="nil"/>
              <w:left w:val="nil"/>
              <w:bottom w:val="nil"/>
              <w:right w:val="nil"/>
            </w:tcBorders>
            <w:noWrap/>
            <w:vAlign w:val="center"/>
            <w:hideMark/>
          </w:tcPr>
          <w:p w14:paraId="5DFDEFED" w14:textId="77777777" w:rsidR="00E4612C" w:rsidRPr="00B87D34" w:rsidRDefault="00E4612C" w:rsidP="00EE493E">
            <w:pPr>
              <w:spacing w:before="120" w:after="120"/>
              <w:jc w:val="center"/>
              <w:rPr>
                <w:color w:val="000000"/>
              </w:rPr>
            </w:pPr>
            <w:r w:rsidRPr="00C337D4">
              <w:rPr>
                <w:color w:val="000000"/>
              </w:rPr>
              <w:t>A2</w:t>
            </w:r>
          </w:p>
        </w:tc>
        <w:tc>
          <w:tcPr>
            <w:tcW w:w="1377" w:type="dxa"/>
            <w:tcBorders>
              <w:top w:val="nil"/>
              <w:left w:val="nil"/>
              <w:bottom w:val="nil"/>
              <w:right w:val="nil"/>
            </w:tcBorders>
            <w:noWrap/>
            <w:vAlign w:val="center"/>
            <w:hideMark/>
          </w:tcPr>
          <w:p w14:paraId="71EA5280" w14:textId="77777777" w:rsidR="00E4612C" w:rsidRPr="00B87D34" w:rsidRDefault="00E4612C" w:rsidP="00EE493E">
            <w:pPr>
              <w:jc w:val="center"/>
              <w:rPr>
                <w:color w:val="000000"/>
              </w:rPr>
            </w:pPr>
            <w:r w:rsidRPr="00B87D34">
              <w:rPr>
                <w:color w:val="000000"/>
              </w:rPr>
              <w:t>14.33</w:t>
            </w:r>
          </w:p>
        </w:tc>
        <w:tc>
          <w:tcPr>
            <w:tcW w:w="1398" w:type="dxa"/>
            <w:tcBorders>
              <w:top w:val="nil"/>
              <w:left w:val="nil"/>
              <w:bottom w:val="nil"/>
              <w:right w:val="nil"/>
            </w:tcBorders>
            <w:noWrap/>
            <w:vAlign w:val="center"/>
            <w:hideMark/>
          </w:tcPr>
          <w:p w14:paraId="456BFEEC" w14:textId="77777777" w:rsidR="00E4612C" w:rsidRPr="00B87D34" w:rsidRDefault="00E4612C" w:rsidP="00EE493E">
            <w:pPr>
              <w:jc w:val="center"/>
              <w:rPr>
                <w:color w:val="000000"/>
              </w:rPr>
            </w:pPr>
            <w:r w:rsidRPr="00B87D34">
              <w:rPr>
                <w:color w:val="000000"/>
              </w:rPr>
              <w:t>6.61</w:t>
            </w:r>
          </w:p>
        </w:tc>
        <w:tc>
          <w:tcPr>
            <w:tcW w:w="757" w:type="dxa"/>
            <w:tcBorders>
              <w:top w:val="nil"/>
              <w:left w:val="nil"/>
              <w:bottom w:val="nil"/>
              <w:right w:val="nil"/>
            </w:tcBorders>
            <w:noWrap/>
            <w:vAlign w:val="center"/>
            <w:hideMark/>
          </w:tcPr>
          <w:p w14:paraId="5B1F787A" w14:textId="77777777" w:rsidR="00E4612C" w:rsidRPr="00B87D34" w:rsidRDefault="00E4612C" w:rsidP="00EE493E">
            <w:pPr>
              <w:jc w:val="center"/>
              <w:rPr>
                <w:color w:val="000000"/>
              </w:rPr>
            </w:pPr>
            <w:r w:rsidRPr="00B87D34">
              <w:rPr>
                <w:color w:val="000000"/>
              </w:rPr>
              <w:t>0.22</w:t>
            </w:r>
          </w:p>
        </w:tc>
        <w:tc>
          <w:tcPr>
            <w:tcW w:w="1437" w:type="dxa"/>
            <w:tcBorders>
              <w:top w:val="nil"/>
              <w:left w:val="nil"/>
              <w:bottom w:val="nil"/>
              <w:right w:val="nil"/>
            </w:tcBorders>
            <w:noWrap/>
            <w:vAlign w:val="center"/>
            <w:hideMark/>
          </w:tcPr>
          <w:p w14:paraId="615DCADE" w14:textId="77777777" w:rsidR="00E4612C" w:rsidRPr="00B87D34" w:rsidRDefault="00E4612C" w:rsidP="00EE493E">
            <w:pPr>
              <w:jc w:val="center"/>
              <w:rPr>
                <w:color w:val="000000"/>
              </w:rPr>
            </w:pPr>
            <w:r w:rsidRPr="00B87D34">
              <w:rPr>
                <w:color w:val="000000"/>
              </w:rPr>
              <w:t>[-7.40, 36.07]</w:t>
            </w:r>
          </w:p>
        </w:tc>
      </w:tr>
      <w:tr w:rsidR="00E4612C" w:rsidRPr="00B87D34" w14:paraId="5B679095" w14:textId="77777777" w:rsidTr="00EE493E">
        <w:trPr>
          <w:trHeight w:val="309"/>
        </w:trPr>
        <w:tc>
          <w:tcPr>
            <w:tcW w:w="1419" w:type="dxa"/>
            <w:vMerge w:val="restart"/>
            <w:tcBorders>
              <w:top w:val="nil"/>
              <w:left w:val="nil"/>
              <w:bottom w:val="single" w:sz="4" w:space="0" w:color="000000"/>
              <w:right w:val="nil"/>
            </w:tcBorders>
            <w:noWrap/>
            <w:vAlign w:val="center"/>
            <w:hideMark/>
          </w:tcPr>
          <w:p w14:paraId="3BC939AF" w14:textId="77777777" w:rsidR="00E4612C" w:rsidRPr="00B87D34" w:rsidRDefault="00E4612C" w:rsidP="00EE493E">
            <w:pPr>
              <w:spacing w:before="120" w:after="120"/>
              <w:jc w:val="center"/>
              <w:rPr>
                <w:color w:val="000000"/>
              </w:rPr>
            </w:pPr>
            <w:r w:rsidRPr="00B87D34">
              <w:rPr>
                <w:color w:val="000000"/>
              </w:rPr>
              <w:t>Errores</w:t>
            </w:r>
          </w:p>
        </w:tc>
        <w:tc>
          <w:tcPr>
            <w:tcW w:w="1512" w:type="dxa"/>
            <w:vMerge w:val="restart"/>
            <w:tcBorders>
              <w:top w:val="nil"/>
              <w:left w:val="nil"/>
              <w:bottom w:val="nil"/>
              <w:right w:val="nil"/>
            </w:tcBorders>
            <w:noWrap/>
            <w:vAlign w:val="center"/>
            <w:hideMark/>
          </w:tcPr>
          <w:p w14:paraId="31B6C39E" w14:textId="77777777" w:rsidR="00E4612C" w:rsidRPr="00B87D34" w:rsidRDefault="00E4612C" w:rsidP="00EE493E">
            <w:pPr>
              <w:spacing w:before="120" w:after="120"/>
              <w:jc w:val="center"/>
              <w:rPr>
                <w:color w:val="000000"/>
              </w:rPr>
            </w:pPr>
            <w:r w:rsidRPr="00C337D4">
              <w:rPr>
                <w:color w:val="000000"/>
              </w:rPr>
              <w:t>A1</w:t>
            </w:r>
          </w:p>
        </w:tc>
        <w:tc>
          <w:tcPr>
            <w:tcW w:w="1523" w:type="dxa"/>
            <w:tcBorders>
              <w:top w:val="nil"/>
              <w:left w:val="nil"/>
              <w:bottom w:val="nil"/>
              <w:right w:val="nil"/>
            </w:tcBorders>
            <w:noWrap/>
            <w:vAlign w:val="center"/>
            <w:hideMark/>
          </w:tcPr>
          <w:p w14:paraId="4B7B6475" w14:textId="77777777" w:rsidR="00E4612C" w:rsidRPr="00B87D34" w:rsidRDefault="00E4612C" w:rsidP="00EE493E">
            <w:pPr>
              <w:spacing w:before="120" w:after="120"/>
              <w:jc w:val="center"/>
              <w:rPr>
                <w:color w:val="000000"/>
              </w:rPr>
            </w:pPr>
            <w:r w:rsidRPr="00C337D4">
              <w:rPr>
                <w:color w:val="000000"/>
              </w:rPr>
              <w:t>B</w:t>
            </w:r>
          </w:p>
        </w:tc>
        <w:tc>
          <w:tcPr>
            <w:tcW w:w="1377" w:type="dxa"/>
            <w:tcBorders>
              <w:top w:val="nil"/>
              <w:left w:val="nil"/>
              <w:bottom w:val="nil"/>
              <w:right w:val="nil"/>
            </w:tcBorders>
            <w:noWrap/>
            <w:vAlign w:val="center"/>
            <w:hideMark/>
          </w:tcPr>
          <w:p w14:paraId="57C9B119" w14:textId="77777777" w:rsidR="00E4612C" w:rsidRPr="00B87D34" w:rsidRDefault="00E4612C" w:rsidP="00EE493E">
            <w:pPr>
              <w:jc w:val="center"/>
              <w:rPr>
                <w:color w:val="000000"/>
              </w:rPr>
            </w:pPr>
            <w:r w:rsidRPr="00B87D34">
              <w:rPr>
                <w:color w:val="000000"/>
              </w:rPr>
              <w:t>10.67</w:t>
            </w:r>
          </w:p>
        </w:tc>
        <w:tc>
          <w:tcPr>
            <w:tcW w:w="1398" w:type="dxa"/>
            <w:tcBorders>
              <w:top w:val="nil"/>
              <w:left w:val="nil"/>
              <w:bottom w:val="nil"/>
              <w:right w:val="nil"/>
            </w:tcBorders>
            <w:noWrap/>
            <w:vAlign w:val="center"/>
            <w:hideMark/>
          </w:tcPr>
          <w:p w14:paraId="6F9BE8B1" w14:textId="77777777" w:rsidR="00E4612C" w:rsidRPr="00B87D34" w:rsidRDefault="00E4612C" w:rsidP="00EE493E">
            <w:pPr>
              <w:jc w:val="center"/>
              <w:rPr>
                <w:color w:val="000000"/>
              </w:rPr>
            </w:pPr>
            <w:r w:rsidRPr="00B87D34">
              <w:rPr>
                <w:color w:val="000000"/>
              </w:rPr>
              <w:t>3.78</w:t>
            </w:r>
          </w:p>
        </w:tc>
        <w:tc>
          <w:tcPr>
            <w:tcW w:w="757" w:type="dxa"/>
            <w:tcBorders>
              <w:top w:val="nil"/>
              <w:left w:val="nil"/>
              <w:bottom w:val="nil"/>
              <w:right w:val="nil"/>
            </w:tcBorders>
            <w:noWrap/>
            <w:vAlign w:val="center"/>
            <w:hideMark/>
          </w:tcPr>
          <w:p w14:paraId="4B3ABB9F" w14:textId="77777777" w:rsidR="00E4612C" w:rsidRPr="00B87D34" w:rsidRDefault="00E4612C" w:rsidP="00EE493E">
            <w:pPr>
              <w:jc w:val="center"/>
              <w:rPr>
                <w:color w:val="000000"/>
              </w:rPr>
            </w:pPr>
            <w:r w:rsidRPr="00B87D34">
              <w:rPr>
                <w:color w:val="000000"/>
              </w:rPr>
              <w:t>0.091</w:t>
            </w:r>
          </w:p>
        </w:tc>
        <w:tc>
          <w:tcPr>
            <w:tcW w:w="1437" w:type="dxa"/>
            <w:tcBorders>
              <w:top w:val="nil"/>
              <w:left w:val="nil"/>
              <w:bottom w:val="nil"/>
              <w:right w:val="nil"/>
            </w:tcBorders>
            <w:noWrap/>
            <w:vAlign w:val="center"/>
            <w:hideMark/>
          </w:tcPr>
          <w:p w14:paraId="273C9D34" w14:textId="77777777" w:rsidR="00E4612C" w:rsidRPr="00B87D34" w:rsidRDefault="00E4612C" w:rsidP="00EE493E">
            <w:pPr>
              <w:jc w:val="center"/>
              <w:rPr>
                <w:color w:val="000000"/>
              </w:rPr>
            </w:pPr>
            <w:r w:rsidRPr="00B87D34">
              <w:rPr>
                <w:color w:val="000000"/>
              </w:rPr>
              <w:t>[-1.76, 23.10]</w:t>
            </w:r>
          </w:p>
        </w:tc>
      </w:tr>
      <w:tr w:rsidR="00E4612C" w:rsidRPr="00B87D34" w14:paraId="6C67DBD2" w14:textId="77777777" w:rsidTr="00EE493E">
        <w:trPr>
          <w:trHeight w:val="309"/>
        </w:trPr>
        <w:tc>
          <w:tcPr>
            <w:tcW w:w="1419" w:type="dxa"/>
            <w:vMerge/>
            <w:tcBorders>
              <w:top w:val="nil"/>
              <w:left w:val="nil"/>
              <w:bottom w:val="single" w:sz="4" w:space="0" w:color="000000"/>
              <w:right w:val="nil"/>
            </w:tcBorders>
            <w:vAlign w:val="center"/>
            <w:hideMark/>
          </w:tcPr>
          <w:p w14:paraId="2F2282EA" w14:textId="77777777" w:rsidR="00E4612C" w:rsidRPr="00B87D34" w:rsidRDefault="00E4612C" w:rsidP="00EE493E">
            <w:pPr>
              <w:spacing w:before="120" w:after="120"/>
              <w:rPr>
                <w:color w:val="000000"/>
              </w:rPr>
            </w:pPr>
          </w:p>
        </w:tc>
        <w:tc>
          <w:tcPr>
            <w:tcW w:w="1512" w:type="dxa"/>
            <w:vMerge/>
            <w:tcBorders>
              <w:top w:val="nil"/>
              <w:left w:val="nil"/>
              <w:bottom w:val="nil"/>
              <w:right w:val="nil"/>
            </w:tcBorders>
            <w:vAlign w:val="center"/>
            <w:hideMark/>
          </w:tcPr>
          <w:p w14:paraId="5A051C3B" w14:textId="77777777" w:rsidR="00E4612C" w:rsidRPr="00B87D34" w:rsidRDefault="00E4612C" w:rsidP="00EE493E">
            <w:pPr>
              <w:spacing w:before="120" w:after="120"/>
              <w:jc w:val="center"/>
              <w:rPr>
                <w:color w:val="000000"/>
              </w:rPr>
            </w:pPr>
          </w:p>
        </w:tc>
        <w:tc>
          <w:tcPr>
            <w:tcW w:w="1523" w:type="dxa"/>
            <w:tcBorders>
              <w:top w:val="nil"/>
              <w:left w:val="nil"/>
              <w:bottom w:val="nil"/>
              <w:right w:val="nil"/>
            </w:tcBorders>
            <w:noWrap/>
            <w:vAlign w:val="center"/>
            <w:hideMark/>
          </w:tcPr>
          <w:p w14:paraId="1118D961" w14:textId="77777777" w:rsidR="00E4612C" w:rsidRPr="00B87D34" w:rsidRDefault="00E4612C" w:rsidP="00EE493E">
            <w:pPr>
              <w:spacing w:before="120" w:after="120"/>
              <w:jc w:val="center"/>
              <w:rPr>
                <w:color w:val="000000"/>
              </w:rPr>
            </w:pPr>
            <w:r w:rsidRPr="00C337D4">
              <w:rPr>
                <w:color w:val="000000"/>
              </w:rPr>
              <w:t>A2</w:t>
            </w:r>
          </w:p>
        </w:tc>
        <w:tc>
          <w:tcPr>
            <w:tcW w:w="1377" w:type="dxa"/>
            <w:tcBorders>
              <w:top w:val="nil"/>
              <w:left w:val="nil"/>
              <w:bottom w:val="nil"/>
              <w:right w:val="nil"/>
            </w:tcBorders>
            <w:noWrap/>
            <w:vAlign w:val="center"/>
            <w:hideMark/>
          </w:tcPr>
          <w:p w14:paraId="01581ED5" w14:textId="77777777" w:rsidR="00E4612C" w:rsidRPr="00B87D34" w:rsidRDefault="00E4612C" w:rsidP="00EE493E">
            <w:pPr>
              <w:jc w:val="center"/>
              <w:rPr>
                <w:color w:val="000000"/>
              </w:rPr>
            </w:pPr>
            <w:r w:rsidRPr="00B87D34">
              <w:rPr>
                <w:color w:val="000000"/>
              </w:rPr>
              <w:t>14.00*</w:t>
            </w:r>
          </w:p>
        </w:tc>
        <w:tc>
          <w:tcPr>
            <w:tcW w:w="1398" w:type="dxa"/>
            <w:tcBorders>
              <w:top w:val="nil"/>
              <w:left w:val="nil"/>
              <w:bottom w:val="nil"/>
              <w:right w:val="nil"/>
            </w:tcBorders>
            <w:noWrap/>
            <w:vAlign w:val="center"/>
            <w:hideMark/>
          </w:tcPr>
          <w:p w14:paraId="2CA37486" w14:textId="77777777" w:rsidR="00E4612C" w:rsidRPr="00B87D34" w:rsidRDefault="00E4612C" w:rsidP="00EE493E">
            <w:pPr>
              <w:jc w:val="center"/>
              <w:rPr>
                <w:color w:val="000000"/>
              </w:rPr>
            </w:pPr>
            <w:r w:rsidRPr="00B87D34">
              <w:rPr>
                <w:color w:val="000000"/>
              </w:rPr>
              <w:t>3.78</w:t>
            </w:r>
          </w:p>
        </w:tc>
        <w:tc>
          <w:tcPr>
            <w:tcW w:w="757" w:type="dxa"/>
            <w:tcBorders>
              <w:top w:val="nil"/>
              <w:left w:val="nil"/>
              <w:bottom w:val="nil"/>
              <w:right w:val="nil"/>
            </w:tcBorders>
            <w:noWrap/>
            <w:vAlign w:val="center"/>
            <w:hideMark/>
          </w:tcPr>
          <w:p w14:paraId="15B9F36D" w14:textId="77777777" w:rsidR="00E4612C" w:rsidRPr="00B87D34" w:rsidRDefault="00E4612C" w:rsidP="00EE493E">
            <w:pPr>
              <w:jc w:val="center"/>
              <w:rPr>
                <w:color w:val="000000"/>
              </w:rPr>
            </w:pPr>
            <w:r w:rsidRPr="00B87D34">
              <w:rPr>
                <w:color w:val="000000"/>
              </w:rPr>
              <w:t>0.03</w:t>
            </w:r>
          </w:p>
        </w:tc>
        <w:tc>
          <w:tcPr>
            <w:tcW w:w="1437" w:type="dxa"/>
            <w:tcBorders>
              <w:top w:val="nil"/>
              <w:left w:val="nil"/>
              <w:bottom w:val="nil"/>
              <w:right w:val="nil"/>
            </w:tcBorders>
            <w:noWrap/>
            <w:vAlign w:val="center"/>
            <w:hideMark/>
          </w:tcPr>
          <w:p w14:paraId="19BC6B2A" w14:textId="77777777" w:rsidR="00E4612C" w:rsidRPr="00B87D34" w:rsidRDefault="00E4612C" w:rsidP="00EE493E">
            <w:pPr>
              <w:jc w:val="center"/>
              <w:rPr>
                <w:color w:val="000000"/>
              </w:rPr>
            </w:pPr>
            <w:r w:rsidRPr="00B87D34">
              <w:rPr>
                <w:color w:val="000000"/>
              </w:rPr>
              <w:t>[1.57, 26.43]</w:t>
            </w:r>
          </w:p>
        </w:tc>
      </w:tr>
      <w:tr w:rsidR="00E4612C" w:rsidRPr="00B87D34" w14:paraId="642E1F95" w14:textId="77777777" w:rsidTr="00EE493E">
        <w:trPr>
          <w:trHeight w:val="309"/>
        </w:trPr>
        <w:tc>
          <w:tcPr>
            <w:tcW w:w="1419" w:type="dxa"/>
            <w:vMerge/>
            <w:tcBorders>
              <w:top w:val="nil"/>
              <w:left w:val="nil"/>
              <w:bottom w:val="single" w:sz="4" w:space="0" w:color="000000"/>
              <w:right w:val="nil"/>
            </w:tcBorders>
            <w:vAlign w:val="center"/>
            <w:hideMark/>
          </w:tcPr>
          <w:p w14:paraId="6768FA44" w14:textId="77777777" w:rsidR="00E4612C" w:rsidRPr="00B87D34" w:rsidRDefault="00E4612C" w:rsidP="00EE493E">
            <w:pPr>
              <w:spacing w:before="120" w:after="120"/>
              <w:rPr>
                <w:color w:val="000000"/>
              </w:rPr>
            </w:pPr>
          </w:p>
        </w:tc>
        <w:tc>
          <w:tcPr>
            <w:tcW w:w="1512" w:type="dxa"/>
            <w:tcBorders>
              <w:top w:val="nil"/>
              <w:left w:val="nil"/>
              <w:bottom w:val="single" w:sz="4" w:space="0" w:color="000000"/>
              <w:right w:val="nil"/>
            </w:tcBorders>
            <w:noWrap/>
            <w:vAlign w:val="center"/>
            <w:hideMark/>
          </w:tcPr>
          <w:p w14:paraId="4155E562" w14:textId="77777777" w:rsidR="00E4612C" w:rsidRPr="00B87D34" w:rsidRDefault="00E4612C" w:rsidP="00EE493E">
            <w:pPr>
              <w:spacing w:before="120" w:after="120"/>
              <w:jc w:val="center"/>
              <w:rPr>
                <w:color w:val="000000"/>
              </w:rPr>
            </w:pPr>
            <w:r w:rsidRPr="00C337D4">
              <w:rPr>
                <w:color w:val="000000"/>
              </w:rPr>
              <w:t>B</w:t>
            </w:r>
          </w:p>
        </w:tc>
        <w:tc>
          <w:tcPr>
            <w:tcW w:w="1523" w:type="dxa"/>
            <w:tcBorders>
              <w:top w:val="nil"/>
              <w:left w:val="nil"/>
              <w:bottom w:val="single" w:sz="4" w:space="0" w:color="000000"/>
              <w:right w:val="nil"/>
            </w:tcBorders>
            <w:noWrap/>
            <w:vAlign w:val="center"/>
            <w:hideMark/>
          </w:tcPr>
          <w:p w14:paraId="174DC2E9" w14:textId="77777777" w:rsidR="00E4612C" w:rsidRPr="00B87D34" w:rsidRDefault="00E4612C" w:rsidP="00EE493E">
            <w:pPr>
              <w:spacing w:before="120" w:after="120"/>
              <w:jc w:val="center"/>
              <w:rPr>
                <w:color w:val="000000"/>
              </w:rPr>
            </w:pPr>
            <w:r w:rsidRPr="00C337D4">
              <w:rPr>
                <w:color w:val="000000"/>
              </w:rPr>
              <w:t>A2</w:t>
            </w:r>
          </w:p>
        </w:tc>
        <w:tc>
          <w:tcPr>
            <w:tcW w:w="1377" w:type="dxa"/>
            <w:tcBorders>
              <w:top w:val="nil"/>
              <w:left w:val="nil"/>
              <w:bottom w:val="single" w:sz="4" w:space="0" w:color="000000"/>
              <w:right w:val="nil"/>
            </w:tcBorders>
            <w:noWrap/>
            <w:vAlign w:val="center"/>
            <w:hideMark/>
          </w:tcPr>
          <w:p w14:paraId="1D3B241C" w14:textId="77777777" w:rsidR="00E4612C" w:rsidRPr="00B87D34" w:rsidRDefault="00E4612C" w:rsidP="00EE493E">
            <w:pPr>
              <w:jc w:val="center"/>
              <w:rPr>
                <w:color w:val="000000"/>
              </w:rPr>
            </w:pPr>
            <w:r w:rsidRPr="00B87D34">
              <w:rPr>
                <w:color w:val="000000"/>
              </w:rPr>
              <w:t>3.33</w:t>
            </w:r>
          </w:p>
        </w:tc>
        <w:tc>
          <w:tcPr>
            <w:tcW w:w="1398" w:type="dxa"/>
            <w:tcBorders>
              <w:top w:val="nil"/>
              <w:left w:val="nil"/>
              <w:bottom w:val="single" w:sz="4" w:space="0" w:color="000000"/>
              <w:right w:val="nil"/>
            </w:tcBorders>
            <w:noWrap/>
            <w:vAlign w:val="center"/>
            <w:hideMark/>
          </w:tcPr>
          <w:p w14:paraId="00E51A3F" w14:textId="77777777" w:rsidR="00E4612C" w:rsidRPr="00B87D34" w:rsidRDefault="00E4612C" w:rsidP="00EE493E">
            <w:pPr>
              <w:jc w:val="center"/>
              <w:rPr>
                <w:color w:val="000000"/>
              </w:rPr>
            </w:pPr>
            <w:r w:rsidRPr="00B87D34">
              <w:rPr>
                <w:color w:val="000000"/>
              </w:rPr>
              <w:t>3.78</w:t>
            </w:r>
          </w:p>
        </w:tc>
        <w:tc>
          <w:tcPr>
            <w:tcW w:w="757" w:type="dxa"/>
            <w:tcBorders>
              <w:top w:val="nil"/>
              <w:left w:val="nil"/>
              <w:bottom w:val="single" w:sz="4" w:space="0" w:color="000000"/>
              <w:right w:val="nil"/>
            </w:tcBorders>
            <w:noWrap/>
            <w:vAlign w:val="center"/>
            <w:hideMark/>
          </w:tcPr>
          <w:p w14:paraId="702C8EB8" w14:textId="77777777" w:rsidR="00E4612C" w:rsidRPr="00B87D34" w:rsidRDefault="00E4612C" w:rsidP="00EE493E">
            <w:pPr>
              <w:jc w:val="center"/>
              <w:rPr>
                <w:color w:val="000000"/>
              </w:rPr>
            </w:pPr>
            <w:r w:rsidRPr="00B87D34">
              <w:rPr>
                <w:color w:val="000000"/>
              </w:rPr>
              <w:t>1</w:t>
            </w:r>
          </w:p>
        </w:tc>
        <w:tc>
          <w:tcPr>
            <w:tcW w:w="1437" w:type="dxa"/>
            <w:tcBorders>
              <w:top w:val="nil"/>
              <w:left w:val="nil"/>
              <w:bottom w:val="single" w:sz="4" w:space="0" w:color="000000"/>
              <w:right w:val="nil"/>
            </w:tcBorders>
            <w:noWrap/>
            <w:vAlign w:val="center"/>
            <w:hideMark/>
          </w:tcPr>
          <w:p w14:paraId="786C0CA5" w14:textId="77777777" w:rsidR="00E4612C" w:rsidRPr="00B87D34" w:rsidRDefault="00E4612C" w:rsidP="00EE493E">
            <w:pPr>
              <w:jc w:val="center"/>
              <w:rPr>
                <w:color w:val="000000"/>
              </w:rPr>
            </w:pPr>
            <w:r w:rsidRPr="00B87D34">
              <w:rPr>
                <w:color w:val="000000"/>
              </w:rPr>
              <w:t>[-9.10, 15.76]</w:t>
            </w:r>
          </w:p>
        </w:tc>
      </w:tr>
      <w:tr w:rsidR="00E4612C" w:rsidRPr="00B87D34" w14:paraId="09A33F06" w14:textId="77777777" w:rsidTr="00EE493E">
        <w:trPr>
          <w:trHeight w:val="296"/>
        </w:trPr>
        <w:tc>
          <w:tcPr>
            <w:tcW w:w="9427" w:type="dxa"/>
            <w:gridSpan w:val="7"/>
            <w:tcBorders>
              <w:top w:val="nil"/>
              <w:left w:val="nil"/>
              <w:bottom w:val="nil"/>
              <w:right w:val="nil"/>
            </w:tcBorders>
            <w:vAlign w:val="bottom"/>
            <w:hideMark/>
          </w:tcPr>
          <w:p w14:paraId="587E8AE4" w14:textId="77777777" w:rsidR="00E4612C" w:rsidRPr="00B87D34" w:rsidRDefault="00E4612C" w:rsidP="00EE493E">
            <w:pPr>
              <w:spacing w:before="120" w:after="120"/>
              <w:jc w:val="both"/>
              <w:rPr>
                <w:color w:val="000000"/>
              </w:rPr>
            </w:pPr>
            <w:r w:rsidRPr="00B87D34">
              <w:rPr>
                <w:i/>
                <w:iCs/>
                <w:color w:val="000000"/>
              </w:rPr>
              <w:t>Nota.</w:t>
            </w:r>
            <w:r w:rsidRPr="00B87D34">
              <w:rPr>
                <w:color w:val="000000"/>
              </w:rPr>
              <w:t xml:space="preserve"> IC = intervalo de confianza; LI = límite inferior; LS = límite superior. Los valores de </w:t>
            </w:r>
            <w:r w:rsidRPr="00B87D34">
              <w:rPr>
                <w:i/>
                <w:iCs/>
                <w:color w:val="000000"/>
              </w:rPr>
              <w:t>p</w:t>
            </w:r>
            <w:r w:rsidRPr="00B87D34">
              <w:rPr>
                <w:color w:val="000000"/>
              </w:rPr>
              <w:t xml:space="preserve"> corresponden a la corrección de Bonferroni.</w:t>
            </w:r>
            <w:r w:rsidRPr="00C337D4">
              <w:rPr>
                <w:color w:val="000000"/>
              </w:rPr>
              <w:t xml:space="preserve"> </w:t>
            </w:r>
            <w:r w:rsidRPr="00C337D4">
              <w:t>La Fase A</w:t>
            </w:r>
            <w:r w:rsidRPr="00C337D4">
              <w:rPr>
                <w:vertAlign w:val="subscript"/>
              </w:rPr>
              <w:t>1</w:t>
            </w:r>
            <w:r w:rsidRPr="00C337D4">
              <w:t xml:space="preserve"> y la Fase A</w:t>
            </w:r>
            <w:r w:rsidRPr="00C337D4">
              <w:rPr>
                <w:vertAlign w:val="subscript"/>
              </w:rPr>
              <w:t>2</w:t>
            </w:r>
            <w:r w:rsidRPr="00C337D4">
              <w:t xml:space="preserve"> representan la condición Sin Sacarosa (Línea Base y Reversión, respectivamente). La Fase B representa la condición Con Sacarosa (Intervención).</w:t>
            </w:r>
          </w:p>
        </w:tc>
      </w:tr>
    </w:tbl>
    <w:p w14:paraId="4D70DFB7" w14:textId="77777777" w:rsidR="00E4612C" w:rsidRDefault="00E4612C" w:rsidP="00E4612C">
      <w:pPr>
        <w:tabs>
          <w:tab w:val="left" w:pos="9356"/>
        </w:tabs>
        <w:spacing w:line="360" w:lineRule="auto"/>
        <w:ind w:firstLine="720"/>
        <w:jc w:val="both"/>
      </w:pPr>
    </w:p>
    <w:p w14:paraId="3B5C7665" w14:textId="77777777" w:rsidR="00E4612C" w:rsidRPr="00372940" w:rsidRDefault="00E4612C" w:rsidP="00E4612C">
      <w:pPr>
        <w:tabs>
          <w:tab w:val="left" w:pos="142"/>
        </w:tabs>
        <w:spacing w:line="360" w:lineRule="auto"/>
        <w:ind w:firstLine="720"/>
        <w:jc w:val="both"/>
        <w:rPr>
          <w:lang w:val="es"/>
        </w:rPr>
      </w:pPr>
      <w:r w:rsidRPr="00372940">
        <w:lastRenderedPageBreak/>
        <w:t xml:space="preserve">De manera complementaria, </w:t>
      </w:r>
      <w:r>
        <w:t xml:space="preserve">en la Tabla 3, </w:t>
      </w:r>
      <w:r w:rsidRPr="00372940">
        <w:t>se aplicó un análisis de varianza de un factor (ANOVA) para evaluar si, considerando las tres fases en conjunto (A</w:t>
      </w:r>
      <w:r w:rsidRPr="00372940">
        <w:rPr>
          <w:vertAlign w:val="subscript"/>
        </w:rPr>
        <w:t>1</w:t>
      </w:r>
      <w:r w:rsidRPr="00372940">
        <w:t>, B y A</w:t>
      </w:r>
      <w:r w:rsidRPr="00372940">
        <w:rPr>
          <w:vertAlign w:val="subscript"/>
        </w:rPr>
        <w:t>2</w:t>
      </w:r>
      <w:r w:rsidRPr="00372940">
        <w:t xml:space="preserve">), existían diferencias globales en el desempeño. </w:t>
      </w:r>
      <w:r w:rsidRPr="00372940">
        <w:rPr>
          <w:lang w:val="es"/>
        </w:rPr>
        <w:t xml:space="preserve">En relación con los aciertos, el análisis de varianza no evidenció diferencias estadísticamente significativas entre las fases, </w:t>
      </w:r>
      <w:proofErr w:type="gramStart"/>
      <w:r w:rsidRPr="00BB4CF3">
        <w:rPr>
          <w:i/>
          <w:iCs/>
          <w:lang w:val="es"/>
        </w:rPr>
        <w:t>F</w:t>
      </w:r>
      <w:r w:rsidRPr="00372940">
        <w:rPr>
          <w:lang w:val="es"/>
        </w:rPr>
        <w:t>(</w:t>
      </w:r>
      <w:proofErr w:type="gramEnd"/>
      <w:r w:rsidRPr="00372940">
        <w:rPr>
          <w:lang w:val="es"/>
        </w:rPr>
        <w:t xml:space="preserve">2, 6) = 4.37, </w:t>
      </w:r>
      <w:r w:rsidRPr="00BB4CF3">
        <w:rPr>
          <w:i/>
          <w:iCs/>
          <w:lang w:val="es"/>
        </w:rPr>
        <w:t xml:space="preserve">p </w:t>
      </w:r>
      <w:r w:rsidRPr="00372940">
        <w:rPr>
          <w:lang w:val="es"/>
        </w:rPr>
        <w:t>= .068. Si bien se observó una tendencia a un mayor número de aciertos durante la fase B, esta diferencia no alcanzó significación estadística cuando se consideró simultáneamente el conjunto de las tres fases.</w:t>
      </w:r>
      <w:r>
        <w:rPr>
          <w:lang w:val="es"/>
        </w:rPr>
        <w:t xml:space="preserve"> L</w:t>
      </w:r>
      <w:r w:rsidRPr="00372940">
        <w:rPr>
          <w:lang w:val="es"/>
        </w:rPr>
        <w:t xml:space="preserve">as comparaciones múltiples mediante el ajuste de Bonferroni </w:t>
      </w:r>
      <w:r>
        <w:rPr>
          <w:lang w:val="es"/>
        </w:rPr>
        <w:t xml:space="preserve">(véase Tabla 4) </w:t>
      </w:r>
      <w:r w:rsidRPr="00372940">
        <w:rPr>
          <w:lang w:val="es"/>
        </w:rPr>
        <w:t xml:space="preserve">confirmaron la ausencia de diferencias significativas entre los pares de fases. No obstante, cabe señalar que la comparación puntual entre las fases A1 y B, realizada mediante la prueba </w:t>
      </w:r>
      <w:r w:rsidRPr="00372940">
        <w:rPr>
          <w:i/>
          <w:iCs/>
          <w:lang w:val="es"/>
        </w:rPr>
        <w:t xml:space="preserve">t </w:t>
      </w:r>
      <w:r w:rsidRPr="00372940">
        <w:rPr>
          <w:lang w:val="es"/>
        </w:rPr>
        <w:t xml:space="preserve">de </w:t>
      </w:r>
      <w:proofErr w:type="spellStart"/>
      <w:r w:rsidRPr="00372940">
        <w:rPr>
          <w:lang w:val="es"/>
        </w:rPr>
        <w:t>Student</w:t>
      </w:r>
      <w:proofErr w:type="spellEnd"/>
      <w:r w:rsidRPr="00372940">
        <w:rPr>
          <w:lang w:val="es"/>
        </w:rPr>
        <w:t>, sí evidenció una diferencia estadísticamente significativa, lo que sugiere que el efecto observado podría ser sensible a comparaciones específicas, aunque no se mantiene cuando se controla el error por comparaciones múltiples y se incorpora la fase A2 en el análisis.</w:t>
      </w:r>
    </w:p>
    <w:p w14:paraId="6536D0CA" w14:textId="77777777" w:rsidR="00E4612C" w:rsidRDefault="00E4612C" w:rsidP="00E4612C">
      <w:pPr>
        <w:spacing w:line="360" w:lineRule="auto"/>
        <w:ind w:firstLine="720"/>
        <w:jc w:val="both"/>
        <w:rPr>
          <w:lang w:val="es"/>
        </w:rPr>
      </w:pPr>
      <w:r w:rsidRPr="0059586E">
        <w:rPr>
          <w:lang w:val="es"/>
        </w:rPr>
        <w:t xml:space="preserve">Respecto a los errores, el análisis de varianza mostró diferencias estadísticamente significativas entre las fases, </w:t>
      </w:r>
      <w:proofErr w:type="gramStart"/>
      <w:r w:rsidRPr="0059586E">
        <w:rPr>
          <w:i/>
          <w:iCs/>
          <w:lang w:val="es"/>
        </w:rPr>
        <w:t>F</w:t>
      </w:r>
      <w:r w:rsidRPr="0059586E">
        <w:rPr>
          <w:lang w:val="es"/>
        </w:rPr>
        <w:t>(</w:t>
      </w:r>
      <w:proofErr w:type="gramEnd"/>
      <w:r w:rsidRPr="0059586E">
        <w:rPr>
          <w:lang w:val="es"/>
        </w:rPr>
        <w:t xml:space="preserve">2, 6) = 7.48, </w:t>
      </w:r>
      <w:r w:rsidRPr="0059586E">
        <w:rPr>
          <w:i/>
          <w:iCs/>
          <w:lang w:val="es"/>
        </w:rPr>
        <w:t>p</w:t>
      </w:r>
      <w:r w:rsidRPr="0059586E">
        <w:rPr>
          <w:lang w:val="es"/>
        </w:rPr>
        <w:t xml:space="preserve"> = .023, lo que indica la presencia de heterogeneidad global en la frecuencia de errores a lo largo del diseño experimental. Las pruebas post hoc con corrección de Bonferroni</w:t>
      </w:r>
      <w:r>
        <w:rPr>
          <w:lang w:val="es"/>
        </w:rPr>
        <w:t xml:space="preserve"> (véase Tabla 4)</w:t>
      </w:r>
      <w:r w:rsidRPr="0059586E">
        <w:rPr>
          <w:lang w:val="es"/>
        </w:rPr>
        <w:t xml:space="preserve"> revelaron que esta diferencia se explica principalmente por la comparación entre las fases A1 y A2, observándose un menor número de errores en la fase A2. No se encontraron diferencias significativas entre las fases adyacentes (A1 vs. B; B vs. A2), lo cual es coherente con los resultados obtenidos mediante la prueba </w:t>
      </w:r>
      <w:r w:rsidRPr="0059586E">
        <w:rPr>
          <w:i/>
          <w:iCs/>
          <w:lang w:val="es"/>
        </w:rPr>
        <w:t>t</w:t>
      </w:r>
      <w:r w:rsidRPr="0059586E">
        <w:rPr>
          <w:lang w:val="es"/>
        </w:rPr>
        <w:t xml:space="preserve"> de </w:t>
      </w:r>
      <w:proofErr w:type="spellStart"/>
      <w:r w:rsidRPr="0059586E">
        <w:rPr>
          <w:lang w:val="es"/>
        </w:rPr>
        <w:t>Student</w:t>
      </w:r>
      <w:proofErr w:type="spellEnd"/>
      <w:r w:rsidRPr="0059586E">
        <w:rPr>
          <w:lang w:val="es"/>
        </w:rPr>
        <w:t xml:space="preserve"> para dichas comparaciones.</w:t>
      </w:r>
    </w:p>
    <w:p w14:paraId="335C2D1C" w14:textId="77777777" w:rsidR="00E4612C" w:rsidRDefault="00E4612C" w:rsidP="00E4612C">
      <w:pPr>
        <w:spacing w:line="360" w:lineRule="auto"/>
        <w:ind w:firstLine="720"/>
        <w:jc w:val="both"/>
        <w:rPr>
          <w:lang w:val="es"/>
        </w:rPr>
      </w:pPr>
    </w:p>
    <w:p w14:paraId="5C2069E5" w14:textId="77777777" w:rsidR="00E4612C" w:rsidRPr="00017FB1" w:rsidRDefault="00E4612C" w:rsidP="00E4612C">
      <w:pPr>
        <w:pStyle w:val="Descripcin"/>
        <w:keepNext/>
        <w:spacing w:before="120" w:after="120"/>
        <w:jc w:val="both"/>
        <w:rPr>
          <w:rFonts w:ascii="Times New Roman" w:hAnsi="Times New Roman" w:cs="Times New Roman"/>
          <w:noProof/>
          <w:color w:val="auto"/>
          <w:sz w:val="22"/>
          <w:szCs w:val="22"/>
        </w:rPr>
      </w:pPr>
      <w:bookmarkStart w:id="3" w:name="_Toc216018870"/>
      <w:r w:rsidRPr="00017FB1">
        <w:rPr>
          <w:rFonts w:ascii="Times New Roman" w:hAnsi="Times New Roman" w:cs="Times New Roman"/>
          <w:b/>
          <w:bCs/>
          <w:i w:val="0"/>
          <w:iCs w:val="0"/>
          <w:color w:val="auto"/>
          <w:sz w:val="22"/>
          <w:szCs w:val="22"/>
        </w:rPr>
        <w:t>Tabla 5</w:t>
      </w:r>
    </w:p>
    <w:p w14:paraId="628B665B" w14:textId="77777777" w:rsidR="00E4612C" w:rsidRPr="00017FB1" w:rsidRDefault="00E4612C" w:rsidP="00E4612C">
      <w:pPr>
        <w:pStyle w:val="Descripcin"/>
        <w:keepNext/>
        <w:spacing w:before="240" w:after="120"/>
        <w:rPr>
          <w:rFonts w:ascii="Times New Roman" w:hAnsi="Times New Roman" w:cs="Times New Roman"/>
          <w:color w:val="auto"/>
          <w:sz w:val="22"/>
          <w:szCs w:val="22"/>
        </w:rPr>
      </w:pPr>
      <w:r w:rsidRPr="00017FB1">
        <w:rPr>
          <w:rFonts w:ascii="Times New Roman" w:hAnsi="Times New Roman" w:cs="Times New Roman"/>
          <w:noProof/>
          <w:color w:val="auto"/>
          <w:sz w:val="22"/>
          <w:szCs w:val="22"/>
        </w:rPr>
        <w:t>Estadísticos Descriptivos del Número de Aciertos y Errores por Intervalo de Tiempo y Fase</w:t>
      </w:r>
      <w:bookmarkEnd w:id="3"/>
    </w:p>
    <w:tbl>
      <w:tblPr>
        <w:tblStyle w:val="APA7MA"/>
        <w:tblW w:w="9394" w:type="dxa"/>
        <w:tblLook w:val="04A0" w:firstRow="1" w:lastRow="0" w:firstColumn="1" w:lastColumn="0" w:noHBand="0" w:noVBand="1"/>
      </w:tblPr>
      <w:tblGrid>
        <w:gridCol w:w="2730"/>
        <w:gridCol w:w="1321"/>
        <w:gridCol w:w="965"/>
        <w:gridCol w:w="816"/>
        <w:gridCol w:w="965"/>
        <w:gridCol w:w="816"/>
        <w:gridCol w:w="965"/>
        <w:gridCol w:w="816"/>
      </w:tblGrid>
      <w:tr w:rsidR="00E4612C" w:rsidRPr="00017FB1" w14:paraId="36C4070E" w14:textId="77777777" w:rsidTr="00EE493E">
        <w:trPr>
          <w:cnfStyle w:val="100000000000" w:firstRow="1" w:lastRow="0" w:firstColumn="0" w:lastColumn="0" w:oddVBand="0" w:evenVBand="0" w:oddHBand="0" w:evenHBand="0" w:firstRowFirstColumn="0" w:firstRowLastColumn="0" w:lastRowFirstColumn="0" w:lastRowLastColumn="0"/>
          <w:trHeight w:val="391"/>
        </w:trPr>
        <w:tc>
          <w:tcPr>
            <w:tcW w:w="0" w:type="auto"/>
            <w:vMerge w:val="restart"/>
            <w:tcBorders>
              <w:top w:val="single" w:sz="4" w:space="0" w:color="auto"/>
            </w:tcBorders>
            <w:hideMark/>
          </w:tcPr>
          <w:p w14:paraId="18E2AE0B"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Intervalo de Tiempo</w:t>
            </w:r>
          </w:p>
        </w:tc>
        <w:tc>
          <w:tcPr>
            <w:tcW w:w="0" w:type="auto"/>
            <w:vMerge w:val="restart"/>
            <w:tcBorders>
              <w:top w:val="single" w:sz="4" w:space="0" w:color="auto"/>
            </w:tcBorders>
            <w:hideMark/>
          </w:tcPr>
          <w:p w14:paraId="4B3B8E93"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Variable</w:t>
            </w:r>
          </w:p>
        </w:tc>
        <w:tc>
          <w:tcPr>
            <w:tcW w:w="0" w:type="auto"/>
            <w:gridSpan w:val="2"/>
            <w:tcBorders>
              <w:top w:val="single" w:sz="4" w:space="0" w:color="auto"/>
            </w:tcBorders>
            <w:hideMark/>
          </w:tcPr>
          <w:p w14:paraId="46D9682E" w14:textId="77777777" w:rsidR="00E4612C" w:rsidRPr="00017FB1" w:rsidRDefault="00E4612C" w:rsidP="00EE493E">
            <w:pPr>
              <w:spacing w:before="120" w:after="120" w:line="240" w:lineRule="auto"/>
              <w:jc w:val="center"/>
              <w:rPr>
                <w:color w:val="1F1F1F"/>
                <w:kern w:val="0"/>
                <w:sz w:val="22"/>
                <w:vertAlign w:val="subscript"/>
                <w:lang w:eastAsia="es-PE"/>
                <w14:ligatures w14:val="none"/>
              </w:rPr>
            </w:pPr>
            <w:r w:rsidRPr="00017FB1">
              <w:rPr>
                <w:color w:val="1F1F1F"/>
                <w:kern w:val="0"/>
                <w:sz w:val="22"/>
                <w:lang w:eastAsia="es-PE"/>
                <w14:ligatures w14:val="none"/>
              </w:rPr>
              <w:t>A</w:t>
            </w:r>
            <w:r w:rsidRPr="00017FB1">
              <w:rPr>
                <w:color w:val="1F1F1F"/>
                <w:kern w:val="0"/>
                <w:sz w:val="22"/>
                <w:vertAlign w:val="subscript"/>
                <w:lang w:eastAsia="es-PE"/>
                <w14:ligatures w14:val="none"/>
              </w:rPr>
              <w:t>1</w:t>
            </w:r>
          </w:p>
        </w:tc>
        <w:tc>
          <w:tcPr>
            <w:tcW w:w="0" w:type="auto"/>
            <w:gridSpan w:val="2"/>
            <w:tcBorders>
              <w:top w:val="single" w:sz="4" w:space="0" w:color="auto"/>
            </w:tcBorders>
            <w:hideMark/>
          </w:tcPr>
          <w:p w14:paraId="1D7E9131"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B</w:t>
            </w:r>
          </w:p>
        </w:tc>
        <w:tc>
          <w:tcPr>
            <w:tcW w:w="0" w:type="auto"/>
            <w:gridSpan w:val="2"/>
            <w:tcBorders>
              <w:top w:val="single" w:sz="4" w:space="0" w:color="auto"/>
            </w:tcBorders>
            <w:hideMark/>
          </w:tcPr>
          <w:p w14:paraId="1B94CE8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A</w:t>
            </w:r>
            <w:r w:rsidRPr="00017FB1">
              <w:rPr>
                <w:color w:val="1F1F1F"/>
                <w:kern w:val="0"/>
                <w:sz w:val="22"/>
                <w:vertAlign w:val="subscript"/>
                <w:lang w:eastAsia="es-PE"/>
                <w14:ligatures w14:val="none"/>
              </w:rPr>
              <w:t>2</w:t>
            </w:r>
          </w:p>
        </w:tc>
      </w:tr>
      <w:tr w:rsidR="00E4612C" w:rsidRPr="00017FB1" w14:paraId="03E95F28" w14:textId="77777777" w:rsidTr="00EE493E">
        <w:trPr>
          <w:trHeight w:val="391"/>
        </w:trPr>
        <w:tc>
          <w:tcPr>
            <w:tcW w:w="0" w:type="auto"/>
            <w:vMerge/>
            <w:tcBorders>
              <w:top w:val="single" w:sz="4" w:space="0" w:color="auto"/>
              <w:bottom w:val="single" w:sz="4" w:space="0" w:color="auto"/>
            </w:tcBorders>
            <w:hideMark/>
          </w:tcPr>
          <w:p w14:paraId="194F8126" w14:textId="77777777" w:rsidR="00E4612C" w:rsidRPr="00017FB1" w:rsidRDefault="00E4612C" w:rsidP="00EE493E">
            <w:pPr>
              <w:spacing w:before="120" w:after="120" w:line="240" w:lineRule="auto"/>
              <w:jc w:val="center"/>
              <w:rPr>
                <w:color w:val="1F1F1F"/>
                <w:kern w:val="0"/>
                <w:sz w:val="22"/>
                <w:lang w:eastAsia="es-PE"/>
                <w14:ligatures w14:val="none"/>
              </w:rPr>
            </w:pPr>
          </w:p>
        </w:tc>
        <w:tc>
          <w:tcPr>
            <w:tcW w:w="0" w:type="auto"/>
            <w:vMerge/>
            <w:tcBorders>
              <w:top w:val="single" w:sz="4" w:space="0" w:color="auto"/>
              <w:bottom w:val="single" w:sz="4" w:space="0" w:color="auto"/>
            </w:tcBorders>
            <w:hideMark/>
          </w:tcPr>
          <w:p w14:paraId="1A1A5936" w14:textId="77777777" w:rsidR="00E4612C" w:rsidRPr="00017FB1" w:rsidRDefault="00E4612C" w:rsidP="00EE493E">
            <w:pPr>
              <w:spacing w:before="120" w:after="120" w:line="240" w:lineRule="auto"/>
              <w:rPr>
                <w:kern w:val="0"/>
                <w:sz w:val="22"/>
                <w:lang w:eastAsia="es-PE"/>
                <w14:ligatures w14:val="none"/>
              </w:rPr>
            </w:pPr>
          </w:p>
        </w:tc>
        <w:tc>
          <w:tcPr>
            <w:tcW w:w="0" w:type="auto"/>
            <w:tcBorders>
              <w:top w:val="single" w:sz="4" w:space="0" w:color="auto"/>
              <w:bottom w:val="single" w:sz="4" w:space="0" w:color="auto"/>
            </w:tcBorders>
            <w:hideMark/>
          </w:tcPr>
          <w:p w14:paraId="7FDD2E40"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M</w:t>
            </w:r>
          </w:p>
        </w:tc>
        <w:tc>
          <w:tcPr>
            <w:tcW w:w="0" w:type="auto"/>
            <w:tcBorders>
              <w:top w:val="single" w:sz="4" w:space="0" w:color="auto"/>
              <w:bottom w:val="single" w:sz="4" w:space="0" w:color="auto"/>
            </w:tcBorders>
            <w:hideMark/>
          </w:tcPr>
          <w:p w14:paraId="634451F2"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DE</w:t>
            </w:r>
          </w:p>
        </w:tc>
        <w:tc>
          <w:tcPr>
            <w:tcW w:w="0" w:type="auto"/>
            <w:tcBorders>
              <w:top w:val="single" w:sz="4" w:space="0" w:color="auto"/>
              <w:bottom w:val="single" w:sz="4" w:space="0" w:color="auto"/>
            </w:tcBorders>
            <w:hideMark/>
          </w:tcPr>
          <w:p w14:paraId="4F08A521"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M</w:t>
            </w:r>
          </w:p>
        </w:tc>
        <w:tc>
          <w:tcPr>
            <w:tcW w:w="0" w:type="auto"/>
            <w:tcBorders>
              <w:top w:val="single" w:sz="4" w:space="0" w:color="auto"/>
              <w:bottom w:val="single" w:sz="4" w:space="0" w:color="auto"/>
            </w:tcBorders>
            <w:hideMark/>
          </w:tcPr>
          <w:p w14:paraId="19B3B24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DE</w:t>
            </w:r>
          </w:p>
        </w:tc>
        <w:tc>
          <w:tcPr>
            <w:tcW w:w="0" w:type="auto"/>
            <w:tcBorders>
              <w:top w:val="single" w:sz="4" w:space="0" w:color="auto"/>
              <w:bottom w:val="single" w:sz="4" w:space="0" w:color="auto"/>
            </w:tcBorders>
            <w:hideMark/>
          </w:tcPr>
          <w:p w14:paraId="1DCA94ED"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M</w:t>
            </w:r>
          </w:p>
        </w:tc>
        <w:tc>
          <w:tcPr>
            <w:tcW w:w="0" w:type="auto"/>
            <w:tcBorders>
              <w:top w:val="single" w:sz="4" w:space="0" w:color="auto"/>
              <w:bottom w:val="single" w:sz="4" w:space="0" w:color="auto"/>
            </w:tcBorders>
            <w:hideMark/>
          </w:tcPr>
          <w:p w14:paraId="7FC000BD"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DE</w:t>
            </w:r>
          </w:p>
        </w:tc>
      </w:tr>
      <w:tr w:rsidR="00E4612C" w:rsidRPr="00017FB1" w14:paraId="64102941" w14:textId="77777777" w:rsidTr="00EE493E">
        <w:trPr>
          <w:trHeight w:val="391"/>
        </w:trPr>
        <w:tc>
          <w:tcPr>
            <w:tcW w:w="0" w:type="auto"/>
            <w:vMerge w:val="restart"/>
            <w:tcBorders>
              <w:top w:val="single" w:sz="4" w:space="0" w:color="auto"/>
            </w:tcBorders>
            <w:hideMark/>
          </w:tcPr>
          <w:p w14:paraId="2AF424D3"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0:00–10:00 min</w:t>
            </w:r>
          </w:p>
        </w:tc>
        <w:tc>
          <w:tcPr>
            <w:tcW w:w="0" w:type="auto"/>
            <w:tcBorders>
              <w:top w:val="single" w:sz="4" w:space="0" w:color="auto"/>
            </w:tcBorders>
            <w:hideMark/>
          </w:tcPr>
          <w:p w14:paraId="73357B54"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Aciertos</w:t>
            </w:r>
          </w:p>
        </w:tc>
        <w:tc>
          <w:tcPr>
            <w:tcW w:w="0" w:type="auto"/>
            <w:tcBorders>
              <w:top w:val="single" w:sz="4" w:space="0" w:color="auto"/>
            </w:tcBorders>
            <w:hideMark/>
          </w:tcPr>
          <w:p w14:paraId="65C94D0F"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16</w:t>
            </w:r>
          </w:p>
        </w:tc>
        <w:tc>
          <w:tcPr>
            <w:tcW w:w="0" w:type="auto"/>
            <w:tcBorders>
              <w:top w:val="single" w:sz="4" w:space="0" w:color="auto"/>
            </w:tcBorders>
            <w:hideMark/>
          </w:tcPr>
          <w:p w14:paraId="769E28EA"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5.57</w:t>
            </w:r>
          </w:p>
        </w:tc>
        <w:tc>
          <w:tcPr>
            <w:tcW w:w="0" w:type="auto"/>
            <w:tcBorders>
              <w:top w:val="single" w:sz="4" w:space="0" w:color="auto"/>
            </w:tcBorders>
            <w:hideMark/>
          </w:tcPr>
          <w:p w14:paraId="2C948B80"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23</w:t>
            </w:r>
          </w:p>
        </w:tc>
        <w:tc>
          <w:tcPr>
            <w:tcW w:w="0" w:type="auto"/>
            <w:tcBorders>
              <w:top w:val="single" w:sz="4" w:space="0" w:color="auto"/>
            </w:tcBorders>
            <w:hideMark/>
          </w:tcPr>
          <w:p w14:paraId="59B875F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w:t>
            </w:r>
          </w:p>
        </w:tc>
        <w:tc>
          <w:tcPr>
            <w:tcW w:w="0" w:type="auto"/>
            <w:tcBorders>
              <w:top w:val="single" w:sz="4" w:space="0" w:color="auto"/>
            </w:tcBorders>
            <w:hideMark/>
          </w:tcPr>
          <w:p w14:paraId="14920449"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22.67</w:t>
            </w:r>
          </w:p>
        </w:tc>
        <w:tc>
          <w:tcPr>
            <w:tcW w:w="0" w:type="auto"/>
            <w:tcBorders>
              <w:top w:val="single" w:sz="4" w:space="0" w:color="auto"/>
            </w:tcBorders>
            <w:hideMark/>
          </w:tcPr>
          <w:p w14:paraId="40BB148D"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2.08</w:t>
            </w:r>
          </w:p>
        </w:tc>
      </w:tr>
      <w:tr w:rsidR="00E4612C" w:rsidRPr="00017FB1" w14:paraId="7E553124" w14:textId="77777777" w:rsidTr="00EE493E">
        <w:trPr>
          <w:trHeight w:val="391"/>
        </w:trPr>
        <w:tc>
          <w:tcPr>
            <w:tcW w:w="0" w:type="auto"/>
            <w:vMerge/>
            <w:hideMark/>
          </w:tcPr>
          <w:p w14:paraId="5B0BA01E" w14:textId="77777777" w:rsidR="00E4612C" w:rsidRPr="00017FB1" w:rsidRDefault="00E4612C" w:rsidP="00EE493E">
            <w:pPr>
              <w:spacing w:before="120" w:after="120" w:line="240" w:lineRule="auto"/>
              <w:rPr>
                <w:color w:val="1F1F1F"/>
                <w:kern w:val="0"/>
                <w:sz w:val="22"/>
                <w:lang w:eastAsia="es-PE"/>
                <w14:ligatures w14:val="none"/>
              </w:rPr>
            </w:pPr>
          </w:p>
        </w:tc>
        <w:tc>
          <w:tcPr>
            <w:tcW w:w="0" w:type="auto"/>
            <w:hideMark/>
          </w:tcPr>
          <w:p w14:paraId="680A8240"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Errores</w:t>
            </w:r>
          </w:p>
        </w:tc>
        <w:tc>
          <w:tcPr>
            <w:tcW w:w="0" w:type="auto"/>
            <w:hideMark/>
          </w:tcPr>
          <w:p w14:paraId="7633CBE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6.33</w:t>
            </w:r>
          </w:p>
        </w:tc>
        <w:tc>
          <w:tcPr>
            <w:tcW w:w="0" w:type="auto"/>
            <w:hideMark/>
          </w:tcPr>
          <w:p w14:paraId="3C226A62"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1.16</w:t>
            </w:r>
          </w:p>
        </w:tc>
        <w:tc>
          <w:tcPr>
            <w:tcW w:w="0" w:type="auto"/>
            <w:hideMark/>
          </w:tcPr>
          <w:p w14:paraId="0F58090C"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6</w:t>
            </w:r>
          </w:p>
        </w:tc>
        <w:tc>
          <w:tcPr>
            <w:tcW w:w="0" w:type="auto"/>
            <w:hideMark/>
          </w:tcPr>
          <w:p w14:paraId="3F5FC3DD"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1.73</w:t>
            </w:r>
          </w:p>
        </w:tc>
        <w:tc>
          <w:tcPr>
            <w:tcW w:w="0" w:type="auto"/>
            <w:hideMark/>
          </w:tcPr>
          <w:p w14:paraId="57E9B91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5.33</w:t>
            </w:r>
          </w:p>
        </w:tc>
        <w:tc>
          <w:tcPr>
            <w:tcW w:w="0" w:type="auto"/>
            <w:hideMark/>
          </w:tcPr>
          <w:p w14:paraId="3C6EB652"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1.53</w:t>
            </w:r>
          </w:p>
        </w:tc>
      </w:tr>
      <w:tr w:rsidR="00E4612C" w:rsidRPr="00017FB1" w14:paraId="25A3594A" w14:textId="77777777" w:rsidTr="00EE493E">
        <w:trPr>
          <w:trHeight w:val="391"/>
        </w:trPr>
        <w:tc>
          <w:tcPr>
            <w:tcW w:w="0" w:type="auto"/>
            <w:vMerge w:val="restart"/>
            <w:hideMark/>
          </w:tcPr>
          <w:p w14:paraId="254B2B9D"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10:01–20:00 min</w:t>
            </w:r>
          </w:p>
        </w:tc>
        <w:tc>
          <w:tcPr>
            <w:tcW w:w="0" w:type="auto"/>
            <w:hideMark/>
          </w:tcPr>
          <w:p w14:paraId="4FD4F17D"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Aciertos</w:t>
            </w:r>
          </w:p>
        </w:tc>
        <w:tc>
          <w:tcPr>
            <w:tcW w:w="0" w:type="auto"/>
            <w:hideMark/>
          </w:tcPr>
          <w:p w14:paraId="37411EE1"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15.67</w:t>
            </w:r>
          </w:p>
        </w:tc>
        <w:tc>
          <w:tcPr>
            <w:tcW w:w="0" w:type="auto"/>
            <w:hideMark/>
          </w:tcPr>
          <w:p w14:paraId="584A68BE"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4.93</w:t>
            </w:r>
          </w:p>
        </w:tc>
        <w:tc>
          <w:tcPr>
            <w:tcW w:w="0" w:type="auto"/>
            <w:hideMark/>
          </w:tcPr>
          <w:p w14:paraId="39A1140B"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24.33</w:t>
            </w:r>
          </w:p>
        </w:tc>
        <w:tc>
          <w:tcPr>
            <w:tcW w:w="0" w:type="auto"/>
            <w:hideMark/>
          </w:tcPr>
          <w:p w14:paraId="738ACDB9"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4.04</w:t>
            </w:r>
          </w:p>
        </w:tc>
        <w:tc>
          <w:tcPr>
            <w:tcW w:w="0" w:type="auto"/>
            <w:hideMark/>
          </w:tcPr>
          <w:p w14:paraId="2F03295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19.33</w:t>
            </w:r>
          </w:p>
        </w:tc>
        <w:tc>
          <w:tcPr>
            <w:tcW w:w="0" w:type="auto"/>
            <w:hideMark/>
          </w:tcPr>
          <w:p w14:paraId="2755E79E"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2.52</w:t>
            </w:r>
          </w:p>
        </w:tc>
      </w:tr>
      <w:tr w:rsidR="00E4612C" w:rsidRPr="00017FB1" w14:paraId="2E79146D" w14:textId="77777777" w:rsidTr="00EE493E">
        <w:trPr>
          <w:trHeight w:val="391"/>
        </w:trPr>
        <w:tc>
          <w:tcPr>
            <w:tcW w:w="0" w:type="auto"/>
            <w:vMerge/>
            <w:hideMark/>
          </w:tcPr>
          <w:p w14:paraId="06A52AE7" w14:textId="77777777" w:rsidR="00E4612C" w:rsidRPr="00017FB1" w:rsidRDefault="00E4612C" w:rsidP="00EE493E">
            <w:pPr>
              <w:spacing w:before="120" w:after="120" w:line="240" w:lineRule="auto"/>
              <w:rPr>
                <w:color w:val="1F1F1F"/>
                <w:kern w:val="0"/>
                <w:sz w:val="22"/>
                <w:lang w:eastAsia="es-PE"/>
                <w14:ligatures w14:val="none"/>
              </w:rPr>
            </w:pPr>
          </w:p>
        </w:tc>
        <w:tc>
          <w:tcPr>
            <w:tcW w:w="0" w:type="auto"/>
            <w:hideMark/>
          </w:tcPr>
          <w:p w14:paraId="096B8A2E"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Errores</w:t>
            </w:r>
          </w:p>
        </w:tc>
        <w:tc>
          <w:tcPr>
            <w:tcW w:w="0" w:type="auto"/>
            <w:hideMark/>
          </w:tcPr>
          <w:p w14:paraId="7DA0CB4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7</w:t>
            </w:r>
          </w:p>
        </w:tc>
        <w:tc>
          <w:tcPr>
            <w:tcW w:w="0" w:type="auto"/>
            <w:hideMark/>
          </w:tcPr>
          <w:p w14:paraId="1CA2F7A0"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2.65</w:t>
            </w:r>
          </w:p>
        </w:tc>
        <w:tc>
          <w:tcPr>
            <w:tcW w:w="0" w:type="auto"/>
            <w:hideMark/>
          </w:tcPr>
          <w:p w14:paraId="33027BC9"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w:t>
            </w:r>
          </w:p>
        </w:tc>
        <w:tc>
          <w:tcPr>
            <w:tcW w:w="0" w:type="auto"/>
            <w:hideMark/>
          </w:tcPr>
          <w:p w14:paraId="01538C8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2.65</w:t>
            </w:r>
          </w:p>
        </w:tc>
        <w:tc>
          <w:tcPr>
            <w:tcW w:w="0" w:type="auto"/>
            <w:hideMark/>
          </w:tcPr>
          <w:p w14:paraId="7D4243CB"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1.33</w:t>
            </w:r>
          </w:p>
        </w:tc>
        <w:tc>
          <w:tcPr>
            <w:tcW w:w="0" w:type="auto"/>
            <w:hideMark/>
          </w:tcPr>
          <w:p w14:paraId="722FCA8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1.53</w:t>
            </w:r>
          </w:p>
        </w:tc>
      </w:tr>
      <w:tr w:rsidR="00E4612C" w:rsidRPr="00017FB1" w14:paraId="22B33E6A" w14:textId="77777777" w:rsidTr="00EE493E">
        <w:trPr>
          <w:trHeight w:val="391"/>
        </w:trPr>
        <w:tc>
          <w:tcPr>
            <w:tcW w:w="0" w:type="auto"/>
            <w:vMerge w:val="restart"/>
            <w:hideMark/>
          </w:tcPr>
          <w:p w14:paraId="761177C8"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lastRenderedPageBreak/>
              <w:t>20:01–30:00 min</w:t>
            </w:r>
          </w:p>
        </w:tc>
        <w:tc>
          <w:tcPr>
            <w:tcW w:w="0" w:type="auto"/>
            <w:hideMark/>
          </w:tcPr>
          <w:p w14:paraId="172D19DC"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Aciertos</w:t>
            </w:r>
          </w:p>
        </w:tc>
        <w:tc>
          <w:tcPr>
            <w:tcW w:w="0" w:type="auto"/>
            <w:hideMark/>
          </w:tcPr>
          <w:p w14:paraId="3845DD7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22</w:t>
            </w:r>
          </w:p>
        </w:tc>
        <w:tc>
          <w:tcPr>
            <w:tcW w:w="0" w:type="auto"/>
            <w:hideMark/>
          </w:tcPr>
          <w:p w14:paraId="6B4E288C"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w:t>
            </w:r>
          </w:p>
        </w:tc>
        <w:tc>
          <w:tcPr>
            <w:tcW w:w="0" w:type="auto"/>
            <w:hideMark/>
          </w:tcPr>
          <w:p w14:paraId="3076688A"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23</w:t>
            </w:r>
          </w:p>
        </w:tc>
        <w:tc>
          <w:tcPr>
            <w:tcW w:w="0" w:type="auto"/>
            <w:hideMark/>
          </w:tcPr>
          <w:p w14:paraId="49953C57"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5.2</w:t>
            </w:r>
          </w:p>
        </w:tc>
        <w:tc>
          <w:tcPr>
            <w:tcW w:w="0" w:type="auto"/>
            <w:hideMark/>
          </w:tcPr>
          <w:p w14:paraId="7D38B702"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19</w:t>
            </w:r>
          </w:p>
        </w:tc>
        <w:tc>
          <w:tcPr>
            <w:tcW w:w="0" w:type="auto"/>
            <w:hideMark/>
          </w:tcPr>
          <w:p w14:paraId="03D1CD07"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1.73</w:t>
            </w:r>
          </w:p>
        </w:tc>
      </w:tr>
      <w:tr w:rsidR="00E4612C" w:rsidRPr="00017FB1" w14:paraId="618B103C" w14:textId="77777777" w:rsidTr="00EE493E">
        <w:trPr>
          <w:trHeight w:val="391"/>
        </w:trPr>
        <w:tc>
          <w:tcPr>
            <w:tcW w:w="0" w:type="auto"/>
            <w:vMerge/>
            <w:hideMark/>
          </w:tcPr>
          <w:p w14:paraId="516E3D2D" w14:textId="77777777" w:rsidR="00E4612C" w:rsidRPr="00017FB1" w:rsidRDefault="00E4612C" w:rsidP="00EE493E">
            <w:pPr>
              <w:spacing w:before="120" w:after="120" w:line="240" w:lineRule="auto"/>
              <w:rPr>
                <w:color w:val="1F1F1F"/>
                <w:kern w:val="0"/>
                <w:sz w:val="22"/>
                <w:lang w:eastAsia="es-PE"/>
                <w14:ligatures w14:val="none"/>
              </w:rPr>
            </w:pPr>
          </w:p>
        </w:tc>
        <w:tc>
          <w:tcPr>
            <w:tcW w:w="0" w:type="auto"/>
            <w:hideMark/>
          </w:tcPr>
          <w:p w14:paraId="0D2DCAEE"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Errores</w:t>
            </w:r>
          </w:p>
        </w:tc>
        <w:tc>
          <w:tcPr>
            <w:tcW w:w="0" w:type="auto"/>
            <w:hideMark/>
          </w:tcPr>
          <w:p w14:paraId="30CECF4C"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2.67</w:t>
            </w:r>
          </w:p>
        </w:tc>
        <w:tc>
          <w:tcPr>
            <w:tcW w:w="0" w:type="auto"/>
            <w:hideMark/>
          </w:tcPr>
          <w:p w14:paraId="08F3715A"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1.16</w:t>
            </w:r>
          </w:p>
        </w:tc>
        <w:tc>
          <w:tcPr>
            <w:tcW w:w="0" w:type="auto"/>
            <w:hideMark/>
          </w:tcPr>
          <w:p w14:paraId="7E503BE5"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1.67</w:t>
            </w:r>
          </w:p>
        </w:tc>
        <w:tc>
          <w:tcPr>
            <w:tcW w:w="0" w:type="auto"/>
            <w:hideMark/>
          </w:tcPr>
          <w:p w14:paraId="6716B4DA"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1.16</w:t>
            </w:r>
          </w:p>
        </w:tc>
        <w:tc>
          <w:tcPr>
            <w:tcW w:w="0" w:type="auto"/>
            <w:hideMark/>
          </w:tcPr>
          <w:p w14:paraId="6D25085A"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0.33</w:t>
            </w:r>
          </w:p>
        </w:tc>
        <w:tc>
          <w:tcPr>
            <w:tcW w:w="0" w:type="auto"/>
            <w:hideMark/>
          </w:tcPr>
          <w:p w14:paraId="40BE59E2"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0.58</w:t>
            </w:r>
          </w:p>
        </w:tc>
      </w:tr>
      <w:tr w:rsidR="00E4612C" w:rsidRPr="00017FB1" w14:paraId="7494E344" w14:textId="77777777" w:rsidTr="00EE493E">
        <w:trPr>
          <w:trHeight w:val="391"/>
        </w:trPr>
        <w:tc>
          <w:tcPr>
            <w:tcW w:w="0" w:type="auto"/>
            <w:vMerge w:val="restart"/>
            <w:hideMark/>
          </w:tcPr>
          <w:p w14:paraId="2EFAC589"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30:01–40:00 min</w:t>
            </w:r>
          </w:p>
        </w:tc>
        <w:tc>
          <w:tcPr>
            <w:tcW w:w="0" w:type="auto"/>
            <w:hideMark/>
          </w:tcPr>
          <w:p w14:paraId="6578D649"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Aciertos</w:t>
            </w:r>
          </w:p>
        </w:tc>
        <w:tc>
          <w:tcPr>
            <w:tcW w:w="0" w:type="auto"/>
            <w:hideMark/>
          </w:tcPr>
          <w:p w14:paraId="67C18D3A"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22.33</w:t>
            </w:r>
          </w:p>
        </w:tc>
        <w:tc>
          <w:tcPr>
            <w:tcW w:w="0" w:type="auto"/>
            <w:hideMark/>
          </w:tcPr>
          <w:p w14:paraId="0753DAB1"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1.16</w:t>
            </w:r>
          </w:p>
        </w:tc>
        <w:tc>
          <w:tcPr>
            <w:tcW w:w="0" w:type="auto"/>
            <w:hideMark/>
          </w:tcPr>
          <w:p w14:paraId="36F96C01"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24.67</w:t>
            </w:r>
          </w:p>
        </w:tc>
        <w:tc>
          <w:tcPr>
            <w:tcW w:w="0" w:type="auto"/>
            <w:hideMark/>
          </w:tcPr>
          <w:p w14:paraId="19B1229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1.53</w:t>
            </w:r>
          </w:p>
        </w:tc>
        <w:tc>
          <w:tcPr>
            <w:tcW w:w="0" w:type="auto"/>
            <w:hideMark/>
          </w:tcPr>
          <w:p w14:paraId="3B8854CB"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19.33</w:t>
            </w:r>
          </w:p>
        </w:tc>
        <w:tc>
          <w:tcPr>
            <w:tcW w:w="0" w:type="auto"/>
            <w:hideMark/>
          </w:tcPr>
          <w:p w14:paraId="7829BF1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3.22</w:t>
            </w:r>
          </w:p>
        </w:tc>
      </w:tr>
      <w:tr w:rsidR="00E4612C" w:rsidRPr="00017FB1" w14:paraId="46EAE6D6" w14:textId="77777777" w:rsidTr="00EE493E">
        <w:trPr>
          <w:trHeight w:val="391"/>
        </w:trPr>
        <w:tc>
          <w:tcPr>
            <w:tcW w:w="0" w:type="auto"/>
            <w:vMerge/>
            <w:hideMark/>
          </w:tcPr>
          <w:p w14:paraId="0EDFA91C" w14:textId="77777777" w:rsidR="00E4612C" w:rsidRPr="00017FB1" w:rsidRDefault="00E4612C" w:rsidP="00EE493E">
            <w:pPr>
              <w:spacing w:before="120" w:after="120" w:line="240" w:lineRule="auto"/>
              <w:rPr>
                <w:color w:val="1F1F1F"/>
                <w:kern w:val="0"/>
                <w:sz w:val="22"/>
                <w:lang w:eastAsia="es-PE"/>
                <w14:ligatures w14:val="none"/>
              </w:rPr>
            </w:pPr>
          </w:p>
        </w:tc>
        <w:tc>
          <w:tcPr>
            <w:tcW w:w="0" w:type="auto"/>
            <w:hideMark/>
          </w:tcPr>
          <w:p w14:paraId="35673EF6"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Errores</w:t>
            </w:r>
          </w:p>
        </w:tc>
        <w:tc>
          <w:tcPr>
            <w:tcW w:w="0" w:type="auto"/>
            <w:hideMark/>
          </w:tcPr>
          <w:p w14:paraId="54E72827"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3.67</w:t>
            </w:r>
          </w:p>
        </w:tc>
        <w:tc>
          <w:tcPr>
            <w:tcW w:w="0" w:type="auto"/>
            <w:hideMark/>
          </w:tcPr>
          <w:p w14:paraId="42FC304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2.52</w:t>
            </w:r>
          </w:p>
        </w:tc>
        <w:tc>
          <w:tcPr>
            <w:tcW w:w="0" w:type="auto"/>
            <w:hideMark/>
          </w:tcPr>
          <w:p w14:paraId="5FD48136"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0.67</w:t>
            </w:r>
          </w:p>
        </w:tc>
        <w:tc>
          <w:tcPr>
            <w:tcW w:w="0" w:type="auto"/>
            <w:hideMark/>
          </w:tcPr>
          <w:p w14:paraId="766DCCA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0.58</w:t>
            </w:r>
          </w:p>
        </w:tc>
        <w:tc>
          <w:tcPr>
            <w:tcW w:w="0" w:type="auto"/>
            <w:hideMark/>
          </w:tcPr>
          <w:p w14:paraId="6D513347"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w:t>
            </w:r>
          </w:p>
        </w:tc>
        <w:tc>
          <w:tcPr>
            <w:tcW w:w="0" w:type="auto"/>
            <w:hideMark/>
          </w:tcPr>
          <w:p w14:paraId="5F291A82"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w:t>
            </w:r>
          </w:p>
        </w:tc>
      </w:tr>
      <w:tr w:rsidR="00E4612C" w:rsidRPr="00017FB1" w14:paraId="34ACDB04" w14:textId="77777777" w:rsidTr="00EE493E">
        <w:trPr>
          <w:trHeight w:val="391"/>
        </w:trPr>
        <w:tc>
          <w:tcPr>
            <w:tcW w:w="0" w:type="auto"/>
            <w:vMerge w:val="restart"/>
            <w:hideMark/>
          </w:tcPr>
          <w:p w14:paraId="3CA67204"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40:01–45:00 min</w:t>
            </w:r>
          </w:p>
        </w:tc>
        <w:tc>
          <w:tcPr>
            <w:tcW w:w="0" w:type="auto"/>
            <w:hideMark/>
          </w:tcPr>
          <w:p w14:paraId="5870C7DD"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Aciertos</w:t>
            </w:r>
          </w:p>
        </w:tc>
        <w:tc>
          <w:tcPr>
            <w:tcW w:w="0" w:type="auto"/>
            <w:hideMark/>
          </w:tcPr>
          <w:p w14:paraId="79B03CE7"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9</w:t>
            </w:r>
          </w:p>
        </w:tc>
        <w:tc>
          <w:tcPr>
            <w:tcW w:w="0" w:type="auto"/>
            <w:hideMark/>
          </w:tcPr>
          <w:p w14:paraId="791D5F07"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3.46</w:t>
            </w:r>
          </w:p>
        </w:tc>
        <w:tc>
          <w:tcPr>
            <w:tcW w:w="0" w:type="auto"/>
            <w:hideMark/>
          </w:tcPr>
          <w:p w14:paraId="76D38C25"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8.67</w:t>
            </w:r>
          </w:p>
        </w:tc>
        <w:tc>
          <w:tcPr>
            <w:tcW w:w="0" w:type="auto"/>
            <w:hideMark/>
          </w:tcPr>
          <w:p w14:paraId="2CB46A5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1.53</w:t>
            </w:r>
          </w:p>
        </w:tc>
        <w:tc>
          <w:tcPr>
            <w:tcW w:w="0" w:type="auto"/>
            <w:hideMark/>
          </w:tcPr>
          <w:p w14:paraId="20607209"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9</w:t>
            </w:r>
          </w:p>
        </w:tc>
        <w:tc>
          <w:tcPr>
            <w:tcW w:w="0" w:type="auto"/>
            <w:hideMark/>
          </w:tcPr>
          <w:p w14:paraId="2F03825C"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w:t>
            </w:r>
          </w:p>
        </w:tc>
      </w:tr>
      <w:tr w:rsidR="00E4612C" w:rsidRPr="00017FB1" w14:paraId="238B9A05" w14:textId="77777777" w:rsidTr="00EE493E">
        <w:trPr>
          <w:trHeight w:val="391"/>
        </w:trPr>
        <w:tc>
          <w:tcPr>
            <w:tcW w:w="0" w:type="auto"/>
            <w:vMerge/>
            <w:hideMark/>
          </w:tcPr>
          <w:p w14:paraId="665AE8E4" w14:textId="77777777" w:rsidR="00E4612C" w:rsidRPr="00017FB1" w:rsidRDefault="00E4612C" w:rsidP="00EE493E">
            <w:pPr>
              <w:spacing w:before="120" w:after="120" w:line="240" w:lineRule="auto"/>
              <w:rPr>
                <w:color w:val="1F1F1F"/>
                <w:kern w:val="0"/>
                <w:sz w:val="22"/>
                <w:lang w:eastAsia="es-PE"/>
                <w14:ligatures w14:val="none"/>
              </w:rPr>
            </w:pPr>
          </w:p>
        </w:tc>
        <w:tc>
          <w:tcPr>
            <w:tcW w:w="0" w:type="auto"/>
            <w:hideMark/>
          </w:tcPr>
          <w:p w14:paraId="48A554C2" w14:textId="77777777" w:rsidR="00E4612C" w:rsidRPr="00017FB1" w:rsidRDefault="00E4612C" w:rsidP="00EE493E">
            <w:pPr>
              <w:spacing w:before="120" w:after="120" w:line="240" w:lineRule="auto"/>
              <w:rPr>
                <w:color w:val="1F1F1F"/>
                <w:kern w:val="0"/>
                <w:sz w:val="22"/>
                <w:lang w:eastAsia="es-PE"/>
                <w14:ligatures w14:val="none"/>
              </w:rPr>
            </w:pPr>
            <w:r w:rsidRPr="00017FB1">
              <w:rPr>
                <w:color w:val="1F1F1F"/>
                <w:kern w:val="0"/>
                <w:sz w:val="22"/>
                <w:lang w:eastAsia="es-PE"/>
                <w14:ligatures w14:val="none"/>
              </w:rPr>
              <w:t>Errores</w:t>
            </w:r>
          </w:p>
        </w:tc>
        <w:tc>
          <w:tcPr>
            <w:tcW w:w="0" w:type="auto"/>
            <w:hideMark/>
          </w:tcPr>
          <w:p w14:paraId="09B17FD4"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1.33</w:t>
            </w:r>
          </w:p>
        </w:tc>
        <w:tc>
          <w:tcPr>
            <w:tcW w:w="0" w:type="auto"/>
            <w:hideMark/>
          </w:tcPr>
          <w:p w14:paraId="7981AA53"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1.16</w:t>
            </w:r>
          </w:p>
        </w:tc>
        <w:tc>
          <w:tcPr>
            <w:tcW w:w="0" w:type="auto"/>
            <w:hideMark/>
          </w:tcPr>
          <w:p w14:paraId="7E7028D6"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0.33</w:t>
            </w:r>
          </w:p>
        </w:tc>
        <w:tc>
          <w:tcPr>
            <w:tcW w:w="0" w:type="auto"/>
            <w:hideMark/>
          </w:tcPr>
          <w:p w14:paraId="2FDB8F28"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0.58</w:t>
            </w:r>
          </w:p>
        </w:tc>
        <w:tc>
          <w:tcPr>
            <w:tcW w:w="0" w:type="auto"/>
            <w:hideMark/>
          </w:tcPr>
          <w:p w14:paraId="150FBD49"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w:t>
            </w:r>
          </w:p>
        </w:tc>
        <w:tc>
          <w:tcPr>
            <w:tcW w:w="0" w:type="auto"/>
            <w:hideMark/>
          </w:tcPr>
          <w:p w14:paraId="17DD6580" w14:textId="77777777" w:rsidR="00E4612C" w:rsidRPr="00017FB1" w:rsidRDefault="00E4612C" w:rsidP="00EE493E">
            <w:pPr>
              <w:spacing w:before="120" w:after="120" w:line="240" w:lineRule="auto"/>
              <w:jc w:val="center"/>
              <w:rPr>
                <w:color w:val="1F1F1F"/>
                <w:kern w:val="0"/>
                <w:sz w:val="22"/>
                <w:lang w:eastAsia="es-PE"/>
                <w14:ligatures w14:val="none"/>
              </w:rPr>
            </w:pPr>
            <w:r w:rsidRPr="00017FB1">
              <w:rPr>
                <w:color w:val="1F1F1F"/>
                <w:kern w:val="0"/>
                <w:sz w:val="22"/>
                <w:lang w:eastAsia="es-PE"/>
                <w14:ligatures w14:val="none"/>
              </w:rPr>
              <w:t>0</w:t>
            </w:r>
          </w:p>
        </w:tc>
      </w:tr>
    </w:tbl>
    <w:p w14:paraId="3DA08656" w14:textId="77777777" w:rsidR="00E4612C" w:rsidRPr="00224862" w:rsidRDefault="00E4612C" w:rsidP="00E4612C">
      <w:pPr>
        <w:pStyle w:val="NOTASTABLASAPA7"/>
        <w:spacing w:before="120" w:after="120" w:line="240" w:lineRule="auto"/>
        <w:jc w:val="both"/>
        <w:rPr>
          <w:sz w:val="22"/>
          <w:szCs w:val="22"/>
        </w:rPr>
      </w:pPr>
      <w:r w:rsidRPr="00017FB1">
        <w:rPr>
          <w:i/>
          <w:iCs w:val="0"/>
          <w:sz w:val="22"/>
          <w:szCs w:val="22"/>
        </w:rPr>
        <w:t>Nota</w:t>
      </w:r>
      <w:r w:rsidRPr="00017FB1">
        <w:rPr>
          <w:sz w:val="22"/>
          <w:szCs w:val="22"/>
        </w:rPr>
        <w:t>. M = Media; DE = Desviación Estándar. La Fase A</w:t>
      </w:r>
      <w:r w:rsidRPr="00017FB1">
        <w:rPr>
          <w:sz w:val="22"/>
          <w:szCs w:val="22"/>
          <w:vertAlign w:val="subscript"/>
        </w:rPr>
        <w:t>1</w:t>
      </w:r>
      <w:r w:rsidRPr="00017FB1">
        <w:rPr>
          <w:sz w:val="22"/>
          <w:szCs w:val="22"/>
        </w:rPr>
        <w:t xml:space="preserve"> y la Fase A</w:t>
      </w:r>
      <w:r w:rsidRPr="00017FB1">
        <w:rPr>
          <w:sz w:val="22"/>
          <w:szCs w:val="22"/>
          <w:vertAlign w:val="subscript"/>
        </w:rPr>
        <w:t>2</w:t>
      </w:r>
      <w:r w:rsidRPr="00017FB1">
        <w:rPr>
          <w:sz w:val="22"/>
          <w:szCs w:val="22"/>
        </w:rPr>
        <w:t xml:space="preserve"> representan la condición Sin Sacarosa (Línea Base y Reversión, respectivamente). La Fase B representa la condición Con Sacarosa (Intervención). Los valores de M y DE son el promedio consolidado de los cinco segmentos de tiempo.</w:t>
      </w:r>
    </w:p>
    <w:p w14:paraId="524E66E2" w14:textId="77777777" w:rsidR="00E4612C" w:rsidRDefault="00E4612C" w:rsidP="00E4612C">
      <w:pPr>
        <w:pStyle w:val="Descripcin"/>
        <w:spacing w:before="240" w:after="120"/>
        <w:rPr>
          <w:rFonts w:ascii="Times New Roman" w:hAnsi="Times New Roman" w:cs="Times New Roman"/>
          <w:b/>
          <w:bCs/>
          <w:i w:val="0"/>
          <w:iCs w:val="0"/>
          <w:color w:val="auto"/>
          <w:sz w:val="22"/>
          <w:szCs w:val="22"/>
        </w:rPr>
      </w:pPr>
    </w:p>
    <w:p w14:paraId="24CDDD8C" w14:textId="77777777" w:rsidR="00E4612C" w:rsidRPr="00224862" w:rsidRDefault="00E4612C" w:rsidP="00E4612C">
      <w:pPr>
        <w:pStyle w:val="Descripcin"/>
        <w:spacing w:before="240" w:after="120"/>
        <w:rPr>
          <w:rFonts w:ascii="Times New Roman" w:hAnsi="Times New Roman" w:cs="Times New Roman"/>
          <w:noProof/>
          <w:color w:val="auto"/>
          <w:sz w:val="22"/>
          <w:szCs w:val="22"/>
        </w:rPr>
      </w:pPr>
      <w:r w:rsidRPr="00224862">
        <w:rPr>
          <w:rFonts w:ascii="Times New Roman" w:hAnsi="Times New Roman" w:cs="Times New Roman"/>
          <w:b/>
          <w:bCs/>
          <w:i w:val="0"/>
          <w:iCs w:val="0"/>
          <w:color w:val="auto"/>
          <w:sz w:val="22"/>
          <w:szCs w:val="22"/>
        </w:rPr>
        <w:t xml:space="preserve">Figura </w:t>
      </w:r>
      <w:r w:rsidRPr="00224862">
        <w:rPr>
          <w:rFonts w:ascii="Times New Roman" w:hAnsi="Times New Roman" w:cs="Times New Roman"/>
          <w:b/>
          <w:bCs/>
          <w:i w:val="0"/>
          <w:iCs w:val="0"/>
          <w:color w:val="auto"/>
          <w:sz w:val="22"/>
          <w:szCs w:val="22"/>
        </w:rPr>
        <w:fldChar w:fldCharType="begin"/>
      </w:r>
      <w:r w:rsidRPr="00224862">
        <w:rPr>
          <w:rFonts w:ascii="Times New Roman" w:hAnsi="Times New Roman" w:cs="Times New Roman"/>
          <w:b/>
          <w:bCs/>
          <w:i w:val="0"/>
          <w:iCs w:val="0"/>
          <w:color w:val="auto"/>
          <w:sz w:val="22"/>
          <w:szCs w:val="22"/>
        </w:rPr>
        <w:instrText xml:space="preserve"> SEQ Gráfico \* ARABIC </w:instrText>
      </w:r>
      <w:r w:rsidRPr="00224862">
        <w:rPr>
          <w:rFonts w:ascii="Times New Roman" w:hAnsi="Times New Roman" w:cs="Times New Roman"/>
          <w:b/>
          <w:bCs/>
          <w:i w:val="0"/>
          <w:iCs w:val="0"/>
          <w:color w:val="auto"/>
          <w:sz w:val="22"/>
          <w:szCs w:val="22"/>
        </w:rPr>
        <w:fldChar w:fldCharType="separate"/>
      </w:r>
      <w:r w:rsidRPr="00224862">
        <w:rPr>
          <w:rFonts w:ascii="Times New Roman" w:hAnsi="Times New Roman" w:cs="Times New Roman"/>
          <w:b/>
          <w:bCs/>
          <w:i w:val="0"/>
          <w:iCs w:val="0"/>
          <w:noProof/>
          <w:color w:val="auto"/>
          <w:sz w:val="22"/>
          <w:szCs w:val="22"/>
        </w:rPr>
        <w:t>1</w:t>
      </w:r>
      <w:r w:rsidRPr="00224862">
        <w:rPr>
          <w:rFonts w:ascii="Times New Roman" w:hAnsi="Times New Roman" w:cs="Times New Roman"/>
          <w:b/>
          <w:bCs/>
          <w:i w:val="0"/>
          <w:iCs w:val="0"/>
          <w:color w:val="auto"/>
          <w:sz w:val="22"/>
          <w:szCs w:val="22"/>
        </w:rPr>
        <w:fldChar w:fldCharType="end"/>
      </w:r>
    </w:p>
    <w:p w14:paraId="08B8F77D" w14:textId="77777777" w:rsidR="00E4612C" w:rsidRPr="00224862" w:rsidRDefault="00E4612C" w:rsidP="00E4612C">
      <w:pPr>
        <w:pStyle w:val="Descripcin"/>
        <w:spacing w:before="240" w:after="120"/>
        <w:rPr>
          <w:rFonts w:ascii="Times New Roman" w:hAnsi="Times New Roman" w:cs="Times New Roman"/>
          <w:noProof/>
          <w:color w:val="auto"/>
          <w:sz w:val="22"/>
          <w:szCs w:val="22"/>
        </w:rPr>
      </w:pPr>
      <w:r w:rsidRPr="00224862">
        <w:rPr>
          <w:rFonts w:ascii="Times New Roman" w:hAnsi="Times New Roman" w:cs="Times New Roman"/>
          <w:noProof/>
          <w:color w:val="auto"/>
          <w:sz w:val="22"/>
          <w:szCs w:val="22"/>
        </w:rPr>
        <w:t>Aciertos en Función al Tiempo</w:t>
      </w:r>
    </w:p>
    <w:p w14:paraId="3AFB2FA8" w14:textId="77777777" w:rsidR="00E4612C" w:rsidRPr="00224862" w:rsidRDefault="00E4612C" w:rsidP="00E4612C">
      <w:pPr>
        <w:rPr>
          <w:szCs w:val="20"/>
        </w:rPr>
      </w:pPr>
      <w:r w:rsidRPr="00224862">
        <w:rPr>
          <w:noProof/>
          <w:szCs w:val="20"/>
        </w:rPr>
        <w:drawing>
          <wp:anchor distT="0" distB="0" distL="114300" distR="114300" simplePos="0" relativeHeight="251662336" behindDoc="0" locked="0" layoutInCell="1" allowOverlap="1" wp14:anchorId="2FCCD7D9" wp14:editId="60816A89">
            <wp:simplePos x="0" y="0"/>
            <wp:positionH relativeFrom="margin">
              <wp:align>right</wp:align>
            </wp:positionH>
            <wp:positionV relativeFrom="paragraph">
              <wp:posOffset>5080</wp:posOffset>
            </wp:positionV>
            <wp:extent cx="5958840" cy="3368040"/>
            <wp:effectExtent l="0" t="0" r="3810" b="3810"/>
            <wp:wrapNone/>
            <wp:docPr id="2042981937" name="Gráfico 1">
              <a:extLst xmlns:a="http://schemas.openxmlformats.org/drawingml/2006/main">
                <a:ext uri="{FF2B5EF4-FFF2-40B4-BE49-F238E27FC236}">
                  <a16:creationId xmlns:a16="http://schemas.microsoft.com/office/drawing/2014/main" id="{492A9F5B-FF10-1DBB-6755-5891E2C17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160112E" w14:textId="77777777" w:rsidR="00E4612C" w:rsidRPr="00224862" w:rsidRDefault="00E4612C" w:rsidP="00E4612C">
      <w:pPr>
        <w:rPr>
          <w:szCs w:val="20"/>
        </w:rPr>
      </w:pPr>
    </w:p>
    <w:p w14:paraId="6D7FE0AF" w14:textId="77777777" w:rsidR="00E4612C" w:rsidRPr="00224862" w:rsidRDefault="00E4612C" w:rsidP="00E4612C">
      <w:pPr>
        <w:rPr>
          <w:szCs w:val="20"/>
        </w:rPr>
      </w:pPr>
    </w:p>
    <w:p w14:paraId="5DDB84A5" w14:textId="77777777" w:rsidR="00E4612C" w:rsidRPr="00224862" w:rsidRDefault="00E4612C" w:rsidP="00E4612C">
      <w:pPr>
        <w:rPr>
          <w:szCs w:val="20"/>
        </w:rPr>
      </w:pPr>
    </w:p>
    <w:p w14:paraId="497C9D82" w14:textId="77777777" w:rsidR="00E4612C" w:rsidRPr="00224862" w:rsidRDefault="00E4612C" w:rsidP="00E4612C">
      <w:pPr>
        <w:rPr>
          <w:szCs w:val="20"/>
        </w:rPr>
      </w:pPr>
    </w:p>
    <w:p w14:paraId="4CB36FD3" w14:textId="77777777" w:rsidR="00E4612C" w:rsidRPr="00224862" w:rsidRDefault="00E4612C" w:rsidP="00E4612C">
      <w:pPr>
        <w:rPr>
          <w:szCs w:val="20"/>
        </w:rPr>
      </w:pPr>
    </w:p>
    <w:p w14:paraId="1AD5C533" w14:textId="77777777" w:rsidR="00E4612C" w:rsidRPr="00224862" w:rsidRDefault="00E4612C" w:rsidP="00E4612C">
      <w:pPr>
        <w:rPr>
          <w:szCs w:val="20"/>
        </w:rPr>
      </w:pPr>
    </w:p>
    <w:p w14:paraId="15FAFD50" w14:textId="77777777" w:rsidR="00E4612C" w:rsidRPr="00224862" w:rsidRDefault="00E4612C" w:rsidP="00E4612C">
      <w:pPr>
        <w:rPr>
          <w:szCs w:val="20"/>
        </w:rPr>
      </w:pPr>
    </w:p>
    <w:p w14:paraId="58D499FD" w14:textId="77777777" w:rsidR="00E4612C" w:rsidRPr="00224862" w:rsidRDefault="00E4612C" w:rsidP="00E4612C">
      <w:pPr>
        <w:rPr>
          <w:szCs w:val="20"/>
        </w:rPr>
      </w:pPr>
    </w:p>
    <w:p w14:paraId="6F245407" w14:textId="77777777" w:rsidR="00E4612C" w:rsidRPr="00247F94" w:rsidRDefault="00E4612C" w:rsidP="00E4612C">
      <w:pPr>
        <w:rPr>
          <w:szCs w:val="20"/>
        </w:rPr>
      </w:pPr>
    </w:p>
    <w:p w14:paraId="5FB87791" w14:textId="77777777" w:rsidR="00E4612C" w:rsidRDefault="00E4612C" w:rsidP="00E4612C">
      <w:pPr>
        <w:rPr>
          <w:i/>
          <w:iCs/>
          <w:noProof/>
        </w:rPr>
      </w:pPr>
    </w:p>
    <w:p w14:paraId="42CFEC96" w14:textId="77777777" w:rsidR="00E4612C" w:rsidRPr="00B578E0" w:rsidRDefault="00E4612C" w:rsidP="00E4612C"/>
    <w:p w14:paraId="3DB41A72" w14:textId="77777777" w:rsidR="00E4612C" w:rsidRDefault="00E4612C" w:rsidP="00E4612C">
      <w:pPr>
        <w:pStyle w:val="Descripcin"/>
        <w:spacing w:before="240" w:after="120"/>
        <w:rPr>
          <w:rFonts w:ascii="Times New Roman" w:hAnsi="Times New Roman" w:cs="Times New Roman"/>
          <w:b/>
          <w:bCs/>
          <w:i w:val="0"/>
          <w:iCs w:val="0"/>
          <w:color w:val="auto"/>
          <w:sz w:val="22"/>
          <w:szCs w:val="22"/>
        </w:rPr>
      </w:pPr>
    </w:p>
    <w:p w14:paraId="41676D18" w14:textId="77777777" w:rsidR="00E4612C" w:rsidRDefault="00E4612C" w:rsidP="00E4612C"/>
    <w:p w14:paraId="37D0F7DA" w14:textId="77777777" w:rsidR="00E4612C" w:rsidRDefault="00E4612C" w:rsidP="00E4612C"/>
    <w:p w14:paraId="66C140A2" w14:textId="77777777" w:rsidR="00E4612C" w:rsidRDefault="00E4612C" w:rsidP="00E4612C"/>
    <w:p w14:paraId="1ED969E9" w14:textId="77777777" w:rsidR="00E4612C" w:rsidRDefault="00E4612C" w:rsidP="00E4612C"/>
    <w:p w14:paraId="15C0C812" w14:textId="77777777" w:rsidR="00E4612C" w:rsidRDefault="00E4612C" w:rsidP="00E4612C"/>
    <w:p w14:paraId="1FC80566" w14:textId="77777777" w:rsidR="00E4612C" w:rsidRDefault="00E4612C" w:rsidP="00E4612C"/>
    <w:p w14:paraId="5783EFFF" w14:textId="77777777" w:rsidR="00E4612C" w:rsidRDefault="00E4612C" w:rsidP="00E4612C"/>
    <w:p w14:paraId="6D54D841" w14:textId="77777777" w:rsidR="001F0A5E" w:rsidRDefault="001F0A5E" w:rsidP="001F0A5E">
      <w:pPr>
        <w:pStyle w:val="Descripcin"/>
        <w:spacing w:before="240" w:after="120"/>
        <w:ind w:left="708" w:hanging="708"/>
        <w:rPr>
          <w:rFonts w:ascii="Times New Roman" w:hAnsi="Times New Roman" w:cs="Times New Roman"/>
          <w:b/>
          <w:bCs/>
          <w:i w:val="0"/>
          <w:iCs w:val="0"/>
          <w:color w:val="auto"/>
          <w:sz w:val="22"/>
          <w:szCs w:val="22"/>
        </w:rPr>
      </w:pPr>
    </w:p>
    <w:p w14:paraId="75E8A0CA" w14:textId="77777777" w:rsidR="001F0A5E" w:rsidRDefault="001F0A5E" w:rsidP="001F0A5E">
      <w:pPr>
        <w:pStyle w:val="Descripcin"/>
        <w:spacing w:before="240" w:after="120"/>
        <w:ind w:left="708" w:hanging="708"/>
        <w:rPr>
          <w:rFonts w:ascii="Times New Roman" w:hAnsi="Times New Roman" w:cs="Times New Roman"/>
          <w:b/>
          <w:bCs/>
          <w:i w:val="0"/>
          <w:iCs w:val="0"/>
          <w:color w:val="auto"/>
          <w:sz w:val="22"/>
          <w:szCs w:val="22"/>
        </w:rPr>
      </w:pPr>
    </w:p>
    <w:p w14:paraId="1794409B" w14:textId="77777777" w:rsidR="001F0A5E" w:rsidRDefault="001F0A5E" w:rsidP="001F0A5E">
      <w:pPr>
        <w:pStyle w:val="Descripcin"/>
        <w:spacing w:before="240" w:after="120"/>
        <w:ind w:left="708" w:hanging="708"/>
        <w:rPr>
          <w:rFonts w:ascii="Times New Roman" w:hAnsi="Times New Roman" w:cs="Times New Roman"/>
          <w:b/>
          <w:bCs/>
          <w:i w:val="0"/>
          <w:iCs w:val="0"/>
          <w:color w:val="auto"/>
          <w:sz w:val="22"/>
          <w:szCs w:val="22"/>
        </w:rPr>
      </w:pPr>
    </w:p>
    <w:p w14:paraId="7BC53174" w14:textId="2D7F2C70" w:rsidR="001F0A5E" w:rsidRPr="001F0A5E" w:rsidRDefault="00E4612C" w:rsidP="001F0A5E">
      <w:pPr>
        <w:pStyle w:val="Descripcin"/>
        <w:spacing w:before="240" w:after="120"/>
        <w:ind w:left="708" w:hanging="708"/>
        <w:rPr>
          <w:rFonts w:ascii="Times New Roman" w:hAnsi="Times New Roman" w:cs="Times New Roman"/>
          <w:b/>
          <w:bCs/>
          <w:i w:val="0"/>
          <w:iCs w:val="0"/>
          <w:color w:val="auto"/>
          <w:sz w:val="22"/>
          <w:szCs w:val="22"/>
        </w:rPr>
      </w:pPr>
      <w:r w:rsidRPr="00224862">
        <w:rPr>
          <w:rFonts w:ascii="Times New Roman" w:hAnsi="Times New Roman" w:cs="Times New Roman"/>
          <w:b/>
          <w:bCs/>
          <w:i w:val="0"/>
          <w:iCs w:val="0"/>
          <w:color w:val="auto"/>
          <w:sz w:val="22"/>
          <w:szCs w:val="22"/>
        </w:rPr>
        <w:lastRenderedPageBreak/>
        <w:t xml:space="preserve">Figura </w:t>
      </w:r>
      <w:r w:rsidRPr="00224862">
        <w:rPr>
          <w:rFonts w:ascii="Times New Roman" w:hAnsi="Times New Roman" w:cs="Times New Roman"/>
          <w:b/>
          <w:bCs/>
          <w:i w:val="0"/>
          <w:iCs w:val="0"/>
          <w:color w:val="auto"/>
          <w:sz w:val="22"/>
          <w:szCs w:val="22"/>
        </w:rPr>
        <w:fldChar w:fldCharType="begin"/>
      </w:r>
      <w:r w:rsidRPr="00224862">
        <w:rPr>
          <w:rFonts w:ascii="Times New Roman" w:hAnsi="Times New Roman" w:cs="Times New Roman"/>
          <w:b/>
          <w:bCs/>
          <w:i w:val="0"/>
          <w:iCs w:val="0"/>
          <w:color w:val="auto"/>
          <w:sz w:val="22"/>
          <w:szCs w:val="22"/>
        </w:rPr>
        <w:instrText xml:space="preserve"> SEQ Gráfico \* ARABIC </w:instrText>
      </w:r>
      <w:r w:rsidRPr="00224862">
        <w:rPr>
          <w:rFonts w:ascii="Times New Roman" w:hAnsi="Times New Roman" w:cs="Times New Roman"/>
          <w:b/>
          <w:bCs/>
          <w:i w:val="0"/>
          <w:iCs w:val="0"/>
          <w:color w:val="auto"/>
          <w:sz w:val="22"/>
          <w:szCs w:val="22"/>
        </w:rPr>
        <w:fldChar w:fldCharType="separate"/>
      </w:r>
      <w:r w:rsidRPr="00224862">
        <w:rPr>
          <w:rFonts w:ascii="Times New Roman" w:hAnsi="Times New Roman" w:cs="Times New Roman"/>
          <w:b/>
          <w:bCs/>
          <w:i w:val="0"/>
          <w:iCs w:val="0"/>
          <w:noProof/>
          <w:color w:val="auto"/>
          <w:sz w:val="22"/>
          <w:szCs w:val="22"/>
        </w:rPr>
        <w:t>2</w:t>
      </w:r>
      <w:r w:rsidRPr="00224862">
        <w:rPr>
          <w:rFonts w:ascii="Times New Roman" w:hAnsi="Times New Roman" w:cs="Times New Roman"/>
          <w:b/>
          <w:bCs/>
          <w:i w:val="0"/>
          <w:iCs w:val="0"/>
          <w:color w:val="auto"/>
          <w:sz w:val="22"/>
          <w:szCs w:val="22"/>
        </w:rPr>
        <w:fldChar w:fldCharType="end"/>
      </w:r>
    </w:p>
    <w:p w14:paraId="020C9A5D" w14:textId="77777777" w:rsidR="00E4612C" w:rsidRPr="00224862" w:rsidRDefault="00E4612C" w:rsidP="00E4612C">
      <w:pPr>
        <w:pStyle w:val="Descripcin"/>
        <w:spacing w:before="240" w:after="120"/>
        <w:rPr>
          <w:rFonts w:ascii="Times New Roman" w:hAnsi="Times New Roman" w:cs="Times New Roman"/>
          <w:noProof/>
          <w:color w:val="auto"/>
          <w:sz w:val="22"/>
          <w:szCs w:val="22"/>
        </w:rPr>
      </w:pPr>
      <w:r w:rsidRPr="001E21C3">
        <w:rPr>
          <w:b/>
          <w:bCs/>
          <w:i w:val="0"/>
          <w:iCs w:val="0"/>
          <w:noProof/>
          <w:sz w:val="28"/>
          <w:szCs w:val="24"/>
        </w:rPr>
        <w:drawing>
          <wp:anchor distT="0" distB="0" distL="114300" distR="114300" simplePos="0" relativeHeight="251663360" behindDoc="0" locked="0" layoutInCell="1" allowOverlap="1" wp14:anchorId="5FE0E747" wp14:editId="52158302">
            <wp:simplePos x="0" y="0"/>
            <wp:positionH relativeFrom="column">
              <wp:posOffset>-24130</wp:posOffset>
            </wp:positionH>
            <wp:positionV relativeFrom="paragraph">
              <wp:posOffset>325120</wp:posOffset>
            </wp:positionV>
            <wp:extent cx="5981700" cy="3162300"/>
            <wp:effectExtent l="0" t="0" r="0" b="0"/>
            <wp:wrapNone/>
            <wp:docPr id="488769004" name="Gráfico 1">
              <a:extLst xmlns:a="http://schemas.openxmlformats.org/drawingml/2006/main">
                <a:ext uri="{FF2B5EF4-FFF2-40B4-BE49-F238E27FC236}">
                  <a16:creationId xmlns:a16="http://schemas.microsoft.com/office/drawing/2014/main" id="{C9B9C659-A6C9-1A39-0123-683CF1A98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224862">
        <w:rPr>
          <w:rFonts w:ascii="Times New Roman" w:hAnsi="Times New Roman" w:cs="Times New Roman"/>
          <w:noProof/>
          <w:color w:val="auto"/>
          <w:sz w:val="22"/>
          <w:szCs w:val="22"/>
        </w:rPr>
        <w:t>Errores en Función al Tiempo</w:t>
      </w:r>
    </w:p>
    <w:p w14:paraId="388A9C9B" w14:textId="77777777" w:rsidR="00E4612C" w:rsidRPr="00CA61CF" w:rsidRDefault="00E4612C" w:rsidP="00E4612C"/>
    <w:p w14:paraId="38A6B057" w14:textId="77777777" w:rsidR="00E4612C" w:rsidRPr="00CA61CF" w:rsidRDefault="00E4612C" w:rsidP="00E4612C"/>
    <w:p w14:paraId="6DC7D5C4" w14:textId="77777777" w:rsidR="00E4612C" w:rsidRPr="00CA61CF" w:rsidRDefault="00E4612C" w:rsidP="00E4612C"/>
    <w:p w14:paraId="2660AA14" w14:textId="77777777" w:rsidR="00E4612C" w:rsidRPr="00CA61CF" w:rsidRDefault="00E4612C" w:rsidP="00E4612C"/>
    <w:p w14:paraId="65698E11" w14:textId="77777777" w:rsidR="00E4612C" w:rsidRPr="00CA61CF" w:rsidRDefault="00E4612C" w:rsidP="00E4612C"/>
    <w:p w14:paraId="1D7C02FC" w14:textId="77777777" w:rsidR="00E4612C" w:rsidRPr="00CA61CF" w:rsidRDefault="00E4612C" w:rsidP="00E4612C"/>
    <w:p w14:paraId="398B4B19" w14:textId="77777777" w:rsidR="00E4612C" w:rsidRPr="00CA61CF" w:rsidRDefault="00E4612C" w:rsidP="00E4612C"/>
    <w:p w14:paraId="3910FF56" w14:textId="77777777" w:rsidR="00E4612C" w:rsidRPr="00E4612C" w:rsidRDefault="00E4612C" w:rsidP="00E4612C">
      <w:pPr>
        <w:spacing w:line="360" w:lineRule="auto"/>
        <w:ind w:firstLine="720"/>
        <w:jc w:val="both"/>
      </w:pPr>
    </w:p>
    <w:p w14:paraId="762A02EA" w14:textId="77777777" w:rsidR="00E4612C" w:rsidRPr="00E4612C" w:rsidRDefault="00E4612C" w:rsidP="00E4612C">
      <w:pPr>
        <w:tabs>
          <w:tab w:val="left" w:pos="9356"/>
        </w:tabs>
        <w:spacing w:line="360" w:lineRule="auto"/>
        <w:ind w:firstLine="720"/>
        <w:jc w:val="both"/>
        <w:rPr>
          <w:lang w:val="es"/>
        </w:rPr>
      </w:pPr>
    </w:p>
    <w:p w14:paraId="114D4493" w14:textId="77777777" w:rsidR="00E4612C" w:rsidRPr="00E4612C" w:rsidRDefault="00E4612C" w:rsidP="00E4612C">
      <w:pPr>
        <w:pStyle w:val="NOTASTABLASAPA7"/>
        <w:spacing w:before="120" w:after="120" w:line="240" w:lineRule="auto"/>
        <w:jc w:val="both"/>
        <w:rPr>
          <w:lang w:val="es-ES_tradnl"/>
        </w:rPr>
      </w:pPr>
    </w:p>
    <w:p w14:paraId="46B32A93" w14:textId="77777777" w:rsidR="00E4612C" w:rsidRDefault="00E4612C" w:rsidP="00E4612C">
      <w:pPr>
        <w:spacing w:line="360" w:lineRule="auto"/>
        <w:ind w:firstLine="720"/>
        <w:jc w:val="both"/>
      </w:pPr>
    </w:p>
    <w:p w14:paraId="295CC5CD" w14:textId="77777777" w:rsidR="00E4612C" w:rsidRDefault="00E4612C">
      <w:pPr>
        <w:pBdr>
          <w:top w:val="nil"/>
          <w:left w:val="nil"/>
          <w:bottom w:val="nil"/>
          <w:right w:val="nil"/>
          <w:between w:val="nil"/>
        </w:pBdr>
        <w:spacing w:line="360" w:lineRule="auto"/>
        <w:jc w:val="both"/>
      </w:pPr>
    </w:p>
    <w:p w14:paraId="35F82DC1" w14:textId="77777777" w:rsidR="00EC5AF6" w:rsidRDefault="00EC5AF6">
      <w:pPr>
        <w:pBdr>
          <w:top w:val="nil"/>
          <w:left w:val="nil"/>
          <w:bottom w:val="nil"/>
          <w:right w:val="nil"/>
          <w:between w:val="nil"/>
        </w:pBdr>
        <w:spacing w:line="360" w:lineRule="auto"/>
        <w:jc w:val="both"/>
      </w:pPr>
    </w:p>
    <w:p w14:paraId="15B551E3" w14:textId="2FA4DB57" w:rsidR="00EC5AF6" w:rsidRDefault="00EC5AF6">
      <w:pPr>
        <w:spacing w:line="360" w:lineRule="auto"/>
        <w:jc w:val="both"/>
      </w:pPr>
    </w:p>
    <w:p w14:paraId="7DB4D229" w14:textId="77777777" w:rsidR="00E4612C" w:rsidRDefault="00E4612C">
      <w:pPr>
        <w:spacing w:line="360" w:lineRule="auto"/>
        <w:jc w:val="both"/>
        <w:rPr>
          <w:i/>
        </w:rPr>
      </w:pPr>
    </w:p>
    <w:p w14:paraId="6710D136" w14:textId="77777777" w:rsidR="00C278F2" w:rsidRDefault="00C278F2" w:rsidP="00C278F2">
      <w:pPr>
        <w:spacing w:line="480" w:lineRule="auto"/>
        <w:jc w:val="both"/>
      </w:pPr>
      <w:r>
        <w:t xml:space="preserve">En la Tabla 5, </w:t>
      </w:r>
      <w:r w:rsidRPr="00D8251C">
        <w:t>se analizó la distribución de aciertos y errores en intervalos de tiempo específicos durante las sesiones de 45 minutos.</w:t>
      </w:r>
      <w:r>
        <w:t xml:space="preserve"> </w:t>
      </w:r>
      <w:r w:rsidRPr="0093255E">
        <w:t xml:space="preserve">Durante la Fase intermedia B se observó un aumento constante y significativo en la media de aciertos, superando consistentemente los 23 aciertos en los intervalos intermedios, así como una reducción drástica en la media de errores, con descensos hasta 0.67 y 0.33 a partir del segundo intervalo. Esta pauta indica que la condición presente en la Fase B promovió tanto un incremento en la productividad como una mayor precisión en la tarea, estableciendo un alto estándar de ejecución que contrasta notablemente con los niveles iniciales de error observados en la Fase A1. Tras el retorno a la condición original (Fase A2), los resultados evidenciaron un marcado efecto de aprendizaje retenido. La media de aciertos se mantuvo en niveles elevados (aproximadamente entre 19 y 22 aciertos), aunque con picos levemente inferiores a los observados durante la Fase B. No obstante, el cambio más relevante se observó en la estabilidad de la precisión: la media de errores en la Fase A2 permaneció en valores </w:t>
      </w:r>
      <w:r w:rsidRPr="0093255E">
        <w:lastRenderedPageBreak/>
        <w:t>excepcionalmente bajos, alcanzando incluso cero errores en los dos últimos intervalos. Este rendimiento final, caracterizado por altos niveles de aciertos y errores nulos, superó claramente al observado en la fase inicial A1, especialmente en términos de precisión. En conjunto, estos resultados sugieren que la experiencia adquirida durante la Fase B facilitó la consolidación de un patrón de respuesta más eficiente, el cual se mantuvo incluso tras el retorno a la condición original, lo que indica que el efecto de la Fase B no fue transitorio</w:t>
      </w:r>
      <w:r>
        <w:t xml:space="preserve"> (véase Figura 1 y 2)</w:t>
      </w:r>
      <w:r w:rsidRPr="0093255E">
        <w:t>.</w:t>
      </w:r>
    </w:p>
    <w:p w14:paraId="2E995E75" w14:textId="77777777" w:rsidR="00C278F2" w:rsidRDefault="00C278F2" w:rsidP="00E4612C">
      <w:pPr>
        <w:pBdr>
          <w:top w:val="nil"/>
          <w:left w:val="nil"/>
          <w:bottom w:val="nil"/>
          <w:right w:val="nil"/>
          <w:between w:val="nil"/>
        </w:pBdr>
        <w:rPr>
          <w:b/>
          <w:color w:val="000000"/>
        </w:rPr>
      </w:pPr>
    </w:p>
    <w:p w14:paraId="410448A8" w14:textId="0187C7E4" w:rsidR="00EC5AF6" w:rsidRDefault="00000000">
      <w:pPr>
        <w:pBdr>
          <w:top w:val="nil"/>
          <w:left w:val="nil"/>
          <w:bottom w:val="nil"/>
          <w:right w:val="nil"/>
          <w:between w:val="nil"/>
        </w:pBdr>
        <w:jc w:val="center"/>
        <w:rPr>
          <w:b/>
          <w:color w:val="000000"/>
        </w:rPr>
      </w:pPr>
      <w:r>
        <w:rPr>
          <w:b/>
          <w:color w:val="000000"/>
        </w:rPr>
        <w:t>Discusión</w:t>
      </w:r>
    </w:p>
    <w:p w14:paraId="269F8142" w14:textId="4763DD1D" w:rsidR="00C278F2" w:rsidRPr="00B05C3B" w:rsidRDefault="00C278F2" w:rsidP="00C278F2">
      <w:pPr>
        <w:spacing w:line="360" w:lineRule="auto"/>
        <w:ind w:firstLine="720"/>
        <w:jc w:val="both"/>
      </w:pPr>
      <w:r w:rsidRPr="000E519B">
        <w:t>Durante las últimas décadas, el estudio de los determinantes de la conducta se ha centrado en explicar cómo sustancias de alta palatabilidad, como la sacarosa, actúan como moduladores de la actividad cerebral y el aprendizaje (Gillespie et al., 2023).</w:t>
      </w:r>
      <w:r>
        <w:t xml:space="preserve"> </w:t>
      </w:r>
      <w:r w:rsidRPr="00B05C3B">
        <w:t>En este sentido, se reconoce que los estímulos edulcorantes pueden actuar como potentes reforzadores, alterando la motivación y la precisión de la ejecución conductual (</w:t>
      </w:r>
      <w:proofErr w:type="spellStart"/>
      <w:r w:rsidRPr="00E25680">
        <w:rPr>
          <w:lang w:val="es-PE"/>
        </w:rPr>
        <w:t>Akpan</w:t>
      </w:r>
      <w:proofErr w:type="spellEnd"/>
      <w:r w:rsidRPr="00E25680">
        <w:rPr>
          <w:lang w:val="es-PE"/>
        </w:rPr>
        <w:t>,</w:t>
      </w:r>
      <w:r>
        <w:t xml:space="preserve"> </w:t>
      </w:r>
      <w:r w:rsidRPr="00E25680">
        <w:rPr>
          <w:lang w:val="es-PE"/>
        </w:rPr>
        <w:t>2025</w:t>
      </w:r>
      <w:r>
        <w:t xml:space="preserve">; </w:t>
      </w:r>
      <w:proofErr w:type="spellStart"/>
      <w:r>
        <w:t>Domjan</w:t>
      </w:r>
      <w:proofErr w:type="spellEnd"/>
      <w:r>
        <w:t>, 2016</w:t>
      </w:r>
      <w:r w:rsidRPr="00B05C3B">
        <w:t>).</w:t>
      </w:r>
    </w:p>
    <w:p w14:paraId="502E98B8" w14:textId="77777777" w:rsidR="00C278F2" w:rsidRPr="000E519B" w:rsidRDefault="00C278F2" w:rsidP="00C278F2">
      <w:pPr>
        <w:spacing w:line="360" w:lineRule="auto"/>
        <w:ind w:firstLine="720"/>
        <w:jc w:val="both"/>
      </w:pPr>
      <w:r w:rsidRPr="000E519B">
        <w:t xml:space="preserve">Bajo este marco, el presente estudio surgió a partir de cuestionamientos referentes a la influencia que tiene la ingesta aguda de sacarosa sobre el desempeño de </w:t>
      </w:r>
      <w:r w:rsidRPr="00B05C3B">
        <w:t xml:space="preserve">una </w:t>
      </w:r>
      <w:r w:rsidRPr="000E519B">
        <w:t>rata albina en una tarea de condicionamiento operante, evaluando tanto la frecuencia de aciertos como la presencia de errores a través de un diseño de reversión. A partir del análisis de los datos obtenidos, se identificó que la administración de esta sustancia tiene un efecto directo sobre el incremento de la conducta objetivo, confirmando parcialmente la hipótesis de investigación. Específicamente, se observó que la sacarosa potencia la eficacia de la respuesta durante la fase de intervención, aunque los efectos sobre la tasa de errores tras el retiro del estímulo sugieren procesos de consolidación de hábito.</w:t>
      </w:r>
    </w:p>
    <w:p w14:paraId="26A59938" w14:textId="77777777" w:rsidR="00C278F2" w:rsidRPr="000E519B" w:rsidRDefault="00C278F2" w:rsidP="00C278F2">
      <w:pPr>
        <w:spacing w:line="360" w:lineRule="auto"/>
        <w:ind w:firstLine="720"/>
        <w:jc w:val="both"/>
      </w:pPr>
      <w:r w:rsidRPr="000E519B">
        <w:t xml:space="preserve">En relación con el desempeño durante la fase de intervención (B), los resultados concuerdan con lo expuesto por Santiago Gonzales (2017), quien vincula el consumo de sacarosa con una mayor sensibilización nerviosa y activación de los sistemas de recompensa. Este fenómeno explicaría por qué los sujetos mostraron un mayor número de aciertos en los primeros intervalos de la tarea en comparación con las líneas base. No obstante, estos hallazgos contrastan con lo reportado por </w:t>
      </w:r>
      <w:proofErr w:type="spellStart"/>
      <w:r w:rsidRPr="000E519B">
        <w:t>Coirini</w:t>
      </w:r>
      <w:proofErr w:type="spellEnd"/>
      <w:r w:rsidRPr="000E519B">
        <w:t xml:space="preserve"> et al. (2022)</w:t>
      </w:r>
      <w:r>
        <w:t>,</w:t>
      </w:r>
      <w:r w:rsidRPr="000E519B">
        <w:t xml:space="preserve"> </w:t>
      </w:r>
      <w:proofErr w:type="spellStart"/>
      <w:r w:rsidRPr="004F280D">
        <w:rPr>
          <w:lang w:val="es-PE"/>
        </w:rPr>
        <w:t>Garcez</w:t>
      </w:r>
      <w:proofErr w:type="spellEnd"/>
      <w:r w:rsidRPr="005A6997">
        <w:t xml:space="preserve"> </w:t>
      </w:r>
      <w:r>
        <w:t xml:space="preserve">et al. (2022), </w:t>
      </w:r>
      <w:proofErr w:type="spellStart"/>
      <w:r w:rsidRPr="005A6997">
        <w:rPr>
          <w:lang w:val="es-PE"/>
        </w:rPr>
        <w:t>Rehn</w:t>
      </w:r>
      <w:proofErr w:type="spellEnd"/>
      <w:r w:rsidRPr="005A6997">
        <w:t xml:space="preserve"> </w:t>
      </w:r>
      <w:r w:rsidRPr="005A6997">
        <w:rPr>
          <w:lang w:val="es-PE"/>
        </w:rPr>
        <w:t xml:space="preserve">&amp; </w:t>
      </w:r>
      <w:proofErr w:type="spellStart"/>
      <w:r w:rsidRPr="005A6997">
        <w:rPr>
          <w:lang w:val="es-PE"/>
        </w:rPr>
        <w:t>Boakes</w:t>
      </w:r>
      <w:proofErr w:type="spellEnd"/>
      <w:r>
        <w:t xml:space="preserve"> (</w:t>
      </w:r>
      <w:r w:rsidRPr="005A6997">
        <w:rPr>
          <w:lang w:val="es-PE"/>
        </w:rPr>
        <w:t>2019</w:t>
      </w:r>
      <w:r>
        <w:t xml:space="preserve">) y Tran et al. (2025), </w:t>
      </w:r>
      <w:r w:rsidRPr="000E519B">
        <w:t xml:space="preserve">quienes sugieren que la ingesta de sacarosa produce deterioro cognitivo o incrementa los errores en tareas de discriminación. Esta discrepancia podría atribuirse a la naturaleza de la </w:t>
      </w:r>
      <w:r w:rsidRPr="000E519B">
        <w:lastRenderedPageBreak/>
        <w:t>exposición (aguda frente a crónica), sugiriendo que, en términos de ejecución inmediata, el azúcar actúa primordialmente como un reforzador que eleva el rendimiento más allá del aprendizaje previo.</w:t>
      </w:r>
    </w:p>
    <w:p w14:paraId="39F3D309" w14:textId="77777777" w:rsidR="00C278F2" w:rsidRPr="000E519B" w:rsidRDefault="00C278F2" w:rsidP="00C278F2">
      <w:pPr>
        <w:spacing w:line="360" w:lineRule="auto"/>
        <w:ind w:firstLine="720"/>
        <w:jc w:val="both"/>
      </w:pPr>
      <w:r w:rsidRPr="000E519B">
        <w:t>Respecto a la fase de reversión o segunda línea base (A2), se identificó un descenso en el número de aciertos respecto a la fase de intervención, pero se mantuvo una estabilidad superior al inicio del estudio. Este patrón ha sido respaldado por teorías clásicas del aprendizaje (</w:t>
      </w:r>
      <w:proofErr w:type="spellStart"/>
      <w:r w:rsidRPr="000E519B">
        <w:t>Domjan</w:t>
      </w:r>
      <w:proofErr w:type="spellEnd"/>
      <w:r w:rsidRPr="000E519B">
        <w:t xml:space="preserve">, 2018; Hull, 1943, citado en </w:t>
      </w:r>
      <w:proofErr w:type="spellStart"/>
      <w:r w:rsidRPr="000E519B">
        <w:t>Bandhu</w:t>
      </w:r>
      <w:proofErr w:type="spellEnd"/>
      <w:r w:rsidRPr="000E519B">
        <w:t xml:space="preserve"> et al., 2024), las cuales postulan que la conducta persiste como un hábito consolidado incluso ante la ausencia del reforzador. Lo más destacable en este estudio fue el cambio cualitativo en la ejecución: la disminución de errores en la fase A2 fue más pronunciada que la reducción de aciertos. Esto permite asumir que el organismo transitó de una respuesta impulsiva, mediada por la palatabilidad de la sustancia en la fase B, hacia una ejecución técnica, precisa y autónoma al final del experimento.</w:t>
      </w:r>
    </w:p>
    <w:p w14:paraId="59F3C401" w14:textId="77777777" w:rsidR="00C278F2" w:rsidRDefault="00C278F2" w:rsidP="00C278F2">
      <w:pPr>
        <w:spacing w:line="360" w:lineRule="auto"/>
        <w:ind w:firstLine="720"/>
        <w:jc w:val="both"/>
      </w:pPr>
      <w:r w:rsidRPr="000E519B">
        <w:t xml:space="preserve">Adicionalmente, los resultados obtenidos en cuanto a la tasa de errores difieren de lo reportado por Flores-Fuentes et al. (2021), quienes asocian la sacarosa con un deterioro en la retención conductual. En la presente investigación, la fase de intervención facilitó una disminución significativa de errores respecto a la línea base inicial, efecto que se mantuvo incluso tras retirar el estímulo. Esto refuerza la perspectiva de </w:t>
      </w:r>
      <w:r>
        <w:t xml:space="preserve">B. F. </w:t>
      </w:r>
      <w:r w:rsidRPr="000E519B">
        <w:t>Skinner sobre la facilitación de la conducta mediante el refuerzo positivo</w:t>
      </w:r>
      <w:r>
        <w:t xml:space="preserve"> (</w:t>
      </w:r>
      <w:proofErr w:type="spellStart"/>
      <w:r w:rsidRPr="00E25680">
        <w:rPr>
          <w:lang w:val="es-PE"/>
        </w:rPr>
        <w:t>Akpan</w:t>
      </w:r>
      <w:proofErr w:type="spellEnd"/>
      <w:r w:rsidRPr="00E25680">
        <w:rPr>
          <w:lang w:val="es-PE"/>
        </w:rPr>
        <w:t>,</w:t>
      </w:r>
      <w:r>
        <w:t xml:space="preserve"> </w:t>
      </w:r>
      <w:r w:rsidRPr="00E25680">
        <w:rPr>
          <w:lang w:val="es-PE"/>
        </w:rPr>
        <w:t>2025</w:t>
      </w:r>
      <w:r w:rsidRPr="000E519B">
        <w:t>). Pareciera ser que la ingesta aguda no solo motiva la acción, sino que optimiza el proceso de aprendizaje, permitiendo al sujeto ajustar su respuesta motora de manera más eficiente.</w:t>
      </w:r>
    </w:p>
    <w:p w14:paraId="049A7756" w14:textId="77777777" w:rsidR="00ED5C08" w:rsidRDefault="00C278F2" w:rsidP="00ED5C08">
      <w:pPr>
        <w:spacing w:line="360" w:lineRule="auto"/>
        <w:ind w:firstLine="720"/>
        <w:jc w:val="both"/>
      </w:pPr>
      <w:r w:rsidRPr="00C02F51">
        <w:t xml:space="preserve">No obstante, es imperativo reconocer ciertas limitaciones en el presente estudio que sugieren cautela en la interpretación de los hallazgos. En primera instancia, el empleo de un sujeto único (n = 1) y la realización de un número reducido de sesiones por fase (tres sesiones semanales) podrían limitar la observación de patrones de estabilidad conductual más robustos frente a la manipulación dietética. Si bien el diseño de reversión permite un control interno del sujeto, investigaciones futuras deberían implementar modelos </w:t>
      </w:r>
      <w:proofErr w:type="spellStart"/>
      <w:r w:rsidRPr="00C02F51">
        <w:t>intersujetos</w:t>
      </w:r>
      <w:proofErr w:type="spellEnd"/>
      <w:r>
        <w:t xml:space="preserve"> </w:t>
      </w:r>
      <w:r w:rsidRPr="00C02F51">
        <w:t>que incluyan grupos control y experimentales para fortalecer la validez externa de los resultados</w:t>
      </w:r>
      <w:r w:rsidRPr="00E40C01">
        <w:rPr>
          <w:lang w:val="es-PE"/>
        </w:rPr>
        <w:t xml:space="preserve"> </w:t>
      </w:r>
      <w:r w:rsidRPr="00E40C01">
        <w:t>(</w:t>
      </w:r>
      <w:proofErr w:type="spellStart"/>
      <w:r w:rsidRPr="00E40C01">
        <w:rPr>
          <w:lang w:val="es-PE"/>
        </w:rPr>
        <w:t>Lanovaz</w:t>
      </w:r>
      <w:proofErr w:type="spellEnd"/>
      <w:r w:rsidRPr="00E40C01">
        <w:t xml:space="preserve"> et al., </w:t>
      </w:r>
      <w:r w:rsidRPr="00E40C01">
        <w:rPr>
          <w:lang w:val="es-PE"/>
        </w:rPr>
        <w:t>2018)</w:t>
      </w:r>
      <w:r w:rsidRPr="00C02F51">
        <w:t>. Asimismo, considerando que la sacarosa actúa como un recurso energético inmediato, sería pertinente medir en estudios posteriores otras variables de actividad locomotora y tiempos de reacción que no fueron contempladas en esta investigación, permitiendo así una comprensión más integral del impacto agudo de los edulcorantes sobre la ejecución motora.</w:t>
      </w:r>
    </w:p>
    <w:p w14:paraId="09D9D208" w14:textId="2FEF263B" w:rsidR="00ED5C08" w:rsidRDefault="00ED5C08" w:rsidP="00ED5C08">
      <w:pPr>
        <w:spacing w:line="360" w:lineRule="auto"/>
        <w:ind w:firstLine="720"/>
        <w:jc w:val="both"/>
      </w:pPr>
      <w:r w:rsidRPr="000E519B">
        <w:lastRenderedPageBreak/>
        <w:t>De manera general, con base en los resultados obtenidos, se puede concluir que la ingesta aguda de sacarosa tiene un efecto directo y positivo sobre el desempeño operante en ratas albinas, actuando como un dinamizador de la conducta y la precisión. Se identifica que este estímulo facilita la transición del aprendizaje motivado hacia la consolidación del hábito, permitiendo que el sujeto mantenga niveles de ejecución técnica superiores incluso tras la supresión del incentivo. En este sentido, el uso estratégico de reforzadores altamente</w:t>
      </w:r>
      <w:r>
        <w:t xml:space="preserve"> </w:t>
      </w:r>
      <w:proofErr w:type="spellStart"/>
      <w:r w:rsidRPr="000E519B">
        <w:t>palatables</w:t>
      </w:r>
      <w:proofErr w:type="spellEnd"/>
      <w:r>
        <w:t xml:space="preserve"> </w:t>
      </w:r>
      <w:r w:rsidRPr="000E519B">
        <w:t>contribuye a la optimización de los mecanismos de respuesta, siempre que se considere el carácter agudo de la intervención para evitar los efectos nocivos del consumo prolongado descritos en la literatura.</w:t>
      </w:r>
    </w:p>
    <w:p w14:paraId="2644DD04" w14:textId="77777777" w:rsidR="00C278F2" w:rsidRDefault="00C278F2" w:rsidP="00C278F2">
      <w:pPr>
        <w:spacing w:line="360" w:lineRule="auto"/>
        <w:ind w:firstLine="720"/>
        <w:jc w:val="both"/>
      </w:pPr>
    </w:p>
    <w:p w14:paraId="5C641BB0" w14:textId="3211731D" w:rsidR="00C278F2" w:rsidRDefault="00C278F2" w:rsidP="00C278F2">
      <w:pPr>
        <w:pBdr>
          <w:top w:val="nil"/>
          <w:left w:val="nil"/>
          <w:bottom w:val="nil"/>
          <w:right w:val="nil"/>
          <w:between w:val="nil"/>
        </w:pBdr>
        <w:spacing w:line="360" w:lineRule="auto"/>
        <w:ind w:firstLine="708"/>
        <w:jc w:val="both"/>
      </w:pPr>
    </w:p>
    <w:p w14:paraId="323D2A0C" w14:textId="30E070C5" w:rsidR="00EC5AF6" w:rsidRDefault="00000000">
      <w:pPr>
        <w:pBdr>
          <w:top w:val="nil"/>
          <w:left w:val="nil"/>
          <w:bottom w:val="nil"/>
          <w:right w:val="nil"/>
          <w:between w:val="nil"/>
        </w:pBdr>
        <w:spacing w:line="360" w:lineRule="auto"/>
        <w:ind w:firstLine="708"/>
        <w:jc w:val="both"/>
        <w:rPr>
          <w:color w:val="000000"/>
        </w:rPr>
      </w:pPr>
      <w:r>
        <w:br w:type="page"/>
      </w:r>
    </w:p>
    <w:p w14:paraId="6F82ED4A" w14:textId="77777777" w:rsidR="00EC5AF6" w:rsidRPr="008A0B5F" w:rsidRDefault="00000000">
      <w:pPr>
        <w:pBdr>
          <w:top w:val="nil"/>
          <w:left w:val="nil"/>
          <w:bottom w:val="nil"/>
          <w:right w:val="nil"/>
          <w:between w:val="nil"/>
        </w:pBdr>
        <w:jc w:val="center"/>
        <w:rPr>
          <w:b/>
          <w:color w:val="000000"/>
          <w:lang w:val="en-US"/>
        </w:rPr>
      </w:pPr>
      <w:proofErr w:type="spellStart"/>
      <w:r w:rsidRPr="008A0B5F">
        <w:rPr>
          <w:b/>
          <w:color w:val="000000"/>
          <w:lang w:val="en-US"/>
        </w:rPr>
        <w:lastRenderedPageBreak/>
        <w:t>Referencias</w:t>
      </w:r>
      <w:proofErr w:type="spellEnd"/>
    </w:p>
    <w:p w14:paraId="6D2942B5" w14:textId="63812BE3" w:rsidR="00ED5C08" w:rsidRPr="00DC1A3E" w:rsidRDefault="00ED5C08" w:rsidP="00ED5C08">
      <w:pPr>
        <w:ind w:left="709" w:hanging="720"/>
        <w:jc w:val="both"/>
        <w:rPr>
          <w:lang w:val="en-US"/>
        </w:rPr>
      </w:pPr>
      <w:r w:rsidRPr="00DC1A3E">
        <w:rPr>
          <w:lang w:val="en-US"/>
        </w:rPr>
        <w:t xml:space="preserve">Akpan, B. (2025). Classical and Operant Conditioning—Ivan Pavlov; Burrhus Skinner (pp. 49–63). </w:t>
      </w:r>
      <w:hyperlink r:id="rId11" w:history="1">
        <w:r w:rsidRPr="00DC1A3E">
          <w:rPr>
            <w:rStyle w:val="Hipervnculo"/>
            <w:color w:val="auto"/>
            <w:lang w:val="en-US"/>
          </w:rPr>
          <w:t>https://doi.org/10.1007/978-3-031-81351-1_4</w:t>
        </w:r>
      </w:hyperlink>
      <w:r w:rsidR="001F0A5E">
        <w:t xml:space="preserve"> </w:t>
      </w:r>
      <w:r w:rsidRPr="00DC1A3E">
        <w:rPr>
          <w:lang w:val="en-US"/>
        </w:rPr>
        <w:t> </w:t>
      </w:r>
      <w:r w:rsidR="001F0A5E">
        <w:rPr>
          <w:lang w:val="en-US"/>
        </w:rPr>
        <w:t xml:space="preserve"> </w:t>
      </w:r>
      <w:r w:rsidRPr="00DC1A3E">
        <w:rPr>
          <w:lang w:val="en-US"/>
        </w:rPr>
        <w:t> </w:t>
      </w:r>
    </w:p>
    <w:p w14:paraId="62F0FDB5" w14:textId="77777777" w:rsidR="00ED5C08" w:rsidRPr="00DC1A3E" w:rsidRDefault="00ED5C08" w:rsidP="00ED5C08">
      <w:pPr>
        <w:ind w:left="709" w:hanging="720"/>
        <w:jc w:val="both"/>
      </w:pPr>
      <w:r w:rsidRPr="00DC1A3E">
        <w:rPr>
          <w:lang w:val="en-US"/>
        </w:rPr>
        <w:t xml:space="preserve">American Psychological Association APA. (2017). Ethical principles of psychologists and code of conduct. </w:t>
      </w:r>
      <w:r w:rsidRPr="00DC1A3E">
        <w:t xml:space="preserve">APA. </w:t>
      </w:r>
      <w:hyperlink r:id="rId12" w:history="1">
        <w:r w:rsidRPr="00DC1A3E">
          <w:rPr>
            <w:rStyle w:val="Hipervnculo"/>
            <w:color w:val="auto"/>
          </w:rPr>
          <w:t>https://www.apa.org/ethics/code</w:t>
        </w:r>
      </w:hyperlink>
      <w:r w:rsidRPr="00DC1A3E">
        <w:t> </w:t>
      </w:r>
    </w:p>
    <w:p w14:paraId="5241EE95" w14:textId="77777777" w:rsidR="00ED5C08" w:rsidRPr="00DC1A3E" w:rsidRDefault="00ED5C08" w:rsidP="00ED5C08">
      <w:pPr>
        <w:ind w:left="709" w:hanging="720"/>
        <w:jc w:val="both"/>
      </w:pPr>
      <w:r w:rsidRPr="00DC1A3E">
        <w:t xml:space="preserve">Anguera, M. T., Blanco-Villaseñor, A., Losada, J. L., &amp; </w:t>
      </w:r>
      <w:proofErr w:type="spellStart"/>
      <w:r w:rsidRPr="00DC1A3E">
        <w:t>Portell</w:t>
      </w:r>
      <w:proofErr w:type="spellEnd"/>
      <w:r w:rsidRPr="00DC1A3E">
        <w:t xml:space="preserve">, M. (2018). Pautas para elaborar trabajos que utilizan la metodología observacional. </w:t>
      </w:r>
      <w:r w:rsidRPr="00DC1A3E">
        <w:rPr>
          <w:i/>
          <w:iCs/>
        </w:rPr>
        <w:t>Anuario de Psicología</w:t>
      </w:r>
      <w:r w:rsidRPr="00DC1A3E">
        <w:t xml:space="preserve">, </w:t>
      </w:r>
      <w:r w:rsidRPr="00DC1A3E">
        <w:rPr>
          <w:i/>
          <w:iCs/>
        </w:rPr>
        <w:t>48</w:t>
      </w:r>
      <w:r w:rsidRPr="00DC1A3E">
        <w:t xml:space="preserve">(1), 9–17. </w:t>
      </w:r>
      <w:hyperlink r:id="rId13" w:history="1">
        <w:r w:rsidRPr="00DC1A3E">
          <w:rPr>
            <w:rStyle w:val="Hipervnculo"/>
            <w:color w:val="auto"/>
          </w:rPr>
          <w:t>https://doi.org/10.1016/j.anpsic.2018.02.001</w:t>
        </w:r>
      </w:hyperlink>
      <w:r w:rsidRPr="00DC1A3E">
        <w:t> </w:t>
      </w:r>
    </w:p>
    <w:p w14:paraId="466A9E33" w14:textId="77777777" w:rsidR="00ED5C08" w:rsidRPr="00DC1A3E" w:rsidRDefault="00ED5C08" w:rsidP="00ED5C08">
      <w:pPr>
        <w:ind w:left="709" w:hanging="720"/>
        <w:jc w:val="both"/>
      </w:pPr>
      <w:r w:rsidRPr="00DC1A3E">
        <w:t xml:space="preserve">Araujo </w:t>
      </w:r>
      <w:proofErr w:type="spellStart"/>
      <w:r w:rsidRPr="00DC1A3E">
        <w:t>Anticona</w:t>
      </w:r>
      <w:proofErr w:type="spellEnd"/>
      <w:r w:rsidRPr="00DC1A3E">
        <w:t xml:space="preserve">, C. Y., Díaz-Ortega, J. L., &amp; Gálvez Carrillo, R. P. (2021). Relación entre índices aterogénicos y obesidad abdominal en pobladores del distrito de Trujillo, Perú. </w:t>
      </w:r>
      <w:r w:rsidRPr="00DC1A3E">
        <w:rPr>
          <w:i/>
          <w:iCs/>
        </w:rPr>
        <w:t>Revista Peruana de Ciencias de la Salud</w:t>
      </w:r>
      <w:r w:rsidRPr="00DC1A3E">
        <w:t xml:space="preserve">, 3(2), 97–103. </w:t>
      </w:r>
      <w:hyperlink r:id="rId14" w:history="1">
        <w:r w:rsidRPr="00DC1A3E">
          <w:rPr>
            <w:rStyle w:val="Hipervnculo"/>
            <w:color w:val="auto"/>
          </w:rPr>
          <w:t>https://doi.org/10.37711/rpcs.2021.3.2.311</w:t>
        </w:r>
      </w:hyperlink>
      <w:r w:rsidRPr="00DC1A3E">
        <w:t> </w:t>
      </w:r>
    </w:p>
    <w:p w14:paraId="0343DCBA" w14:textId="77777777" w:rsidR="00ED5C08" w:rsidRPr="00DC1A3E" w:rsidRDefault="00ED5C08" w:rsidP="00ED5C08">
      <w:pPr>
        <w:ind w:left="709" w:hanging="720"/>
        <w:jc w:val="both"/>
        <w:rPr>
          <w:lang w:val="en-US"/>
        </w:rPr>
      </w:pPr>
      <w:proofErr w:type="spellStart"/>
      <w:r w:rsidRPr="00DC1A3E">
        <w:t>Bandhu</w:t>
      </w:r>
      <w:proofErr w:type="spellEnd"/>
      <w:r w:rsidRPr="00DC1A3E">
        <w:t xml:space="preserve">, D., </w:t>
      </w:r>
      <w:proofErr w:type="spellStart"/>
      <w:r w:rsidRPr="00DC1A3E">
        <w:t>Mohan</w:t>
      </w:r>
      <w:proofErr w:type="spellEnd"/>
      <w:r w:rsidRPr="00DC1A3E">
        <w:t xml:space="preserve">, M. M., </w:t>
      </w:r>
      <w:proofErr w:type="spellStart"/>
      <w:r w:rsidRPr="00DC1A3E">
        <w:t>Nittala</w:t>
      </w:r>
      <w:proofErr w:type="spellEnd"/>
      <w:r w:rsidRPr="00DC1A3E">
        <w:t xml:space="preserve">, N. A. P., </w:t>
      </w:r>
      <w:proofErr w:type="spellStart"/>
      <w:r w:rsidRPr="00DC1A3E">
        <w:t>Jadhav</w:t>
      </w:r>
      <w:proofErr w:type="spellEnd"/>
      <w:r w:rsidRPr="00DC1A3E">
        <w:t xml:space="preserve">, P., </w:t>
      </w:r>
      <w:proofErr w:type="spellStart"/>
      <w:r w:rsidRPr="00DC1A3E">
        <w:t>Bhadauria</w:t>
      </w:r>
      <w:proofErr w:type="spellEnd"/>
      <w:r w:rsidRPr="00DC1A3E">
        <w:t xml:space="preserve">, A., &amp; </w:t>
      </w:r>
      <w:proofErr w:type="spellStart"/>
      <w:r w:rsidRPr="00DC1A3E">
        <w:t>Saxena</w:t>
      </w:r>
      <w:proofErr w:type="spellEnd"/>
      <w:r w:rsidRPr="00DC1A3E">
        <w:t xml:space="preserve">, K. K. (2024). </w:t>
      </w:r>
      <w:r w:rsidRPr="00DC1A3E">
        <w:rPr>
          <w:lang w:val="en-US"/>
        </w:rPr>
        <w:t xml:space="preserve">Theories of motivation: A comprehensive analysis of human behavior drivers. </w:t>
      </w:r>
      <w:r w:rsidRPr="00DC1A3E">
        <w:rPr>
          <w:i/>
          <w:iCs/>
          <w:lang w:val="en-US"/>
        </w:rPr>
        <w:t xml:space="preserve">Acta </w:t>
      </w:r>
      <w:proofErr w:type="spellStart"/>
      <w:r w:rsidRPr="00DC1A3E">
        <w:rPr>
          <w:i/>
          <w:iCs/>
          <w:lang w:val="en-US"/>
        </w:rPr>
        <w:t>Psychologica</w:t>
      </w:r>
      <w:proofErr w:type="spellEnd"/>
      <w:r w:rsidRPr="00DC1A3E">
        <w:rPr>
          <w:lang w:val="en-US"/>
        </w:rPr>
        <w:t xml:space="preserve">, 244, 104177. </w:t>
      </w:r>
      <w:hyperlink r:id="rId15" w:history="1">
        <w:r w:rsidRPr="00DC1A3E">
          <w:rPr>
            <w:rStyle w:val="Hipervnculo"/>
            <w:color w:val="auto"/>
            <w:lang w:val="en-US"/>
          </w:rPr>
          <w:t>https://doi.org/10.1016/j.actpsy.2024.104177</w:t>
        </w:r>
      </w:hyperlink>
      <w:r w:rsidRPr="00DC1A3E">
        <w:rPr>
          <w:lang w:val="en-US"/>
        </w:rPr>
        <w:t> </w:t>
      </w:r>
    </w:p>
    <w:p w14:paraId="5D778903" w14:textId="77777777" w:rsidR="00ED5C08" w:rsidRPr="00DC1A3E" w:rsidRDefault="00ED5C08" w:rsidP="00ED5C08">
      <w:pPr>
        <w:ind w:left="709" w:hanging="720"/>
        <w:jc w:val="both"/>
      </w:pPr>
      <w:r w:rsidRPr="00DC1A3E">
        <w:rPr>
          <w:lang w:val="en-US"/>
        </w:rPr>
        <w:t xml:space="preserve">Beecher, K., Wang, J., Jacques, A, Chaaya, N., </w:t>
      </w:r>
      <w:proofErr w:type="spellStart"/>
      <w:r w:rsidRPr="00DC1A3E">
        <w:rPr>
          <w:lang w:val="en-US"/>
        </w:rPr>
        <w:t>Chehrehasa</w:t>
      </w:r>
      <w:proofErr w:type="spellEnd"/>
      <w:r w:rsidRPr="00DC1A3E">
        <w:rPr>
          <w:lang w:val="en-US"/>
        </w:rPr>
        <w:t xml:space="preserve">, F., Belmer, A., &amp; Bartlett, S.E. (2021). Sucrose consumption alters </w:t>
      </w:r>
      <w:proofErr w:type="spellStart"/>
      <w:r w:rsidRPr="00DC1A3E">
        <w:rPr>
          <w:lang w:val="en-US"/>
        </w:rPr>
        <w:t>aerotonin</w:t>
      </w:r>
      <w:proofErr w:type="spellEnd"/>
      <w:r w:rsidRPr="00DC1A3E">
        <w:rPr>
          <w:lang w:val="en-US"/>
        </w:rPr>
        <w:t>/glutamate co-</w:t>
      </w:r>
      <w:proofErr w:type="spellStart"/>
      <w:r w:rsidRPr="00DC1A3E">
        <w:rPr>
          <w:lang w:val="en-US"/>
        </w:rPr>
        <w:t>localisation</w:t>
      </w:r>
      <w:proofErr w:type="spellEnd"/>
      <w:r w:rsidRPr="00DC1A3E">
        <w:rPr>
          <w:lang w:val="en-US"/>
        </w:rPr>
        <w:t xml:space="preserve"> within the prefrontal cortex and hippocampus of mice. </w:t>
      </w:r>
      <w:r w:rsidRPr="00DC1A3E">
        <w:rPr>
          <w:i/>
          <w:iCs/>
        </w:rPr>
        <w:t xml:space="preserve">Front. Mol. </w:t>
      </w:r>
      <w:proofErr w:type="spellStart"/>
      <w:r w:rsidRPr="00DC1A3E">
        <w:rPr>
          <w:i/>
          <w:iCs/>
        </w:rPr>
        <w:t>Neurosci</w:t>
      </w:r>
      <w:proofErr w:type="spellEnd"/>
      <w:r w:rsidRPr="00DC1A3E">
        <w:rPr>
          <w:i/>
          <w:iCs/>
        </w:rPr>
        <w:t>.</w:t>
      </w:r>
      <w:r w:rsidRPr="00DC1A3E">
        <w:t>, 14(678267).</w:t>
      </w:r>
    </w:p>
    <w:p w14:paraId="4DD00FD5" w14:textId="77777777" w:rsidR="00ED5C08" w:rsidRPr="00DC1A3E" w:rsidRDefault="00ED5C08" w:rsidP="00ED5C08">
      <w:pPr>
        <w:ind w:left="709" w:hanging="720"/>
        <w:jc w:val="both"/>
        <w:rPr>
          <w:lang w:val="en-US"/>
        </w:rPr>
      </w:pPr>
      <w:r w:rsidRPr="00DC1A3E">
        <w:t xml:space="preserve">Chen, X. (2023). Estudio sobre el uso de la recompensa y el castigo en la educación de niños en edad escolar: Basado en la teoría conductista del condicionamiento operante. </w:t>
      </w:r>
      <w:r w:rsidRPr="00DC1A3E">
        <w:rPr>
          <w:i/>
          <w:iCs/>
          <w:lang w:val="en-US"/>
        </w:rPr>
        <w:t>Journal of Education, Humanities and Social Sciences</w:t>
      </w:r>
      <w:r w:rsidRPr="00DC1A3E">
        <w:rPr>
          <w:lang w:val="en-US"/>
        </w:rPr>
        <w:t xml:space="preserve">, 10, 86–90. </w:t>
      </w:r>
      <w:hyperlink r:id="rId16" w:history="1">
        <w:r w:rsidRPr="00DC1A3E">
          <w:rPr>
            <w:rStyle w:val="Hipervnculo"/>
            <w:color w:val="auto"/>
            <w:lang w:val="en-US"/>
          </w:rPr>
          <w:t>https://doi.org/10.54097/ehss.v10i.6896</w:t>
        </w:r>
      </w:hyperlink>
      <w:r w:rsidRPr="00DC1A3E">
        <w:rPr>
          <w:lang w:val="en-US"/>
        </w:rPr>
        <w:t> </w:t>
      </w:r>
    </w:p>
    <w:p w14:paraId="41FC43C2" w14:textId="77777777" w:rsidR="00ED5C08" w:rsidRPr="00DC1A3E" w:rsidRDefault="00ED5C08" w:rsidP="00ED5C08">
      <w:pPr>
        <w:ind w:left="709" w:hanging="720"/>
        <w:jc w:val="both"/>
        <w:rPr>
          <w:lang w:val="en-US"/>
        </w:rPr>
      </w:pPr>
      <w:proofErr w:type="spellStart"/>
      <w:r w:rsidRPr="00DC1A3E">
        <w:t>Coirini</w:t>
      </w:r>
      <w:proofErr w:type="spellEnd"/>
      <w:r w:rsidRPr="00DC1A3E">
        <w:t xml:space="preserve">, H., Rey, M., González </w:t>
      </w:r>
      <w:proofErr w:type="spellStart"/>
      <w:r w:rsidRPr="00DC1A3E">
        <w:t>Deniselle</w:t>
      </w:r>
      <w:proofErr w:type="spellEnd"/>
      <w:r w:rsidRPr="00DC1A3E">
        <w:t xml:space="preserve">, M. C., &amp; </w:t>
      </w:r>
      <w:proofErr w:type="spellStart"/>
      <w:r w:rsidRPr="00DC1A3E">
        <w:t>Kruse</w:t>
      </w:r>
      <w:proofErr w:type="spellEnd"/>
      <w:r w:rsidRPr="00DC1A3E">
        <w:t xml:space="preserve">, M. S. (2022). Deterioro de la función de la memoria a largo plazo tras la exposición a la sacarosa en ratas jóvenes frente a ratas adultas. </w:t>
      </w:r>
      <w:r w:rsidRPr="00DC1A3E">
        <w:rPr>
          <w:i/>
          <w:iCs/>
          <w:lang w:val="en-US"/>
        </w:rPr>
        <w:t>Biomedicines</w:t>
      </w:r>
      <w:r w:rsidRPr="00DC1A3E">
        <w:rPr>
          <w:lang w:val="en-US"/>
        </w:rPr>
        <w:t xml:space="preserve">, 10(11), 2723. </w:t>
      </w:r>
      <w:hyperlink r:id="rId17" w:history="1">
        <w:r w:rsidRPr="00DC1A3E">
          <w:rPr>
            <w:rStyle w:val="Hipervnculo"/>
            <w:color w:val="auto"/>
            <w:lang w:val="en-US"/>
          </w:rPr>
          <w:t>https://doi.org/10.3390/biomedicines10112723</w:t>
        </w:r>
      </w:hyperlink>
      <w:r w:rsidRPr="00DC1A3E">
        <w:rPr>
          <w:lang w:val="en-US"/>
        </w:rPr>
        <w:t> </w:t>
      </w:r>
    </w:p>
    <w:p w14:paraId="6F844CD8" w14:textId="77777777" w:rsidR="00ED5C08" w:rsidRDefault="00ED5C08" w:rsidP="00ED5C08">
      <w:pPr>
        <w:ind w:left="709" w:hanging="720"/>
        <w:jc w:val="both"/>
        <w:rPr>
          <w:lang w:val="en-US"/>
        </w:rPr>
      </w:pPr>
      <w:r w:rsidRPr="00ED5C08">
        <w:rPr>
          <w:lang w:val="en-US"/>
        </w:rPr>
        <w:t xml:space="preserve">Council for International Organizations of Medical Sciences, World Health Organization, &amp; Pan American Health Organization. (2016). </w:t>
      </w:r>
      <w:r w:rsidRPr="00ED5C08">
        <w:rPr>
          <w:i/>
          <w:iCs/>
          <w:lang w:val="en-US"/>
        </w:rPr>
        <w:t>International ethical guidelines for health-related research involving humans</w:t>
      </w:r>
      <w:r w:rsidRPr="00ED5C08">
        <w:rPr>
          <w:lang w:val="en-US"/>
        </w:rPr>
        <w:t>. CIOMS.</w:t>
      </w:r>
    </w:p>
    <w:p w14:paraId="05C03A1A" w14:textId="59A6CFF2" w:rsidR="00ED5C08" w:rsidRPr="00DC1A3E" w:rsidRDefault="00ED5C08" w:rsidP="00ED5C08">
      <w:pPr>
        <w:ind w:left="709" w:hanging="720"/>
        <w:jc w:val="both"/>
        <w:rPr>
          <w:lang w:val="en-US"/>
        </w:rPr>
      </w:pPr>
      <w:proofErr w:type="spellStart"/>
      <w:r w:rsidRPr="00DC1A3E">
        <w:rPr>
          <w:lang w:val="en-US"/>
        </w:rPr>
        <w:t>Domjan</w:t>
      </w:r>
      <w:proofErr w:type="spellEnd"/>
      <w:r w:rsidRPr="00DC1A3E">
        <w:rPr>
          <w:lang w:val="en-US"/>
        </w:rPr>
        <w:t xml:space="preserve">, M. (2018). </w:t>
      </w:r>
      <w:r w:rsidRPr="00DC1A3E">
        <w:rPr>
          <w:i/>
          <w:iCs/>
          <w:lang w:val="en-US"/>
        </w:rPr>
        <w:t>The Essentials of Conditioning and Learning</w:t>
      </w:r>
      <w:r w:rsidRPr="00DC1A3E">
        <w:rPr>
          <w:lang w:val="en-US"/>
        </w:rPr>
        <w:t xml:space="preserve"> (4th ed.). American Psychological Association. </w:t>
      </w:r>
      <w:hyperlink r:id="rId18" w:history="1">
        <w:r w:rsidRPr="00DC1A3E">
          <w:rPr>
            <w:rStyle w:val="Hipervnculo"/>
            <w:color w:val="auto"/>
            <w:lang w:val="en-US"/>
          </w:rPr>
          <w:t>https://doi.org/10.1037/0000057-000</w:t>
        </w:r>
      </w:hyperlink>
      <w:r w:rsidRPr="00DC1A3E">
        <w:rPr>
          <w:lang w:val="en-US"/>
        </w:rPr>
        <w:t> </w:t>
      </w:r>
    </w:p>
    <w:p w14:paraId="3A81BC01" w14:textId="77777777" w:rsidR="00ED5C08" w:rsidRPr="00DC1A3E" w:rsidRDefault="00ED5C08" w:rsidP="00ED5C08">
      <w:pPr>
        <w:ind w:left="709" w:hanging="720"/>
        <w:jc w:val="both"/>
        <w:rPr>
          <w:lang w:val="en-US"/>
        </w:rPr>
      </w:pPr>
      <w:proofErr w:type="spellStart"/>
      <w:r w:rsidRPr="00DC1A3E">
        <w:rPr>
          <w:lang w:val="en-US"/>
        </w:rPr>
        <w:t>Dubljević</w:t>
      </w:r>
      <w:proofErr w:type="spellEnd"/>
      <w:r w:rsidRPr="00DC1A3E">
        <w:rPr>
          <w:lang w:val="en-US"/>
        </w:rPr>
        <w:t xml:space="preserve">, O., Ković, V., Pavković, Ž., </w:t>
      </w:r>
      <w:proofErr w:type="spellStart"/>
      <w:r w:rsidRPr="00DC1A3E">
        <w:rPr>
          <w:lang w:val="en-US"/>
        </w:rPr>
        <w:t>Mitić</w:t>
      </w:r>
      <w:proofErr w:type="spellEnd"/>
      <w:r w:rsidRPr="00DC1A3E">
        <w:rPr>
          <w:lang w:val="en-US"/>
        </w:rPr>
        <w:t xml:space="preserve">, M., &amp; </w:t>
      </w:r>
      <w:proofErr w:type="spellStart"/>
      <w:r w:rsidRPr="00DC1A3E">
        <w:rPr>
          <w:lang w:val="en-US"/>
        </w:rPr>
        <w:t>Pešić</w:t>
      </w:r>
      <w:proofErr w:type="spellEnd"/>
      <w:r w:rsidRPr="00DC1A3E">
        <w:rPr>
          <w:lang w:val="en-US"/>
        </w:rPr>
        <w:t xml:space="preserve">, V. (2022). The Influence of Unlimited Sucrose Intake on Body Weight and Behavior—Findings from a Mouse Model. </w:t>
      </w:r>
      <w:r w:rsidRPr="00DC1A3E">
        <w:rPr>
          <w:i/>
          <w:iCs/>
          <w:lang w:val="en-US"/>
        </w:rPr>
        <w:t>Brain Sciences</w:t>
      </w:r>
      <w:r w:rsidRPr="00DC1A3E">
        <w:rPr>
          <w:lang w:val="en-US"/>
        </w:rPr>
        <w:t xml:space="preserve">, </w:t>
      </w:r>
      <w:r w:rsidRPr="00DC1A3E">
        <w:rPr>
          <w:i/>
          <w:iCs/>
          <w:lang w:val="en-US"/>
        </w:rPr>
        <w:t>12</w:t>
      </w:r>
      <w:r w:rsidRPr="00DC1A3E">
        <w:rPr>
          <w:lang w:val="en-US"/>
        </w:rPr>
        <w:t xml:space="preserve">(10). </w:t>
      </w:r>
      <w:hyperlink r:id="rId19" w:history="1">
        <w:r w:rsidRPr="00DC1A3E">
          <w:rPr>
            <w:rStyle w:val="Hipervnculo"/>
            <w:color w:val="auto"/>
            <w:lang w:val="en-US"/>
          </w:rPr>
          <w:t>https://doi.org/10.3390/brainsci12101332</w:t>
        </w:r>
      </w:hyperlink>
      <w:r w:rsidRPr="00DC1A3E">
        <w:rPr>
          <w:lang w:val="en-US"/>
        </w:rPr>
        <w:t> </w:t>
      </w:r>
    </w:p>
    <w:p w14:paraId="1E1653EC" w14:textId="77777777" w:rsidR="00ED5C08" w:rsidRPr="00DC1A3E" w:rsidRDefault="00ED5C08" w:rsidP="00ED5C08">
      <w:pPr>
        <w:ind w:left="709" w:hanging="720"/>
        <w:jc w:val="both"/>
      </w:pPr>
      <w:proofErr w:type="spellStart"/>
      <w:r w:rsidRPr="00DC1A3E">
        <w:rPr>
          <w:lang w:val="en-US"/>
        </w:rPr>
        <w:t>Fisberg</w:t>
      </w:r>
      <w:proofErr w:type="spellEnd"/>
      <w:r w:rsidRPr="00DC1A3E">
        <w:rPr>
          <w:lang w:val="en-US"/>
        </w:rPr>
        <w:t xml:space="preserve">, M., Kovalskys, I., Gómez, G., Rigotti, A., Cortés Sanabria, L. Y., </w:t>
      </w:r>
      <w:proofErr w:type="spellStart"/>
      <w:r w:rsidRPr="00DC1A3E">
        <w:rPr>
          <w:lang w:val="en-US"/>
        </w:rPr>
        <w:t>Yépez</w:t>
      </w:r>
      <w:proofErr w:type="spellEnd"/>
      <w:r w:rsidRPr="00DC1A3E">
        <w:rPr>
          <w:lang w:val="en-US"/>
        </w:rPr>
        <w:t xml:space="preserve"> García, M. C., Pareja Torres, R. G., Herrera-Cuenca, M., Zimberg, I. Z., Koletzko, B., Pratt, M., Moreno Aznar, L. A., Guajardo, V., Fisberg, R. M., Hermes Sales, C., &amp; </w:t>
      </w:r>
      <w:proofErr w:type="spellStart"/>
      <w:r w:rsidRPr="00DC1A3E">
        <w:rPr>
          <w:lang w:val="en-US"/>
        </w:rPr>
        <w:t>Previdelli</w:t>
      </w:r>
      <w:proofErr w:type="spellEnd"/>
      <w:r w:rsidRPr="00DC1A3E">
        <w:rPr>
          <w:lang w:val="en-US"/>
        </w:rPr>
        <w:t xml:space="preserve">, Á. N. (2018). </w:t>
      </w:r>
      <w:r w:rsidRPr="00DC1A3E">
        <w:t xml:space="preserve">Ingesta total y de azúcares añadidos: Evaluación en ocho países latinoamericanos. </w:t>
      </w:r>
      <w:proofErr w:type="spellStart"/>
      <w:r w:rsidRPr="00DC1A3E">
        <w:rPr>
          <w:i/>
          <w:iCs/>
        </w:rPr>
        <w:t>Nutrients</w:t>
      </w:r>
      <w:proofErr w:type="spellEnd"/>
      <w:r w:rsidRPr="00DC1A3E">
        <w:t xml:space="preserve">, 10(4), 389. </w:t>
      </w:r>
      <w:hyperlink r:id="rId20" w:history="1">
        <w:r w:rsidRPr="00DC1A3E">
          <w:rPr>
            <w:rStyle w:val="Hipervnculo"/>
            <w:color w:val="auto"/>
          </w:rPr>
          <w:t>https://doi.org/10.3390/nu10040389</w:t>
        </w:r>
      </w:hyperlink>
      <w:r w:rsidRPr="00DC1A3E">
        <w:t> </w:t>
      </w:r>
    </w:p>
    <w:p w14:paraId="599E4B3E" w14:textId="77777777" w:rsidR="00ED5C08" w:rsidRPr="00DC1A3E" w:rsidRDefault="00ED5C08" w:rsidP="00ED5C08">
      <w:pPr>
        <w:ind w:left="709" w:hanging="720"/>
        <w:jc w:val="both"/>
      </w:pPr>
      <w:r w:rsidRPr="00DC1A3E">
        <w:t xml:space="preserve">Flores-Fuentes, N., Hernández-Cruz, C., Bermeo, K., Barajas-Martínez, A., Hernández-Serratos, V. N., Aceves-Rodríguez, E. M., Martínez-Alonso, E., Castro, H., Martínez-Huerta, M. I., </w:t>
      </w:r>
      <w:proofErr w:type="spellStart"/>
      <w:r w:rsidRPr="00DC1A3E">
        <w:t>Elias</w:t>
      </w:r>
      <w:proofErr w:type="spellEnd"/>
      <w:r w:rsidRPr="00DC1A3E">
        <w:t xml:space="preserve">-Viñas, D., Salazar-Anguiano, J., Arenas, I., &amp; García, D. E. (2021). Deterioro del aprendizaje motor en ratas sometidas a una dieta alta en sacarosa. </w:t>
      </w:r>
      <w:proofErr w:type="spellStart"/>
      <w:r w:rsidRPr="00DC1A3E">
        <w:rPr>
          <w:i/>
          <w:iCs/>
        </w:rPr>
        <w:t>Physiology</w:t>
      </w:r>
      <w:proofErr w:type="spellEnd"/>
      <w:r w:rsidRPr="00DC1A3E">
        <w:rPr>
          <w:i/>
          <w:iCs/>
        </w:rPr>
        <w:t xml:space="preserve"> &amp; </w:t>
      </w:r>
      <w:proofErr w:type="spellStart"/>
      <w:r w:rsidRPr="00DC1A3E">
        <w:rPr>
          <w:i/>
          <w:iCs/>
        </w:rPr>
        <w:t>Behavior</w:t>
      </w:r>
      <w:proofErr w:type="spellEnd"/>
      <w:r w:rsidRPr="00DC1A3E">
        <w:t xml:space="preserve">, 234, 113384. </w:t>
      </w:r>
      <w:hyperlink r:id="rId21" w:history="1">
        <w:r w:rsidRPr="00DC1A3E">
          <w:rPr>
            <w:rStyle w:val="Hipervnculo"/>
            <w:color w:val="auto"/>
          </w:rPr>
          <w:t>https://doi.org/10.1016/j.physbeh.2021.113384</w:t>
        </w:r>
      </w:hyperlink>
      <w:r w:rsidRPr="00DC1A3E">
        <w:t> </w:t>
      </w:r>
    </w:p>
    <w:p w14:paraId="28B96071" w14:textId="77777777" w:rsidR="00ED5C08" w:rsidRPr="00DC1A3E" w:rsidRDefault="00ED5C08" w:rsidP="00ED5C08">
      <w:pPr>
        <w:ind w:left="709" w:hanging="720"/>
        <w:jc w:val="both"/>
        <w:rPr>
          <w:lang w:val="en-US"/>
        </w:rPr>
      </w:pPr>
      <w:proofErr w:type="spellStart"/>
      <w:r w:rsidRPr="00DC1A3E">
        <w:t>Garcez</w:t>
      </w:r>
      <w:proofErr w:type="spellEnd"/>
      <w:r w:rsidRPr="00DC1A3E">
        <w:t xml:space="preserve">, M. L., </w:t>
      </w:r>
      <w:proofErr w:type="spellStart"/>
      <w:r w:rsidRPr="00DC1A3E">
        <w:t>Bellettini</w:t>
      </w:r>
      <w:proofErr w:type="spellEnd"/>
      <w:r w:rsidRPr="00DC1A3E">
        <w:t xml:space="preserve">-Santos, T., </w:t>
      </w:r>
      <w:proofErr w:type="spellStart"/>
      <w:r w:rsidRPr="00DC1A3E">
        <w:t>Schiavo</w:t>
      </w:r>
      <w:proofErr w:type="spellEnd"/>
      <w:r w:rsidRPr="00DC1A3E">
        <w:t xml:space="preserve">, G. L., Vasconcelos Calixto, K., Mina, F., </w:t>
      </w:r>
      <w:proofErr w:type="spellStart"/>
      <w:r w:rsidRPr="00DC1A3E">
        <w:t>Behenck</w:t>
      </w:r>
      <w:proofErr w:type="spellEnd"/>
      <w:r w:rsidRPr="00DC1A3E">
        <w:t xml:space="preserve"> Medeiros, E., Casagrande </w:t>
      </w:r>
      <w:proofErr w:type="spellStart"/>
      <w:r w:rsidRPr="00DC1A3E">
        <w:t>Zabot</w:t>
      </w:r>
      <w:proofErr w:type="spellEnd"/>
      <w:r w:rsidRPr="00DC1A3E">
        <w:t xml:space="preserve">, G., de Souza Pereira, N., Baltazar do Nascimento, N., Borges </w:t>
      </w:r>
      <w:proofErr w:type="spellStart"/>
      <w:r w:rsidRPr="00DC1A3E">
        <w:t>Tomaz</w:t>
      </w:r>
      <w:proofErr w:type="spellEnd"/>
      <w:r w:rsidRPr="00DC1A3E">
        <w:t xml:space="preserve">, D., </w:t>
      </w:r>
      <w:proofErr w:type="spellStart"/>
      <w:r w:rsidRPr="00DC1A3E">
        <w:t>Manenti</w:t>
      </w:r>
      <w:proofErr w:type="spellEnd"/>
      <w:r w:rsidRPr="00DC1A3E">
        <w:t xml:space="preserve"> Alexandre, M. C., </w:t>
      </w:r>
      <w:proofErr w:type="spellStart"/>
      <w:r w:rsidRPr="00DC1A3E">
        <w:t>Kucharska</w:t>
      </w:r>
      <w:proofErr w:type="spellEnd"/>
      <w:r w:rsidRPr="00DC1A3E">
        <w:t xml:space="preserve">, E., Pacheco Rico, E., </w:t>
      </w:r>
      <w:proofErr w:type="spellStart"/>
      <w:r w:rsidRPr="00DC1A3E">
        <w:t>Budni</w:t>
      </w:r>
      <w:proofErr w:type="spellEnd"/>
      <w:r w:rsidRPr="00DC1A3E">
        <w:t xml:space="preserve">, J. </w:t>
      </w:r>
      <w:r w:rsidRPr="00DC1A3E">
        <w:lastRenderedPageBreak/>
        <w:t xml:space="preserve">(2022). </w:t>
      </w:r>
      <w:r w:rsidRPr="00DC1A3E">
        <w:rPr>
          <w:lang w:val="en-US"/>
        </w:rPr>
        <w:t xml:space="preserve">Long-term administration of soft drink causes memory impairment and oxidative damage in adult and middle-aged rats. </w:t>
      </w:r>
      <w:r w:rsidRPr="00DC1A3E">
        <w:rPr>
          <w:i/>
          <w:iCs/>
          <w:lang w:val="en-US"/>
        </w:rPr>
        <w:t>Experimental Gerontology</w:t>
      </w:r>
      <w:r w:rsidRPr="00DC1A3E">
        <w:rPr>
          <w:lang w:val="en-US"/>
        </w:rPr>
        <w:t xml:space="preserve">, </w:t>
      </w:r>
      <w:r w:rsidRPr="00DC1A3E">
        <w:rPr>
          <w:i/>
          <w:iCs/>
          <w:lang w:val="en-US"/>
        </w:rPr>
        <w:t>166</w:t>
      </w:r>
      <w:r w:rsidRPr="00DC1A3E">
        <w:rPr>
          <w:lang w:val="en-US"/>
        </w:rPr>
        <w:t xml:space="preserve">. </w:t>
      </w:r>
      <w:hyperlink r:id="rId22" w:history="1">
        <w:r w:rsidRPr="00DC1A3E">
          <w:rPr>
            <w:rStyle w:val="Hipervnculo"/>
            <w:color w:val="auto"/>
            <w:lang w:val="en-US"/>
          </w:rPr>
          <w:t>https://doi.org/10.1016/j.exger.2022.111873</w:t>
        </w:r>
      </w:hyperlink>
      <w:r w:rsidRPr="00DC1A3E">
        <w:rPr>
          <w:lang w:val="en-US"/>
        </w:rPr>
        <w:t> </w:t>
      </w:r>
    </w:p>
    <w:p w14:paraId="6AB59D80" w14:textId="77777777" w:rsidR="00ED5C08" w:rsidRPr="00DC1A3E" w:rsidRDefault="00ED5C08" w:rsidP="00ED5C08">
      <w:pPr>
        <w:ind w:left="709" w:hanging="720"/>
        <w:jc w:val="both"/>
        <w:rPr>
          <w:lang w:val="en-US"/>
        </w:rPr>
      </w:pPr>
      <w:r w:rsidRPr="00DC1A3E">
        <w:rPr>
          <w:lang w:val="en-US"/>
        </w:rPr>
        <w:t xml:space="preserve">Gillespie, K. M., White, M. J., Kemps, E., Moore, H., Dymond, A., &amp; Bartlett, S. E. (2023). </w:t>
      </w:r>
      <w:r w:rsidRPr="00DC1A3E">
        <w:t xml:space="preserve">El impacto de los azúcares libres y añadidos en la función cognitiva: Una revisión sistemática y un metaanálisis. </w:t>
      </w:r>
      <w:r w:rsidRPr="00DC1A3E">
        <w:rPr>
          <w:i/>
          <w:iCs/>
          <w:lang w:val="en-US"/>
        </w:rPr>
        <w:t>Nutrients</w:t>
      </w:r>
      <w:r w:rsidRPr="00DC1A3E">
        <w:rPr>
          <w:lang w:val="en-US"/>
        </w:rPr>
        <w:t xml:space="preserve">, 16(1), 75. </w:t>
      </w:r>
      <w:hyperlink r:id="rId23" w:history="1">
        <w:r w:rsidRPr="00DC1A3E">
          <w:rPr>
            <w:rStyle w:val="Hipervnculo"/>
            <w:color w:val="auto"/>
            <w:lang w:val="en-US"/>
          </w:rPr>
          <w:t>https://doi.org/10.3390/nu16010075</w:t>
        </w:r>
      </w:hyperlink>
      <w:r w:rsidRPr="00DC1A3E">
        <w:rPr>
          <w:lang w:val="en-US"/>
        </w:rPr>
        <w:t> </w:t>
      </w:r>
    </w:p>
    <w:p w14:paraId="54681828" w14:textId="77777777" w:rsidR="00ED5C08" w:rsidRPr="00DC1A3E" w:rsidRDefault="00ED5C08" w:rsidP="00ED5C08">
      <w:pPr>
        <w:ind w:left="709" w:hanging="720"/>
        <w:jc w:val="both"/>
        <w:rPr>
          <w:lang w:val="en-US"/>
        </w:rPr>
      </w:pPr>
      <w:r w:rsidRPr="00DC1A3E">
        <w:rPr>
          <w:lang w:val="en-US"/>
        </w:rPr>
        <w:t xml:space="preserve">Guttlein, L., Molina, J. C., &amp; Abate, P. (2021). Operant conditioning with a stimulus discrimination: An alternative method for evaluating alcohol reinforcement in preweaning rats. </w:t>
      </w:r>
      <w:r w:rsidRPr="00DC1A3E">
        <w:rPr>
          <w:i/>
          <w:iCs/>
          <w:lang w:val="en-US"/>
        </w:rPr>
        <w:t>Journal of Neuroscience Methods</w:t>
      </w:r>
      <w:r w:rsidRPr="00DC1A3E">
        <w:rPr>
          <w:lang w:val="en-US"/>
        </w:rPr>
        <w:t xml:space="preserve">, 363, 109345. </w:t>
      </w:r>
      <w:hyperlink r:id="rId24" w:history="1">
        <w:r w:rsidRPr="00DC1A3E">
          <w:rPr>
            <w:rStyle w:val="Hipervnculo"/>
            <w:color w:val="auto"/>
            <w:lang w:val="en-US"/>
          </w:rPr>
          <w:t>https://doi.org/10.1016/j.jneumeth.2021.109345</w:t>
        </w:r>
      </w:hyperlink>
      <w:r w:rsidRPr="00DC1A3E">
        <w:rPr>
          <w:lang w:val="en-US"/>
        </w:rPr>
        <w:t> </w:t>
      </w:r>
    </w:p>
    <w:p w14:paraId="38739C82" w14:textId="77777777" w:rsidR="00ED5C08" w:rsidRPr="00DC1A3E" w:rsidRDefault="00ED5C08" w:rsidP="00ED5C08">
      <w:pPr>
        <w:ind w:left="709" w:hanging="720"/>
        <w:jc w:val="both"/>
        <w:rPr>
          <w:lang w:val="en-US"/>
        </w:rPr>
      </w:pPr>
      <w:r w:rsidRPr="00DC1A3E">
        <w:rPr>
          <w:lang w:val="en-US"/>
        </w:rPr>
        <w:t xml:space="preserve">Hsu, T. M., </w:t>
      </w:r>
      <w:proofErr w:type="spellStart"/>
      <w:r w:rsidRPr="00DC1A3E">
        <w:rPr>
          <w:lang w:val="en-US"/>
        </w:rPr>
        <w:t>Konanur</w:t>
      </w:r>
      <w:proofErr w:type="spellEnd"/>
      <w:r w:rsidRPr="00DC1A3E">
        <w:rPr>
          <w:lang w:val="en-US"/>
        </w:rPr>
        <w:t xml:space="preserve">, V. R., Taing, L., Usui, R., Kayser, B. D., Goran, M. I., &amp; </w:t>
      </w:r>
      <w:proofErr w:type="spellStart"/>
      <w:r w:rsidRPr="00DC1A3E">
        <w:rPr>
          <w:lang w:val="en-US"/>
        </w:rPr>
        <w:t>Kanoski</w:t>
      </w:r>
      <w:proofErr w:type="spellEnd"/>
      <w:r w:rsidRPr="00DC1A3E">
        <w:rPr>
          <w:lang w:val="en-US"/>
        </w:rPr>
        <w:t xml:space="preserve">, S. E. (2015). Effects of sucrose and high-fructose corn syrup consumption on spatial memory function and hippocampal neuroinflammation in adolescent rats. </w:t>
      </w:r>
      <w:r w:rsidRPr="00DC1A3E">
        <w:rPr>
          <w:i/>
          <w:iCs/>
          <w:lang w:val="en-US"/>
        </w:rPr>
        <w:t>Hippocampus</w:t>
      </w:r>
      <w:r w:rsidRPr="00DC1A3E">
        <w:rPr>
          <w:lang w:val="en-US"/>
        </w:rPr>
        <w:t xml:space="preserve">, 25(2), 227–239. </w:t>
      </w:r>
      <w:hyperlink r:id="rId25" w:history="1">
        <w:r w:rsidRPr="00DC1A3E">
          <w:rPr>
            <w:rStyle w:val="Hipervnculo"/>
            <w:color w:val="auto"/>
            <w:lang w:val="en-US"/>
          </w:rPr>
          <w:t>https://doi.org/10.1002/hipo.22368</w:t>
        </w:r>
      </w:hyperlink>
      <w:r w:rsidRPr="00DC1A3E">
        <w:rPr>
          <w:lang w:val="en-US"/>
        </w:rPr>
        <w:t> </w:t>
      </w:r>
    </w:p>
    <w:p w14:paraId="06AECBD7" w14:textId="77777777" w:rsidR="00ED5C08" w:rsidRPr="00ED5C08" w:rsidRDefault="00ED5C08" w:rsidP="00ED5C08">
      <w:pPr>
        <w:ind w:left="709" w:hanging="720"/>
        <w:jc w:val="both"/>
        <w:rPr>
          <w:lang w:val="en-US"/>
        </w:rPr>
      </w:pPr>
      <w:r w:rsidRPr="00ED5C08">
        <w:rPr>
          <w:lang w:val="en-US"/>
        </w:rPr>
        <w:t xml:space="preserve">International Association of Applied Psychology, &amp; International Union of Psychological Science. (2008). </w:t>
      </w:r>
      <w:r w:rsidRPr="00ED5C08">
        <w:rPr>
          <w:i/>
          <w:iCs/>
          <w:lang w:val="en-US"/>
        </w:rPr>
        <w:t>Universal declaration of ethical principles for psychologists</w:t>
      </w:r>
      <w:r w:rsidRPr="00ED5C08">
        <w:rPr>
          <w:lang w:val="en-US"/>
        </w:rPr>
        <w:t xml:space="preserve">. IAAP &amp; </w:t>
      </w:r>
      <w:proofErr w:type="spellStart"/>
      <w:r w:rsidRPr="00ED5C08">
        <w:rPr>
          <w:lang w:val="en-US"/>
        </w:rPr>
        <w:t>IUPsyS</w:t>
      </w:r>
      <w:proofErr w:type="spellEnd"/>
      <w:r w:rsidRPr="00ED5C08">
        <w:rPr>
          <w:lang w:val="en-US"/>
        </w:rPr>
        <w:t>.</w:t>
      </w:r>
    </w:p>
    <w:p w14:paraId="4648093C" w14:textId="486931F8" w:rsidR="00ED5C08" w:rsidRPr="00DC1A3E" w:rsidRDefault="00ED5C08" w:rsidP="00ED5C08">
      <w:pPr>
        <w:ind w:left="709" w:hanging="720"/>
        <w:jc w:val="both"/>
        <w:rPr>
          <w:lang w:val="en-US"/>
        </w:rPr>
      </w:pPr>
      <w:r w:rsidRPr="00DC1A3E">
        <w:rPr>
          <w:lang w:val="en-US"/>
        </w:rPr>
        <w:t xml:space="preserve">Ivaturi, A., Giles, L., Do, L. G., Arora, M., Rawal, T., &amp; Moynihan, P. J. (2024). </w:t>
      </w:r>
      <w:r w:rsidRPr="00DC1A3E">
        <w:t xml:space="preserve">Ingesta de azúcares libres en escolares de 11 a 13 años residentes en Delhi, India. </w:t>
      </w:r>
      <w:r w:rsidRPr="00DC1A3E">
        <w:rPr>
          <w:i/>
          <w:iCs/>
          <w:lang w:val="en-US"/>
        </w:rPr>
        <w:t>Proceedings of the Nutrition Society</w:t>
      </w:r>
      <w:r w:rsidRPr="00DC1A3E">
        <w:rPr>
          <w:lang w:val="en-US"/>
        </w:rPr>
        <w:t xml:space="preserve">, 83(OCE1), E153. </w:t>
      </w:r>
      <w:hyperlink r:id="rId26" w:history="1">
        <w:r w:rsidRPr="00DC1A3E">
          <w:rPr>
            <w:rStyle w:val="Hipervnculo"/>
            <w:color w:val="auto"/>
            <w:lang w:val="en-US"/>
          </w:rPr>
          <w:t>https://doi.org/10.1017/S002966512400171X</w:t>
        </w:r>
      </w:hyperlink>
      <w:r w:rsidRPr="00DC1A3E">
        <w:rPr>
          <w:lang w:val="en-US"/>
        </w:rPr>
        <w:t> </w:t>
      </w:r>
    </w:p>
    <w:p w14:paraId="54970CC0" w14:textId="77777777" w:rsidR="00ED5C08" w:rsidRPr="00DC1A3E" w:rsidRDefault="00ED5C08" w:rsidP="00ED5C08">
      <w:pPr>
        <w:ind w:left="709" w:hanging="720"/>
        <w:jc w:val="both"/>
        <w:rPr>
          <w:lang w:val="en-US"/>
        </w:rPr>
      </w:pPr>
      <w:proofErr w:type="spellStart"/>
      <w:r w:rsidRPr="00DC1A3E">
        <w:t>Kendig</w:t>
      </w:r>
      <w:proofErr w:type="spellEnd"/>
      <w:r w:rsidRPr="00DC1A3E">
        <w:t xml:space="preserve">, M. D. (2014). Efectos cognitivos y conductuales del consumo de azúcar en roedores: Una revisión. </w:t>
      </w:r>
      <w:r w:rsidRPr="00DC1A3E">
        <w:rPr>
          <w:i/>
          <w:iCs/>
          <w:lang w:val="en-US"/>
        </w:rPr>
        <w:t>Appetite</w:t>
      </w:r>
      <w:r w:rsidRPr="00DC1A3E">
        <w:rPr>
          <w:lang w:val="en-US"/>
        </w:rPr>
        <w:t xml:space="preserve">, 80, 41–54. </w:t>
      </w:r>
      <w:hyperlink r:id="rId27" w:history="1">
        <w:r w:rsidRPr="00DC1A3E">
          <w:rPr>
            <w:rStyle w:val="Hipervnculo"/>
            <w:color w:val="auto"/>
            <w:lang w:val="en-US"/>
          </w:rPr>
          <w:t>https://doi.org/10.1016/j.appet.2014.04.028</w:t>
        </w:r>
      </w:hyperlink>
      <w:r w:rsidRPr="00DC1A3E">
        <w:rPr>
          <w:lang w:val="en-US"/>
        </w:rPr>
        <w:t> </w:t>
      </w:r>
    </w:p>
    <w:p w14:paraId="41D1064E" w14:textId="77777777" w:rsidR="00ED5C08" w:rsidRPr="00DC1A3E" w:rsidRDefault="00ED5C08" w:rsidP="00ED5C08">
      <w:pPr>
        <w:ind w:left="709" w:hanging="720"/>
        <w:jc w:val="both"/>
        <w:rPr>
          <w:lang w:val="en-US"/>
        </w:rPr>
      </w:pPr>
      <w:r w:rsidRPr="00DC1A3E">
        <w:rPr>
          <w:lang w:val="en-US"/>
        </w:rPr>
        <w:t xml:space="preserve">Kendig, M. D., </w:t>
      </w:r>
      <w:proofErr w:type="spellStart"/>
      <w:r w:rsidRPr="00DC1A3E">
        <w:rPr>
          <w:lang w:val="en-US"/>
        </w:rPr>
        <w:t>Boakes</w:t>
      </w:r>
      <w:proofErr w:type="spellEnd"/>
      <w:r w:rsidRPr="00DC1A3E">
        <w:rPr>
          <w:lang w:val="en-US"/>
        </w:rPr>
        <w:t xml:space="preserve">, R. A., Rooney, K. B., &amp; Corbit, L. H. (2013). </w:t>
      </w:r>
      <w:r w:rsidRPr="00DC1A3E">
        <w:t xml:space="preserve">El acceso restringido crónico a una solución de sacarosa al 10% en ratas adolescentes y jóvenes adultas deteriora la memoria espacial y altera la sensibilidad a la devaluación del resultado. </w:t>
      </w:r>
      <w:r w:rsidRPr="00DC1A3E">
        <w:rPr>
          <w:i/>
          <w:iCs/>
          <w:lang w:val="en-US"/>
        </w:rPr>
        <w:t>Physiology &amp; Behavior</w:t>
      </w:r>
      <w:r w:rsidRPr="00DC1A3E">
        <w:rPr>
          <w:lang w:val="en-US"/>
        </w:rPr>
        <w:t xml:space="preserve">, 120, 164–172. </w:t>
      </w:r>
      <w:hyperlink r:id="rId28" w:history="1">
        <w:r w:rsidRPr="00DC1A3E">
          <w:rPr>
            <w:rStyle w:val="Hipervnculo"/>
            <w:color w:val="auto"/>
            <w:lang w:val="en-US"/>
          </w:rPr>
          <w:t>https://doi.org/10.1016/j.physbeh.2013.08.012</w:t>
        </w:r>
      </w:hyperlink>
      <w:r w:rsidRPr="00DC1A3E">
        <w:rPr>
          <w:lang w:val="en-US"/>
        </w:rPr>
        <w:t> </w:t>
      </w:r>
    </w:p>
    <w:p w14:paraId="0AEBAF0A" w14:textId="77777777" w:rsidR="00ED5C08" w:rsidRPr="00DC1A3E" w:rsidRDefault="00ED5C08" w:rsidP="00ED5C08">
      <w:pPr>
        <w:ind w:left="709" w:hanging="720"/>
        <w:jc w:val="both"/>
        <w:rPr>
          <w:lang w:val="en-US"/>
        </w:rPr>
      </w:pPr>
      <w:r w:rsidRPr="00DC1A3E">
        <w:rPr>
          <w:lang w:val="en-US"/>
        </w:rPr>
        <w:t xml:space="preserve">Kennard, M. R., Daniels Gatward, L. F., Roberts, A. G., White, E. R. P., Nandi, M., &amp; King, A. J. F. (2021, December 1). The use of mice in diabetes research: The impact of experimental protocols. </w:t>
      </w:r>
      <w:r w:rsidRPr="00DC1A3E">
        <w:rPr>
          <w:i/>
          <w:iCs/>
          <w:lang w:val="en-US"/>
        </w:rPr>
        <w:t>Diabetic Medicine</w:t>
      </w:r>
      <w:r w:rsidRPr="00DC1A3E">
        <w:rPr>
          <w:lang w:val="en-US"/>
        </w:rPr>
        <w:t xml:space="preserve">. John Wiley and Sons Inc. </w:t>
      </w:r>
      <w:hyperlink r:id="rId29" w:history="1">
        <w:r w:rsidRPr="00DC1A3E">
          <w:rPr>
            <w:rStyle w:val="Hipervnculo"/>
            <w:color w:val="auto"/>
            <w:lang w:val="en-US"/>
          </w:rPr>
          <w:t>https://doi.org/10.1111/dme.14705</w:t>
        </w:r>
      </w:hyperlink>
      <w:r w:rsidRPr="00DC1A3E">
        <w:rPr>
          <w:lang w:val="en-US"/>
        </w:rPr>
        <w:t> </w:t>
      </w:r>
    </w:p>
    <w:p w14:paraId="0EA6B7CD" w14:textId="77777777" w:rsidR="00ED5C08" w:rsidRPr="00DC1A3E" w:rsidRDefault="00ED5C08" w:rsidP="00ED5C08">
      <w:pPr>
        <w:ind w:left="709" w:hanging="720"/>
        <w:jc w:val="both"/>
        <w:rPr>
          <w:lang w:val="en-US"/>
        </w:rPr>
      </w:pPr>
      <w:proofErr w:type="spellStart"/>
      <w:r w:rsidRPr="00DC1A3E">
        <w:rPr>
          <w:lang w:val="en-US"/>
        </w:rPr>
        <w:t>Khajehnejad</w:t>
      </w:r>
      <w:proofErr w:type="spellEnd"/>
      <w:r w:rsidRPr="00DC1A3E">
        <w:rPr>
          <w:lang w:val="en-US"/>
        </w:rPr>
        <w:t xml:space="preserve">, S. (2022). Why the type of information observable to peers matters. </w:t>
      </w:r>
      <w:r w:rsidRPr="00DC1A3E">
        <w:rPr>
          <w:i/>
          <w:iCs/>
          <w:lang w:val="en-US"/>
        </w:rPr>
        <w:t>Journal of Behavioral Decision Making</w:t>
      </w:r>
      <w:r w:rsidRPr="00DC1A3E">
        <w:rPr>
          <w:lang w:val="en-US"/>
        </w:rPr>
        <w:t xml:space="preserve">, 35(2), 237-249. </w:t>
      </w:r>
      <w:hyperlink r:id="rId30" w:history="1">
        <w:r w:rsidRPr="00DC1A3E">
          <w:rPr>
            <w:rStyle w:val="Hipervnculo"/>
            <w:color w:val="auto"/>
            <w:lang w:val="en-US"/>
          </w:rPr>
          <w:t>https://doi.org/10.1002/bdm.2384</w:t>
        </w:r>
      </w:hyperlink>
      <w:r w:rsidRPr="00DC1A3E">
        <w:rPr>
          <w:lang w:val="en-US"/>
        </w:rPr>
        <w:t> </w:t>
      </w:r>
    </w:p>
    <w:p w14:paraId="2CE5EA8C" w14:textId="77777777" w:rsidR="00ED5C08" w:rsidRPr="00DC1A3E" w:rsidRDefault="00ED5C08" w:rsidP="00ED5C08">
      <w:pPr>
        <w:ind w:left="709" w:hanging="720"/>
        <w:jc w:val="both"/>
        <w:rPr>
          <w:lang w:val="en-US"/>
        </w:rPr>
      </w:pPr>
      <w:r w:rsidRPr="00DC1A3E">
        <w:rPr>
          <w:lang w:val="en-US"/>
        </w:rPr>
        <w:t xml:space="preserve">Krasno, A. M. (2021). </w:t>
      </w:r>
      <w:r w:rsidRPr="00DC1A3E">
        <w:t xml:space="preserve">Moldeamiento de la conducta. En F. R. </w:t>
      </w:r>
      <w:proofErr w:type="spellStart"/>
      <w:r w:rsidRPr="00DC1A3E">
        <w:t>Volkmar</w:t>
      </w:r>
      <w:proofErr w:type="spellEnd"/>
      <w:r w:rsidRPr="00DC1A3E">
        <w:t xml:space="preserve"> (Ed.), </w:t>
      </w:r>
      <w:r w:rsidRPr="00DC1A3E">
        <w:rPr>
          <w:i/>
          <w:iCs/>
        </w:rPr>
        <w:t>Enciclopedia de trastornos del espectro autista</w:t>
      </w:r>
      <w:r w:rsidRPr="00DC1A3E">
        <w:t xml:space="preserve"> (pp. 1–3). </w:t>
      </w:r>
      <w:r w:rsidRPr="00DC1A3E">
        <w:rPr>
          <w:lang w:val="en-US"/>
        </w:rPr>
        <w:t xml:space="preserve">Springer. </w:t>
      </w:r>
      <w:hyperlink r:id="rId31" w:history="1">
        <w:r w:rsidRPr="00DC1A3E">
          <w:rPr>
            <w:rStyle w:val="Hipervnculo"/>
            <w:color w:val="auto"/>
            <w:lang w:val="en-US"/>
          </w:rPr>
          <w:t>https://doi.org/10.1007/978-3-319-91280-6_136</w:t>
        </w:r>
      </w:hyperlink>
      <w:r w:rsidRPr="00DC1A3E">
        <w:rPr>
          <w:lang w:val="en-US"/>
        </w:rPr>
        <w:t> </w:t>
      </w:r>
    </w:p>
    <w:p w14:paraId="0B63C3BF" w14:textId="77777777" w:rsidR="00ED5C08" w:rsidRPr="00DC1A3E" w:rsidRDefault="00ED5C08" w:rsidP="00ED5C08">
      <w:pPr>
        <w:ind w:left="709" w:hanging="720"/>
        <w:jc w:val="both"/>
        <w:rPr>
          <w:lang w:val="en-US"/>
        </w:rPr>
      </w:pPr>
      <w:r w:rsidRPr="00DC1A3E">
        <w:rPr>
          <w:lang w:val="en-US"/>
        </w:rPr>
        <w:t xml:space="preserve">Krubaa, P., &amp; Yogitha, P. S. (2024). Albino Wistar Rats: Advantages and Limitations in Biomedical Research. </w:t>
      </w:r>
      <w:r w:rsidRPr="00DC1A3E">
        <w:rPr>
          <w:i/>
          <w:iCs/>
          <w:lang w:val="en-US"/>
        </w:rPr>
        <w:t>SBV Journal of Basic, Clinical and Applied Health Science</w:t>
      </w:r>
      <w:r w:rsidRPr="00DC1A3E">
        <w:rPr>
          <w:lang w:val="en-US"/>
        </w:rPr>
        <w:t xml:space="preserve">, </w:t>
      </w:r>
      <w:r w:rsidRPr="00DC1A3E">
        <w:rPr>
          <w:i/>
          <w:iCs/>
          <w:lang w:val="en-US"/>
        </w:rPr>
        <w:t>7</w:t>
      </w:r>
      <w:r w:rsidRPr="00DC1A3E">
        <w:rPr>
          <w:lang w:val="en-US"/>
        </w:rPr>
        <w:t xml:space="preserve">(2), 61–65. </w:t>
      </w:r>
      <w:hyperlink r:id="rId32" w:history="1">
        <w:r w:rsidRPr="00DC1A3E">
          <w:rPr>
            <w:rStyle w:val="Hipervnculo"/>
            <w:color w:val="auto"/>
            <w:lang w:val="en-US"/>
          </w:rPr>
          <w:t>https://doi.org/10.4103/sbvj.sbvj_22_24</w:t>
        </w:r>
      </w:hyperlink>
      <w:r w:rsidRPr="00DC1A3E">
        <w:rPr>
          <w:lang w:val="en-US"/>
        </w:rPr>
        <w:t> </w:t>
      </w:r>
    </w:p>
    <w:p w14:paraId="0D59236C" w14:textId="77777777" w:rsidR="00ED5C08" w:rsidRPr="00DC1A3E" w:rsidRDefault="00ED5C08" w:rsidP="00ED5C08">
      <w:pPr>
        <w:ind w:left="709" w:hanging="720"/>
        <w:jc w:val="both"/>
        <w:rPr>
          <w:lang w:val="en-US"/>
        </w:rPr>
      </w:pPr>
      <w:proofErr w:type="spellStart"/>
      <w:r w:rsidRPr="00DC1A3E">
        <w:rPr>
          <w:lang w:val="en-US"/>
        </w:rPr>
        <w:t>Lanovaz</w:t>
      </w:r>
      <w:proofErr w:type="spellEnd"/>
      <w:r w:rsidRPr="00DC1A3E">
        <w:rPr>
          <w:lang w:val="en-US"/>
        </w:rPr>
        <w:t xml:space="preserve">, M. J., Turgeon, S., Cardinal, P., &amp; Wheatley, T. L. (2018). Using single-case designs in practical settings: Is within-subject replication always necessary? </w:t>
      </w:r>
      <w:r w:rsidRPr="00DC1A3E">
        <w:rPr>
          <w:i/>
          <w:iCs/>
          <w:lang w:val="en-US"/>
        </w:rPr>
        <w:t>Perspectives on Behavior Science</w:t>
      </w:r>
      <w:r w:rsidRPr="00DC1A3E">
        <w:rPr>
          <w:lang w:val="en-US"/>
        </w:rPr>
        <w:t xml:space="preserve">, </w:t>
      </w:r>
      <w:r w:rsidRPr="00DC1A3E">
        <w:rPr>
          <w:i/>
          <w:iCs/>
          <w:lang w:val="en-US"/>
        </w:rPr>
        <w:t>42</w:t>
      </w:r>
      <w:r w:rsidRPr="00DC1A3E">
        <w:rPr>
          <w:lang w:val="en-US"/>
        </w:rPr>
        <w:t xml:space="preserve">(1), 153–162. </w:t>
      </w:r>
      <w:hyperlink r:id="rId33" w:history="1">
        <w:r w:rsidRPr="00DC1A3E">
          <w:rPr>
            <w:rStyle w:val="Hipervnculo"/>
            <w:color w:val="auto"/>
            <w:lang w:val="en-US"/>
          </w:rPr>
          <w:t>https://doi.org/10.1007/s40614-018-0138-9</w:t>
        </w:r>
      </w:hyperlink>
      <w:r w:rsidRPr="00DC1A3E">
        <w:rPr>
          <w:lang w:val="en-US"/>
        </w:rPr>
        <w:t> </w:t>
      </w:r>
    </w:p>
    <w:p w14:paraId="2FB0A015" w14:textId="77777777" w:rsidR="00ED5C08" w:rsidRPr="00DC1A3E" w:rsidRDefault="00ED5C08" w:rsidP="00ED5C08">
      <w:pPr>
        <w:ind w:left="709" w:hanging="720"/>
        <w:jc w:val="both"/>
      </w:pPr>
      <w:r w:rsidRPr="00DC1A3E">
        <w:rPr>
          <w:lang w:val="en-US"/>
        </w:rPr>
        <w:t xml:space="preserve">Lara-Castor, L., Micha, R., Cudhea, F., Miller, V., Shi, P., Zhang, J., </w:t>
      </w:r>
      <w:proofErr w:type="spellStart"/>
      <w:r w:rsidRPr="00DC1A3E">
        <w:rPr>
          <w:lang w:val="en-US"/>
        </w:rPr>
        <w:t>Sharib</w:t>
      </w:r>
      <w:proofErr w:type="spellEnd"/>
      <w:r w:rsidRPr="00DC1A3E">
        <w:rPr>
          <w:lang w:val="en-US"/>
        </w:rPr>
        <w:t xml:space="preserve">, J. R., Erndt-Marino, J., Cash, S. B., Barquera, S., </w:t>
      </w:r>
      <w:proofErr w:type="spellStart"/>
      <w:r w:rsidRPr="00DC1A3E">
        <w:rPr>
          <w:lang w:val="en-US"/>
        </w:rPr>
        <w:t>Mozaffarian</w:t>
      </w:r>
      <w:proofErr w:type="spellEnd"/>
      <w:r w:rsidRPr="00DC1A3E">
        <w:rPr>
          <w:lang w:val="en-US"/>
        </w:rPr>
        <w:t xml:space="preserve">, D., Global Dietary Database, &amp; Anderson, S. G. (2024). Intake of sugar-sweetened beverages among children and adolescents in 185 countries between 1990 and 2018: Population based study. </w:t>
      </w:r>
      <w:r w:rsidRPr="00DC1A3E">
        <w:rPr>
          <w:i/>
          <w:iCs/>
        </w:rPr>
        <w:t>BMJ</w:t>
      </w:r>
      <w:r w:rsidRPr="00DC1A3E">
        <w:t xml:space="preserve">, 386(8438), </w:t>
      </w:r>
      <w:proofErr w:type="spellStart"/>
      <w:r w:rsidRPr="00DC1A3E">
        <w:t>Article</w:t>
      </w:r>
      <w:proofErr w:type="spellEnd"/>
      <w:r w:rsidRPr="00DC1A3E">
        <w:t xml:space="preserve"> e079234. </w:t>
      </w:r>
      <w:hyperlink r:id="rId34" w:history="1">
        <w:r w:rsidRPr="00DC1A3E">
          <w:rPr>
            <w:rStyle w:val="Hipervnculo"/>
            <w:color w:val="auto"/>
          </w:rPr>
          <w:t>https://doi.org/10.1136/bmj-2024-079234</w:t>
        </w:r>
      </w:hyperlink>
      <w:r w:rsidRPr="00DC1A3E">
        <w:t> </w:t>
      </w:r>
    </w:p>
    <w:p w14:paraId="25FA01CC" w14:textId="77777777" w:rsidR="00ED5C08" w:rsidRPr="00DC1A3E" w:rsidRDefault="00ED5C08" w:rsidP="00ED5C08">
      <w:pPr>
        <w:ind w:left="709" w:hanging="720"/>
        <w:jc w:val="both"/>
        <w:rPr>
          <w:lang w:val="en-US"/>
        </w:rPr>
      </w:pPr>
      <w:r w:rsidRPr="00DC1A3E">
        <w:lastRenderedPageBreak/>
        <w:t xml:space="preserve">Li, H., Ren, J., Li, Y., Wu, Q., &amp; Wei, J. (2023). Estrés oxidativo: El nexo entre la obesidad y la disfunción cognitiva en la diabetes. </w:t>
      </w:r>
      <w:r w:rsidRPr="00DC1A3E">
        <w:rPr>
          <w:i/>
          <w:iCs/>
          <w:lang w:val="en-US"/>
        </w:rPr>
        <w:t>Frontiers in Endocrinology</w:t>
      </w:r>
      <w:r w:rsidRPr="00DC1A3E">
        <w:rPr>
          <w:lang w:val="en-US"/>
        </w:rPr>
        <w:t xml:space="preserve">, 14, 1134025. </w:t>
      </w:r>
      <w:hyperlink r:id="rId35" w:history="1">
        <w:r w:rsidRPr="00DC1A3E">
          <w:rPr>
            <w:rStyle w:val="Hipervnculo"/>
            <w:color w:val="auto"/>
            <w:lang w:val="en-US"/>
          </w:rPr>
          <w:t>https://doi.org/10.3389/fendo.2023.1134025</w:t>
        </w:r>
      </w:hyperlink>
      <w:r w:rsidRPr="00DC1A3E">
        <w:rPr>
          <w:lang w:val="en-US"/>
        </w:rPr>
        <w:t> </w:t>
      </w:r>
    </w:p>
    <w:p w14:paraId="0323C37C" w14:textId="77777777" w:rsidR="00ED5C08" w:rsidRPr="00DC1A3E" w:rsidRDefault="00ED5C08" w:rsidP="00ED5C08">
      <w:pPr>
        <w:ind w:left="709" w:hanging="720"/>
        <w:jc w:val="both"/>
        <w:rPr>
          <w:lang w:val="en-US"/>
        </w:rPr>
      </w:pPr>
      <w:r w:rsidRPr="00DC1A3E">
        <w:rPr>
          <w:lang w:val="en-US"/>
        </w:rPr>
        <w:t xml:space="preserve">Milstein, J. L., &amp; Ferris, H. A. (2021). </w:t>
      </w:r>
      <w:r w:rsidRPr="00DC1A3E">
        <w:t xml:space="preserve">El cerebro como órgano metabólico sensible a la insulina. </w:t>
      </w:r>
      <w:r w:rsidRPr="00DC1A3E">
        <w:rPr>
          <w:i/>
          <w:iCs/>
          <w:lang w:val="en-US"/>
        </w:rPr>
        <w:t>Molecular Metabolism</w:t>
      </w:r>
      <w:r w:rsidRPr="00DC1A3E">
        <w:rPr>
          <w:lang w:val="en-US"/>
        </w:rPr>
        <w:t xml:space="preserve">, 52, 101234. </w:t>
      </w:r>
      <w:hyperlink r:id="rId36" w:history="1">
        <w:r w:rsidRPr="00DC1A3E">
          <w:rPr>
            <w:rStyle w:val="Hipervnculo"/>
            <w:color w:val="auto"/>
            <w:lang w:val="en-US"/>
          </w:rPr>
          <w:t>https://doi.org/10.1016/j.molmet.2021.101234</w:t>
        </w:r>
      </w:hyperlink>
      <w:r w:rsidRPr="00DC1A3E">
        <w:rPr>
          <w:lang w:val="en-US"/>
        </w:rPr>
        <w:t> </w:t>
      </w:r>
    </w:p>
    <w:p w14:paraId="0E0F0D65" w14:textId="77777777" w:rsidR="00ED5C08" w:rsidRPr="00DC1A3E" w:rsidRDefault="00ED5C08" w:rsidP="00ED5C08">
      <w:pPr>
        <w:ind w:left="709" w:hanging="720"/>
        <w:jc w:val="both"/>
        <w:rPr>
          <w:lang w:val="en-US"/>
        </w:rPr>
      </w:pPr>
      <w:proofErr w:type="spellStart"/>
      <w:r w:rsidRPr="00DC1A3E">
        <w:rPr>
          <w:lang w:val="en-US"/>
        </w:rPr>
        <w:t>Minnaard</w:t>
      </w:r>
      <w:proofErr w:type="spellEnd"/>
      <w:r w:rsidRPr="00DC1A3E">
        <w:rPr>
          <w:lang w:val="en-US"/>
        </w:rPr>
        <w:t xml:space="preserve">, A.M., </w:t>
      </w:r>
      <w:proofErr w:type="spellStart"/>
      <w:r w:rsidRPr="00DC1A3E">
        <w:rPr>
          <w:lang w:val="en-US"/>
        </w:rPr>
        <w:t>Luijendijk</w:t>
      </w:r>
      <w:proofErr w:type="spellEnd"/>
      <w:r w:rsidRPr="00DC1A3E">
        <w:rPr>
          <w:lang w:val="en-US"/>
        </w:rPr>
        <w:t xml:space="preserve">, M.C.M., Baars, A.M. et al. (2022). Increased elasticity of sucrose demand during hyperdopaminergic states in rats. </w:t>
      </w:r>
      <w:r w:rsidRPr="00DC1A3E">
        <w:rPr>
          <w:i/>
          <w:iCs/>
          <w:lang w:val="en-US"/>
        </w:rPr>
        <w:t>Psychopharmacology</w:t>
      </w:r>
      <w:r w:rsidRPr="00DC1A3E">
        <w:rPr>
          <w:lang w:val="en-US"/>
        </w:rPr>
        <w:t xml:space="preserve">, 239, 773–794. </w:t>
      </w:r>
      <w:hyperlink r:id="rId37" w:history="1">
        <w:r w:rsidRPr="00DC1A3E">
          <w:rPr>
            <w:rStyle w:val="Hipervnculo"/>
            <w:color w:val="auto"/>
            <w:lang w:val="en-US"/>
          </w:rPr>
          <w:t>https://doi.org/10.1007/s00213-022-06068-x</w:t>
        </w:r>
      </w:hyperlink>
      <w:r w:rsidRPr="00DC1A3E">
        <w:rPr>
          <w:lang w:val="en-US"/>
        </w:rPr>
        <w:t> </w:t>
      </w:r>
    </w:p>
    <w:p w14:paraId="728188A6" w14:textId="77777777" w:rsidR="00ED5C08" w:rsidRPr="00DC1A3E" w:rsidRDefault="00ED5C08" w:rsidP="00ED5C08">
      <w:pPr>
        <w:ind w:left="709" w:hanging="720"/>
        <w:jc w:val="both"/>
        <w:rPr>
          <w:lang w:val="en-US"/>
        </w:rPr>
      </w:pPr>
      <w:r w:rsidRPr="00DC1A3E">
        <w:rPr>
          <w:lang w:val="en-US"/>
        </w:rPr>
        <w:t xml:space="preserve">Nist, A. N., &amp; Shahan, T. A. (2021). Resurgence and repeated within-session progressive-interval thinning of alternative reinforcement. </w:t>
      </w:r>
      <w:r w:rsidRPr="00DC1A3E">
        <w:rPr>
          <w:i/>
          <w:iCs/>
          <w:lang w:val="en-US"/>
        </w:rPr>
        <w:t>Journal of the Experimental Analysis of Behavior</w:t>
      </w:r>
      <w:r w:rsidRPr="00DC1A3E">
        <w:rPr>
          <w:lang w:val="en-US"/>
        </w:rPr>
        <w:t xml:space="preserve">, </w:t>
      </w:r>
      <w:r w:rsidRPr="00DC1A3E">
        <w:rPr>
          <w:i/>
          <w:iCs/>
          <w:lang w:val="en-US"/>
        </w:rPr>
        <w:t>115</w:t>
      </w:r>
      <w:r w:rsidRPr="00DC1A3E">
        <w:rPr>
          <w:lang w:val="en-US"/>
        </w:rPr>
        <w:t xml:space="preserve">(2), 442–459. </w:t>
      </w:r>
      <w:hyperlink r:id="rId38" w:history="1">
        <w:r w:rsidRPr="00DC1A3E">
          <w:rPr>
            <w:rStyle w:val="Hipervnculo"/>
            <w:color w:val="auto"/>
            <w:lang w:val="en-US"/>
          </w:rPr>
          <w:t>https://doi.org/10.1002/jeab.672</w:t>
        </w:r>
      </w:hyperlink>
      <w:r w:rsidRPr="00DC1A3E">
        <w:rPr>
          <w:lang w:val="en-US"/>
        </w:rPr>
        <w:t> </w:t>
      </w:r>
    </w:p>
    <w:p w14:paraId="6E64388B" w14:textId="77777777" w:rsidR="00ED5C08" w:rsidRPr="00DC1A3E" w:rsidRDefault="00ED5C08" w:rsidP="00ED5C08">
      <w:pPr>
        <w:ind w:left="709" w:hanging="720"/>
        <w:jc w:val="both"/>
      </w:pPr>
      <w:r w:rsidRPr="00DC1A3E">
        <w:t xml:space="preserve">Obando Leiva, R. J., &amp; Ortiz Luján, M. J. (2018). </w:t>
      </w:r>
      <w:r w:rsidRPr="00DC1A3E">
        <w:rPr>
          <w:i/>
          <w:iCs/>
        </w:rPr>
        <w:t>Riesgo de desarrollar diabetes mellitus tipo 2 en pobladores de la provincia de Trujillo, según la escala de FINDRISC, 2018</w:t>
      </w:r>
      <w:r w:rsidRPr="00DC1A3E">
        <w:t xml:space="preserve"> Tesis de licenciatura, Universidad Nacional de Trujillo. Universidad Nacional de Trujillo. Repositorio Institucional UNT. </w:t>
      </w:r>
      <w:hyperlink r:id="rId39" w:history="1">
        <w:r w:rsidRPr="00DC1A3E">
          <w:rPr>
            <w:rStyle w:val="Hipervnculo"/>
            <w:color w:val="auto"/>
          </w:rPr>
          <w:t>https://hdl.handle.net/20.500.14414/10778</w:t>
        </w:r>
      </w:hyperlink>
      <w:r w:rsidRPr="00DC1A3E">
        <w:t> </w:t>
      </w:r>
    </w:p>
    <w:p w14:paraId="15DA3099" w14:textId="77777777" w:rsidR="00ED5C08" w:rsidRPr="00DC1A3E" w:rsidRDefault="00ED5C08" w:rsidP="00ED5C08">
      <w:pPr>
        <w:ind w:left="709" w:hanging="720"/>
        <w:jc w:val="both"/>
        <w:rPr>
          <w:lang w:val="en-US"/>
        </w:rPr>
      </w:pPr>
      <w:r w:rsidRPr="00DC1A3E">
        <w:t xml:space="preserve">Oliveira, M. M. de, Brito, E. G. F. de, Silva, K. M. P. y., </w:t>
      </w:r>
      <w:proofErr w:type="spellStart"/>
      <w:r w:rsidRPr="00DC1A3E">
        <w:t>Aráujo</w:t>
      </w:r>
      <w:proofErr w:type="spellEnd"/>
      <w:r w:rsidRPr="00DC1A3E">
        <w:t xml:space="preserve">, F. R. G. de, </w:t>
      </w:r>
      <w:proofErr w:type="spellStart"/>
      <w:r w:rsidRPr="00DC1A3E">
        <w:t>Cavalcante</w:t>
      </w:r>
      <w:proofErr w:type="spellEnd"/>
      <w:r w:rsidRPr="00DC1A3E">
        <w:t xml:space="preserve">, T. C. F., Silva, A. A. M. da, &amp; Souza, S. L. de. (2022). La alimentación más allá de la necesidad: Mecanismos del control hedónico de la alimentación. </w:t>
      </w:r>
      <w:r w:rsidRPr="00DC1A3E">
        <w:rPr>
          <w:i/>
          <w:iCs/>
          <w:lang w:val="en-US"/>
        </w:rPr>
        <w:t>Research, Society and Development</w:t>
      </w:r>
      <w:r w:rsidRPr="00DC1A3E">
        <w:rPr>
          <w:lang w:val="en-US"/>
        </w:rPr>
        <w:t xml:space="preserve">, 11(3), e41911326626. </w:t>
      </w:r>
      <w:hyperlink r:id="rId40" w:history="1">
        <w:r w:rsidRPr="00DC1A3E">
          <w:rPr>
            <w:rStyle w:val="Hipervnculo"/>
            <w:color w:val="auto"/>
            <w:lang w:val="en-US"/>
          </w:rPr>
          <w:t>https://doi.org/10.33448/rsd-v11i3.26626</w:t>
        </w:r>
      </w:hyperlink>
      <w:r w:rsidRPr="00DC1A3E">
        <w:rPr>
          <w:lang w:val="en-US"/>
        </w:rPr>
        <w:t> </w:t>
      </w:r>
    </w:p>
    <w:p w14:paraId="6E871A0C" w14:textId="77777777" w:rsidR="00ED5C08" w:rsidRPr="00DC1A3E" w:rsidRDefault="00ED5C08" w:rsidP="00ED5C08">
      <w:pPr>
        <w:ind w:left="709" w:hanging="720"/>
        <w:jc w:val="both"/>
        <w:rPr>
          <w:lang w:val="en-US"/>
        </w:rPr>
      </w:pPr>
      <w:r w:rsidRPr="00DC1A3E">
        <w:rPr>
          <w:lang w:val="es-PE"/>
        </w:rPr>
        <w:t xml:space="preserve">Organización de las Naciones Unidas (ONU). (2023, 13 de septiembre). La Agenda para el Desarrollo Sostenible - Desarrollo Sostenible. </w:t>
      </w:r>
      <w:hyperlink r:id="rId41" w:tgtFrame="_new" w:history="1">
        <w:r w:rsidRPr="00DC1A3E">
          <w:rPr>
            <w:u w:val="single"/>
            <w:lang w:val="en-US"/>
          </w:rPr>
          <w:t>https://www.un.org/sustainabledevelopment/es/development-agenda/</w:t>
        </w:r>
      </w:hyperlink>
      <w:r w:rsidRPr="00DC1A3E">
        <w:t xml:space="preserve"> </w:t>
      </w:r>
    </w:p>
    <w:p w14:paraId="4FFF2E9A" w14:textId="77777777" w:rsidR="00ED5C08" w:rsidRPr="00DC1A3E" w:rsidRDefault="00ED5C08" w:rsidP="00ED5C08">
      <w:pPr>
        <w:ind w:left="709" w:hanging="720"/>
        <w:jc w:val="both"/>
      </w:pPr>
      <w:r w:rsidRPr="00DC1A3E">
        <w:rPr>
          <w:lang w:val="en-US"/>
        </w:rPr>
        <w:t xml:space="preserve">Patkar, O. L., Mohamed, A. Z., Narayanan, A., Mardon, K., Cowin, G., Bhalla, R., Stimson, D. H. R., </w:t>
      </w:r>
      <w:proofErr w:type="spellStart"/>
      <w:r w:rsidRPr="00DC1A3E">
        <w:rPr>
          <w:lang w:val="en-US"/>
        </w:rPr>
        <w:t>Kassiou</w:t>
      </w:r>
      <w:proofErr w:type="spellEnd"/>
      <w:r w:rsidRPr="00DC1A3E">
        <w:rPr>
          <w:lang w:val="en-US"/>
        </w:rPr>
        <w:t xml:space="preserve">, M., Beecher, K., Belmer, A., Cooper, I. A., Morgan, M., Hume, D. A., Irvine, K. M., Bartlett, S. E., Nasrallah, F., &amp; Cumming, P. (2021). A binge high sucrose diet provokes systemic and cerebral inflammation in rats without inducing obesity. </w:t>
      </w:r>
      <w:proofErr w:type="spellStart"/>
      <w:r w:rsidRPr="00DC1A3E">
        <w:rPr>
          <w:i/>
          <w:iCs/>
        </w:rPr>
        <w:t>Scientific</w:t>
      </w:r>
      <w:proofErr w:type="spellEnd"/>
      <w:r w:rsidRPr="00DC1A3E">
        <w:rPr>
          <w:i/>
          <w:iCs/>
        </w:rPr>
        <w:t xml:space="preserve"> </w:t>
      </w:r>
      <w:proofErr w:type="spellStart"/>
      <w:r w:rsidRPr="00DC1A3E">
        <w:rPr>
          <w:i/>
          <w:iCs/>
        </w:rPr>
        <w:t>Reports</w:t>
      </w:r>
      <w:proofErr w:type="spellEnd"/>
      <w:r w:rsidRPr="00DC1A3E">
        <w:t xml:space="preserve">, 11(1), 11252. </w:t>
      </w:r>
      <w:hyperlink r:id="rId42" w:history="1">
        <w:r w:rsidRPr="00DC1A3E">
          <w:rPr>
            <w:rStyle w:val="Hipervnculo"/>
            <w:color w:val="auto"/>
          </w:rPr>
          <w:t>https://doi.org/10.1038/s41598-021-90817-z</w:t>
        </w:r>
      </w:hyperlink>
      <w:r w:rsidRPr="00DC1A3E">
        <w:t> </w:t>
      </w:r>
    </w:p>
    <w:p w14:paraId="0BABA7AF" w14:textId="77777777" w:rsidR="00ED5C08" w:rsidRPr="00DC1A3E" w:rsidRDefault="00ED5C08" w:rsidP="00ED5C08">
      <w:pPr>
        <w:ind w:left="709" w:hanging="720"/>
        <w:jc w:val="both"/>
      </w:pPr>
      <w:r w:rsidRPr="00DC1A3E">
        <w:t xml:space="preserve">Pinedo, X. (2022, 10 de abril). El azúcar que no vemos: su consumo duplica el límite recomendado. </w:t>
      </w:r>
      <w:r w:rsidRPr="00DC1A3E">
        <w:rPr>
          <w:i/>
          <w:iCs/>
        </w:rPr>
        <w:t>Ojo Público</w:t>
      </w:r>
      <w:r w:rsidRPr="00DC1A3E">
        <w:t xml:space="preserve">. </w:t>
      </w:r>
      <w:hyperlink r:id="rId43" w:history="1">
        <w:r w:rsidRPr="00DC1A3E">
          <w:rPr>
            <w:rStyle w:val="Hipervnculo"/>
            <w:color w:val="auto"/>
          </w:rPr>
          <w:t>https://ojo-publico.com/3389/el-azucar-que-no-vemos-consumo-duplica-limite-recomendado</w:t>
        </w:r>
      </w:hyperlink>
      <w:r w:rsidRPr="00DC1A3E">
        <w:t> </w:t>
      </w:r>
    </w:p>
    <w:p w14:paraId="534CA0F7" w14:textId="77777777" w:rsidR="00ED5C08" w:rsidRPr="00DC1A3E" w:rsidRDefault="00ED5C08" w:rsidP="00ED5C08">
      <w:pPr>
        <w:ind w:left="709" w:hanging="720"/>
        <w:jc w:val="both"/>
        <w:rPr>
          <w:lang w:val="en-US"/>
        </w:rPr>
      </w:pPr>
      <w:r w:rsidRPr="00DC1A3E">
        <w:rPr>
          <w:lang w:val="en-US"/>
        </w:rPr>
        <w:t xml:space="preserve">Rautio, I. V., Holmberg, E. H., Kurup, D., Dunn, B. A., &amp; Whitlock, J. R. (2024). A novel paradigm for observational learning in rats. </w:t>
      </w:r>
      <w:r w:rsidRPr="00DC1A3E">
        <w:rPr>
          <w:i/>
          <w:iCs/>
          <w:lang w:val="en-US"/>
        </w:rPr>
        <w:t xml:space="preserve">Cognitive </w:t>
      </w:r>
      <w:proofErr w:type="spellStart"/>
      <w:r w:rsidRPr="00DC1A3E">
        <w:rPr>
          <w:i/>
          <w:iCs/>
          <w:lang w:val="en-US"/>
        </w:rPr>
        <w:t>Neurodynamics</w:t>
      </w:r>
      <w:proofErr w:type="spellEnd"/>
      <w:r w:rsidRPr="00DC1A3E">
        <w:rPr>
          <w:lang w:val="en-US"/>
        </w:rPr>
        <w:t xml:space="preserve">, </w:t>
      </w:r>
      <w:r w:rsidRPr="00DC1A3E">
        <w:rPr>
          <w:i/>
          <w:iCs/>
          <w:lang w:val="en-US"/>
        </w:rPr>
        <w:t>18</w:t>
      </w:r>
      <w:r w:rsidRPr="00DC1A3E">
        <w:rPr>
          <w:lang w:val="en-US"/>
        </w:rPr>
        <w:t xml:space="preserve">(2), 757–767. </w:t>
      </w:r>
      <w:hyperlink r:id="rId44" w:history="1">
        <w:r w:rsidRPr="00DC1A3E">
          <w:rPr>
            <w:rStyle w:val="Hipervnculo"/>
            <w:color w:val="auto"/>
            <w:lang w:val="en-US"/>
          </w:rPr>
          <w:t>https://doi.org/10.1007/s11571-023-10022-8</w:t>
        </w:r>
      </w:hyperlink>
      <w:r w:rsidRPr="00DC1A3E">
        <w:rPr>
          <w:lang w:val="en-US"/>
        </w:rPr>
        <w:t> </w:t>
      </w:r>
    </w:p>
    <w:p w14:paraId="3DC80D01" w14:textId="77777777" w:rsidR="00ED5C08" w:rsidRPr="00DC1A3E" w:rsidRDefault="00ED5C08" w:rsidP="00ED5C08">
      <w:pPr>
        <w:ind w:left="709" w:hanging="720"/>
        <w:jc w:val="both"/>
        <w:rPr>
          <w:lang w:val="en-US"/>
        </w:rPr>
      </w:pPr>
      <w:r w:rsidRPr="00DC1A3E">
        <w:rPr>
          <w:lang w:val="en-US"/>
        </w:rPr>
        <w:t xml:space="preserve">Reichelt, A. C., </w:t>
      </w:r>
      <w:proofErr w:type="spellStart"/>
      <w:r w:rsidRPr="00DC1A3E">
        <w:rPr>
          <w:lang w:val="en-US"/>
        </w:rPr>
        <w:t>Killcross</w:t>
      </w:r>
      <w:proofErr w:type="spellEnd"/>
      <w:r w:rsidRPr="00DC1A3E">
        <w:rPr>
          <w:lang w:val="en-US"/>
        </w:rPr>
        <w:t xml:space="preserve">, S., Hambly, L. D., Morris, M. J., &amp; Westbrook, R. F. (2015). Impact of adolescent sucrose access on cognitive control, recognition memory, and parvalbumin immunoreactivity. </w:t>
      </w:r>
      <w:r w:rsidRPr="00DC1A3E">
        <w:rPr>
          <w:i/>
          <w:iCs/>
          <w:lang w:val="en-US"/>
        </w:rPr>
        <w:t>Learning and Memory</w:t>
      </w:r>
      <w:r w:rsidRPr="00DC1A3E">
        <w:rPr>
          <w:lang w:val="en-US"/>
        </w:rPr>
        <w:t xml:space="preserve">, 22(4), 215–224. </w:t>
      </w:r>
      <w:hyperlink r:id="rId45" w:history="1">
        <w:r w:rsidRPr="00DC1A3E">
          <w:rPr>
            <w:rStyle w:val="Hipervnculo"/>
            <w:color w:val="auto"/>
            <w:lang w:val="en-US"/>
          </w:rPr>
          <w:t>https://doi.org/10.1101/lm.038000.114</w:t>
        </w:r>
      </w:hyperlink>
      <w:r w:rsidRPr="00DC1A3E">
        <w:rPr>
          <w:lang w:val="en-US"/>
        </w:rPr>
        <w:t> </w:t>
      </w:r>
    </w:p>
    <w:p w14:paraId="3EA7C112" w14:textId="77777777" w:rsidR="00ED5C08" w:rsidRPr="00DC1A3E" w:rsidRDefault="00ED5C08" w:rsidP="00ED5C08">
      <w:pPr>
        <w:ind w:left="709" w:hanging="720"/>
        <w:jc w:val="both"/>
        <w:rPr>
          <w:lang w:val="en-US"/>
        </w:rPr>
      </w:pPr>
      <w:r w:rsidRPr="00DC1A3E">
        <w:rPr>
          <w:lang w:val="en-US"/>
        </w:rPr>
        <w:t xml:space="preserve">Rehn, S., &amp; </w:t>
      </w:r>
      <w:proofErr w:type="spellStart"/>
      <w:r w:rsidRPr="00DC1A3E">
        <w:rPr>
          <w:lang w:val="en-US"/>
        </w:rPr>
        <w:t>Boakes</w:t>
      </w:r>
      <w:proofErr w:type="spellEnd"/>
      <w:r w:rsidRPr="00DC1A3E">
        <w:rPr>
          <w:lang w:val="en-US"/>
        </w:rPr>
        <w:t xml:space="preserve">, R. A. (2019). Bingeing in rats: Persistence of high intakes of palatable solutions induced by 1-day-in-4 intermittent access. </w:t>
      </w:r>
      <w:r w:rsidRPr="00DC1A3E">
        <w:rPr>
          <w:i/>
          <w:iCs/>
          <w:lang w:val="en-US"/>
        </w:rPr>
        <w:t>Physiology and Behavior</w:t>
      </w:r>
      <w:r w:rsidRPr="00DC1A3E">
        <w:rPr>
          <w:lang w:val="en-US"/>
        </w:rPr>
        <w:t xml:space="preserve">, </w:t>
      </w:r>
      <w:r w:rsidRPr="00DC1A3E">
        <w:rPr>
          <w:i/>
          <w:iCs/>
          <w:lang w:val="en-US"/>
        </w:rPr>
        <w:t>207</w:t>
      </w:r>
      <w:r w:rsidRPr="00DC1A3E">
        <w:rPr>
          <w:lang w:val="en-US"/>
        </w:rPr>
        <w:t xml:space="preserve">, 15–27. </w:t>
      </w:r>
      <w:hyperlink r:id="rId46" w:history="1">
        <w:r w:rsidRPr="00DC1A3E">
          <w:rPr>
            <w:rStyle w:val="Hipervnculo"/>
            <w:color w:val="auto"/>
            <w:lang w:val="en-US"/>
          </w:rPr>
          <w:t>https://doi.org/10.1016/j.physbeh.2019.04.028</w:t>
        </w:r>
      </w:hyperlink>
      <w:r w:rsidRPr="00DC1A3E">
        <w:rPr>
          <w:lang w:val="en-US"/>
        </w:rPr>
        <w:t> </w:t>
      </w:r>
    </w:p>
    <w:p w14:paraId="44A6A3FC" w14:textId="77777777" w:rsidR="00ED5C08" w:rsidRPr="00DC1A3E" w:rsidRDefault="00ED5C08" w:rsidP="00ED5C08">
      <w:pPr>
        <w:ind w:left="709" w:hanging="720"/>
        <w:jc w:val="both"/>
      </w:pPr>
      <w:r w:rsidRPr="00DC1A3E">
        <w:rPr>
          <w:lang w:val="en-US"/>
        </w:rPr>
        <w:t xml:space="preserve">Santiago González, K. (2017). </w:t>
      </w:r>
      <w:r w:rsidRPr="00DC1A3E">
        <w:rPr>
          <w:i/>
          <w:iCs/>
        </w:rPr>
        <w:t>Efectos conductuales de la sacarosa en rata</w:t>
      </w:r>
      <w:r w:rsidRPr="00DC1A3E">
        <w:t xml:space="preserve"> Tesis de licenciatura, Universidad Nacional Autónoma de México. Universidad Nacional Autónoma de México, Facultad de Ciencias. </w:t>
      </w:r>
      <w:hyperlink r:id="rId47" w:history="1">
        <w:r w:rsidRPr="00DC1A3E">
          <w:rPr>
            <w:rStyle w:val="Hipervnculo"/>
            <w:color w:val="auto"/>
          </w:rPr>
          <w:t>https://ru.dgb.unam.mx/server/api/core/bitstreams/bbcc1fe4-97ef-4643-b0ca-a1ce3b835a55/content</w:t>
        </w:r>
      </w:hyperlink>
      <w:r w:rsidRPr="00DC1A3E">
        <w:t> </w:t>
      </w:r>
    </w:p>
    <w:p w14:paraId="067AB3CE" w14:textId="77777777" w:rsidR="00ED5C08" w:rsidRPr="00ED5C08" w:rsidRDefault="00ED5C08" w:rsidP="00ED5C08">
      <w:pPr>
        <w:ind w:left="709" w:hanging="720"/>
        <w:jc w:val="both"/>
        <w:rPr>
          <w:lang w:val="es-PE"/>
        </w:rPr>
      </w:pPr>
      <w:r w:rsidRPr="00ED5C08">
        <w:rPr>
          <w:lang w:val="es-PE"/>
        </w:rPr>
        <w:t xml:space="preserve">Sociedad Interamericana de Psicología. (1978). </w:t>
      </w:r>
      <w:r w:rsidRPr="00ED5C08">
        <w:rPr>
          <w:i/>
          <w:iCs/>
          <w:lang w:val="es-PE"/>
        </w:rPr>
        <w:t>Principios éticos del psicólogo</w:t>
      </w:r>
      <w:r w:rsidRPr="00ED5C08">
        <w:rPr>
          <w:lang w:val="es-PE"/>
        </w:rPr>
        <w:t>. SIP.</w:t>
      </w:r>
    </w:p>
    <w:p w14:paraId="2C50A00F" w14:textId="77777777" w:rsidR="00ED5C08" w:rsidRPr="00ED5C08" w:rsidRDefault="00ED5C08" w:rsidP="00ED5C08">
      <w:pPr>
        <w:ind w:left="709" w:hanging="720"/>
        <w:jc w:val="both"/>
        <w:rPr>
          <w:lang w:val="es-PE"/>
        </w:rPr>
      </w:pPr>
      <w:r w:rsidRPr="00ED5C08">
        <w:rPr>
          <w:lang w:val="es-PE"/>
        </w:rPr>
        <w:t xml:space="preserve">Sociedad Interamericana de Psicología. (2008a). </w:t>
      </w:r>
      <w:r w:rsidRPr="00ED5C08">
        <w:rPr>
          <w:i/>
          <w:iCs/>
          <w:lang w:val="es-PE"/>
        </w:rPr>
        <w:t>Código de ética profesional</w:t>
      </w:r>
      <w:r w:rsidRPr="00ED5C08">
        <w:rPr>
          <w:lang w:val="es-PE"/>
        </w:rPr>
        <w:t>. SIP.</w:t>
      </w:r>
    </w:p>
    <w:p w14:paraId="2C191819" w14:textId="77777777" w:rsidR="00ED5C08" w:rsidRPr="00ED5C08" w:rsidRDefault="00ED5C08" w:rsidP="00ED5C08">
      <w:pPr>
        <w:ind w:left="709" w:hanging="720"/>
        <w:jc w:val="both"/>
        <w:rPr>
          <w:lang w:val="es-PE"/>
        </w:rPr>
      </w:pPr>
      <w:r w:rsidRPr="00ED5C08">
        <w:rPr>
          <w:lang w:val="es-PE"/>
        </w:rPr>
        <w:lastRenderedPageBreak/>
        <w:t xml:space="preserve">Sociedad Interamericana de Psicología. (2008b). </w:t>
      </w:r>
      <w:r w:rsidRPr="00ED5C08">
        <w:rPr>
          <w:i/>
          <w:iCs/>
          <w:lang w:val="es-PE"/>
        </w:rPr>
        <w:t>Declaración ética sobre la investigación psicológica</w:t>
      </w:r>
      <w:r w:rsidRPr="00ED5C08">
        <w:rPr>
          <w:lang w:val="es-PE"/>
        </w:rPr>
        <w:t>. SIP.</w:t>
      </w:r>
    </w:p>
    <w:p w14:paraId="59BE36D8" w14:textId="77777777" w:rsidR="00ED5C08" w:rsidRPr="00ED5C08" w:rsidRDefault="00ED5C08" w:rsidP="00ED5C08">
      <w:pPr>
        <w:ind w:left="709" w:hanging="720"/>
        <w:jc w:val="both"/>
        <w:rPr>
          <w:lang w:val="es-PE"/>
        </w:rPr>
      </w:pPr>
      <w:r w:rsidRPr="00ED5C08">
        <w:rPr>
          <w:lang w:val="es-PE"/>
        </w:rPr>
        <w:t xml:space="preserve">Sociedad Interamericana de Psicología. (2014). </w:t>
      </w:r>
      <w:r w:rsidRPr="00ED5C08">
        <w:rPr>
          <w:i/>
          <w:iCs/>
          <w:lang w:val="es-PE"/>
        </w:rPr>
        <w:t>Actualización de lineamientos éticos para la práctica psicológica</w:t>
      </w:r>
      <w:r w:rsidRPr="00ED5C08">
        <w:rPr>
          <w:lang w:val="es-PE"/>
        </w:rPr>
        <w:t>. SIP.</w:t>
      </w:r>
    </w:p>
    <w:p w14:paraId="714AEC69" w14:textId="77777777" w:rsidR="00ED5C08" w:rsidRPr="00ED5C08" w:rsidRDefault="00ED5C08" w:rsidP="00ED5C08">
      <w:pPr>
        <w:ind w:left="709" w:hanging="720"/>
        <w:jc w:val="both"/>
        <w:rPr>
          <w:lang w:val="es-PE"/>
        </w:rPr>
      </w:pPr>
      <w:r w:rsidRPr="00ED5C08">
        <w:rPr>
          <w:lang w:val="es-PE"/>
        </w:rPr>
        <w:t xml:space="preserve">Sociedad Interamericana de Psicología. (2016). </w:t>
      </w:r>
      <w:r w:rsidRPr="00ED5C08">
        <w:rPr>
          <w:i/>
          <w:iCs/>
          <w:lang w:val="es-PE"/>
        </w:rPr>
        <w:t>Lineamientos éticos para la investigación y la práctica profesional</w:t>
      </w:r>
      <w:r w:rsidRPr="00ED5C08">
        <w:rPr>
          <w:lang w:val="es-PE"/>
        </w:rPr>
        <w:t>. SIP.</w:t>
      </w:r>
    </w:p>
    <w:p w14:paraId="625C6038" w14:textId="77777777" w:rsidR="00ED5C08" w:rsidRPr="00ED5C08" w:rsidRDefault="00ED5C08" w:rsidP="00ED5C08">
      <w:pPr>
        <w:ind w:left="709" w:hanging="720"/>
        <w:jc w:val="both"/>
        <w:rPr>
          <w:lang w:val="es-PE"/>
        </w:rPr>
      </w:pPr>
      <w:r w:rsidRPr="00ED5C08">
        <w:rPr>
          <w:lang w:val="es-PE"/>
        </w:rPr>
        <w:t xml:space="preserve">Sociedad Interamericana de Psicología. (2018). </w:t>
      </w:r>
      <w:r w:rsidRPr="00ED5C08">
        <w:rPr>
          <w:i/>
          <w:iCs/>
          <w:lang w:val="es-PE"/>
        </w:rPr>
        <w:t>Declaración ética sobre responsabilidad social del psicólogo</w:t>
      </w:r>
      <w:r w:rsidRPr="00ED5C08">
        <w:rPr>
          <w:lang w:val="es-PE"/>
        </w:rPr>
        <w:t>. SIP.</w:t>
      </w:r>
    </w:p>
    <w:p w14:paraId="0CE429BA" w14:textId="77777777" w:rsidR="00ED5C08" w:rsidRPr="00ED5C08" w:rsidRDefault="00ED5C08" w:rsidP="00ED5C08">
      <w:pPr>
        <w:ind w:left="709" w:hanging="720"/>
        <w:jc w:val="both"/>
        <w:rPr>
          <w:lang w:val="en-US"/>
        </w:rPr>
      </w:pPr>
      <w:r w:rsidRPr="00ED5C08">
        <w:rPr>
          <w:lang w:val="es-PE"/>
        </w:rPr>
        <w:t xml:space="preserve">Sociedad Interamericana de Psicología. (2019). </w:t>
      </w:r>
      <w:r w:rsidRPr="00ED5C08">
        <w:rPr>
          <w:i/>
          <w:iCs/>
          <w:lang w:val="es-PE"/>
        </w:rPr>
        <w:t>Principios éticos vigentes para la psicología en América Latina</w:t>
      </w:r>
      <w:r w:rsidRPr="00ED5C08">
        <w:rPr>
          <w:lang w:val="es-PE"/>
        </w:rPr>
        <w:t xml:space="preserve">. </w:t>
      </w:r>
      <w:r w:rsidRPr="00ED5C08">
        <w:rPr>
          <w:lang w:val="en-US"/>
        </w:rPr>
        <w:t>SIP.</w:t>
      </w:r>
    </w:p>
    <w:p w14:paraId="47EDC939" w14:textId="77777777" w:rsidR="00ED5C08" w:rsidRPr="00DC1A3E" w:rsidRDefault="00ED5C08" w:rsidP="00ED5C08">
      <w:pPr>
        <w:ind w:left="709" w:hanging="720"/>
        <w:jc w:val="both"/>
        <w:rPr>
          <w:lang w:val="en-US"/>
        </w:rPr>
      </w:pPr>
      <w:r w:rsidRPr="00DC1A3E">
        <w:rPr>
          <w:lang w:val="en-US"/>
        </w:rPr>
        <w:t xml:space="preserve">Tran, D. M. D., Doble, K. S., Johnston, I. N., Westbrook, R. F., &amp; Harris, I. M. (2025). </w:t>
      </w:r>
      <w:r w:rsidRPr="00DC1A3E">
        <w:t xml:space="preserve">El consumo de una dieta rica en grasas y azúcares se asocia con una peor capacidad de navegación espacial en un entorno virtual. </w:t>
      </w:r>
      <w:r w:rsidRPr="00DC1A3E">
        <w:rPr>
          <w:i/>
          <w:iCs/>
          <w:lang w:val="en-US"/>
        </w:rPr>
        <w:t>International Journal of Obesity</w:t>
      </w:r>
      <w:r w:rsidRPr="00DC1A3E">
        <w:rPr>
          <w:lang w:val="en-US"/>
        </w:rPr>
        <w:t xml:space="preserve">, 49, 1354–1362. </w:t>
      </w:r>
      <w:hyperlink r:id="rId48" w:history="1">
        <w:r w:rsidRPr="00DC1A3E">
          <w:rPr>
            <w:rStyle w:val="Hipervnculo"/>
            <w:color w:val="auto"/>
            <w:lang w:val="en-US"/>
          </w:rPr>
          <w:t>https://doi.org/10.1038/s41366-025-01776-8</w:t>
        </w:r>
      </w:hyperlink>
      <w:r w:rsidRPr="00DC1A3E">
        <w:rPr>
          <w:lang w:val="en-US"/>
        </w:rPr>
        <w:t> </w:t>
      </w:r>
    </w:p>
    <w:p w14:paraId="084D5EE9" w14:textId="77777777" w:rsidR="00ED5C08" w:rsidRPr="00DC1A3E" w:rsidRDefault="00ED5C08" w:rsidP="00ED5C08">
      <w:pPr>
        <w:ind w:left="709" w:hanging="720"/>
        <w:jc w:val="both"/>
        <w:rPr>
          <w:lang w:val="en-US"/>
        </w:rPr>
      </w:pPr>
      <w:r w:rsidRPr="00DC1A3E">
        <w:rPr>
          <w:lang w:val="en-US"/>
        </w:rPr>
        <w:t xml:space="preserve">Veit, M., van Asten, R., Olie, A., &amp; Prinz, P. (2022, November 1). The role of dietary sugars, overweight, and obesity in type 2 diabetes mellitus: a narrative review. </w:t>
      </w:r>
      <w:r w:rsidRPr="00DC1A3E">
        <w:rPr>
          <w:i/>
          <w:iCs/>
          <w:lang w:val="en-US"/>
        </w:rPr>
        <w:t>European Journal of Clinical Nutrition</w:t>
      </w:r>
      <w:r w:rsidRPr="00DC1A3E">
        <w:rPr>
          <w:lang w:val="en-US"/>
        </w:rPr>
        <w:t xml:space="preserve">. Springer Nature. </w:t>
      </w:r>
      <w:hyperlink r:id="rId49" w:history="1">
        <w:r w:rsidRPr="00DC1A3E">
          <w:rPr>
            <w:rStyle w:val="Hipervnculo"/>
            <w:color w:val="auto"/>
            <w:lang w:val="en-US"/>
          </w:rPr>
          <w:t>https://doi.org/10.1038/s41430-022-01114-5</w:t>
        </w:r>
      </w:hyperlink>
      <w:r w:rsidRPr="00DC1A3E">
        <w:rPr>
          <w:lang w:val="en-US"/>
        </w:rPr>
        <w:t> </w:t>
      </w:r>
    </w:p>
    <w:p w14:paraId="1B3EC3E6" w14:textId="77777777" w:rsidR="00ED5C08" w:rsidRPr="00DC1A3E" w:rsidRDefault="00ED5C08" w:rsidP="00ED5C08">
      <w:pPr>
        <w:ind w:left="709" w:hanging="720"/>
        <w:jc w:val="both"/>
        <w:rPr>
          <w:lang w:val="en-US"/>
        </w:rPr>
      </w:pPr>
      <w:r w:rsidRPr="00DC1A3E">
        <w:t xml:space="preserve">Veronese, N., </w:t>
      </w:r>
      <w:proofErr w:type="spellStart"/>
      <w:r w:rsidRPr="00DC1A3E">
        <w:t>Facchini</w:t>
      </w:r>
      <w:proofErr w:type="spellEnd"/>
      <w:r w:rsidRPr="00DC1A3E">
        <w:t xml:space="preserve">, S., Stubbs, B., </w:t>
      </w:r>
      <w:proofErr w:type="spellStart"/>
      <w:r w:rsidRPr="00DC1A3E">
        <w:t>Luchini</w:t>
      </w:r>
      <w:proofErr w:type="spellEnd"/>
      <w:r w:rsidRPr="00DC1A3E">
        <w:t xml:space="preserve">, C., </w:t>
      </w:r>
      <w:proofErr w:type="spellStart"/>
      <w:r w:rsidRPr="00DC1A3E">
        <w:t>Solmi</w:t>
      </w:r>
      <w:proofErr w:type="spellEnd"/>
      <w:r w:rsidRPr="00DC1A3E">
        <w:t xml:space="preserve">, M., </w:t>
      </w:r>
      <w:proofErr w:type="spellStart"/>
      <w:r w:rsidRPr="00DC1A3E">
        <w:t>Manzato</w:t>
      </w:r>
      <w:proofErr w:type="spellEnd"/>
      <w:r w:rsidRPr="00DC1A3E">
        <w:t xml:space="preserve">, E., Sergi, G., Maggi, S., Cosco, T., &amp; Fontana, L. (2017). </w:t>
      </w:r>
      <w:r w:rsidRPr="00DC1A3E">
        <w:rPr>
          <w:lang w:val="en-US"/>
        </w:rPr>
        <w:t xml:space="preserve">Weight loss is associated with improvements in cognitive function among overweight and obese people: A systematic review and meta-analysis. </w:t>
      </w:r>
      <w:r w:rsidRPr="00DC1A3E">
        <w:rPr>
          <w:i/>
          <w:iCs/>
          <w:lang w:val="en-US"/>
        </w:rPr>
        <w:t>Neuroscience and Biobehavioral Reviews</w:t>
      </w:r>
      <w:r w:rsidRPr="00DC1A3E">
        <w:rPr>
          <w:lang w:val="en-US"/>
        </w:rPr>
        <w:t xml:space="preserve">, 72, 87–94. </w:t>
      </w:r>
      <w:hyperlink r:id="rId50" w:history="1">
        <w:r w:rsidRPr="00DC1A3E">
          <w:rPr>
            <w:rStyle w:val="Hipervnculo"/>
            <w:color w:val="auto"/>
            <w:lang w:val="en-US"/>
          </w:rPr>
          <w:t>https://doi.org/10.1016/j.neubiorev.2016.11.017</w:t>
        </w:r>
      </w:hyperlink>
      <w:r w:rsidRPr="00DC1A3E">
        <w:rPr>
          <w:lang w:val="en-US"/>
        </w:rPr>
        <w:t> </w:t>
      </w:r>
    </w:p>
    <w:p w14:paraId="51EE0B52" w14:textId="77777777" w:rsidR="00ED5C08" w:rsidRPr="00DC1A3E" w:rsidRDefault="00ED5C08" w:rsidP="00ED5C08">
      <w:pPr>
        <w:ind w:left="709" w:hanging="720"/>
        <w:jc w:val="both"/>
        <w:rPr>
          <w:lang w:val="en-US"/>
        </w:rPr>
      </w:pPr>
      <w:r w:rsidRPr="00DC1A3E">
        <w:rPr>
          <w:lang w:val="en-US"/>
        </w:rPr>
        <w:t xml:space="preserve">Wei, S., Hertle, S., </w:t>
      </w:r>
      <w:proofErr w:type="spellStart"/>
      <w:r w:rsidRPr="00DC1A3E">
        <w:rPr>
          <w:lang w:val="en-US"/>
        </w:rPr>
        <w:t>Spanagel</w:t>
      </w:r>
      <w:proofErr w:type="spellEnd"/>
      <w:r w:rsidRPr="00DC1A3E">
        <w:rPr>
          <w:lang w:val="en-US"/>
        </w:rPr>
        <w:t xml:space="preserve">, R., &amp; Bilbao, A. (2021). Female mice are more prone to develop an addictive-like phenotype for sugar consumption. </w:t>
      </w:r>
      <w:r w:rsidRPr="00DC1A3E">
        <w:rPr>
          <w:i/>
          <w:iCs/>
          <w:lang w:val="en-US"/>
        </w:rPr>
        <w:t>Scientific Reports</w:t>
      </w:r>
      <w:r w:rsidRPr="00DC1A3E">
        <w:rPr>
          <w:lang w:val="en-US"/>
        </w:rPr>
        <w:t xml:space="preserve">, </w:t>
      </w:r>
      <w:r w:rsidRPr="00DC1A3E">
        <w:rPr>
          <w:i/>
          <w:iCs/>
          <w:lang w:val="en-US"/>
        </w:rPr>
        <w:t>11</w:t>
      </w:r>
      <w:r w:rsidRPr="00DC1A3E">
        <w:rPr>
          <w:lang w:val="en-US"/>
        </w:rPr>
        <w:t xml:space="preserve">(1). </w:t>
      </w:r>
      <w:hyperlink r:id="rId51" w:history="1">
        <w:r w:rsidRPr="00DC1A3E">
          <w:rPr>
            <w:rStyle w:val="Hipervnculo"/>
            <w:color w:val="auto"/>
            <w:lang w:val="en-US"/>
          </w:rPr>
          <w:t>https://doi.org/10.1038/s41598-021-86797-9</w:t>
        </w:r>
      </w:hyperlink>
      <w:r w:rsidRPr="00DC1A3E">
        <w:rPr>
          <w:lang w:val="en-US"/>
        </w:rPr>
        <w:t> </w:t>
      </w:r>
    </w:p>
    <w:p w14:paraId="34352E8B" w14:textId="77777777" w:rsidR="00ED5C08" w:rsidRPr="00DC1A3E" w:rsidRDefault="00ED5C08" w:rsidP="00ED5C08">
      <w:pPr>
        <w:ind w:left="709" w:hanging="720"/>
        <w:jc w:val="both"/>
        <w:rPr>
          <w:lang w:val="en-US"/>
        </w:rPr>
      </w:pPr>
      <w:r w:rsidRPr="00DC1A3E">
        <w:rPr>
          <w:lang w:val="en-US"/>
        </w:rPr>
        <w:t xml:space="preserve">Wong, A., Dogra, V. R., &amp; Reichelt, A. C. (2017). High-sucrose diets in male rats disrupt aspects of </w:t>
      </w:r>
      <w:proofErr w:type="gramStart"/>
      <w:r w:rsidRPr="00DC1A3E">
        <w:rPr>
          <w:lang w:val="en-US"/>
        </w:rPr>
        <w:t>decision making</w:t>
      </w:r>
      <w:proofErr w:type="gramEnd"/>
      <w:r w:rsidRPr="00DC1A3E">
        <w:rPr>
          <w:lang w:val="en-US"/>
        </w:rPr>
        <w:t xml:space="preserve"> tasks, motivation and spatial memory, but not impulsivity measured by operant delay-discounting. </w:t>
      </w:r>
      <w:proofErr w:type="spellStart"/>
      <w:r w:rsidRPr="00DC1A3E">
        <w:rPr>
          <w:i/>
          <w:iCs/>
          <w:lang w:val="en-US"/>
        </w:rPr>
        <w:t>Behavioural</w:t>
      </w:r>
      <w:proofErr w:type="spellEnd"/>
      <w:r w:rsidRPr="00DC1A3E">
        <w:rPr>
          <w:i/>
          <w:iCs/>
          <w:lang w:val="en-US"/>
        </w:rPr>
        <w:t xml:space="preserve"> Brain Research</w:t>
      </w:r>
      <w:r w:rsidRPr="00DC1A3E">
        <w:rPr>
          <w:lang w:val="en-US"/>
        </w:rPr>
        <w:t xml:space="preserve">, </w:t>
      </w:r>
      <w:r w:rsidRPr="00DC1A3E">
        <w:rPr>
          <w:i/>
          <w:iCs/>
          <w:lang w:val="en-US"/>
        </w:rPr>
        <w:t>327</w:t>
      </w:r>
      <w:r w:rsidRPr="00DC1A3E">
        <w:rPr>
          <w:lang w:val="en-US"/>
        </w:rPr>
        <w:t xml:space="preserve">, 144–154. </w:t>
      </w:r>
      <w:hyperlink r:id="rId52" w:history="1">
        <w:r w:rsidRPr="00DC1A3E">
          <w:rPr>
            <w:rStyle w:val="Hipervnculo"/>
            <w:color w:val="auto"/>
            <w:lang w:val="en-US"/>
          </w:rPr>
          <w:t>https://doi.org/10.1016/j.bbr.2017.03.029</w:t>
        </w:r>
      </w:hyperlink>
      <w:r w:rsidRPr="00DC1A3E">
        <w:rPr>
          <w:lang w:val="en-US"/>
        </w:rPr>
        <w:t> </w:t>
      </w:r>
    </w:p>
    <w:p w14:paraId="77475798" w14:textId="77777777" w:rsidR="00ED5C08" w:rsidRPr="00DC1A3E" w:rsidRDefault="00ED5C08" w:rsidP="00ED5C08">
      <w:pPr>
        <w:ind w:left="709" w:hanging="720"/>
        <w:jc w:val="both"/>
        <w:rPr>
          <w:lang w:val="en-US"/>
        </w:rPr>
      </w:pPr>
      <w:r w:rsidRPr="00DC1A3E">
        <w:rPr>
          <w:lang w:val="en-US"/>
        </w:rPr>
        <w:t xml:space="preserve">Ye, X., Gao, X., Scott, T., &amp; Tucker, K. L. (2011). Habitual sugar intake and cognitive function among middle-aged and older Puerto Ricans without diabetes. </w:t>
      </w:r>
      <w:r w:rsidRPr="00DC1A3E">
        <w:rPr>
          <w:i/>
          <w:iCs/>
          <w:lang w:val="en-US"/>
        </w:rPr>
        <w:t>British Journal of Nutrition</w:t>
      </w:r>
      <w:r w:rsidRPr="00DC1A3E">
        <w:rPr>
          <w:lang w:val="en-US"/>
        </w:rPr>
        <w:t xml:space="preserve">, 106(9), 1423–1432. </w:t>
      </w:r>
      <w:hyperlink r:id="rId53" w:history="1">
        <w:r w:rsidRPr="00DC1A3E">
          <w:rPr>
            <w:rStyle w:val="Hipervnculo"/>
            <w:color w:val="auto"/>
            <w:lang w:val="en-US"/>
          </w:rPr>
          <w:t>https://doi.org/10.1017/S0007114511001760</w:t>
        </w:r>
      </w:hyperlink>
      <w:r w:rsidRPr="00DC1A3E">
        <w:rPr>
          <w:lang w:val="en-US"/>
        </w:rPr>
        <w:t> </w:t>
      </w:r>
    </w:p>
    <w:p w14:paraId="2A36FF92" w14:textId="06F85EE7" w:rsidR="00EC5AF6" w:rsidRPr="008A0B5F" w:rsidRDefault="00ED5C08" w:rsidP="00ED5C08">
      <w:pPr>
        <w:ind w:left="720" w:hanging="720"/>
        <w:jc w:val="both"/>
        <w:rPr>
          <w:lang w:val="en-US"/>
        </w:rPr>
      </w:pPr>
      <w:r w:rsidRPr="00DC1A3E">
        <w:rPr>
          <w:lang w:val="en-US"/>
        </w:rPr>
        <w:t xml:space="preserve">Zhang, S., Xiao, Y., Cheng, Y., Ma, Y., Liu, J., Li, C., &amp; Shang, H. (2024). Associations of sugar intake, high-sugar dietary pattern, and the risk of dementia: A prospective cohort study of 210,832 participants. </w:t>
      </w:r>
      <w:r w:rsidRPr="00DC1A3E">
        <w:rPr>
          <w:i/>
          <w:iCs/>
        </w:rPr>
        <w:t>BMC Medicine</w:t>
      </w:r>
      <w:r w:rsidRPr="00DC1A3E">
        <w:t xml:space="preserve">, 22, 298. </w:t>
      </w:r>
      <w:hyperlink r:id="rId54" w:history="1">
        <w:r w:rsidRPr="00DC1A3E">
          <w:rPr>
            <w:rStyle w:val="Hipervnculo"/>
            <w:color w:val="auto"/>
          </w:rPr>
          <w:t>https://doi.org/10.1186/s12916-024-03525-6</w:t>
        </w:r>
      </w:hyperlink>
    </w:p>
    <w:p w14:paraId="1AF74860" w14:textId="77777777" w:rsidR="00EC5AF6" w:rsidRPr="008A0B5F" w:rsidRDefault="00EC5AF6">
      <w:pPr>
        <w:ind w:left="720" w:hanging="720"/>
        <w:jc w:val="both"/>
        <w:rPr>
          <w:lang w:val="en-US"/>
        </w:rPr>
      </w:pPr>
    </w:p>
    <w:p w14:paraId="1BA05787" w14:textId="77777777" w:rsidR="00EC5AF6" w:rsidRDefault="00000000">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714AA8E9" w14:textId="77777777" w:rsidR="00EC5AF6" w:rsidRDefault="00000000">
      <w:pPr>
        <w:shd w:val="clear" w:color="auto" w:fill="FFFFFF"/>
        <w:jc w:val="right"/>
        <w:rPr>
          <w:i/>
          <w:sz w:val="20"/>
          <w:szCs w:val="20"/>
        </w:rPr>
      </w:pPr>
      <w:proofErr w:type="spellStart"/>
      <w:r>
        <w:rPr>
          <w:i/>
          <w:sz w:val="20"/>
          <w:szCs w:val="20"/>
        </w:rPr>
        <w:t>Accepted</w:t>
      </w:r>
      <w:proofErr w:type="spellEnd"/>
      <w:r>
        <w:rPr>
          <w:i/>
          <w:sz w:val="20"/>
          <w:szCs w:val="20"/>
        </w:rPr>
        <w:t>:</w:t>
      </w:r>
    </w:p>
    <w:p w14:paraId="5C5EA0CF" w14:textId="1D983C1F" w:rsidR="00EC5AF6" w:rsidRPr="00ED5C08" w:rsidRDefault="00EC5AF6" w:rsidP="00ED5C08">
      <w:pPr>
        <w:rPr>
          <w:i/>
          <w:sz w:val="28"/>
          <w:szCs w:val="28"/>
        </w:rPr>
      </w:pPr>
    </w:p>
    <w:sectPr w:rsidR="00EC5AF6" w:rsidRPr="00ED5C08">
      <w:headerReference w:type="even" r:id="rId55"/>
      <w:headerReference w:type="default" r:id="rId56"/>
      <w:footerReference w:type="even" r:id="rId57"/>
      <w:footerReference w:type="defaul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BEFFA" w14:textId="77777777" w:rsidR="00C819F1" w:rsidRDefault="00C819F1">
      <w:r>
        <w:separator/>
      </w:r>
    </w:p>
  </w:endnote>
  <w:endnote w:type="continuationSeparator" w:id="0">
    <w:p w14:paraId="2841FE28" w14:textId="77777777" w:rsidR="00C819F1" w:rsidRDefault="00C8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09D768F3-E9AD-41ED-9811-879B17B50D2F}"/>
  </w:font>
  <w:font w:name="Calibri">
    <w:panose1 w:val="020F0502020204030204"/>
    <w:charset w:val="00"/>
    <w:family w:val="swiss"/>
    <w:pitch w:val="variable"/>
    <w:sig w:usb0="E4002EFF" w:usb1="C000247B" w:usb2="00000009" w:usb3="00000000" w:csb0="000001FF" w:csb1="00000000"/>
    <w:embedRegular r:id="rId2" w:fontKey="{58367BFE-D783-415D-A558-2841893C74D6}"/>
    <w:embedBold r:id="rId3" w:fontKey="{57852F55-38F6-4442-979D-B857FB97299E}"/>
    <w:embedItalic r:id="rId4" w:fontKey="{1D029146-EB15-4F5F-8938-CC5E6719D596}"/>
  </w:font>
  <w:font w:name="Times">
    <w:panose1 w:val="02020603050405020304"/>
    <w:charset w:val="00"/>
    <w:family w:val="auto"/>
    <w:pitch w:val="default"/>
    <w:embedRegular r:id="rId5" w:fontKey="{2F928DE2-E709-4F99-BEE3-4C5556A71651}"/>
    <w:embedItalic r:id="rId6" w:fontKey="{E7C614B9-806E-458B-AD8B-4B31455EA121}"/>
    <w:embedBoldItalic r:id="rId7" w:fontKey="{0E7A03B2-D893-455A-A455-AF8631FFAFAF}"/>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E5AADCBD-9A93-43C3-9799-CB78F6C3CE4C}"/>
    <w:embedItalic r:id="rId9" w:fontKey="{93784CBD-2A3B-45D4-925A-B1A67235EED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A672A" w14:textId="77777777" w:rsidR="00EC5AF6"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8A0B5F">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3104AEE5" w14:textId="77777777" w:rsidR="00EC5AF6" w:rsidRDefault="00EC5AF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E64F" w14:textId="77777777" w:rsidR="00EC5AF6"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8A0B5F">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74842B34" w14:textId="77777777" w:rsidR="00EC5AF6" w:rsidRDefault="00EC5AF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D38E4" w14:textId="77777777" w:rsidR="00C819F1" w:rsidRDefault="00C819F1">
      <w:r>
        <w:separator/>
      </w:r>
    </w:p>
  </w:footnote>
  <w:footnote w:type="continuationSeparator" w:id="0">
    <w:p w14:paraId="499D16DE" w14:textId="77777777" w:rsidR="00C819F1" w:rsidRDefault="00C81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EBC69" w14:textId="77777777" w:rsidR="00EC5AF6"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F921" w14:textId="77777777" w:rsidR="00EC5AF6"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1E736FFC" wp14:editId="4D9BD629">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715B4685" w14:textId="77777777" w:rsidR="00EC5AF6"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4320EC"/>
    <w:multiLevelType w:val="multilevel"/>
    <w:tmpl w:val="6ACEC5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45933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F6"/>
    <w:rsid w:val="001777B6"/>
    <w:rsid w:val="001F0A5E"/>
    <w:rsid w:val="002C670F"/>
    <w:rsid w:val="005E545A"/>
    <w:rsid w:val="006A70CB"/>
    <w:rsid w:val="008A0B5F"/>
    <w:rsid w:val="00925419"/>
    <w:rsid w:val="00C278F2"/>
    <w:rsid w:val="00C819F1"/>
    <w:rsid w:val="00C81F9F"/>
    <w:rsid w:val="00D04549"/>
    <w:rsid w:val="00E4612C"/>
    <w:rsid w:val="00EC5AF6"/>
    <w:rsid w:val="00ED5C08"/>
    <w:rsid w:val="00F3556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9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table" w:customStyle="1" w:styleId="APA7MA">
    <w:name w:val="APA7MA"/>
    <w:basedOn w:val="Tablanormal"/>
    <w:uiPriority w:val="99"/>
    <w:rsid w:val="00E4612C"/>
    <w:pPr>
      <w:spacing w:line="360" w:lineRule="auto"/>
    </w:pPr>
    <w:rPr>
      <w:rFonts w:eastAsiaTheme="minorHAnsi" w:cstheme="minorBidi"/>
      <w:kern w:val="2"/>
      <w:szCs w:val="22"/>
      <w:lang w:val="es-PE" w:eastAsia="en-US"/>
      <w14:ligatures w14:val="standardContextual"/>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single" w:sz="4" w:space="0" w:color="auto"/>
          <w:bottom w:val="nil"/>
        </w:tcBorders>
      </w:tcPr>
    </w:tblStylePr>
  </w:style>
  <w:style w:type="paragraph" w:styleId="Descripcin">
    <w:name w:val="caption"/>
    <w:basedOn w:val="Normal"/>
    <w:next w:val="Normal"/>
    <w:uiPriority w:val="35"/>
    <w:unhideWhenUsed/>
    <w:qFormat/>
    <w:rsid w:val="00E4612C"/>
    <w:pPr>
      <w:spacing w:after="200"/>
    </w:pPr>
    <w:rPr>
      <w:rFonts w:ascii="Arial" w:eastAsiaTheme="minorHAnsi" w:hAnsi="Arial" w:cstheme="minorBidi"/>
      <w:i/>
      <w:iCs/>
      <w:color w:val="44546A" w:themeColor="text2"/>
      <w:kern w:val="2"/>
      <w:sz w:val="18"/>
      <w:szCs w:val="18"/>
      <w:lang w:val="es-PE" w:eastAsia="en-US"/>
      <w14:ligatures w14:val="standardContextual"/>
    </w:rPr>
  </w:style>
  <w:style w:type="paragraph" w:customStyle="1" w:styleId="NOTASTABLASAPA7">
    <w:name w:val="NOTAS TABLAS APA7"/>
    <w:basedOn w:val="Normal"/>
    <w:link w:val="NOTASTABLASAPA7Car"/>
    <w:qFormat/>
    <w:rsid w:val="00E4612C"/>
    <w:pPr>
      <w:spacing w:before="240" w:line="480" w:lineRule="auto"/>
    </w:pPr>
    <w:rPr>
      <w:rFonts w:eastAsiaTheme="minorHAnsi"/>
      <w:iCs/>
      <w:kern w:val="2"/>
      <w:lang w:val="es-PE" w:eastAsia="en-US"/>
      <w14:ligatures w14:val="standardContextual"/>
    </w:rPr>
  </w:style>
  <w:style w:type="character" w:customStyle="1" w:styleId="NOTASTABLASAPA7Car">
    <w:name w:val="NOTAS TABLAS APA7 Car"/>
    <w:basedOn w:val="Fuentedeprrafopredeter"/>
    <w:link w:val="NOTASTABLASAPA7"/>
    <w:rsid w:val="00E4612C"/>
    <w:rPr>
      <w:rFonts w:eastAsiaTheme="minorHAnsi"/>
      <w:iCs/>
      <w:kern w:val="2"/>
      <w:lang w:val="es-P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j.anpsic.2018.02.001" TargetMode="External"/><Relationship Id="rId18" Type="http://schemas.openxmlformats.org/officeDocument/2006/relationships/hyperlink" Target="https://doi.org/10.1037/0000057-000" TargetMode="External"/><Relationship Id="rId26" Type="http://schemas.openxmlformats.org/officeDocument/2006/relationships/hyperlink" Target="https://doi.org/10.1017/S002966512400171X" TargetMode="External"/><Relationship Id="rId39" Type="http://schemas.openxmlformats.org/officeDocument/2006/relationships/hyperlink" Target="https://hdl.handle.net/20.500.14414/10778" TargetMode="External"/><Relationship Id="rId21" Type="http://schemas.openxmlformats.org/officeDocument/2006/relationships/hyperlink" Target="https://doi.org/10.1016/j.physbeh.2021.113384" TargetMode="External"/><Relationship Id="rId34" Type="http://schemas.openxmlformats.org/officeDocument/2006/relationships/hyperlink" Target="https://doi.org/10.1136/bmj-2024-079234" TargetMode="External"/><Relationship Id="rId42" Type="http://schemas.openxmlformats.org/officeDocument/2006/relationships/hyperlink" Target="https://doi.org/10.1038/s41598-021-90817-z" TargetMode="External"/><Relationship Id="rId47" Type="http://schemas.openxmlformats.org/officeDocument/2006/relationships/hyperlink" Target="https://ru.dgb.unam.mx/server/api/core/bitstreams/bbcc1fe4-97ef-4643-b0ca-a1ce3b835a55/content" TargetMode="External"/><Relationship Id="rId50" Type="http://schemas.openxmlformats.org/officeDocument/2006/relationships/hyperlink" Target="https://doi.org/10.1016/j.neubiorev.2016.11.017"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4097/ehss.v10i.6896" TargetMode="External"/><Relationship Id="rId29" Type="http://schemas.openxmlformats.org/officeDocument/2006/relationships/hyperlink" Target="https://doi.org/10.1111/dme.14705" TargetMode="External"/><Relationship Id="rId11" Type="http://schemas.openxmlformats.org/officeDocument/2006/relationships/hyperlink" Target="https://doi.org/10.1007/978-3-031-81351-1_4" TargetMode="External"/><Relationship Id="rId24" Type="http://schemas.openxmlformats.org/officeDocument/2006/relationships/hyperlink" Target="https://doi.org/10.1016/j.jneumeth.2021.109345" TargetMode="External"/><Relationship Id="rId32" Type="http://schemas.openxmlformats.org/officeDocument/2006/relationships/hyperlink" Target="https://doi.org/10.4103/sbvj.sbvj_22_24" TargetMode="External"/><Relationship Id="rId37" Type="http://schemas.openxmlformats.org/officeDocument/2006/relationships/hyperlink" Target="https://doi.org/10.1007/s00213-022-06068-x" TargetMode="External"/><Relationship Id="rId40" Type="http://schemas.openxmlformats.org/officeDocument/2006/relationships/hyperlink" Target="https://doi.org/10.33448/rsd-v11i3.26626" TargetMode="External"/><Relationship Id="rId45" Type="http://schemas.openxmlformats.org/officeDocument/2006/relationships/hyperlink" Target="https://doi.org/10.1101/lm.038000.114" TargetMode="External"/><Relationship Id="rId53" Type="http://schemas.openxmlformats.org/officeDocument/2006/relationships/hyperlink" Target="https://doi.org/10.1017/S0007114511001760"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doi.org/10.3390/brainsci1210133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37711/rpcs.2021.3.2.311" TargetMode="External"/><Relationship Id="rId22" Type="http://schemas.openxmlformats.org/officeDocument/2006/relationships/hyperlink" Target="https://doi.org/10.1016/j.exger.2022.111873" TargetMode="External"/><Relationship Id="rId27" Type="http://schemas.openxmlformats.org/officeDocument/2006/relationships/hyperlink" Target="https://doi.org/10.1016/j.appet.2014.04.028" TargetMode="External"/><Relationship Id="rId30" Type="http://schemas.openxmlformats.org/officeDocument/2006/relationships/hyperlink" Target="https://doi.org/10.1002/bdm.2384" TargetMode="External"/><Relationship Id="rId35" Type="http://schemas.openxmlformats.org/officeDocument/2006/relationships/hyperlink" Target="https://doi.org/10.3389/fendo.2023.1134025" TargetMode="External"/><Relationship Id="rId43" Type="http://schemas.openxmlformats.org/officeDocument/2006/relationships/hyperlink" Target="https://ojo-publico.com/3389/el-azucar-que-no-vemos-consumo-duplica-limite-recomendado" TargetMode="External"/><Relationship Id="rId48" Type="http://schemas.openxmlformats.org/officeDocument/2006/relationships/hyperlink" Target="https://doi.org/10.1038/s41366-025-01776-8"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1038/s41598-021-86797-9" TargetMode="External"/><Relationship Id="rId3" Type="http://schemas.openxmlformats.org/officeDocument/2006/relationships/styles" Target="styles.xml"/><Relationship Id="rId12" Type="http://schemas.openxmlformats.org/officeDocument/2006/relationships/hyperlink" Target="https://www.apa.org/ethics/code" TargetMode="External"/><Relationship Id="rId17" Type="http://schemas.openxmlformats.org/officeDocument/2006/relationships/hyperlink" Target="https://doi.org/10.3390/biomedicines10112723" TargetMode="External"/><Relationship Id="rId25" Type="http://schemas.openxmlformats.org/officeDocument/2006/relationships/hyperlink" Target="https://doi.org/10.1002/hipo.22368" TargetMode="External"/><Relationship Id="rId33" Type="http://schemas.openxmlformats.org/officeDocument/2006/relationships/hyperlink" Target="https://doi.org/10.1007/s40614-018-0138-9" TargetMode="External"/><Relationship Id="rId38" Type="http://schemas.openxmlformats.org/officeDocument/2006/relationships/hyperlink" Target="https://doi.org/10.1002/jeab.672" TargetMode="External"/><Relationship Id="rId46" Type="http://schemas.openxmlformats.org/officeDocument/2006/relationships/hyperlink" Target="https://doi.org/10.1016/j.physbeh.2019.04.028" TargetMode="External"/><Relationship Id="rId59" Type="http://schemas.openxmlformats.org/officeDocument/2006/relationships/fontTable" Target="fontTable.xml"/><Relationship Id="rId20" Type="http://schemas.openxmlformats.org/officeDocument/2006/relationships/hyperlink" Target="https://doi.org/10.3390/nu10040389" TargetMode="External"/><Relationship Id="rId41" Type="http://schemas.openxmlformats.org/officeDocument/2006/relationships/hyperlink" Target="https://www.un.org/sustainabledevelopment/es/development-agenda/" TargetMode="External"/><Relationship Id="rId54" Type="http://schemas.openxmlformats.org/officeDocument/2006/relationships/hyperlink" Target="https://doi.org/10.1186/s12916-024-03525-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actpsy.2024.104177" TargetMode="External"/><Relationship Id="rId23" Type="http://schemas.openxmlformats.org/officeDocument/2006/relationships/hyperlink" Target="https://doi.org/10.3390/nu16010075" TargetMode="External"/><Relationship Id="rId28" Type="http://schemas.openxmlformats.org/officeDocument/2006/relationships/hyperlink" Target="https://doi.org/10.1016/j.physbeh.2013.08.012" TargetMode="External"/><Relationship Id="rId36" Type="http://schemas.openxmlformats.org/officeDocument/2006/relationships/hyperlink" Target="https://doi.org/10.1016/j.molmet.2021.101234" TargetMode="External"/><Relationship Id="rId49" Type="http://schemas.openxmlformats.org/officeDocument/2006/relationships/hyperlink" Target="https://doi.org/10.1038/s41430-022-01114-5" TargetMode="Externa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hyperlink" Target="https://doi.org/10.1007/978-3-319-91280-6_136" TargetMode="External"/><Relationship Id="rId44" Type="http://schemas.openxmlformats.org/officeDocument/2006/relationships/hyperlink" Target="https://doi.org/10.1007/s11571-023-10022-8" TargetMode="External"/><Relationship Id="rId52" Type="http://schemas.openxmlformats.org/officeDocument/2006/relationships/hyperlink" Target="https://doi.org/10.1016/j.bbr.2017.03.029"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5935276340748"/>
          <c:y val="0.10262799829562644"/>
          <c:w val="0.80950721252543312"/>
          <c:h val="0.62774679206765815"/>
        </c:manualLayout>
      </c:layout>
      <c:lineChart>
        <c:grouping val="standard"/>
        <c:varyColors val="0"/>
        <c:ser>
          <c:idx val="0"/>
          <c:order val="0"/>
          <c:tx>
            <c:v>A1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'GRÁFICO DE ACIERTOS'!$C$9:$C$13</c:f>
              <c:strCache>
                <c:ptCount val="5"/>
                <c:pt idx="0">
                  <c:v>0:00–10:00</c:v>
                </c:pt>
                <c:pt idx="1">
                  <c:v>10:01–20:00</c:v>
                </c:pt>
                <c:pt idx="2">
                  <c:v>20:01–30:00</c:v>
                </c:pt>
                <c:pt idx="3">
                  <c:v>30:01–40:00 </c:v>
                </c:pt>
                <c:pt idx="4">
                  <c:v>40:01–45:00</c:v>
                </c:pt>
              </c:strCache>
            </c:strRef>
          </c:cat>
          <c:val>
            <c:numRef>
              <c:f>'GRÁFICO DE ACIERTOS'!$D$9:$D$13</c:f>
              <c:numCache>
                <c:formatCode>0.00</c:formatCode>
                <c:ptCount val="5"/>
                <c:pt idx="0">
                  <c:v>16</c:v>
                </c:pt>
                <c:pt idx="1">
                  <c:v>15.67</c:v>
                </c:pt>
                <c:pt idx="2">
                  <c:v>22</c:v>
                </c:pt>
                <c:pt idx="3">
                  <c:v>22.33</c:v>
                </c:pt>
                <c:pt idx="4">
                  <c:v>9</c:v>
                </c:pt>
              </c:numCache>
            </c:numRef>
          </c:val>
          <c:smooth val="0"/>
          <c:extLst>
            <c:ext xmlns:c16="http://schemas.microsoft.com/office/drawing/2014/chart" uri="{C3380CC4-5D6E-409C-BE32-E72D297353CC}">
              <c16:uniqueId val="{00000000-87E0-4EE3-9E75-842AC0655F03}"/>
            </c:ext>
          </c:extLst>
        </c:ser>
        <c:ser>
          <c:idx val="1"/>
          <c:order val="1"/>
          <c:tx>
            <c:v>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'GRÁFICO DE ACIERTOS'!$C$9:$C$13</c:f>
              <c:strCache>
                <c:ptCount val="5"/>
                <c:pt idx="0">
                  <c:v>0:00–10:00</c:v>
                </c:pt>
                <c:pt idx="1">
                  <c:v>10:01–20:00</c:v>
                </c:pt>
                <c:pt idx="2">
                  <c:v>20:01–30:00</c:v>
                </c:pt>
                <c:pt idx="3">
                  <c:v>30:01–40:00 </c:v>
                </c:pt>
                <c:pt idx="4">
                  <c:v>40:01–45:00</c:v>
                </c:pt>
              </c:strCache>
            </c:strRef>
          </c:cat>
          <c:val>
            <c:numRef>
              <c:f>'GRÁFICO DE ACIERTOS'!$E$9:$E$13</c:f>
              <c:numCache>
                <c:formatCode>0.00</c:formatCode>
                <c:ptCount val="5"/>
                <c:pt idx="0">
                  <c:v>23</c:v>
                </c:pt>
                <c:pt idx="1">
                  <c:v>24.33</c:v>
                </c:pt>
                <c:pt idx="2">
                  <c:v>23</c:v>
                </c:pt>
                <c:pt idx="3">
                  <c:v>24.67</c:v>
                </c:pt>
                <c:pt idx="4">
                  <c:v>8.67</c:v>
                </c:pt>
              </c:numCache>
            </c:numRef>
          </c:val>
          <c:smooth val="0"/>
          <c:extLst>
            <c:ext xmlns:c16="http://schemas.microsoft.com/office/drawing/2014/chart" uri="{C3380CC4-5D6E-409C-BE32-E72D297353CC}">
              <c16:uniqueId val="{00000001-87E0-4EE3-9E75-842AC0655F03}"/>
            </c:ext>
          </c:extLst>
        </c:ser>
        <c:ser>
          <c:idx val="2"/>
          <c:order val="2"/>
          <c:tx>
            <c:v>A2</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'GRÁFICO DE ACIERTOS'!$C$9:$C$13</c:f>
              <c:strCache>
                <c:ptCount val="5"/>
                <c:pt idx="0">
                  <c:v>0:00–10:00</c:v>
                </c:pt>
                <c:pt idx="1">
                  <c:v>10:01–20:00</c:v>
                </c:pt>
                <c:pt idx="2">
                  <c:v>20:01–30:00</c:v>
                </c:pt>
                <c:pt idx="3">
                  <c:v>30:01–40:00 </c:v>
                </c:pt>
                <c:pt idx="4">
                  <c:v>40:01–45:00</c:v>
                </c:pt>
              </c:strCache>
            </c:strRef>
          </c:cat>
          <c:val>
            <c:numRef>
              <c:f>'GRÁFICO DE ACIERTOS'!$F$9:$F$13</c:f>
              <c:numCache>
                <c:formatCode>0.00</c:formatCode>
                <c:ptCount val="5"/>
                <c:pt idx="0">
                  <c:v>22.67</c:v>
                </c:pt>
                <c:pt idx="1">
                  <c:v>19.329999999999998</c:v>
                </c:pt>
                <c:pt idx="2">
                  <c:v>19</c:v>
                </c:pt>
                <c:pt idx="3">
                  <c:v>19.329999999999998</c:v>
                </c:pt>
                <c:pt idx="4">
                  <c:v>9</c:v>
                </c:pt>
              </c:numCache>
            </c:numRef>
          </c:val>
          <c:smooth val="0"/>
          <c:extLst>
            <c:ext xmlns:c16="http://schemas.microsoft.com/office/drawing/2014/chart" uri="{C3380CC4-5D6E-409C-BE32-E72D297353CC}">
              <c16:uniqueId val="{00000002-87E0-4EE3-9E75-842AC0655F03}"/>
            </c:ext>
          </c:extLst>
        </c:ser>
        <c:dLbls>
          <c:showLegendKey val="0"/>
          <c:showVal val="0"/>
          <c:showCatName val="0"/>
          <c:showSerName val="0"/>
          <c:showPercent val="0"/>
          <c:showBubbleSize val="0"/>
        </c:dLbls>
        <c:marker val="1"/>
        <c:smooth val="0"/>
        <c:axId val="150296639"/>
        <c:axId val="150291839"/>
      </c:lineChart>
      <c:catAx>
        <c:axId val="150296639"/>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r>
                  <a:rPr lang="es-PE" b="1" baseline="0">
                    <a:latin typeface="Times New Roman" panose="02020603050405020304" pitchFamily="18" charset="0"/>
                  </a:rPr>
                  <a:t>Intervalo de Tiempo (t)</a:t>
                </a:r>
              </a:p>
            </c:rich>
          </c:tx>
          <c:layout>
            <c:manualLayout>
              <c:xMode val="edge"/>
              <c:yMode val="edge"/>
              <c:x val="0.36450072941345835"/>
              <c:y val="0.81462339838781472"/>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crossAx val="150291839"/>
        <c:crosses val="autoZero"/>
        <c:auto val="1"/>
        <c:lblAlgn val="ctr"/>
        <c:lblOffset val="100"/>
        <c:tickLblSkip val="1"/>
        <c:noMultiLvlLbl val="0"/>
      </c:catAx>
      <c:valAx>
        <c:axId val="15029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r>
                  <a:rPr lang="es-PE" b="1" baseline="0">
                    <a:latin typeface="Times New Roman" panose="02020603050405020304" pitchFamily="18" charset="0"/>
                  </a:rPr>
                  <a:t>Promedio de Aciertos</a:t>
                </a:r>
              </a:p>
            </c:rich>
          </c:tx>
          <c:layout>
            <c:manualLayout>
              <c:xMode val="edge"/>
              <c:yMode val="edge"/>
              <c:x val="1.9231779109882413E-2"/>
              <c:y val="0.221902467381679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crossAx val="150296639"/>
        <c:crosses val="autoZero"/>
        <c:crossBetween val="between"/>
      </c:valAx>
      <c:spPr>
        <a:noFill/>
        <a:ln>
          <a:noFill/>
        </a:ln>
        <a:effectLst/>
      </c:spPr>
    </c:plotArea>
    <c:legend>
      <c:legendPos val="r"/>
      <c:layout>
        <c:manualLayout>
          <c:xMode val="edge"/>
          <c:yMode val="edge"/>
          <c:x val="0.13684972460713557"/>
          <c:y val="0.9150591541175036"/>
          <c:w val="0.74227843394575677"/>
          <c:h val="5.2754163122488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8430672784606"/>
          <c:y val="0.12878223237362504"/>
          <c:w val="0.81528693805360664"/>
          <c:h val="0.63947553883517305"/>
        </c:manualLayout>
      </c:layout>
      <c:lineChart>
        <c:grouping val="standard"/>
        <c:varyColors val="0"/>
        <c:ser>
          <c:idx val="0"/>
          <c:order val="0"/>
          <c:tx>
            <c:v>A1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'GRÁFICO DE ERRORES'!$I$12:$I$16</c:f>
              <c:strCache>
                <c:ptCount val="5"/>
                <c:pt idx="0">
                  <c:v>0:00–10:00</c:v>
                </c:pt>
                <c:pt idx="1">
                  <c:v>10:01–20:00</c:v>
                </c:pt>
                <c:pt idx="2">
                  <c:v>20:01–30:00</c:v>
                </c:pt>
                <c:pt idx="3">
                  <c:v>30:01–40:00</c:v>
                </c:pt>
                <c:pt idx="4">
                  <c:v>40:01–45:00</c:v>
                </c:pt>
              </c:strCache>
            </c:strRef>
          </c:cat>
          <c:val>
            <c:numRef>
              <c:f>'GRÁFICO DE ERRORES'!$J$12:$J$16</c:f>
              <c:numCache>
                <c:formatCode>0.00</c:formatCode>
                <c:ptCount val="5"/>
                <c:pt idx="0">
                  <c:v>6.33</c:v>
                </c:pt>
                <c:pt idx="1">
                  <c:v>7</c:v>
                </c:pt>
                <c:pt idx="2">
                  <c:v>2.67</c:v>
                </c:pt>
                <c:pt idx="3">
                  <c:v>3.67</c:v>
                </c:pt>
                <c:pt idx="4">
                  <c:v>1.33</c:v>
                </c:pt>
              </c:numCache>
            </c:numRef>
          </c:val>
          <c:smooth val="0"/>
          <c:extLst>
            <c:ext xmlns:c16="http://schemas.microsoft.com/office/drawing/2014/chart" uri="{C3380CC4-5D6E-409C-BE32-E72D297353CC}">
              <c16:uniqueId val="{00000000-C42D-4BB1-8E33-0CC2A832DBF0}"/>
            </c:ext>
          </c:extLst>
        </c:ser>
        <c:ser>
          <c:idx val="1"/>
          <c:order val="1"/>
          <c:tx>
            <c:v>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'GRÁFICO DE ERRORES'!$I$12:$I$16</c:f>
              <c:strCache>
                <c:ptCount val="5"/>
                <c:pt idx="0">
                  <c:v>0:00–10:00</c:v>
                </c:pt>
                <c:pt idx="1">
                  <c:v>10:01–20:00</c:v>
                </c:pt>
                <c:pt idx="2">
                  <c:v>20:01–30:00</c:v>
                </c:pt>
                <c:pt idx="3">
                  <c:v>30:01–40:00</c:v>
                </c:pt>
                <c:pt idx="4">
                  <c:v>40:01–45:00</c:v>
                </c:pt>
              </c:strCache>
            </c:strRef>
          </c:cat>
          <c:val>
            <c:numRef>
              <c:f>'GRÁFICO DE ERRORES'!$K$12:$K$16</c:f>
              <c:numCache>
                <c:formatCode>0.00</c:formatCode>
                <c:ptCount val="5"/>
                <c:pt idx="0">
                  <c:v>6</c:v>
                </c:pt>
                <c:pt idx="1">
                  <c:v>2</c:v>
                </c:pt>
                <c:pt idx="2">
                  <c:v>1.67</c:v>
                </c:pt>
                <c:pt idx="3">
                  <c:v>0.67</c:v>
                </c:pt>
                <c:pt idx="4">
                  <c:v>0.33</c:v>
                </c:pt>
              </c:numCache>
            </c:numRef>
          </c:val>
          <c:smooth val="0"/>
          <c:extLst>
            <c:ext xmlns:c16="http://schemas.microsoft.com/office/drawing/2014/chart" uri="{C3380CC4-5D6E-409C-BE32-E72D297353CC}">
              <c16:uniqueId val="{00000001-C42D-4BB1-8E33-0CC2A832DBF0}"/>
            </c:ext>
          </c:extLst>
        </c:ser>
        <c:ser>
          <c:idx val="2"/>
          <c:order val="2"/>
          <c:tx>
            <c:v>A2</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'GRÁFICO DE ERRORES'!$I$12:$I$16</c:f>
              <c:strCache>
                <c:ptCount val="5"/>
                <c:pt idx="0">
                  <c:v>0:00–10:00</c:v>
                </c:pt>
                <c:pt idx="1">
                  <c:v>10:01–20:00</c:v>
                </c:pt>
                <c:pt idx="2">
                  <c:v>20:01–30:00</c:v>
                </c:pt>
                <c:pt idx="3">
                  <c:v>30:01–40:00</c:v>
                </c:pt>
                <c:pt idx="4">
                  <c:v>40:01–45:00</c:v>
                </c:pt>
              </c:strCache>
            </c:strRef>
          </c:cat>
          <c:val>
            <c:numRef>
              <c:f>'GRÁFICO DE ERRORES'!$L$12:$L$16</c:f>
              <c:numCache>
                <c:formatCode>0.00</c:formatCode>
                <c:ptCount val="5"/>
                <c:pt idx="0">
                  <c:v>5.33</c:v>
                </c:pt>
                <c:pt idx="1">
                  <c:v>1.33</c:v>
                </c:pt>
                <c:pt idx="2">
                  <c:v>0.33</c:v>
                </c:pt>
                <c:pt idx="3">
                  <c:v>0</c:v>
                </c:pt>
                <c:pt idx="4">
                  <c:v>0</c:v>
                </c:pt>
              </c:numCache>
            </c:numRef>
          </c:val>
          <c:smooth val="0"/>
          <c:extLst>
            <c:ext xmlns:c16="http://schemas.microsoft.com/office/drawing/2014/chart" uri="{C3380CC4-5D6E-409C-BE32-E72D297353CC}">
              <c16:uniqueId val="{00000002-C42D-4BB1-8E33-0CC2A832DBF0}"/>
            </c:ext>
          </c:extLst>
        </c:ser>
        <c:dLbls>
          <c:showLegendKey val="0"/>
          <c:showVal val="0"/>
          <c:showCatName val="0"/>
          <c:showSerName val="0"/>
          <c:showPercent val="0"/>
          <c:showBubbleSize val="0"/>
        </c:dLbls>
        <c:marker val="1"/>
        <c:smooth val="0"/>
        <c:axId val="1722007535"/>
        <c:axId val="1722015215"/>
      </c:lineChart>
      <c:catAx>
        <c:axId val="1722007535"/>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r>
                  <a:rPr lang="es-PE" b="1" baseline="0">
                    <a:latin typeface="Times New Roman" panose="02020603050405020304" pitchFamily="18" charset="0"/>
                  </a:rPr>
                  <a:t>Intervalo de Tiempo (t)</a:t>
                </a:r>
              </a:p>
            </c:rich>
          </c:tx>
          <c:layout>
            <c:manualLayout>
              <c:xMode val="edge"/>
              <c:yMode val="edge"/>
              <c:x val="0.38428110155295336"/>
              <c:y val="0.8438318206407406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crossAx val="1722015215"/>
        <c:crosses val="autoZero"/>
        <c:auto val="1"/>
        <c:lblAlgn val="ctr"/>
        <c:lblOffset val="100"/>
        <c:noMultiLvlLbl val="0"/>
      </c:catAx>
      <c:valAx>
        <c:axId val="1722015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r>
                  <a:rPr lang="es-PE" b="1" baseline="0">
                    <a:latin typeface="Times New Roman" panose="02020603050405020304" pitchFamily="18" charset="0"/>
                  </a:rPr>
                  <a:t>Promedio de Errores</a:t>
                </a:r>
              </a:p>
            </c:rich>
          </c:tx>
          <c:layout>
            <c:manualLayout>
              <c:xMode val="edge"/>
              <c:yMode val="edge"/>
              <c:x val="3.2593048171136889E-2"/>
              <c:y val="0.2409298551421530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1722007535"/>
        <c:crosses val="autoZero"/>
        <c:crossBetween val="between"/>
      </c:valAx>
      <c:spPr>
        <a:noFill/>
        <a:ln>
          <a:noFill/>
        </a:ln>
        <a:effectLst/>
      </c:spPr>
    </c:plotArea>
    <c:legend>
      <c:legendPos val="b"/>
      <c:layout>
        <c:manualLayout>
          <c:xMode val="edge"/>
          <c:yMode val="edge"/>
          <c:x val="7.1899465804184534E-2"/>
          <c:y val="0.89528640980946084"/>
          <c:w val="0.85620101523767866"/>
          <c:h val="6.8467600596931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6727</Words>
  <Characters>38238</Characters>
  <Application>Microsoft Office Word</Application>
  <DocSecurity>0</DocSecurity>
  <Lines>837</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2025-12-20T22:53:00Z</dcterms:created>
  <dcterms:modified xsi:type="dcterms:W3CDTF">2025-12-20T22:54:00Z</dcterms:modified>
</cp:coreProperties>
</file>