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EC274E" w:rsidRDefault="00A718BA">
      <w:pPr>
        <w:pBdr>
          <w:top w:val="nil"/>
          <w:left w:val="nil"/>
          <w:bottom w:val="nil"/>
          <w:right w:val="nil"/>
          <w:between w:val="nil"/>
        </w:pBdr>
        <w:jc w:val="center"/>
        <w:rPr>
          <w:b/>
          <w:bCs/>
          <w:color w:val="000000"/>
          <w:sz w:val="36"/>
          <w:szCs w:val="36"/>
        </w:rPr>
      </w:pPr>
      <w:r>
        <w:rPr>
          <w:b/>
          <w:bCs/>
          <w:color w:val="000000"/>
          <w:sz w:val="36"/>
          <w:szCs w:val="36"/>
        </w:rPr>
        <w:t xml:space="preserve"> </w:t>
      </w:r>
      <w:proofErr w:type="spellStart"/>
      <w:r>
        <w:rPr>
          <w:b/>
          <w:bCs/>
        </w:rPr>
        <w:t>Stereotypes</w:t>
      </w:r>
      <w:proofErr w:type="spellEnd"/>
      <w:r>
        <w:rPr>
          <w:b/>
          <w:bCs/>
        </w:rPr>
        <w:t xml:space="preserve"> and </w:t>
      </w:r>
      <w:proofErr w:type="spellStart"/>
      <w:r>
        <w:rPr>
          <w:b/>
          <w:bCs/>
        </w:rPr>
        <w:t>Prejudices</w:t>
      </w:r>
      <w:proofErr w:type="spellEnd"/>
      <w:r>
        <w:rPr>
          <w:b/>
          <w:bCs/>
        </w:rPr>
        <w:t xml:space="preserve"> </w:t>
      </w:r>
      <w:proofErr w:type="spellStart"/>
      <w:r>
        <w:rPr>
          <w:b/>
          <w:bCs/>
        </w:rPr>
        <w:t>Toward</w:t>
      </w:r>
      <w:proofErr w:type="spellEnd"/>
      <w:r>
        <w:rPr>
          <w:b/>
          <w:bCs/>
        </w:rPr>
        <w:t xml:space="preserve"> </w:t>
      </w:r>
      <w:proofErr w:type="spellStart"/>
      <w:r>
        <w:rPr>
          <w:b/>
          <w:bCs/>
        </w:rPr>
        <w:t>Aging</w:t>
      </w:r>
      <w:proofErr w:type="spellEnd"/>
      <w:r>
        <w:rPr>
          <w:b/>
          <w:bCs/>
        </w:rPr>
        <w:t xml:space="preserve"> </w:t>
      </w:r>
      <w:proofErr w:type="spellStart"/>
      <w:r>
        <w:rPr>
          <w:b/>
          <w:bCs/>
        </w:rPr>
        <w:t>Among</w:t>
      </w:r>
      <w:proofErr w:type="spellEnd"/>
      <w:r>
        <w:rPr>
          <w:b/>
          <w:bCs/>
        </w:rPr>
        <w:t xml:space="preserve"> </w:t>
      </w:r>
      <w:proofErr w:type="spellStart"/>
      <w:r>
        <w:rPr>
          <w:b/>
          <w:bCs/>
        </w:rPr>
        <w:t>Undergraduate</w:t>
      </w:r>
      <w:proofErr w:type="spellEnd"/>
      <w:r>
        <w:rPr>
          <w:b/>
          <w:bCs/>
        </w:rPr>
        <w:t xml:space="preserve"> </w:t>
      </w:r>
      <w:proofErr w:type="spellStart"/>
      <w:r>
        <w:rPr>
          <w:b/>
          <w:bCs/>
        </w:rPr>
        <w:t>Nursing</w:t>
      </w:r>
      <w:proofErr w:type="spellEnd"/>
      <w:r>
        <w:rPr>
          <w:b/>
          <w:bCs/>
        </w:rPr>
        <w:t xml:space="preserve"> and </w:t>
      </w:r>
      <w:proofErr w:type="spellStart"/>
      <w:r>
        <w:rPr>
          <w:b/>
          <w:bCs/>
        </w:rPr>
        <w:t>Psychology</w:t>
      </w:r>
      <w:proofErr w:type="spellEnd"/>
      <w:r>
        <w:rPr>
          <w:b/>
          <w:bCs/>
        </w:rPr>
        <w:t xml:space="preserve"> </w:t>
      </w:r>
      <w:proofErr w:type="spellStart"/>
      <w:r>
        <w:rPr>
          <w:b/>
          <w:bCs/>
        </w:rPr>
        <w:t>Students</w:t>
      </w:r>
      <w:proofErr w:type="spellEnd"/>
      <w:r>
        <w:rPr>
          <w:b/>
          <w:bCs/>
        </w:rPr>
        <w:t xml:space="preserve"> in Uruguay</w:t>
      </w:r>
    </w:p>
    <w:p w14:paraId="00000002" w14:textId="77777777" w:rsidR="00EC274E" w:rsidRDefault="00EC274E">
      <w:pPr>
        <w:rPr>
          <w:b/>
          <w:bCs/>
        </w:rPr>
      </w:pPr>
    </w:p>
    <w:p w14:paraId="00000005" w14:textId="77777777" w:rsidR="00EC274E" w:rsidRDefault="00EC274E">
      <w:pPr>
        <w:rPr>
          <w:i/>
          <w:iCs/>
          <w:sz w:val="28"/>
          <w:szCs w:val="28"/>
        </w:rPr>
      </w:pPr>
    </w:p>
    <w:p w14:paraId="00000006" w14:textId="77777777" w:rsidR="00EC274E" w:rsidRDefault="00A718BA">
      <w:pPr>
        <w:rPr>
          <w:rFonts w:ascii="Times" w:eastAsia="Times" w:hAnsi="Times" w:cs="Times"/>
          <w:i/>
          <w:iCs/>
          <w:sz w:val="28"/>
          <w:szCs w:val="28"/>
        </w:rPr>
      </w:pPr>
      <w:r>
        <w:rPr>
          <w:noProof/>
        </w:rPr>
        <mc:AlternateContent>
          <mc:Choice Requires="wpg">
            <w:drawing>
              <wp:anchor distT="4294967295" distB="4294967295" distL="114300" distR="114300" simplePos="0" relativeHeight="251658240" behindDoc="0" locked="0" layoutInCell="1" hidden="0" allowOverlap="1">
                <wp:simplePos x="0" y="0"/>
                <wp:positionH relativeFrom="column">
                  <wp:posOffset>1</wp:posOffset>
                </wp:positionH>
                <wp:positionV relativeFrom="paragraph">
                  <wp:posOffset>55896</wp:posOffset>
                </wp:positionV>
                <wp:extent cx="6197600" cy="50800"/>
                <wp:effectExtent l="0" t="0" r="0" b="0"/>
                <wp:wrapNone/>
                <wp:docPr id="27" name="Conector recto de flecha 27"/>
                <wp:cNvGraphicFramePr/>
                <a:graphic xmlns:a="http://schemas.openxmlformats.org/drawingml/2006/main">
                  <a:graphicData uri="http://schemas.microsoft.com/office/word/2010/wordprocessingShape">
                    <wps:wsp>
                      <wps:cNvCnPr/>
                      <wps:spPr>
                        <a:xfrm>
                          <a:off x="2259900" y="3780000"/>
                          <a:ext cx="6172200" cy="0"/>
                        </a:xfrm>
                        <a:prstGeom prst="straightConnector1">
                          <a:avLst/>
                        </a:prstGeom>
                        <a:noFill/>
                        <a:ln w="25400"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55896</wp:posOffset>
                </wp:positionV>
                <wp:extent cx="6197600" cy="50800"/>
                <wp:effectExtent b="0" l="0" r="0" t="0"/>
                <wp:wrapNone/>
                <wp:docPr id="27"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6197600" cy="50800"/>
                        </a:xfrm>
                        <a:prstGeom prst="rect"/>
                        <a:ln/>
                      </pic:spPr>
                    </pic:pic>
                  </a:graphicData>
                </a:graphic>
              </wp:anchor>
            </w:drawing>
          </mc:Fallback>
        </mc:AlternateContent>
      </w:r>
    </w:p>
    <w:p w14:paraId="00000007" w14:textId="77777777" w:rsidR="00EC274E" w:rsidRDefault="00EC274E">
      <w:pPr>
        <w:rPr>
          <w:b/>
          <w:bCs/>
          <w:sz w:val="20"/>
          <w:szCs w:val="20"/>
        </w:rPr>
      </w:pPr>
    </w:p>
    <w:p w14:paraId="00000008" w14:textId="77777777" w:rsidR="00EC274E" w:rsidRDefault="00A718BA">
      <w:pPr>
        <w:pBdr>
          <w:top w:val="nil"/>
          <w:left w:val="nil"/>
          <w:bottom w:val="nil"/>
          <w:right w:val="nil"/>
          <w:between w:val="nil"/>
        </w:pBdr>
        <w:spacing w:after="120"/>
        <w:jc w:val="center"/>
        <w:rPr>
          <w:b/>
          <w:bCs/>
          <w:smallCaps/>
          <w:color w:val="000000"/>
          <w:sz w:val="20"/>
          <w:szCs w:val="20"/>
        </w:rPr>
      </w:pPr>
      <w:proofErr w:type="spellStart"/>
      <w:r>
        <w:rPr>
          <w:b/>
          <w:bCs/>
          <w:smallCaps/>
          <w:color w:val="000000"/>
          <w:sz w:val="20"/>
          <w:szCs w:val="20"/>
        </w:rPr>
        <w:t>Abstract</w:t>
      </w:r>
      <w:proofErr w:type="spellEnd"/>
    </w:p>
    <w:p w14:paraId="00000009" w14:textId="77777777" w:rsidR="00EC274E" w:rsidRDefault="00A718BA" w:rsidP="00C01AF4">
      <w:pPr>
        <w:jc w:val="both"/>
        <w:rPr>
          <w:sz w:val="20"/>
          <w:szCs w:val="20"/>
        </w:rPr>
      </w:pPr>
      <w:proofErr w:type="spellStart"/>
      <w:r>
        <w:rPr>
          <w:sz w:val="20"/>
          <w:szCs w:val="20"/>
        </w:rPr>
        <w:t>There</w:t>
      </w:r>
      <w:proofErr w:type="spellEnd"/>
      <w:r>
        <w:rPr>
          <w:sz w:val="20"/>
          <w:szCs w:val="20"/>
        </w:rPr>
        <w:t xml:space="preserve"> </w:t>
      </w:r>
      <w:proofErr w:type="spellStart"/>
      <w:r>
        <w:rPr>
          <w:sz w:val="20"/>
          <w:szCs w:val="20"/>
        </w:rPr>
        <w:t>is</w:t>
      </w:r>
      <w:proofErr w:type="spellEnd"/>
      <w:r>
        <w:rPr>
          <w:sz w:val="20"/>
          <w:szCs w:val="20"/>
        </w:rPr>
        <w:t xml:space="preserve"> </w:t>
      </w:r>
      <w:proofErr w:type="spellStart"/>
      <w:r>
        <w:rPr>
          <w:sz w:val="20"/>
          <w:szCs w:val="20"/>
        </w:rPr>
        <w:t>evidence</w:t>
      </w:r>
      <w:proofErr w:type="spellEnd"/>
      <w:r>
        <w:rPr>
          <w:sz w:val="20"/>
          <w:szCs w:val="20"/>
        </w:rPr>
        <w:t xml:space="preserve"> </w:t>
      </w:r>
      <w:proofErr w:type="spellStart"/>
      <w:r>
        <w:rPr>
          <w:sz w:val="20"/>
          <w:szCs w:val="20"/>
        </w:rPr>
        <w:t>of</w:t>
      </w:r>
      <w:proofErr w:type="spellEnd"/>
      <w:r>
        <w:rPr>
          <w:sz w:val="20"/>
          <w:szCs w:val="20"/>
        </w:rPr>
        <w:t xml:space="preserve"> negative </w:t>
      </w:r>
      <w:proofErr w:type="spellStart"/>
      <w:r>
        <w:rPr>
          <w:sz w:val="20"/>
          <w:szCs w:val="20"/>
        </w:rPr>
        <w:t>stereotypes</w:t>
      </w:r>
      <w:proofErr w:type="spellEnd"/>
      <w:r>
        <w:rPr>
          <w:sz w:val="20"/>
          <w:szCs w:val="20"/>
        </w:rPr>
        <w:t xml:space="preserve"> </w:t>
      </w:r>
      <w:proofErr w:type="spellStart"/>
      <w:r>
        <w:rPr>
          <w:sz w:val="20"/>
          <w:szCs w:val="20"/>
        </w:rPr>
        <w:t>toward</w:t>
      </w:r>
      <w:proofErr w:type="spellEnd"/>
      <w:r>
        <w:rPr>
          <w:sz w:val="20"/>
          <w:szCs w:val="20"/>
        </w:rPr>
        <w:t xml:space="preserve"> </w:t>
      </w:r>
      <w:proofErr w:type="spellStart"/>
      <w:r>
        <w:rPr>
          <w:sz w:val="20"/>
          <w:szCs w:val="20"/>
        </w:rPr>
        <w:t>older</w:t>
      </w:r>
      <w:proofErr w:type="spellEnd"/>
      <w:r>
        <w:rPr>
          <w:sz w:val="20"/>
          <w:szCs w:val="20"/>
        </w:rPr>
        <w:t xml:space="preserve"> </w:t>
      </w:r>
      <w:proofErr w:type="spellStart"/>
      <w:r>
        <w:rPr>
          <w:sz w:val="20"/>
          <w:szCs w:val="20"/>
        </w:rPr>
        <w:t>adults</w:t>
      </w:r>
      <w:proofErr w:type="spellEnd"/>
      <w:r>
        <w:rPr>
          <w:sz w:val="20"/>
          <w:szCs w:val="20"/>
        </w:rPr>
        <w:t xml:space="preserve"> </w:t>
      </w:r>
      <w:proofErr w:type="spellStart"/>
      <w:r>
        <w:rPr>
          <w:sz w:val="20"/>
          <w:szCs w:val="20"/>
        </w:rPr>
        <w:t>among</w:t>
      </w:r>
      <w:proofErr w:type="spellEnd"/>
      <w:r>
        <w:rPr>
          <w:sz w:val="20"/>
          <w:szCs w:val="20"/>
        </w:rPr>
        <w:t xml:space="preserve"> </w:t>
      </w:r>
      <w:proofErr w:type="spellStart"/>
      <w:r>
        <w:rPr>
          <w:sz w:val="20"/>
          <w:szCs w:val="20"/>
        </w:rPr>
        <w:t>healthcare</w:t>
      </w:r>
      <w:proofErr w:type="spellEnd"/>
      <w:r>
        <w:rPr>
          <w:sz w:val="20"/>
          <w:szCs w:val="20"/>
        </w:rPr>
        <w:t xml:space="preserve"> </w:t>
      </w:r>
      <w:proofErr w:type="spellStart"/>
      <w:r>
        <w:rPr>
          <w:sz w:val="20"/>
          <w:szCs w:val="20"/>
        </w:rPr>
        <w:t>personnel</w:t>
      </w:r>
      <w:proofErr w:type="spellEnd"/>
      <w:r>
        <w:rPr>
          <w:sz w:val="20"/>
          <w:szCs w:val="20"/>
        </w:rPr>
        <w:t xml:space="preserve">, </w:t>
      </w:r>
      <w:proofErr w:type="spellStart"/>
      <w:r>
        <w:rPr>
          <w:sz w:val="20"/>
          <w:szCs w:val="20"/>
        </w:rPr>
        <w:t>which</w:t>
      </w:r>
      <w:proofErr w:type="spellEnd"/>
      <w:r>
        <w:rPr>
          <w:sz w:val="20"/>
          <w:szCs w:val="20"/>
        </w:rPr>
        <w:t xml:space="preserve"> </w:t>
      </w:r>
      <w:proofErr w:type="spellStart"/>
      <w:r>
        <w:rPr>
          <w:sz w:val="20"/>
          <w:szCs w:val="20"/>
        </w:rPr>
        <w:t>may</w:t>
      </w:r>
      <w:proofErr w:type="spellEnd"/>
      <w:r>
        <w:rPr>
          <w:sz w:val="20"/>
          <w:szCs w:val="20"/>
        </w:rPr>
        <w:t xml:space="preserve"> </w:t>
      </w:r>
      <w:proofErr w:type="spellStart"/>
      <w:r>
        <w:rPr>
          <w:sz w:val="20"/>
          <w:szCs w:val="20"/>
        </w:rPr>
        <w:t>affect</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quality</w:t>
      </w:r>
      <w:proofErr w:type="spellEnd"/>
      <w:r>
        <w:rPr>
          <w:sz w:val="20"/>
          <w:szCs w:val="20"/>
        </w:rPr>
        <w:t xml:space="preserve"> </w:t>
      </w:r>
      <w:proofErr w:type="spellStart"/>
      <w:r>
        <w:rPr>
          <w:sz w:val="20"/>
          <w:szCs w:val="20"/>
        </w:rPr>
        <w:t>of</w:t>
      </w:r>
      <w:proofErr w:type="spellEnd"/>
      <w:r>
        <w:rPr>
          <w:sz w:val="20"/>
          <w:szCs w:val="20"/>
        </w:rPr>
        <w:t xml:space="preserve"> care </w:t>
      </w:r>
      <w:proofErr w:type="spellStart"/>
      <w:r>
        <w:rPr>
          <w:sz w:val="20"/>
          <w:szCs w:val="20"/>
        </w:rPr>
        <w:t>provided</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aim</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present</w:t>
      </w:r>
      <w:proofErr w:type="spellEnd"/>
      <w:r>
        <w:rPr>
          <w:sz w:val="20"/>
          <w:szCs w:val="20"/>
        </w:rPr>
        <w:t xml:space="preserve"> </w:t>
      </w:r>
      <w:proofErr w:type="spellStart"/>
      <w:r>
        <w:rPr>
          <w:sz w:val="20"/>
          <w:szCs w:val="20"/>
        </w:rPr>
        <w:t>study</w:t>
      </w:r>
      <w:proofErr w:type="spellEnd"/>
      <w:r>
        <w:rPr>
          <w:sz w:val="20"/>
          <w:szCs w:val="20"/>
        </w:rPr>
        <w:t xml:space="preserve"> </w:t>
      </w:r>
      <w:proofErr w:type="spellStart"/>
      <w:r>
        <w:rPr>
          <w:sz w:val="20"/>
          <w:szCs w:val="20"/>
        </w:rPr>
        <w:t>is</w:t>
      </w:r>
      <w:proofErr w:type="spellEnd"/>
      <w:r>
        <w:rPr>
          <w:sz w:val="20"/>
          <w:szCs w:val="20"/>
        </w:rPr>
        <w:t xml:space="preserve"> </w:t>
      </w:r>
      <w:proofErr w:type="spellStart"/>
      <w:r>
        <w:rPr>
          <w:sz w:val="20"/>
          <w:szCs w:val="20"/>
        </w:rPr>
        <w:t>to</w:t>
      </w:r>
      <w:proofErr w:type="spellEnd"/>
      <w:r>
        <w:rPr>
          <w:sz w:val="20"/>
          <w:szCs w:val="20"/>
        </w:rPr>
        <w:t xml:space="preserve"> examine and compare negative </w:t>
      </w:r>
      <w:proofErr w:type="spellStart"/>
      <w:r>
        <w:rPr>
          <w:sz w:val="20"/>
          <w:szCs w:val="20"/>
        </w:rPr>
        <w:t>stereotypes</w:t>
      </w:r>
      <w:proofErr w:type="spellEnd"/>
      <w:r>
        <w:rPr>
          <w:sz w:val="20"/>
          <w:szCs w:val="20"/>
        </w:rPr>
        <w:t xml:space="preserve"> </w:t>
      </w:r>
      <w:proofErr w:type="spellStart"/>
      <w:r>
        <w:rPr>
          <w:sz w:val="20"/>
          <w:szCs w:val="20"/>
        </w:rPr>
        <w:t>toward</w:t>
      </w:r>
      <w:proofErr w:type="spellEnd"/>
      <w:r>
        <w:rPr>
          <w:sz w:val="20"/>
          <w:szCs w:val="20"/>
        </w:rPr>
        <w:t xml:space="preserve"> </w:t>
      </w:r>
      <w:proofErr w:type="spellStart"/>
      <w:r>
        <w:rPr>
          <w:sz w:val="20"/>
          <w:szCs w:val="20"/>
        </w:rPr>
        <w:t>aging</w:t>
      </w:r>
      <w:proofErr w:type="spellEnd"/>
      <w:r>
        <w:rPr>
          <w:sz w:val="20"/>
          <w:szCs w:val="20"/>
        </w:rPr>
        <w:t xml:space="preserve"> </w:t>
      </w:r>
      <w:proofErr w:type="spellStart"/>
      <w:r>
        <w:rPr>
          <w:sz w:val="20"/>
          <w:szCs w:val="20"/>
        </w:rPr>
        <w:t>among</w:t>
      </w:r>
      <w:proofErr w:type="spellEnd"/>
      <w:r>
        <w:rPr>
          <w:sz w:val="20"/>
          <w:szCs w:val="20"/>
        </w:rPr>
        <w:t xml:space="preserve"> </w:t>
      </w:r>
      <w:proofErr w:type="spellStart"/>
      <w:r>
        <w:rPr>
          <w:sz w:val="20"/>
          <w:szCs w:val="20"/>
        </w:rPr>
        <w:t>students</w:t>
      </w:r>
      <w:proofErr w:type="spellEnd"/>
      <w:r>
        <w:rPr>
          <w:sz w:val="20"/>
          <w:szCs w:val="20"/>
        </w:rPr>
        <w:t xml:space="preserve"> in </w:t>
      </w:r>
      <w:proofErr w:type="spellStart"/>
      <w:r>
        <w:rPr>
          <w:sz w:val="20"/>
          <w:szCs w:val="20"/>
        </w:rPr>
        <w:t>the</w:t>
      </w:r>
      <w:proofErr w:type="spellEnd"/>
      <w:r>
        <w:rPr>
          <w:sz w:val="20"/>
          <w:szCs w:val="20"/>
        </w:rPr>
        <w:t xml:space="preserve"> </w:t>
      </w:r>
      <w:proofErr w:type="spellStart"/>
      <w:r>
        <w:rPr>
          <w:sz w:val="20"/>
          <w:szCs w:val="20"/>
        </w:rPr>
        <w:t>Nursing</w:t>
      </w:r>
      <w:proofErr w:type="spellEnd"/>
      <w:r>
        <w:rPr>
          <w:sz w:val="20"/>
          <w:szCs w:val="20"/>
        </w:rPr>
        <w:t xml:space="preserve"> </w:t>
      </w:r>
      <w:r>
        <w:rPr>
          <w:sz w:val="20"/>
          <w:szCs w:val="20"/>
        </w:rPr>
        <w:t xml:space="preserve">and </w:t>
      </w:r>
      <w:proofErr w:type="spellStart"/>
      <w:r>
        <w:rPr>
          <w:sz w:val="20"/>
          <w:szCs w:val="20"/>
        </w:rPr>
        <w:t>Psychology</w:t>
      </w:r>
      <w:proofErr w:type="spellEnd"/>
      <w:r>
        <w:rPr>
          <w:sz w:val="20"/>
          <w:szCs w:val="20"/>
        </w:rPr>
        <w:t xml:space="preserve"> </w:t>
      </w:r>
      <w:proofErr w:type="spellStart"/>
      <w:r>
        <w:rPr>
          <w:sz w:val="20"/>
          <w:szCs w:val="20"/>
        </w:rPr>
        <w:t>programs</w:t>
      </w:r>
      <w:proofErr w:type="spellEnd"/>
      <w:r>
        <w:rPr>
          <w:sz w:val="20"/>
          <w:szCs w:val="20"/>
        </w:rPr>
        <w:t xml:space="preserve"> at </w:t>
      </w:r>
      <w:proofErr w:type="spellStart"/>
      <w:r>
        <w:rPr>
          <w:sz w:val="20"/>
          <w:szCs w:val="20"/>
        </w:rPr>
        <w:t>the</w:t>
      </w:r>
      <w:proofErr w:type="spellEnd"/>
      <w:r>
        <w:rPr>
          <w:sz w:val="20"/>
          <w:szCs w:val="20"/>
        </w:rPr>
        <w:t xml:space="preserve"> </w:t>
      </w:r>
      <w:proofErr w:type="spellStart"/>
      <w:r>
        <w:rPr>
          <w:sz w:val="20"/>
          <w:szCs w:val="20"/>
        </w:rPr>
        <w:t>University</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Republic</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assess</w:t>
      </w:r>
      <w:proofErr w:type="spellEnd"/>
      <w:r>
        <w:rPr>
          <w:sz w:val="20"/>
          <w:szCs w:val="20"/>
        </w:rPr>
        <w:t xml:space="preserve"> </w:t>
      </w:r>
      <w:proofErr w:type="spellStart"/>
      <w:r>
        <w:rPr>
          <w:sz w:val="20"/>
          <w:szCs w:val="20"/>
        </w:rPr>
        <w:t>stereotype</w:t>
      </w:r>
      <w:proofErr w:type="spellEnd"/>
      <w:r>
        <w:rPr>
          <w:sz w:val="20"/>
          <w:szCs w:val="20"/>
        </w:rPr>
        <w:t xml:space="preserve"> </w:t>
      </w:r>
      <w:proofErr w:type="spellStart"/>
      <w:r>
        <w:rPr>
          <w:sz w:val="20"/>
          <w:szCs w:val="20"/>
        </w:rPr>
        <w:t>levels</w:t>
      </w:r>
      <w:proofErr w:type="spellEnd"/>
      <w:r>
        <w:rPr>
          <w:sz w:val="20"/>
          <w:szCs w:val="20"/>
        </w:rPr>
        <w:t xml:space="preserve">, </w:t>
      </w:r>
      <w:proofErr w:type="spellStart"/>
      <w:r>
        <w:rPr>
          <w:sz w:val="20"/>
          <w:szCs w:val="20"/>
        </w:rPr>
        <w:t>the</w:t>
      </w:r>
      <w:proofErr w:type="spellEnd"/>
      <w:r>
        <w:rPr>
          <w:sz w:val="20"/>
          <w:szCs w:val="20"/>
        </w:rPr>
        <w:t xml:space="preserve"> Negative </w:t>
      </w:r>
      <w:proofErr w:type="spellStart"/>
      <w:r>
        <w:rPr>
          <w:sz w:val="20"/>
          <w:szCs w:val="20"/>
        </w:rPr>
        <w:t>Stereotypes</w:t>
      </w:r>
      <w:proofErr w:type="spellEnd"/>
      <w:r>
        <w:rPr>
          <w:sz w:val="20"/>
          <w:szCs w:val="20"/>
        </w:rPr>
        <w:t xml:space="preserve"> </w:t>
      </w:r>
      <w:proofErr w:type="spellStart"/>
      <w:r>
        <w:rPr>
          <w:sz w:val="20"/>
          <w:szCs w:val="20"/>
        </w:rPr>
        <w:t>toward</w:t>
      </w:r>
      <w:proofErr w:type="spellEnd"/>
      <w:r>
        <w:rPr>
          <w:sz w:val="20"/>
          <w:szCs w:val="20"/>
        </w:rPr>
        <w:t xml:space="preserve"> </w:t>
      </w:r>
      <w:proofErr w:type="spellStart"/>
      <w:r>
        <w:rPr>
          <w:sz w:val="20"/>
          <w:szCs w:val="20"/>
        </w:rPr>
        <w:t>Aging</w:t>
      </w:r>
      <w:proofErr w:type="spellEnd"/>
      <w:r>
        <w:rPr>
          <w:sz w:val="20"/>
          <w:szCs w:val="20"/>
        </w:rPr>
        <w:t xml:space="preserve"> </w:t>
      </w:r>
      <w:proofErr w:type="spellStart"/>
      <w:r>
        <w:rPr>
          <w:sz w:val="20"/>
          <w:szCs w:val="20"/>
        </w:rPr>
        <w:t>Questionnaire</w:t>
      </w:r>
      <w:proofErr w:type="spellEnd"/>
      <w:r>
        <w:rPr>
          <w:sz w:val="20"/>
          <w:szCs w:val="20"/>
        </w:rPr>
        <w:t xml:space="preserve"> (CENVE) </w:t>
      </w:r>
      <w:proofErr w:type="spellStart"/>
      <w:r>
        <w:rPr>
          <w:sz w:val="20"/>
          <w:szCs w:val="20"/>
        </w:rPr>
        <w:t>was</w:t>
      </w:r>
      <w:proofErr w:type="spellEnd"/>
      <w:r>
        <w:rPr>
          <w:sz w:val="20"/>
          <w:szCs w:val="20"/>
        </w:rPr>
        <w:t xml:space="preserve"> </w:t>
      </w:r>
      <w:proofErr w:type="spellStart"/>
      <w:r>
        <w:rPr>
          <w:sz w:val="20"/>
          <w:szCs w:val="20"/>
        </w:rPr>
        <w:t>administered</w:t>
      </w:r>
      <w:proofErr w:type="spellEnd"/>
      <w:r>
        <w:rPr>
          <w:sz w:val="20"/>
          <w:szCs w:val="20"/>
        </w:rPr>
        <w:t xml:space="preserve">, </w:t>
      </w:r>
      <w:proofErr w:type="spellStart"/>
      <w:r>
        <w:rPr>
          <w:sz w:val="20"/>
          <w:szCs w:val="20"/>
        </w:rPr>
        <w:t>consisting</w:t>
      </w:r>
      <w:proofErr w:type="spellEnd"/>
      <w:r>
        <w:rPr>
          <w:sz w:val="20"/>
          <w:szCs w:val="20"/>
        </w:rPr>
        <w:t xml:space="preserve"> </w:t>
      </w:r>
      <w:proofErr w:type="spellStart"/>
      <w:r>
        <w:rPr>
          <w:sz w:val="20"/>
          <w:szCs w:val="20"/>
        </w:rPr>
        <w:t>of</w:t>
      </w:r>
      <w:proofErr w:type="spellEnd"/>
      <w:r>
        <w:rPr>
          <w:sz w:val="20"/>
          <w:szCs w:val="20"/>
        </w:rPr>
        <w:t xml:space="preserve"> 15 </w:t>
      </w:r>
      <w:proofErr w:type="spellStart"/>
      <w:r>
        <w:rPr>
          <w:sz w:val="20"/>
          <w:szCs w:val="20"/>
        </w:rPr>
        <w:t>items</w:t>
      </w:r>
      <w:proofErr w:type="spellEnd"/>
      <w:r>
        <w:rPr>
          <w:sz w:val="20"/>
          <w:szCs w:val="20"/>
        </w:rPr>
        <w:t xml:space="preserve"> </w:t>
      </w:r>
      <w:proofErr w:type="spellStart"/>
      <w:r>
        <w:rPr>
          <w:sz w:val="20"/>
          <w:szCs w:val="20"/>
        </w:rPr>
        <w:t>distributed</w:t>
      </w:r>
      <w:proofErr w:type="spellEnd"/>
      <w:r>
        <w:rPr>
          <w:sz w:val="20"/>
          <w:szCs w:val="20"/>
        </w:rPr>
        <w:t xml:space="preserve"> </w:t>
      </w:r>
      <w:proofErr w:type="spellStart"/>
      <w:r>
        <w:rPr>
          <w:sz w:val="20"/>
          <w:szCs w:val="20"/>
        </w:rPr>
        <w:t>across</w:t>
      </w:r>
      <w:proofErr w:type="spellEnd"/>
      <w:r>
        <w:rPr>
          <w:sz w:val="20"/>
          <w:szCs w:val="20"/>
        </w:rPr>
        <w:t xml:space="preserve"> </w:t>
      </w:r>
      <w:proofErr w:type="spellStart"/>
      <w:r>
        <w:rPr>
          <w:sz w:val="20"/>
          <w:szCs w:val="20"/>
        </w:rPr>
        <w:t>three</w:t>
      </w:r>
      <w:proofErr w:type="spellEnd"/>
      <w:r>
        <w:rPr>
          <w:sz w:val="20"/>
          <w:szCs w:val="20"/>
        </w:rPr>
        <w:t xml:space="preserve"> </w:t>
      </w:r>
      <w:proofErr w:type="spellStart"/>
      <w:r>
        <w:rPr>
          <w:sz w:val="20"/>
          <w:szCs w:val="20"/>
        </w:rPr>
        <w:t>subscales</w:t>
      </w:r>
      <w:proofErr w:type="spellEnd"/>
      <w:r>
        <w:rPr>
          <w:sz w:val="20"/>
          <w:szCs w:val="20"/>
        </w:rPr>
        <w:t xml:space="preserve">: </w:t>
      </w:r>
      <w:proofErr w:type="spellStart"/>
      <w:r>
        <w:rPr>
          <w:sz w:val="20"/>
          <w:szCs w:val="20"/>
        </w:rPr>
        <w:t>health</w:t>
      </w:r>
      <w:proofErr w:type="spellEnd"/>
      <w:r>
        <w:rPr>
          <w:sz w:val="20"/>
          <w:szCs w:val="20"/>
        </w:rPr>
        <w:t xml:space="preserve">, social </w:t>
      </w:r>
      <w:proofErr w:type="spellStart"/>
      <w:r>
        <w:rPr>
          <w:sz w:val="20"/>
          <w:szCs w:val="20"/>
        </w:rPr>
        <w:t>motivation</w:t>
      </w:r>
      <w:proofErr w:type="spellEnd"/>
      <w:r>
        <w:rPr>
          <w:sz w:val="20"/>
          <w:szCs w:val="20"/>
        </w:rPr>
        <w:t xml:space="preserve">, and </w:t>
      </w:r>
      <w:proofErr w:type="spellStart"/>
      <w:r>
        <w:rPr>
          <w:sz w:val="20"/>
          <w:szCs w:val="20"/>
        </w:rPr>
        <w:t>character-personality</w:t>
      </w:r>
      <w:proofErr w:type="spellEnd"/>
      <w:r>
        <w:rPr>
          <w:sz w:val="20"/>
          <w:szCs w:val="20"/>
        </w:rPr>
        <w:t xml:space="preserve">. </w:t>
      </w:r>
      <w:proofErr w:type="spellStart"/>
      <w:r>
        <w:rPr>
          <w:sz w:val="20"/>
          <w:szCs w:val="20"/>
        </w:rPr>
        <w:t>The</w:t>
      </w:r>
      <w:proofErr w:type="spellEnd"/>
      <w:r>
        <w:rPr>
          <w:sz w:val="20"/>
          <w:szCs w:val="20"/>
        </w:rPr>
        <w:t xml:space="preserve"> mean CENVE scores </w:t>
      </w:r>
      <w:proofErr w:type="spellStart"/>
      <w:r>
        <w:rPr>
          <w:sz w:val="20"/>
          <w:szCs w:val="20"/>
        </w:rPr>
        <w:t>were</w:t>
      </w:r>
      <w:proofErr w:type="spellEnd"/>
      <w:r>
        <w:rPr>
          <w:sz w:val="20"/>
          <w:szCs w:val="20"/>
        </w:rPr>
        <w:t xml:space="preserve"> 35 </w:t>
      </w:r>
      <w:proofErr w:type="spellStart"/>
      <w:r>
        <w:rPr>
          <w:sz w:val="20"/>
          <w:szCs w:val="20"/>
        </w:rPr>
        <w:t>points</w:t>
      </w:r>
      <w:proofErr w:type="spellEnd"/>
      <w:r>
        <w:rPr>
          <w:sz w:val="20"/>
          <w:szCs w:val="20"/>
        </w:rPr>
        <w:t xml:space="preserve"> </w:t>
      </w:r>
      <w:proofErr w:type="spellStart"/>
      <w:r>
        <w:rPr>
          <w:sz w:val="20"/>
          <w:szCs w:val="20"/>
        </w:rPr>
        <w:t>for</w:t>
      </w:r>
      <w:proofErr w:type="spellEnd"/>
      <w:r>
        <w:rPr>
          <w:sz w:val="20"/>
          <w:szCs w:val="20"/>
        </w:rPr>
        <w:t xml:space="preserve"> </w:t>
      </w:r>
      <w:proofErr w:type="spellStart"/>
      <w:r>
        <w:rPr>
          <w:sz w:val="20"/>
          <w:szCs w:val="20"/>
        </w:rPr>
        <w:t>Nursing</w:t>
      </w:r>
      <w:proofErr w:type="spellEnd"/>
      <w:r>
        <w:rPr>
          <w:sz w:val="20"/>
          <w:szCs w:val="20"/>
        </w:rPr>
        <w:t xml:space="preserve"> and 30 </w:t>
      </w:r>
      <w:proofErr w:type="spellStart"/>
      <w:r>
        <w:rPr>
          <w:sz w:val="20"/>
          <w:szCs w:val="20"/>
        </w:rPr>
        <w:t>points</w:t>
      </w:r>
      <w:proofErr w:type="spellEnd"/>
      <w:r>
        <w:rPr>
          <w:sz w:val="20"/>
          <w:szCs w:val="20"/>
        </w:rPr>
        <w:t xml:space="preserve"> </w:t>
      </w:r>
      <w:proofErr w:type="spellStart"/>
      <w:r>
        <w:rPr>
          <w:sz w:val="20"/>
          <w:szCs w:val="20"/>
        </w:rPr>
        <w:t>for</w:t>
      </w:r>
      <w:proofErr w:type="spellEnd"/>
      <w:r>
        <w:rPr>
          <w:sz w:val="20"/>
          <w:szCs w:val="20"/>
        </w:rPr>
        <w:t xml:space="preserve"> </w:t>
      </w:r>
      <w:proofErr w:type="spellStart"/>
      <w:r>
        <w:rPr>
          <w:sz w:val="20"/>
          <w:szCs w:val="20"/>
        </w:rPr>
        <w:t>Psychology</w:t>
      </w:r>
      <w:proofErr w:type="spellEnd"/>
      <w:r>
        <w:rPr>
          <w:sz w:val="20"/>
          <w:szCs w:val="20"/>
        </w:rPr>
        <w:t xml:space="preserve">, </w:t>
      </w:r>
      <w:proofErr w:type="spellStart"/>
      <w:r>
        <w:rPr>
          <w:sz w:val="20"/>
          <w:szCs w:val="20"/>
        </w:rPr>
        <w:t>indicating</w:t>
      </w:r>
      <w:proofErr w:type="spellEnd"/>
      <w:r>
        <w:rPr>
          <w:sz w:val="20"/>
          <w:szCs w:val="20"/>
        </w:rPr>
        <w:t xml:space="preserve"> </w:t>
      </w:r>
      <w:proofErr w:type="spellStart"/>
      <w:r>
        <w:rPr>
          <w:sz w:val="20"/>
          <w:szCs w:val="20"/>
        </w:rPr>
        <w:t>low</w:t>
      </w:r>
      <w:proofErr w:type="spellEnd"/>
      <w:r>
        <w:rPr>
          <w:sz w:val="20"/>
          <w:szCs w:val="20"/>
        </w:rPr>
        <w:t xml:space="preserve"> </w:t>
      </w:r>
      <w:proofErr w:type="spellStart"/>
      <w:r>
        <w:rPr>
          <w:sz w:val="20"/>
          <w:szCs w:val="20"/>
        </w:rPr>
        <w:t>levels</w:t>
      </w:r>
      <w:proofErr w:type="spellEnd"/>
      <w:r>
        <w:rPr>
          <w:sz w:val="20"/>
          <w:szCs w:val="20"/>
        </w:rPr>
        <w:t xml:space="preserve"> </w:t>
      </w:r>
      <w:proofErr w:type="spellStart"/>
      <w:r>
        <w:rPr>
          <w:sz w:val="20"/>
          <w:szCs w:val="20"/>
        </w:rPr>
        <w:t>of</w:t>
      </w:r>
      <w:proofErr w:type="spellEnd"/>
      <w:r>
        <w:rPr>
          <w:sz w:val="20"/>
          <w:szCs w:val="20"/>
        </w:rPr>
        <w:t xml:space="preserve"> negative </w:t>
      </w:r>
      <w:proofErr w:type="spellStart"/>
      <w:r>
        <w:rPr>
          <w:sz w:val="20"/>
          <w:szCs w:val="20"/>
        </w:rPr>
        <w:t>stereotypes</w:t>
      </w:r>
      <w:proofErr w:type="spellEnd"/>
      <w:r>
        <w:rPr>
          <w:sz w:val="20"/>
          <w:szCs w:val="20"/>
        </w:rPr>
        <w:t xml:space="preserve"> </w:t>
      </w:r>
      <w:proofErr w:type="spellStart"/>
      <w:r>
        <w:rPr>
          <w:sz w:val="20"/>
          <w:szCs w:val="20"/>
        </w:rPr>
        <w:t>toward</w:t>
      </w:r>
      <w:proofErr w:type="spellEnd"/>
      <w:r>
        <w:rPr>
          <w:sz w:val="20"/>
          <w:szCs w:val="20"/>
        </w:rPr>
        <w:t xml:space="preserve"> </w:t>
      </w:r>
      <w:proofErr w:type="spellStart"/>
      <w:r>
        <w:rPr>
          <w:sz w:val="20"/>
          <w:szCs w:val="20"/>
        </w:rPr>
        <w:t>aging</w:t>
      </w:r>
      <w:proofErr w:type="spellEnd"/>
      <w:r>
        <w:rPr>
          <w:sz w:val="20"/>
          <w:szCs w:val="20"/>
        </w:rPr>
        <w:t xml:space="preserve">. </w:t>
      </w:r>
      <w:proofErr w:type="spellStart"/>
      <w:r>
        <w:rPr>
          <w:sz w:val="20"/>
          <w:szCs w:val="20"/>
        </w:rPr>
        <w:t>Among</w:t>
      </w:r>
      <w:proofErr w:type="spellEnd"/>
      <w:r>
        <w:rPr>
          <w:sz w:val="20"/>
          <w:szCs w:val="20"/>
        </w:rPr>
        <w:t xml:space="preserve"> </w:t>
      </w:r>
      <w:proofErr w:type="spellStart"/>
      <w:r>
        <w:rPr>
          <w:sz w:val="20"/>
          <w:szCs w:val="20"/>
        </w:rPr>
        <w:t>Psychology</w:t>
      </w:r>
      <w:proofErr w:type="spellEnd"/>
      <w:r>
        <w:rPr>
          <w:sz w:val="20"/>
          <w:szCs w:val="20"/>
        </w:rPr>
        <w:t xml:space="preserve"> </w:t>
      </w:r>
      <w:proofErr w:type="spellStart"/>
      <w:r>
        <w:rPr>
          <w:sz w:val="20"/>
          <w:szCs w:val="20"/>
        </w:rPr>
        <w:t>students</w:t>
      </w:r>
      <w:proofErr w:type="spellEnd"/>
      <w:r>
        <w:rPr>
          <w:sz w:val="20"/>
          <w:szCs w:val="20"/>
        </w:rPr>
        <w:t xml:space="preserve">, curricular </w:t>
      </w:r>
      <w:proofErr w:type="spellStart"/>
      <w:r>
        <w:rPr>
          <w:sz w:val="20"/>
          <w:szCs w:val="20"/>
        </w:rPr>
        <w:t>advancement</w:t>
      </w:r>
      <w:proofErr w:type="spellEnd"/>
      <w:r>
        <w:rPr>
          <w:sz w:val="20"/>
          <w:szCs w:val="20"/>
        </w:rPr>
        <w:t xml:space="preserve"> and </w:t>
      </w:r>
      <w:proofErr w:type="spellStart"/>
      <w:r>
        <w:rPr>
          <w:sz w:val="20"/>
          <w:szCs w:val="20"/>
        </w:rPr>
        <w:t>the</w:t>
      </w:r>
      <w:proofErr w:type="spellEnd"/>
      <w:r>
        <w:rPr>
          <w:sz w:val="20"/>
          <w:szCs w:val="20"/>
        </w:rPr>
        <w:t xml:space="preserve"> </w:t>
      </w:r>
      <w:proofErr w:type="spellStart"/>
      <w:r>
        <w:rPr>
          <w:sz w:val="20"/>
          <w:szCs w:val="20"/>
        </w:rPr>
        <w:t>completion</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courses</w:t>
      </w:r>
      <w:proofErr w:type="spellEnd"/>
      <w:r>
        <w:rPr>
          <w:sz w:val="20"/>
          <w:szCs w:val="20"/>
        </w:rPr>
        <w:t xml:space="preserve"> </w:t>
      </w:r>
      <w:proofErr w:type="spellStart"/>
      <w:r>
        <w:rPr>
          <w:sz w:val="20"/>
          <w:szCs w:val="20"/>
        </w:rPr>
        <w:t>related</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agi</w:t>
      </w:r>
      <w:r>
        <w:rPr>
          <w:sz w:val="20"/>
          <w:szCs w:val="20"/>
        </w:rPr>
        <w:t>ng</w:t>
      </w:r>
      <w:proofErr w:type="spellEnd"/>
      <w:r>
        <w:rPr>
          <w:sz w:val="20"/>
          <w:szCs w:val="20"/>
        </w:rPr>
        <w:t xml:space="preserve"> </w:t>
      </w:r>
      <w:proofErr w:type="spellStart"/>
      <w:r>
        <w:rPr>
          <w:sz w:val="20"/>
          <w:szCs w:val="20"/>
        </w:rPr>
        <w:t>were</w:t>
      </w:r>
      <w:proofErr w:type="spellEnd"/>
      <w:r>
        <w:rPr>
          <w:sz w:val="20"/>
          <w:szCs w:val="20"/>
        </w:rPr>
        <w:t xml:space="preserve"> </w:t>
      </w:r>
      <w:proofErr w:type="spellStart"/>
      <w:r>
        <w:rPr>
          <w:sz w:val="20"/>
          <w:szCs w:val="20"/>
        </w:rPr>
        <w:t>associated</w:t>
      </w:r>
      <w:proofErr w:type="spellEnd"/>
      <w:r>
        <w:rPr>
          <w:sz w:val="20"/>
          <w:szCs w:val="20"/>
        </w:rPr>
        <w:t xml:space="preserve"> </w:t>
      </w:r>
      <w:proofErr w:type="spellStart"/>
      <w:r>
        <w:rPr>
          <w:sz w:val="20"/>
          <w:szCs w:val="20"/>
        </w:rPr>
        <w:t>with</w:t>
      </w:r>
      <w:proofErr w:type="spellEnd"/>
      <w:r>
        <w:rPr>
          <w:sz w:val="20"/>
          <w:szCs w:val="20"/>
        </w:rPr>
        <w:t xml:space="preserve"> </w:t>
      </w:r>
      <w:proofErr w:type="spellStart"/>
      <w:r>
        <w:rPr>
          <w:sz w:val="20"/>
          <w:szCs w:val="20"/>
        </w:rPr>
        <w:t>lower</w:t>
      </w:r>
      <w:proofErr w:type="spellEnd"/>
      <w:r>
        <w:rPr>
          <w:sz w:val="20"/>
          <w:szCs w:val="20"/>
        </w:rPr>
        <w:t xml:space="preserve"> </w:t>
      </w:r>
      <w:proofErr w:type="spellStart"/>
      <w:r>
        <w:rPr>
          <w:sz w:val="20"/>
          <w:szCs w:val="20"/>
        </w:rPr>
        <w:t>stereotypes</w:t>
      </w:r>
      <w:proofErr w:type="spellEnd"/>
      <w:r>
        <w:rPr>
          <w:sz w:val="20"/>
          <w:szCs w:val="20"/>
        </w:rPr>
        <w:t xml:space="preserve">, </w:t>
      </w:r>
      <w:proofErr w:type="spellStart"/>
      <w:r>
        <w:rPr>
          <w:sz w:val="20"/>
          <w:szCs w:val="20"/>
        </w:rPr>
        <w:t>whereas</w:t>
      </w:r>
      <w:proofErr w:type="spellEnd"/>
      <w:r>
        <w:rPr>
          <w:sz w:val="20"/>
          <w:szCs w:val="20"/>
        </w:rPr>
        <w:t xml:space="preserve"> no </w:t>
      </w:r>
      <w:proofErr w:type="spellStart"/>
      <w:r>
        <w:rPr>
          <w:sz w:val="20"/>
          <w:szCs w:val="20"/>
        </w:rPr>
        <w:t>significant</w:t>
      </w:r>
      <w:proofErr w:type="spellEnd"/>
      <w:r>
        <w:rPr>
          <w:sz w:val="20"/>
          <w:szCs w:val="20"/>
        </w:rPr>
        <w:t xml:space="preserve"> </w:t>
      </w:r>
      <w:proofErr w:type="spellStart"/>
      <w:r>
        <w:rPr>
          <w:sz w:val="20"/>
          <w:szCs w:val="20"/>
        </w:rPr>
        <w:t>differences</w:t>
      </w:r>
      <w:proofErr w:type="spellEnd"/>
      <w:r>
        <w:rPr>
          <w:sz w:val="20"/>
          <w:szCs w:val="20"/>
        </w:rPr>
        <w:t xml:space="preserve"> </w:t>
      </w:r>
      <w:proofErr w:type="spellStart"/>
      <w:r>
        <w:rPr>
          <w:sz w:val="20"/>
          <w:szCs w:val="20"/>
        </w:rPr>
        <w:t>were</w:t>
      </w:r>
      <w:proofErr w:type="spellEnd"/>
      <w:r>
        <w:rPr>
          <w:sz w:val="20"/>
          <w:szCs w:val="20"/>
        </w:rPr>
        <w:t xml:space="preserve"> </w:t>
      </w:r>
      <w:proofErr w:type="spellStart"/>
      <w:r>
        <w:rPr>
          <w:sz w:val="20"/>
          <w:szCs w:val="20"/>
        </w:rPr>
        <w:t>observed</w:t>
      </w:r>
      <w:proofErr w:type="spellEnd"/>
      <w:r>
        <w:rPr>
          <w:sz w:val="20"/>
          <w:szCs w:val="20"/>
        </w:rPr>
        <w:t xml:space="preserve"> </w:t>
      </w:r>
      <w:proofErr w:type="spellStart"/>
      <w:r>
        <w:rPr>
          <w:sz w:val="20"/>
          <w:szCs w:val="20"/>
        </w:rPr>
        <w:t>among</w:t>
      </w:r>
      <w:proofErr w:type="spellEnd"/>
      <w:r>
        <w:rPr>
          <w:sz w:val="20"/>
          <w:szCs w:val="20"/>
        </w:rPr>
        <w:t xml:space="preserve"> </w:t>
      </w:r>
      <w:proofErr w:type="spellStart"/>
      <w:r>
        <w:rPr>
          <w:sz w:val="20"/>
          <w:szCs w:val="20"/>
        </w:rPr>
        <w:t>Nursing</w:t>
      </w:r>
      <w:proofErr w:type="spellEnd"/>
      <w:r>
        <w:rPr>
          <w:sz w:val="20"/>
          <w:szCs w:val="20"/>
        </w:rPr>
        <w:t xml:space="preserve"> </w:t>
      </w:r>
      <w:proofErr w:type="spellStart"/>
      <w:r>
        <w:rPr>
          <w:sz w:val="20"/>
          <w:szCs w:val="20"/>
        </w:rPr>
        <w:t>students</w:t>
      </w:r>
      <w:proofErr w:type="spellEnd"/>
      <w:r>
        <w:rPr>
          <w:sz w:val="20"/>
          <w:szCs w:val="20"/>
        </w:rPr>
        <w:t>. </w:t>
      </w:r>
    </w:p>
    <w:p w14:paraId="0000000A" w14:textId="77777777" w:rsidR="00EC274E" w:rsidRDefault="00EC274E">
      <w:pPr>
        <w:rPr>
          <w:sz w:val="20"/>
          <w:szCs w:val="20"/>
        </w:rPr>
      </w:pPr>
    </w:p>
    <w:p w14:paraId="0000000B" w14:textId="77777777" w:rsidR="00EC274E" w:rsidRDefault="00A718BA">
      <w:pPr>
        <w:rPr>
          <w:b/>
          <w:bCs/>
          <w:sz w:val="20"/>
          <w:szCs w:val="20"/>
        </w:rPr>
      </w:pPr>
      <w:proofErr w:type="spellStart"/>
      <w:r>
        <w:rPr>
          <w:b/>
          <w:bCs/>
          <w:sz w:val="20"/>
          <w:szCs w:val="20"/>
        </w:rPr>
        <w:t>Keywords</w:t>
      </w:r>
      <w:proofErr w:type="spellEnd"/>
    </w:p>
    <w:p w14:paraId="0000000C" w14:textId="77777777" w:rsidR="00EC274E" w:rsidRDefault="00A718BA">
      <w:pPr>
        <w:jc w:val="both"/>
        <w:rPr>
          <w:sz w:val="20"/>
          <w:szCs w:val="20"/>
        </w:rPr>
      </w:pPr>
      <w:proofErr w:type="spellStart"/>
      <w:r>
        <w:rPr>
          <w:sz w:val="20"/>
          <w:szCs w:val="20"/>
        </w:rPr>
        <w:t>Aging</w:t>
      </w:r>
      <w:proofErr w:type="spellEnd"/>
      <w:r>
        <w:rPr>
          <w:sz w:val="20"/>
          <w:szCs w:val="20"/>
        </w:rPr>
        <w:t xml:space="preserve">, </w:t>
      </w:r>
      <w:proofErr w:type="spellStart"/>
      <w:r>
        <w:rPr>
          <w:sz w:val="20"/>
          <w:szCs w:val="20"/>
        </w:rPr>
        <w:t>stereotype</w:t>
      </w:r>
      <w:proofErr w:type="spellEnd"/>
      <w:r>
        <w:rPr>
          <w:sz w:val="20"/>
          <w:szCs w:val="20"/>
        </w:rPr>
        <w:t xml:space="preserve">, </w:t>
      </w:r>
      <w:proofErr w:type="spellStart"/>
      <w:r>
        <w:rPr>
          <w:sz w:val="20"/>
          <w:szCs w:val="20"/>
        </w:rPr>
        <w:t>education</w:t>
      </w:r>
      <w:proofErr w:type="spellEnd"/>
      <w:r>
        <w:rPr>
          <w:sz w:val="20"/>
          <w:szCs w:val="20"/>
        </w:rPr>
        <w:t xml:space="preserve">, </w:t>
      </w:r>
      <w:proofErr w:type="spellStart"/>
      <w:r>
        <w:rPr>
          <w:sz w:val="20"/>
          <w:szCs w:val="20"/>
        </w:rPr>
        <w:t>contact</w:t>
      </w:r>
      <w:proofErr w:type="spellEnd"/>
      <w:r>
        <w:rPr>
          <w:sz w:val="20"/>
          <w:szCs w:val="20"/>
        </w:rPr>
        <w:t xml:space="preserve">, </w:t>
      </w:r>
      <w:proofErr w:type="spellStart"/>
      <w:r>
        <w:rPr>
          <w:sz w:val="20"/>
          <w:szCs w:val="20"/>
        </w:rPr>
        <w:t>prejudice</w:t>
      </w:r>
      <w:proofErr w:type="spellEnd"/>
    </w:p>
    <w:p w14:paraId="0000000D" w14:textId="77777777" w:rsidR="00EC274E" w:rsidRDefault="00A718BA">
      <w:pPr>
        <w:pBdr>
          <w:top w:val="nil"/>
          <w:left w:val="nil"/>
          <w:bottom w:val="nil"/>
          <w:right w:val="nil"/>
          <w:between w:val="nil"/>
        </w:pBdr>
        <w:spacing w:after="120"/>
        <w:jc w:val="center"/>
        <w:rPr>
          <w:b/>
          <w:bCs/>
          <w:smallCaps/>
          <w:color w:val="000000"/>
          <w:sz w:val="20"/>
          <w:szCs w:val="20"/>
        </w:rPr>
      </w:pPr>
      <w:r>
        <w:rPr>
          <w:b/>
          <w:bCs/>
          <w:smallCaps/>
          <w:color w:val="000000"/>
          <w:sz w:val="20"/>
          <w:szCs w:val="20"/>
        </w:rPr>
        <w:t>Resumen</w:t>
      </w:r>
    </w:p>
    <w:p w14:paraId="0000000E" w14:textId="22F624AA" w:rsidR="00EC274E" w:rsidRDefault="00A718BA" w:rsidP="00C01AF4">
      <w:pPr>
        <w:jc w:val="both"/>
        <w:rPr>
          <w:sz w:val="20"/>
          <w:szCs w:val="20"/>
        </w:rPr>
      </w:pPr>
      <w:r>
        <w:rPr>
          <w:sz w:val="20"/>
          <w:szCs w:val="20"/>
        </w:rPr>
        <w:t xml:space="preserve">Hay evidencias de que existen estereotipos negativos hacia las personas </w:t>
      </w:r>
      <w:r>
        <w:rPr>
          <w:sz w:val="20"/>
          <w:szCs w:val="20"/>
        </w:rPr>
        <w:t>mayores entre el personal de salud, lo cual puede influir en la calidad del cuidado brindado. El objetivo del presente estudio es conocer y comparar los estereotipos negativos hacia la vejez entre estudiantes de las licenciaturas en enfermería y psicología</w:t>
      </w:r>
      <w:r>
        <w:rPr>
          <w:sz w:val="20"/>
          <w:szCs w:val="20"/>
        </w:rPr>
        <w:t xml:space="preserve"> de la Universidad de la República. Para evaluar los niveles de estereotipos, se aplicó el Cuestionario de Estereotipos Negativos hacia la Vejez (CENVE), compuesto por 15 ítems distribuidos en tres subescalas: salud, motivación social y carácter-personalid</w:t>
      </w:r>
      <w:r>
        <w:rPr>
          <w:sz w:val="20"/>
          <w:szCs w:val="20"/>
        </w:rPr>
        <w:t>ad. La media de las puntuaciones obtenidas en el CENVE fue de 35 puntos para enfermería y 30 puntos para psicología, lo que indica niveles bajos de estereotipos hacia el envejecimiento. En estudiantes de Psicología, el avance curricular y la realización de</w:t>
      </w:r>
      <w:r>
        <w:rPr>
          <w:sz w:val="20"/>
          <w:szCs w:val="20"/>
        </w:rPr>
        <w:t xml:space="preserve"> cursos sobre envejecimiento se asoció con menores estereotipos hacia la vejez, mientras</w:t>
      </w:r>
      <w:r w:rsidR="00C01AF4">
        <w:rPr>
          <w:sz w:val="20"/>
          <w:szCs w:val="20"/>
        </w:rPr>
        <w:t xml:space="preserve"> </w:t>
      </w:r>
      <w:r>
        <w:rPr>
          <w:sz w:val="20"/>
          <w:szCs w:val="20"/>
        </w:rPr>
        <w:t>que en Enfermería</w:t>
      </w:r>
      <w:r w:rsidR="00C01AF4">
        <w:rPr>
          <w:sz w:val="20"/>
          <w:szCs w:val="20"/>
        </w:rPr>
        <w:t xml:space="preserve"> </w:t>
      </w:r>
      <w:r>
        <w:rPr>
          <w:sz w:val="20"/>
          <w:szCs w:val="20"/>
        </w:rPr>
        <w:t>no se observaron diferencias significativas.</w:t>
      </w:r>
      <w:r>
        <w:rPr>
          <w:sz w:val="20"/>
          <w:szCs w:val="20"/>
        </w:rPr>
        <w:br/>
      </w:r>
    </w:p>
    <w:p w14:paraId="0000000F" w14:textId="77777777" w:rsidR="00EC274E" w:rsidRDefault="00A718BA">
      <w:pPr>
        <w:jc w:val="both"/>
        <w:rPr>
          <w:b/>
          <w:bCs/>
          <w:sz w:val="20"/>
          <w:szCs w:val="20"/>
        </w:rPr>
      </w:pPr>
      <w:r>
        <w:rPr>
          <w:b/>
          <w:bCs/>
          <w:sz w:val="20"/>
          <w:szCs w:val="20"/>
        </w:rPr>
        <w:t>Palabras clave</w:t>
      </w:r>
    </w:p>
    <w:p w14:paraId="00000010" w14:textId="77777777" w:rsidR="00EC274E" w:rsidRDefault="00A718BA">
      <w:pPr>
        <w:jc w:val="both"/>
        <w:rPr>
          <w:sz w:val="20"/>
          <w:szCs w:val="20"/>
        </w:rPr>
      </w:pPr>
      <w:r>
        <w:rPr>
          <w:sz w:val="20"/>
          <w:szCs w:val="20"/>
        </w:rPr>
        <w:t>Envejecimiento, estereotipo, formación, contacto, prejuicio.</w:t>
      </w:r>
      <w:r>
        <w:rPr>
          <w:noProof/>
        </w:rPr>
        <w:drawing>
          <wp:anchor distT="0" distB="0" distL="114300" distR="114300" simplePos="0" relativeHeight="251659264" behindDoc="0" locked="0" layoutInCell="1" hidden="0" allowOverlap="1">
            <wp:simplePos x="0" y="0"/>
            <wp:positionH relativeFrom="column">
              <wp:posOffset>5400675</wp:posOffset>
            </wp:positionH>
            <wp:positionV relativeFrom="paragraph">
              <wp:posOffset>0</wp:posOffset>
            </wp:positionV>
            <wp:extent cx="396000" cy="259200"/>
            <wp:effectExtent l="0" t="0" r="0" b="0"/>
            <wp:wrapNone/>
            <wp:docPr id="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96000" cy="259200"/>
                    </a:xfrm>
                    <a:prstGeom prst="rect">
                      <a:avLst/>
                    </a:prstGeom>
                    <a:ln/>
                  </pic:spPr>
                </pic:pic>
              </a:graphicData>
            </a:graphic>
          </wp:anchor>
        </w:drawing>
      </w:r>
    </w:p>
    <w:p w14:paraId="00000011" w14:textId="77777777" w:rsidR="00EC274E" w:rsidRDefault="00EC274E">
      <w:pPr>
        <w:rPr>
          <w:b/>
          <w:bCs/>
        </w:rPr>
      </w:pPr>
    </w:p>
    <w:p w14:paraId="00000012" w14:textId="77777777" w:rsidR="00EC274E" w:rsidRPr="001373C6" w:rsidRDefault="00A718BA" w:rsidP="00363304">
      <w:pPr>
        <w:pBdr>
          <w:top w:val="nil"/>
          <w:left w:val="nil"/>
          <w:bottom w:val="nil"/>
          <w:right w:val="nil"/>
          <w:between w:val="nil"/>
        </w:pBdr>
        <w:jc w:val="center"/>
        <w:rPr>
          <w:color w:val="000000"/>
        </w:rPr>
      </w:pPr>
      <w:r>
        <w:br w:type="page"/>
      </w:r>
      <w:r w:rsidRPr="001373C6">
        <w:rPr>
          <w:b/>
          <w:bCs/>
          <w:color w:val="000000"/>
        </w:rPr>
        <w:lastRenderedPageBreak/>
        <w:t>Estereotipos y prejuicios hacia la vejez en estudiantes de la Licenciatura en Enfermería y Psicología en Uruguay</w:t>
      </w:r>
      <w:r w:rsidRPr="001373C6">
        <w:rPr>
          <w:color w:val="000000"/>
        </w:rPr>
        <w:t> </w:t>
      </w:r>
    </w:p>
    <w:p w14:paraId="00000013" w14:textId="77777777" w:rsidR="00EC274E" w:rsidRPr="001373C6" w:rsidRDefault="00EC274E" w:rsidP="00363304">
      <w:pPr>
        <w:pBdr>
          <w:top w:val="nil"/>
          <w:left w:val="nil"/>
          <w:bottom w:val="nil"/>
          <w:right w:val="nil"/>
          <w:between w:val="nil"/>
        </w:pBdr>
        <w:jc w:val="center"/>
        <w:rPr>
          <w:color w:val="000000"/>
        </w:rPr>
      </w:pPr>
    </w:p>
    <w:p w14:paraId="00000014" w14:textId="77777777" w:rsidR="00EC274E" w:rsidRPr="001373C6" w:rsidRDefault="00A718BA" w:rsidP="00363304">
      <w:pPr>
        <w:pBdr>
          <w:top w:val="nil"/>
          <w:left w:val="nil"/>
          <w:bottom w:val="nil"/>
          <w:right w:val="nil"/>
          <w:between w:val="nil"/>
        </w:pBdr>
        <w:spacing w:line="360" w:lineRule="auto"/>
        <w:rPr>
          <w:b/>
          <w:bCs/>
          <w:color w:val="000000"/>
        </w:rPr>
      </w:pPr>
      <w:r w:rsidRPr="001373C6">
        <w:rPr>
          <w:b/>
          <w:bCs/>
          <w:color w:val="000000"/>
        </w:rPr>
        <w:t>Introducción</w:t>
      </w:r>
    </w:p>
    <w:p w14:paraId="00000015" w14:textId="77777777" w:rsidR="00EC274E" w:rsidRPr="001373C6" w:rsidRDefault="00EC274E" w:rsidP="00363304">
      <w:pPr>
        <w:pBdr>
          <w:top w:val="nil"/>
          <w:left w:val="nil"/>
          <w:bottom w:val="nil"/>
          <w:right w:val="nil"/>
          <w:between w:val="nil"/>
        </w:pBdr>
        <w:spacing w:line="360" w:lineRule="auto"/>
        <w:jc w:val="center"/>
        <w:rPr>
          <w:b/>
          <w:bCs/>
          <w:color w:val="000000"/>
        </w:rPr>
      </w:pPr>
    </w:p>
    <w:p w14:paraId="00000016" w14:textId="77777777" w:rsidR="00EC274E" w:rsidRPr="001373C6" w:rsidRDefault="00A718BA" w:rsidP="00363304">
      <w:pPr>
        <w:pBdr>
          <w:top w:val="nil"/>
          <w:left w:val="nil"/>
          <w:bottom w:val="nil"/>
          <w:right w:val="nil"/>
          <w:between w:val="nil"/>
        </w:pBdr>
        <w:spacing w:line="360" w:lineRule="auto"/>
        <w:jc w:val="both"/>
        <w:rPr>
          <w:color w:val="000000"/>
        </w:rPr>
      </w:pPr>
      <w:r w:rsidRPr="001373C6">
        <w:rPr>
          <w:color w:val="000000"/>
        </w:rPr>
        <w:t>Durante los últimos años se ha producido un notable aumento de las personas mayores a escala global. Según se prevé, para final</w:t>
      </w:r>
      <w:r w:rsidRPr="001373C6">
        <w:rPr>
          <w:color w:val="000000"/>
        </w:rPr>
        <w:t xml:space="preserve">es de la década de 2070, la población mundial de 65 años o más alcanzará los 2200 millones, superando así la cantidad de menores de 18 años (UN, 2024). </w:t>
      </w:r>
      <w:r w:rsidRPr="001373C6">
        <w:t>También e</w:t>
      </w:r>
      <w:r w:rsidRPr="001373C6">
        <w:rPr>
          <w:color w:val="000000"/>
        </w:rPr>
        <w:t xml:space="preserve">l envejecimiento poblacional en América Latina </w:t>
      </w:r>
      <w:r w:rsidRPr="001373C6">
        <w:t>y el Caribe se ha incrementado en las últimas dé</w:t>
      </w:r>
      <w:r w:rsidRPr="001373C6">
        <w:t>cadas: las personas de 60 años y más representaban el 13,4 % de la población en 2022, y se proyecta que para 2050 alcance una cuarta parte de la población total (CEPAL, 2022)</w:t>
      </w:r>
      <w:r w:rsidRPr="001373C6">
        <w:rPr>
          <w:color w:val="000000"/>
        </w:rPr>
        <w:t xml:space="preserve">. </w:t>
      </w:r>
      <w:r w:rsidRPr="001373C6">
        <w:t xml:space="preserve">En la región, </w:t>
      </w:r>
      <w:r w:rsidRPr="001373C6">
        <w:rPr>
          <w:color w:val="000000"/>
        </w:rPr>
        <w:t xml:space="preserve">Uruguay es uno de los países con mayor proporción de </w:t>
      </w:r>
      <w:r w:rsidRPr="001373C6">
        <w:t>personas</w:t>
      </w:r>
      <w:r w:rsidRPr="001373C6">
        <w:rPr>
          <w:color w:val="000000"/>
        </w:rPr>
        <w:t xml:space="preserve"> mayo</w:t>
      </w:r>
      <w:r w:rsidRPr="001373C6">
        <w:rPr>
          <w:color w:val="000000"/>
        </w:rPr>
        <w:t>res en América Latina, con cerca del 20% de su población mayor de 60 años. Este fenómeno es resultado de una combinación de factores, entre ellos la alta esperanza de vida (aproximadamente 80 años para mujeres y 74 para hombres) y una baja tasa de natalida</w:t>
      </w:r>
      <w:r w:rsidRPr="001373C6">
        <w:rPr>
          <w:color w:val="000000"/>
        </w:rPr>
        <w:t>d. Además, la emigración de jóvenes ha contribuido a un proceso de envejecimiento acelerado, generando importantes desafíos para el sistema de salud y las políticas de cuidados​ (</w:t>
      </w:r>
      <w:r w:rsidRPr="001373C6">
        <w:t>MIDES</w:t>
      </w:r>
      <w:r w:rsidRPr="001373C6">
        <w:rPr>
          <w:color w:val="000000"/>
        </w:rPr>
        <w:t>, 2019; I</w:t>
      </w:r>
      <w:r w:rsidRPr="001373C6">
        <w:t>NE</w:t>
      </w:r>
      <w:r w:rsidRPr="001373C6">
        <w:rPr>
          <w:color w:val="000000"/>
        </w:rPr>
        <w:t xml:space="preserve"> 2023). </w:t>
      </w:r>
    </w:p>
    <w:p w14:paraId="00000017" w14:textId="77777777" w:rsidR="00EC274E" w:rsidRPr="001373C6" w:rsidRDefault="00A718BA" w:rsidP="00363304">
      <w:pPr>
        <w:pBdr>
          <w:top w:val="nil"/>
          <w:left w:val="nil"/>
          <w:bottom w:val="nil"/>
          <w:right w:val="nil"/>
          <w:between w:val="nil"/>
        </w:pBdr>
        <w:spacing w:line="360" w:lineRule="auto"/>
        <w:jc w:val="both"/>
      </w:pPr>
      <w:r w:rsidRPr="001373C6">
        <w:t>Diferentes e</w:t>
      </w:r>
      <w:r w:rsidRPr="001373C6">
        <w:rPr>
          <w:color w:val="000000"/>
        </w:rPr>
        <w:t>studios han revelado la existencia de cr</w:t>
      </w:r>
      <w:r w:rsidRPr="001373C6">
        <w:rPr>
          <w:color w:val="000000"/>
        </w:rPr>
        <w:t xml:space="preserve">eencias y prejuicios negativos hacia </w:t>
      </w:r>
      <w:r w:rsidRPr="001373C6">
        <w:t>la vejez en distintos contextos, tanto educativos como sanitarios, y en diversas poblaciones (Allan &amp; Johnson, 2009; Blanca, Sánchez &amp; Torres, 2005; Butler, 1969; Gallegos &amp; Rojas, 2012; García &amp; Muñoz, 2015; Sarabia Co</w:t>
      </w:r>
      <w:r w:rsidRPr="001373C6">
        <w:t>bo &amp; Castanedo Pfeiffer, 2015).</w:t>
      </w:r>
      <w:r w:rsidRPr="001373C6">
        <w:rPr>
          <w:color w:val="000000"/>
        </w:rPr>
        <w:t xml:space="preserve"> </w:t>
      </w:r>
      <w:r w:rsidRPr="001373C6">
        <w:t>Los estereotipos son creencias generalizadas que asignan rasgos específicos a miembros de ciertos grupos sociales, asumiendo que todos los integrantes de dicho grupo poseen estas características. Las percepciones o ideas sob</w:t>
      </w:r>
      <w:r w:rsidRPr="001373C6">
        <w:t xml:space="preserve">re el proceso de envejecimiento y la vejez, cuando incluyen valoraciones positivas o negativas, se transforman en actitudes o prejuicios que pueden propiciar comportamientos discriminatorios hacia las personas mayores, e inclusive, hacia el envejecimiento </w:t>
      </w:r>
      <w:r w:rsidRPr="001373C6">
        <w:t>propio (Sarabia y Castanedo, 2015). Estos atributos equivocados o infundados pueden ser vinculados con el deterioro y la enfermedad en la vejez, lo que contribuye a generar una percepción distorsionada y reduccionista del proceso de envejecimiento. Asimism</w:t>
      </w:r>
      <w:r w:rsidRPr="001373C6">
        <w:t>o, las representaciones sociales sobre la vejez ejercen un impacto en la autopercepción de las personas mayores, quienes tienden a internalizar la imagen que predomina en el discurso social (</w:t>
      </w:r>
      <w:proofErr w:type="spellStart"/>
      <w:r w:rsidRPr="001373C6">
        <w:t>Monchietti</w:t>
      </w:r>
      <w:proofErr w:type="spellEnd"/>
      <w:r w:rsidRPr="001373C6">
        <w:t xml:space="preserve"> y Lombardo, 2000).</w:t>
      </w:r>
    </w:p>
    <w:p w14:paraId="0000001D" w14:textId="77777777" w:rsidR="00EC274E" w:rsidRPr="001373C6" w:rsidRDefault="00A718BA" w:rsidP="00363304">
      <w:pPr>
        <w:pBdr>
          <w:top w:val="nil"/>
          <w:left w:val="nil"/>
          <w:bottom w:val="nil"/>
          <w:right w:val="nil"/>
          <w:between w:val="nil"/>
        </w:pBdr>
        <w:spacing w:line="360" w:lineRule="auto"/>
        <w:jc w:val="both"/>
      </w:pPr>
      <w:bookmarkStart w:id="0" w:name="_heading=h.jmseso4yrqpi" w:colFirst="0" w:colLast="0"/>
      <w:bookmarkEnd w:id="0"/>
      <w:r w:rsidRPr="001373C6">
        <w:lastRenderedPageBreak/>
        <w:t xml:space="preserve">Se ha encontrado evidencia de </w:t>
      </w:r>
      <w:r w:rsidRPr="001373C6">
        <w:t>que algunos profesionales de la salud mantienen estereotipos negativos hacia el envejecimiento, lo cual puede repercutir en sus actitudes y, en consecuencia, puede comprometer la calidad de la atención brindada a esta población (Franco et al., 2010). En es</w:t>
      </w:r>
      <w:r w:rsidRPr="001373C6">
        <w:t xml:space="preserve">ta línea, estudios recientes muestran que incluso entre psicoterapeutas persisten estereotipos negativos, particularmente en el aspecto motivacional-social, lo que indica la existencia de actitudes </w:t>
      </w:r>
      <w:proofErr w:type="spellStart"/>
      <w:r w:rsidRPr="001373C6">
        <w:t>edadistas</w:t>
      </w:r>
      <w:proofErr w:type="spellEnd"/>
      <w:r w:rsidRPr="001373C6">
        <w:t xml:space="preserve"> sutiles que podrían incidir en el vínculo terapé</w:t>
      </w:r>
      <w:r w:rsidRPr="001373C6">
        <w:t>utico y en la atención de este grupo de personas (Rodríguez-Mora, 2023).</w:t>
      </w:r>
    </w:p>
    <w:p w14:paraId="0000001E" w14:textId="77777777" w:rsidR="00EC274E" w:rsidRPr="001373C6" w:rsidRDefault="00A718BA" w:rsidP="00363304">
      <w:pPr>
        <w:pBdr>
          <w:top w:val="nil"/>
          <w:left w:val="nil"/>
          <w:bottom w:val="nil"/>
          <w:right w:val="nil"/>
          <w:between w:val="nil"/>
        </w:pBdr>
        <w:spacing w:line="360" w:lineRule="auto"/>
        <w:jc w:val="both"/>
        <w:rPr>
          <w:color w:val="000000"/>
        </w:rPr>
      </w:pPr>
      <w:r w:rsidRPr="001373C6">
        <w:t>Asimismo, la Organización Mundial de la Salud (2015) sostiene que entornos físicos y sociales influyen de manera directa en la salud física y mental: cuando las personas mayores se exponen a un entorno sociocultural que las desvaloriza y reduce sus capacid</w:t>
      </w:r>
      <w:r w:rsidRPr="001373C6">
        <w:t xml:space="preserve">ades vitales y creativas, es más probable que se distancien de estas actividades que pueden enriquecer su vida cotidiana. Este efecto negativo no solo se limita a las personas mayores, sino que también se observa en los profesionales de la salud, quienes, </w:t>
      </w:r>
      <w:r w:rsidRPr="001373C6">
        <w:t>en ocasiones, confunden procesos patológicos con manifestaciones normales de envejecimiento (</w:t>
      </w:r>
      <w:proofErr w:type="spellStart"/>
      <w:r w:rsidRPr="001373C6">
        <w:t>Monchietti</w:t>
      </w:r>
      <w:proofErr w:type="spellEnd"/>
      <w:r w:rsidRPr="001373C6">
        <w:t xml:space="preserve"> y Lombardo, 2000). En estas situaciones se refleja la influencia de una representación social negativa de la vejez en la calidad de atención hacia esta </w:t>
      </w:r>
      <w:r w:rsidRPr="001373C6">
        <w:t>población L</w:t>
      </w:r>
      <w:r w:rsidRPr="001373C6">
        <w:rPr>
          <w:color w:val="000000"/>
        </w:rPr>
        <w:t xml:space="preserve">os estereotipos negativos hacia el envejecimiento no solo </w:t>
      </w:r>
      <w:r w:rsidRPr="001373C6">
        <w:t>condicionan</w:t>
      </w:r>
      <w:r w:rsidRPr="001373C6">
        <w:rPr>
          <w:color w:val="000000"/>
        </w:rPr>
        <w:t xml:space="preserve"> la percepción, sino que también </w:t>
      </w:r>
      <w:r w:rsidRPr="001373C6">
        <w:t xml:space="preserve">restringen las </w:t>
      </w:r>
      <w:r w:rsidRPr="001373C6">
        <w:rPr>
          <w:color w:val="000000"/>
        </w:rPr>
        <w:t>oportunidades de interacción y v</w:t>
      </w:r>
      <w:r w:rsidRPr="001373C6">
        <w:t>í</w:t>
      </w:r>
      <w:r w:rsidRPr="001373C6">
        <w:rPr>
          <w:color w:val="000000"/>
        </w:rPr>
        <w:t xml:space="preserve">nculo. En el ámbito sanitario, estos </w:t>
      </w:r>
      <w:r w:rsidRPr="001373C6">
        <w:t>estereotipos</w:t>
      </w:r>
      <w:r w:rsidRPr="001373C6">
        <w:rPr>
          <w:color w:val="000000"/>
        </w:rPr>
        <w:t xml:space="preserve"> </w:t>
      </w:r>
      <w:r w:rsidRPr="001373C6">
        <w:t>inciden</w:t>
      </w:r>
      <w:r w:rsidRPr="001373C6">
        <w:rPr>
          <w:color w:val="000000"/>
        </w:rPr>
        <w:t xml:space="preserve"> en la relación y el trabajo con las p</w:t>
      </w:r>
      <w:r w:rsidRPr="001373C6">
        <w:rPr>
          <w:color w:val="000000"/>
        </w:rPr>
        <w:t xml:space="preserve">ersonas mayores, </w:t>
      </w:r>
      <w:r w:rsidRPr="001373C6">
        <w:t>pudiendo generar</w:t>
      </w:r>
      <w:r w:rsidRPr="001373C6">
        <w:rPr>
          <w:color w:val="000000"/>
        </w:rPr>
        <w:t xml:space="preserve"> incomodidad</w:t>
      </w:r>
      <w:r w:rsidRPr="001373C6">
        <w:t xml:space="preserve"> tanto en los profesionales como en los usuarios durante la atención (</w:t>
      </w:r>
      <w:r w:rsidRPr="001373C6">
        <w:rPr>
          <w:color w:val="000000"/>
        </w:rPr>
        <w:t xml:space="preserve">Menéndez et al., 2016). </w:t>
      </w:r>
    </w:p>
    <w:p w14:paraId="0000001F" w14:textId="77777777" w:rsidR="00EC274E" w:rsidRPr="001373C6" w:rsidRDefault="00EC274E" w:rsidP="00363304">
      <w:pPr>
        <w:pBdr>
          <w:top w:val="nil"/>
          <w:left w:val="nil"/>
          <w:bottom w:val="nil"/>
          <w:right w:val="nil"/>
          <w:between w:val="nil"/>
        </w:pBdr>
        <w:spacing w:line="360" w:lineRule="auto"/>
        <w:jc w:val="both"/>
      </w:pPr>
    </w:p>
    <w:p w14:paraId="00000020" w14:textId="77777777" w:rsidR="00EC274E" w:rsidRPr="001373C6" w:rsidRDefault="00A718BA" w:rsidP="00363304">
      <w:pPr>
        <w:pBdr>
          <w:top w:val="nil"/>
          <w:left w:val="nil"/>
          <w:bottom w:val="nil"/>
          <w:right w:val="nil"/>
          <w:between w:val="nil"/>
        </w:pBdr>
        <w:spacing w:line="360" w:lineRule="auto"/>
        <w:jc w:val="both"/>
        <w:rPr>
          <w:color w:val="000000"/>
        </w:rPr>
      </w:pPr>
      <w:r w:rsidRPr="001373C6">
        <w:rPr>
          <w:color w:val="000000"/>
        </w:rPr>
        <w:t>Est</w:t>
      </w:r>
      <w:r w:rsidRPr="001373C6">
        <w:t>os</w:t>
      </w:r>
      <w:r w:rsidRPr="001373C6">
        <w:rPr>
          <w:color w:val="000000"/>
        </w:rPr>
        <w:t xml:space="preserve"> hallazgos subrayan la necesidad de implementar estrategias que promuevan un cambio en las percepciones del pe</w:t>
      </w:r>
      <w:r w:rsidRPr="001373C6">
        <w:rPr>
          <w:color w:val="000000"/>
        </w:rPr>
        <w:t>rsonal de salud, fomentando una atención más empática y equitativa hacia esta población. En este sentido, la educación y la formación continua pueden ser herramientas fundamentales para reducir estos estereotipos y mejorar la calidad de atención dirigida a</w:t>
      </w:r>
      <w:r w:rsidRPr="001373C6">
        <w:rPr>
          <w:color w:val="000000"/>
        </w:rPr>
        <w:t xml:space="preserve"> las personas mayores. El modelo PEACE </w:t>
      </w:r>
      <w:r w:rsidRPr="001373C6">
        <w:rPr>
          <w:i/>
          <w:iCs/>
          <w:color w:val="000000"/>
        </w:rPr>
        <w:t xml:space="preserve">(Positive </w:t>
      </w:r>
      <w:proofErr w:type="spellStart"/>
      <w:r w:rsidRPr="001373C6">
        <w:rPr>
          <w:i/>
          <w:iCs/>
          <w:color w:val="000000"/>
        </w:rPr>
        <w:t>Education</w:t>
      </w:r>
      <w:proofErr w:type="spellEnd"/>
      <w:r w:rsidRPr="001373C6">
        <w:rPr>
          <w:i/>
          <w:iCs/>
          <w:color w:val="000000"/>
        </w:rPr>
        <w:t xml:space="preserve"> </w:t>
      </w:r>
      <w:proofErr w:type="spellStart"/>
      <w:r w:rsidRPr="001373C6">
        <w:rPr>
          <w:i/>
          <w:iCs/>
          <w:color w:val="000000"/>
        </w:rPr>
        <w:t>about</w:t>
      </w:r>
      <w:proofErr w:type="spellEnd"/>
      <w:r w:rsidRPr="001373C6">
        <w:rPr>
          <w:i/>
          <w:iCs/>
          <w:color w:val="000000"/>
        </w:rPr>
        <w:t xml:space="preserve"> </w:t>
      </w:r>
      <w:proofErr w:type="spellStart"/>
      <w:r w:rsidRPr="001373C6">
        <w:rPr>
          <w:i/>
          <w:iCs/>
          <w:color w:val="000000"/>
        </w:rPr>
        <w:t>Aging</w:t>
      </w:r>
      <w:proofErr w:type="spellEnd"/>
      <w:r w:rsidRPr="001373C6">
        <w:rPr>
          <w:i/>
          <w:iCs/>
          <w:color w:val="000000"/>
        </w:rPr>
        <w:t xml:space="preserve"> and </w:t>
      </w:r>
      <w:proofErr w:type="spellStart"/>
      <w:r w:rsidRPr="001373C6">
        <w:rPr>
          <w:i/>
          <w:iCs/>
          <w:color w:val="000000"/>
        </w:rPr>
        <w:t>Contact</w:t>
      </w:r>
      <w:proofErr w:type="spellEnd"/>
      <w:r w:rsidRPr="001373C6">
        <w:rPr>
          <w:i/>
          <w:iCs/>
          <w:color w:val="000000"/>
        </w:rPr>
        <w:t xml:space="preserve"> </w:t>
      </w:r>
      <w:proofErr w:type="spellStart"/>
      <w:r w:rsidRPr="001373C6">
        <w:rPr>
          <w:i/>
          <w:iCs/>
          <w:color w:val="000000"/>
        </w:rPr>
        <w:t>Experiences</w:t>
      </w:r>
      <w:proofErr w:type="spellEnd"/>
      <w:r w:rsidRPr="001373C6">
        <w:rPr>
          <w:i/>
          <w:iCs/>
          <w:color w:val="000000"/>
        </w:rPr>
        <w:t>)</w:t>
      </w:r>
      <w:r w:rsidRPr="001373C6">
        <w:rPr>
          <w:color w:val="000000"/>
        </w:rPr>
        <w:t xml:space="preserve">, propuesto por Levy (2016), sugiere que los estereotipos </w:t>
      </w:r>
      <w:proofErr w:type="spellStart"/>
      <w:r w:rsidRPr="001373C6">
        <w:rPr>
          <w:color w:val="000000"/>
        </w:rPr>
        <w:t>edadistas</w:t>
      </w:r>
      <w:proofErr w:type="spellEnd"/>
      <w:r w:rsidRPr="001373C6">
        <w:rPr>
          <w:color w:val="000000"/>
        </w:rPr>
        <w:t xml:space="preserve"> pueden disminuirse mediante dos enfoques interrelacionados: por un lado, la educación enfocad</w:t>
      </w:r>
      <w:r w:rsidRPr="001373C6">
        <w:rPr>
          <w:color w:val="000000"/>
        </w:rPr>
        <w:t>a en proporcionar una visión más realista y positiva de la vejez y el envejecimiento; y por otro, el contacto intergeneracional, que se basa en la interacción directa entre generaciones, permitiendo compartir experiencias y vivencias personales con persona</w:t>
      </w:r>
      <w:r w:rsidRPr="001373C6">
        <w:rPr>
          <w:color w:val="000000"/>
        </w:rPr>
        <w:t xml:space="preserve">s mayores. De esta forma, la combinación de educación y el </w:t>
      </w:r>
      <w:r w:rsidRPr="001373C6">
        <w:rPr>
          <w:color w:val="000000"/>
        </w:rPr>
        <w:lastRenderedPageBreak/>
        <w:t>contacto intergeneracional, cuando se implementa, parece ser una estrategia efectiva para reducir el edadismo que utilizar cualquiera de estas aproximaciones por separado. La educación aporta conoc</w:t>
      </w:r>
      <w:r w:rsidRPr="001373C6">
        <w:rPr>
          <w:color w:val="000000"/>
        </w:rPr>
        <w:t>imientos clave sobre la vejez y el envejecimiento, mientras que el contacto directo con personas mayores ofrece una experiencia de aprendizaje tangible y accesible (Lorente, R., Brotons, P. y Sitges, E., 2020).</w:t>
      </w:r>
    </w:p>
    <w:p w14:paraId="00000021" w14:textId="77777777" w:rsidR="00EC274E" w:rsidRPr="001373C6" w:rsidRDefault="00A718BA" w:rsidP="00363304">
      <w:pPr>
        <w:pBdr>
          <w:top w:val="nil"/>
          <w:left w:val="nil"/>
          <w:bottom w:val="nil"/>
          <w:right w:val="nil"/>
          <w:between w:val="nil"/>
        </w:pBdr>
        <w:spacing w:line="360" w:lineRule="auto"/>
        <w:jc w:val="both"/>
        <w:rPr>
          <w:color w:val="000000"/>
        </w:rPr>
      </w:pPr>
      <w:r w:rsidRPr="001373C6">
        <w:rPr>
          <w:color w:val="000000"/>
        </w:rPr>
        <w:t>Por otro lado, estudios recientes han encontr</w:t>
      </w:r>
      <w:r w:rsidRPr="001373C6">
        <w:rPr>
          <w:color w:val="000000"/>
        </w:rPr>
        <w:t xml:space="preserve">ado que la ansiedad ante el envejecimiento, definida como </w:t>
      </w:r>
      <w:r w:rsidRPr="001373C6">
        <w:t xml:space="preserve">un estado ansioso de preocupación asociado a la anticipación de posibles amenazas del proceso de envejecimiento, </w:t>
      </w:r>
      <w:r w:rsidRPr="001373C6">
        <w:rPr>
          <w:color w:val="000000"/>
        </w:rPr>
        <w:t>está relacionada con el grado de contacto que tienen las personas con adultos mayores</w:t>
      </w:r>
      <w:r w:rsidRPr="001373C6">
        <w:rPr>
          <w:color w:val="000000"/>
        </w:rPr>
        <w:t xml:space="preserve"> (</w:t>
      </w:r>
      <w:proofErr w:type="spellStart"/>
      <w:r w:rsidRPr="001373C6">
        <w:t>Lasher</w:t>
      </w:r>
      <w:proofErr w:type="spellEnd"/>
      <w:r w:rsidRPr="001373C6">
        <w:t xml:space="preserve"> y </w:t>
      </w:r>
      <w:proofErr w:type="spellStart"/>
      <w:r w:rsidRPr="001373C6">
        <w:t>Faulkender</w:t>
      </w:r>
      <w:proofErr w:type="spellEnd"/>
      <w:r w:rsidRPr="001373C6">
        <w:t>, 1993)</w:t>
      </w:r>
      <w:r w:rsidRPr="001373C6">
        <w:rPr>
          <w:color w:val="000000"/>
        </w:rPr>
        <w:t xml:space="preserve">. En esa misma línea, la investigación de Brunton y Scott (2015) desarrolló una escala multidimensional para medir el miedo hacia el envejecimiento, identificando varios hallazgos clave, tales como que los hombres y las mujeres </w:t>
      </w:r>
      <w:r w:rsidRPr="001373C6">
        <w:rPr>
          <w:color w:val="000000"/>
        </w:rPr>
        <w:t>tienen diferentes miedos al envejecimiento; que un contacto de mayor calidad se asocia con una menor ansiedad por el envejecimiento</w:t>
      </w:r>
      <w:r w:rsidRPr="001373C6">
        <w:t xml:space="preserve"> y</w:t>
      </w:r>
      <w:r w:rsidRPr="001373C6">
        <w:rPr>
          <w:color w:val="000000"/>
        </w:rPr>
        <w:t xml:space="preserve"> una mala salud se relaciona con una mayor ansiedad ante el envejecimiento. La investigación de Allan y Johnson (2009) sobr</w:t>
      </w:r>
      <w:r w:rsidRPr="001373C6">
        <w:rPr>
          <w:color w:val="000000"/>
        </w:rPr>
        <w:t xml:space="preserve">e las actitudes de los estudiantes universitarios de Canadá hacia personas mayores reveló que tanto el conocimiento como el contacto directo con mayores influyen en las actitudes </w:t>
      </w:r>
      <w:proofErr w:type="spellStart"/>
      <w:r w:rsidRPr="001373C6">
        <w:rPr>
          <w:color w:val="000000"/>
        </w:rPr>
        <w:t>edadistas</w:t>
      </w:r>
      <w:proofErr w:type="spellEnd"/>
      <w:r w:rsidRPr="001373C6">
        <w:rPr>
          <w:color w:val="000000"/>
        </w:rPr>
        <w:t>. Los resultados mostraron que las personas entre 17 y 49 años que v</w:t>
      </w:r>
      <w:r w:rsidRPr="001373C6">
        <w:rPr>
          <w:color w:val="000000"/>
        </w:rPr>
        <w:t>ivían con personas mayores presentaban más ansiedad por el envejecimiento en comparación con quienes cuidaban a personas mayores de manera profesional. Los resultados sugieren que incrementar el conocimiento acerca del envejecimiento y fomentar interaccion</w:t>
      </w:r>
      <w:r w:rsidRPr="001373C6">
        <w:rPr>
          <w:color w:val="000000"/>
        </w:rPr>
        <w:t>es positivas con personas mayores pueden ser estrategias eficaces para mejorar las actitudes hacia este grupo etario entre los estudiantes universitarios. Sus hallazgos indican que los participantes con mayor conocimiento sobre el envejecimiento solían est</w:t>
      </w:r>
      <w:r w:rsidRPr="001373C6">
        <w:rPr>
          <w:color w:val="000000"/>
        </w:rPr>
        <w:t>ar menos ansiosos; por lo tanto, notoriamente se observó una disminución de las actitudes discriminatorias. Los autores llegan a la conclusión de que el conocimiento del envejecimiento está relacionado con la ansiedad sobre el envejecimiento y el mismo sob</w:t>
      </w:r>
      <w:r w:rsidRPr="001373C6">
        <w:rPr>
          <w:color w:val="000000"/>
        </w:rPr>
        <w:t>re las actitudes hacia las personas mayores (</w:t>
      </w:r>
      <w:r w:rsidRPr="001373C6">
        <w:t>Allan y Johnson, 2009)</w:t>
      </w:r>
      <w:r w:rsidRPr="001373C6">
        <w:rPr>
          <w:color w:val="000000"/>
        </w:rPr>
        <w:t>.</w:t>
      </w:r>
      <w:r w:rsidRPr="001373C6">
        <w:t xml:space="preserve"> L</w:t>
      </w:r>
      <w:r w:rsidRPr="001373C6">
        <w:rPr>
          <w:color w:val="000000"/>
        </w:rPr>
        <w:t>os estudios de Cummings y otros (2000) y Schwartz &amp; Simmons (2001), indican que el contacto diario con personas mayores en el entorno laboral, como colegas, se asocia con una menor ansie</w:t>
      </w:r>
      <w:r w:rsidRPr="001373C6">
        <w:rPr>
          <w:color w:val="000000"/>
        </w:rPr>
        <w:t>dad por el envejecimiento en comparación con el contacto diario en el hogar. Por otro lado, estudios señalan que los cuidadores, tanto profesionales como informales, pueden experimentar una mayor ansiedad sobre el envejecimiento debido a su mayor exposició</w:t>
      </w:r>
      <w:r w:rsidRPr="001373C6">
        <w:rPr>
          <w:color w:val="000000"/>
        </w:rPr>
        <w:t xml:space="preserve">n a los </w:t>
      </w:r>
      <w:r w:rsidRPr="001373C6">
        <w:rPr>
          <w:color w:val="000000"/>
        </w:rPr>
        <w:lastRenderedPageBreak/>
        <w:t xml:space="preserve">aspectos negativos del envejecimiento, lo que puede reforzar estereotipos negativos y aumentar la ansiedad sobre su propio envejecimiento. </w:t>
      </w:r>
    </w:p>
    <w:p w14:paraId="00000022" w14:textId="77777777" w:rsidR="00EC274E" w:rsidRPr="001373C6" w:rsidRDefault="00A718BA" w:rsidP="00363304">
      <w:pPr>
        <w:pBdr>
          <w:top w:val="nil"/>
          <w:left w:val="nil"/>
          <w:bottom w:val="nil"/>
          <w:right w:val="nil"/>
          <w:between w:val="nil"/>
        </w:pBdr>
        <w:spacing w:line="360" w:lineRule="auto"/>
        <w:jc w:val="both"/>
        <w:rPr>
          <w:color w:val="000000"/>
        </w:rPr>
      </w:pPr>
      <w:r w:rsidRPr="001373C6">
        <w:rPr>
          <w:color w:val="000000"/>
        </w:rPr>
        <w:t>Esto muestra cómo los distintos contextos de interacción con personas mayores pueden influir de manera diver</w:t>
      </w:r>
      <w:r w:rsidRPr="001373C6">
        <w:rPr>
          <w:color w:val="000000"/>
        </w:rPr>
        <w:t xml:space="preserve">sa en las emociones y actitudes, especialmente en el desarrollo de percepciones sobre el envejecimiento. Knox, </w:t>
      </w:r>
      <w:proofErr w:type="spellStart"/>
      <w:r w:rsidRPr="001373C6">
        <w:rPr>
          <w:color w:val="000000"/>
        </w:rPr>
        <w:t>Gekoski</w:t>
      </w:r>
      <w:proofErr w:type="spellEnd"/>
      <w:r w:rsidRPr="001373C6">
        <w:rPr>
          <w:color w:val="000000"/>
        </w:rPr>
        <w:t xml:space="preserve"> y Johnson (1986) proponen que el hecho de no encontrar una relación positiva entre el contacto con personas mayores y las actitudes hacia</w:t>
      </w:r>
      <w:r w:rsidRPr="001373C6">
        <w:rPr>
          <w:color w:val="000000"/>
        </w:rPr>
        <w:t xml:space="preserve"> ellos se debe a que la mayoría de las investigaciones se centran en medir la cantidad de contacto sin tener en cuenta la calidad del mismo, siendo este un factor de interés para profundizar sobre los efectos positivos y negativos que genera en las persona</w:t>
      </w:r>
      <w:r w:rsidRPr="001373C6">
        <w:rPr>
          <w:color w:val="000000"/>
        </w:rPr>
        <w:t xml:space="preserve">s. Investigaciones posteriores encuentran, por ejemplo, que las actitudes hacia las personas mayores cuentan con mejores resultados por la calidad del contacto que por la frecuencia del mismo. </w:t>
      </w:r>
    </w:p>
    <w:p w14:paraId="00000023" w14:textId="77777777" w:rsidR="00EC274E" w:rsidRPr="001373C6" w:rsidRDefault="00A718BA" w:rsidP="00363304">
      <w:pPr>
        <w:pBdr>
          <w:top w:val="nil"/>
          <w:left w:val="nil"/>
          <w:bottom w:val="nil"/>
          <w:right w:val="nil"/>
          <w:between w:val="nil"/>
        </w:pBdr>
        <w:spacing w:line="360" w:lineRule="auto"/>
        <w:jc w:val="both"/>
        <w:rPr>
          <w:color w:val="000000"/>
        </w:rPr>
      </w:pPr>
      <w:r w:rsidRPr="001373C6">
        <w:rPr>
          <w:color w:val="000000"/>
        </w:rPr>
        <w:t>En su estudio, María José Blanca Mena y su equipo (2005) en re</w:t>
      </w:r>
      <w:r w:rsidRPr="001373C6">
        <w:rPr>
          <w:color w:val="000000"/>
        </w:rPr>
        <w:t>spuesta a la falta de un instrumento con propiedades psicométricas específicas y adecuadas para evaluar creencias y actitudes hacia la vejez en idioma español, desenvolvieron y aplicaron el cuestionario de estereotipos negativos hacia la vejez en una muest</w:t>
      </w:r>
      <w:r w:rsidRPr="001373C6">
        <w:rPr>
          <w:color w:val="000000"/>
        </w:rPr>
        <w:t>ra de 757 personas mayores de 65 años (399 mujeres y 358 hombres) residentes en la ciudad de Málaga y su provincia. Todas las personas participantes estaban jubiladas y no vivían en residencias, con edades comprendidas entre los 65 y los 96 años. Los resul</w:t>
      </w:r>
      <w:r w:rsidRPr="001373C6">
        <w:rPr>
          <w:color w:val="000000"/>
        </w:rPr>
        <w:t xml:space="preserve">tados obtenidos mostraron que la mayoría de los participantes tienen puntuaciones intermedias respecto a los estereotipos negativos sobre la vejez, mientras que pocos se sitúan en los extremos de alto o bajo. </w:t>
      </w:r>
      <w:r w:rsidRPr="001373C6">
        <w:t xml:space="preserve">Otros estudios indagaron en </w:t>
      </w:r>
      <w:r w:rsidRPr="001373C6">
        <w:rPr>
          <w:color w:val="000000"/>
        </w:rPr>
        <w:t>las actitudes hacia</w:t>
      </w:r>
      <w:r w:rsidRPr="001373C6">
        <w:rPr>
          <w:color w:val="000000"/>
        </w:rPr>
        <w:t xml:space="preserve"> la vejez entre estudiantes de enfermería en España y hallaron que estos presentaban estereotipos negativos moderados, lo que evidenció la necesidad de fortalecer la educación sobre el envejecimiento en los programas de formación (</w:t>
      </w:r>
      <w:r w:rsidRPr="001373C6">
        <w:t>López, Cuesta y Latorre, 2016)</w:t>
      </w:r>
      <w:r w:rsidRPr="001373C6">
        <w:rPr>
          <w:color w:val="000000"/>
        </w:rPr>
        <w:t>. Además, Gallegos y Rojas (2012), en su estudio comparativo entre universitarios de México y España, identificaron diferencias significativas en las actitudes hacia la vejez</w:t>
      </w:r>
      <w:r w:rsidRPr="001373C6">
        <w:t>:</w:t>
      </w:r>
      <w:r w:rsidRPr="001373C6">
        <w:rPr>
          <w:color w:val="000000"/>
        </w:rPr>
        <w:t xml:space="preserve"> los estudiantes de México presentaron niveles más </w:t>
      </w:r>
      <w:r w:rsidRPr="001373C6">
        <w:rPr>
          <w:color w:val="000000"/>
        </w:rPr>
        <w:t>altos de estereotipos negativos hacia la vejez en comparación con los estudiantes de España</w:t>
      </w:r>
      <w:r w:rsidRPr="001373C6">
        <w:t>, l</w:t>
      </w:r>
      <w:r w:rsidRPr="001373C6">
        <w:rPr>
          <w:color w:val="000000"/>
        </w:rPr>
        <w:t>o que puede sugerir que los estereotipos negativos pueden estar influenciados por factores culturales y contextuales específicos de cada país, reflejando variacio</w:t>
      </w:r>
      <w:r w:rsidRPr="001373C6">
        <w:rPr>
          <w:color w:val="000000"/>
        </w:rPr>
        <w:t xml:space="preserve">nes culturales en la percepción del envejecimiento. </w:t>
      </w:r>
    </w:p>
    <w:p w14:paraId="00000024" w14:textId="77777777" w:rsidR="00EC274E" w:rsidRPr="001373C6" w:rsidRDefault="00EC274E" w:rsidP="00363304">
      <w:pPr>
        <w:pBdr>
          <w:top w:val="nil"/>
          <w:left w:val="nil"/>
          <w:bottom w:val="nil"/>
          <w:right w:val="nil"/>
          <w:between w:val="nil"/>
        </w:pBdr>
        <w:spacing w:line="360" w:lineRule="auto"/>
        <w:jc w:val="both"/>
      </w:pPr>
    </w:p>
    <w:p w14:paraId="00000025" w14:textId="77777777" w:rsidR="00EC274E" w:rsidRPr="001373C6" w:rsidRDefault="00A718BA" w:rsidP="00363304">
      <w:pPr>
        <w:pBdr>
          <w:top w:val="nil"/>
          <w:left w:val="nil"/>
          <w:bottom w:val="nil"/>
          <w:right w:val="nil"/>
          <w:between w:val="nil"/>
        </w:pBdr>
        <w:spacing w:line="360" w:lineRule="auto"/>
        <w:jc w:val="both"/>
      </w:pPr>
      <w:r w:rsidRPr="001373C6">
        <w:rPr>
          <w:color w:val="000000"/>
        </w:rPr>
        <w:lastRenderedPageBreak/>
        <w:t>Complementando lo anterior, Agustina Carrasco (2023)</w:t>
      </w:r>
      <w:r w:rsidRPr="001373C6">
        <w:t xml:space="preserve"> comparó niveles de estereotipos negativos hacia la vejez en egresados de un posgrado en Psicogerontología con egresados de una tecnicatura en acompañ</w:t>
      </w:r>
      <w:r w:rsidRPr="001373C6">
        <w:t>amiento terapéutico, utilizando el cuestionario CENVE. Los resultados mostraron que quienes contaban con formación especializada presentaron menores niveles de estereotipos negativos hacia la vejez, lo que sugiere que una formación especializada, puede con</w:t>
      </w:r>
      <w:r w:rsidRPr="001373C6">
        <w:t>tribuir a reducir los prejuicios y mejorar la actitud hacia esta población.</w:t>
      </w:r>
    </w:p>
    <w:p w14:paraId="00000026" w14:textId="77777777" w:rsidR="00EC274E" w:rsidRPr="001373C6" w:rsidRDefault="00EC274E" w:rsidP="00363304">
      <w:pPr>
        <w:pBdr>
          <w:top w:val="nil"/>
          <w:left w:val="nil"/>
          <w:bottom w:val="nil"/>
          <w:right w:val="nil"/>
          <w:between w:val="nil"/>
        </w:pBdr>
        <w:spacing w:line="360" w:lineRule="auto"/>
        <w:jc w:val="center"/>
        <w:rPr>
          <w:color w:val="000000"/>
        </w:rPr>
      </w:pPr>
    </w:p>
    <w:p w14:paraId="00000027" w14:textId="77777777" w:rsidR="00EC274E" w:rsidRPr="001373C6" w:rsidRDefault="00A718BA" w:rsidP="00363304">
      <w:pPr>
        <w:pBdr>
          <w:top w:val="nil"/>
          <w:left w:val="nil"/>
          <w:bottom w:val="nil"/>
          <w:right w:val="nil"/>
          <w:between w:val="nil"/>
        </w:pBdr>
        <w:spacing w:line="360" w:lineRule="auto"/>
        <w:rPr>
          <w:b/>
          <w:bCs/>
          <w:color w:val="000000"/>
        </w:rPr>
      </w:pPr>
      <w:r w:rsidRPr="001373C6">
        <w:rPr>
          <w:b/>
          <w:bCs/>
          <w:color w:val="000000"/>
        </w:rPr>
        <w:t>Objetivo General</w:t>
      </w:r>
    </w:p>
    <w:p w14:paraId="00000028" w14:textId="77777777" w:rsidR="00EC274E" w:rsidRPr="001373C6" w:rsidRDefault="00A718BA" w:rsidP="00363304">
      <w:pPr>
        <w:pBdr>
          <w:top w:val="nil"/>
          <w:left w:val="nil"/>
          <w:bottom w:val="nil"/>
          <w:right w:val="nil"/>
          <w:between w:val="nil"/>
        </w:pBdr>
        <w:spacing w:line="360" w:lineRule="auto"/>
        <w:jc w:val="both"/>
        <w:rPr>
          <w:color w:val="000000"/>
        </w:rPr>
      </w:pPr>
      <w:r w:rsidRPr="001373C6">
        <w:t>Mensurar y comparar</w:t>
      </w:r>
      <w:r w:rsidRPr="001373C6">
        <w:rPr>
          <w:color w:val="000000"/>
        </w:rPr>
        <w:t xml:space="preserve"> los niveles de estereotipos negativos hacia la vejez en estudiantes de la licenciatura en Enfermería y de la licenciatura en Psicología de la </w:t>
      </w:r>
      <w:r w:rsidRPr="001373C6">
        <w:rPr>
          <w:color w:val="000000"/>
        </w:rPr>
        <w:t>Universidad de la República. Analizar la existencia de prejuicios en relación con la formación sobre la temática de la vejez y con relación a las experiencias de interacción con personas mayores.</w:t>
      </w:r>
    </w:p>
    <w:p w14:paraId="00000029" w14:textId="77777777" w:rsidR="00EC274E" w:rsidRPr="001373C6" w:rsidRDefault="00A718BA" w:rsidP="00363304">
      <w:pPr>
        <w:pBdr>
          <w:top w:val="nil"/>
          <w:left w:val="nil"/>
          <w:bottom w:val="nil"/>
          <w:right w:val="nil"/>
          <w:between w:val="nil"/>
        </w:pBdr>
        <w:spacing w:line="360" w:lineRule="auto"/>
        <w:jc w:val="both"/>
        <w:rPr>
          <w:b/>
          <w:bCs/>
          <w:i/>
          <w:iCs/>
          <w:color w:val="000000"/>
        </w:rPr>
      </w:pPr>
      <w:r w:rsidRPr="001373C6">
        <w:rPr>
          <w:b/>
          <w:bCs/>
          <w:i/>
          <w:iCs/>
          <w:color w:val="000000"/>
        </w:rPr>
        <w:t>Participantes</w:t>
      </w:r>
    </w:p>
    <w:p w14:paraId="0000002A" w14:textId="77777777" w:rsidR="00EC274E" w:rsidRPr="001373C6" w:rsidRDefault="00A718BA" w:rsidP="00363304">
      <w:pPr>
        <w:pBdr>
          <w:top w:val="nil"/>
          <w:left w:val="nil"/>
          <w:bottom w:val="nil"/>
          <w:right w:val="nil"/>
          <w:between w:val="nil"/>
        </w:pBdr>
        <w:spacing w:line="360" w:lineRule="auto"/>
        <w:jc w:val="both"/>
        <w:rPr>
          <w:color w:val="000000"/>
        </w:rPr>
      </w:pPr>
      <w:r w:rsidRPr="001373C6">
        <w:t>Participaron estudiantes de la Licenciatura de</w:t>
      </w:r>
      <w:r w:rsidRPr="001373C6">
        <w:t xml:space="preserve"> Enfermería, carrera con 8.000 estudiantes activos, y de Psicología, que contaba con 16.000 estudiantes activos en 2024. Ambas carreras son de la Universidad de la República. En la </w:t>
      </w:r>
      <w:r w:rsidRPr="001373C6">
        <w:rPr>
          <w:color w:val="000000"/>
        </w:rPr>
        <w:t xml:space="preserve">Licenciatura en Enfermería </w:t>
      </w:r>
      <w:r w:rsidRPr="001373C6">
        <w:t xml:space="preserve">se </w:t>
      </w:r>
      <w:r w:rsidRPr="001373C6">
        <w:rPr>
          <w:color w:val="000000"/>
        </w:rPr>
        <w:t>obtuvo una totalidad de 200 respuestas</w:t>
      </w:r>
      <w:r w:rsidRPr="001373C6">
        <w:t>. E</w:t>
      </w:r>
      <w:r w:rsidRPr="001373C6">
        <w:rPr>
          <w:color w:val="000000"/>
        </w:rPr>
        <w:t>l 87</w:t>
      </w:r>
      <w:r w:rsidRPr="001373C6">
        <w:rPr>
          <w:color w:val="000000"/>
        </w:rPr>
        <w:t xml:space="preserve">% de la muestra </w:t>
      </w:r>
      <w:r w:rsidRPr="001373C6">
        <w:t xml:space="preserve">está </w:t>
      </w:r>
      <w:r w:rsidRPr="001373C6">
        <w:rPr>
          <w:color w:val="000000"/>
        </w:rPr>
        <w:t>conformado por mujeres y el restante 13 % por hombres. A su vez, el 95 % tiene nacionalidad uruguaya y el otro 5 % está compuesto por otras nacionalidades</w:t>
      </w:r>
      <w:r w:rsidRPr="001373C6">
        <w:t xml:space="preserve"> (</w:t>
      </w:r>
      <w:r w:rsidRPr="001373C6">
        <w:rPr>
          <w:color w:val="000000"/>
        </w:rPr>
        <w:t>cubana, iraní, peruana y venezolana). El avance curricular reveló que el 32,5 %</w:t>
      </w:r>
      <w:r w:rsidRPr="001373C6">
        <w:rPr>
          <w:color w:val="000000"/>
        </w:rPr>
        <w:t xml:space="preserve"> se encuentra cursando primer año, el 38,5 % segundo año, 9,5 % el tercer año y 19,5 % el cuarto año de la licenciatura. Sobre la formación en temas de envejecimiento, solo un 36% de los participantes había </w:t>
      </w:r>
      <w:r w:rsidRPr="001373C6">
        <w:t>realizado</w:t>
      </w:r>
      <w:r w:rsidRPr="001373C6">
        <w:rPr>
          <w:color w:val="000000"/>
        </w:rPr>
        <w:t xml:space="preserve"> algún curso </w:t>
      </w:r>
      <w:r w:rsidRPr="001373C6">
        <w:t>sobre la temática</w:t>
      </w:r>
      <w:r w:rsidRPr="001373C6">
        <w:rPr>
          <w:color w:val="000000"/>
        </w:rPr>
        <w:t xml:space="preserve">. </w:t>
      </w:r>
      <w:r w:rsidRPr="001373C6">
        <w:t xml:space="preserve">En la </w:t>
      </w:r>
      <w:r w:rsidRPr="001373C6">
        <w:rPr>
          <w:color w:val="000000"/>
        </w:rPr>
        <w:t>Li</w:t>
      </w:r>
      <w:r w:rsidRPr="001373C6">
        <w:rPr>
          <w:color w:val="000000"/>
        </w:rPr>
        <w:t xml:space="preserve">cenciatura en Psicología </w:t>
      </w:r>
      <w:r w:rsidRPr="001373C6">
        <w:t>se obtuvo una muestra de</w:t>
      </w:r>
      <w:r w:rsidRPr="001373C6">
        <w:rPr>
          <w:color w:val="000000"/>
        </w:rPr>
        <w:t xml:space="preserve"> 440 </w:t>
      </w:r>
      <w:r w:rsidRPr="001373C6">
        <w:t>casos</w:t>
      </w:r>
      <w:r w:rsidRPr="001373C6">
        <w:rPr>
          <w:color w:val="000000"/>
        </w:rPr>
        <w:t>. El 87,7 % de la muestra está conformado por mujeres y el restante 12,3% por hombres. A su vez, el 98,4 % tiene nacionalidad uruguaya y el otro 1,6 % restante está compuesto por otras nacionalidad</w:t>
      </w:r>
      <w:r w:rsidRPr="001373C6">
        <w:rPr>
          <w:color w:val="000000"/>
        </w:rPr>
        <w:t>es</w:t>
      </w:r>
      <w:r w:rsidRPr="001373C6">
        <w:t xml:space="preserve"> (</w:t>
      </w:r>
      <w:r w:rsidRPr="001373C6">
        <w:rPr>
          <w:color w:val="000000"/>
        </w:rPr>
        <w:t xml:space="preserve">argentina, chilena, colombiana, italiana y venezolana). </w:t>
      </w:r>
    </w:p>
    <w:p w14:paraId="0000002B" w14:textId="77777777" w:rsidR="00EC274E" w:rsidRPr="001373C6" w:rsidRDefault="00EC274E" w:rsidP="00363304">
      <w:pPr>
        <w:pBdr>
          <w:top w:val="nil"/>
          <w:left w:val="nil"/>
          <w:bottom w:val="nil"/>
          <w:right w:val="nil"/>
          <w:between w:val="nil"/>
        </w:pBdr>
        <w:spacing w:line="360" w:lineRule="auto"/>
        <w:jc w:val="both"/>
        <w:rPr>
          <w:b/>
          <w:bCs/>
          <w:i/>
          <w:iCs/>
        </w:rPr>
      </w:pPr>
    </w:p>
    <w:p w14:paraId="0000002C" w14:textId="77777777" w:rsidR="00EC274E" w:rsidRPr="001373C6" w:rsidRDefault="00A718BA" w:rsidP="00363304">
      <w:pPr>
        <w:pBdr>
          <w:top w:val="nil"/>
          <w:left w:val="nil"/>
          <w:bottom w:val="nil"/>
          <w:right w:val="nil"/>
          <w:between w:val="nil"/>
        </w:pBdr>
        <w:spacing w:line="360" w:lineRule="auto"/>
        <w:jc w:val="both"/>
        <w:rPr>
          <w:b/>
          <w:bCs/>
          <w:i/>
          <w:iCs/>
          <w:color w:val="000000"/>
        </w:rPr>
      </w:pPr>
      <w:r w:rsidRPr="001373C6">
        <w:rPr>
          <w:b/>
          <w:bCs/>
          <w:i/>
          <w:iCs/>
          <w:color w:val="000000"/>
        </w:rPr>
        <w:t>Materiales</w:t>
      </w:r>
    </w:p>
    <w:p w14:paraId="0081BB99" w14:textId="77777777" w:rsidR="00363304" w:rsidRDefault="00A718BA" w:rsidP="00363304">
      <w:pPr>
        <w:pBdr>
          <w:top w:val="nil"/>
          <w:left w:val="nil"/>
          <w:bottom w:val="nil"/>
          <w:right w:val="nil"/>
          <w:between w:val="nil"/>
        </w:pBdr>
        <w:spacing w:line="360" w:lineRule="auto"/>
        <w:jc w:val="both"/>
      </w:pPr>
      <w:r w:rsidRPr="001373C6">
        <w:rPr>
          <w:color w:val="000000"/>
        </w:rPr>
        <w:t xml:space="preserve">Los participantes cumplimentaron un cuestionario que, junto a indicadores sociodemográficos (edad, sexo y nivel de estudios), recogía información de las siguientes dimensiones: </w:t>
      </w:r>
      <w:r w:rsidRPr="001373C6">
        <w:t>a</w:t>
      </w:r>
      <w:r w:rsidRPr="001373C6">
        <w:rPr>
          <w:color w:val="000000"/>
        </w:rPr>
        <w:t>vance curricular (primero, segundo, tercer y cuarto año)</w:t>
      </w:r>
      <w:r w:rsidRPr="001373C6">
        <w:t>;</w:t>
      </w:r>
      <w:r w:rsidRPr="001373C6">
        <w:rPr>
          <w:color w:val="000000"/>
        </w:rPr>
        <w:t xml:space="preserve"> </w:t>
      </w:r>
      <w:r w:rsidRPr="001373C6">
        <w:t>realización de algún</w:t>
      </w:r>
      <w:r w:rsidRPr="001373C6">
        <w:t xml:space="preserve"> c</w:t>
      </w:r>
      <w:r w:rsidRPr="001373C6">
        <w:rPr>
          <w:color w:val="000000"/>
        </w:rPr>
        <w:t xml:space="preserve">urso previo sobre envejecimiento, experiencia laboral </w:t>
      </w:r>
      <w:r w:rsidRPr="001373C6">
        <w:t>en el área y la c</w:t>
      </w:r>
      <w:r w:rsidRPr="001373C6">
        <w:rPr>
          <w:color w:val="000000"/>
        </w:rPr>
        <w:t xml:space="preserve">alidad del contacto con personas mayores, </w:t>
      </w:r>
      <w:r w:rsidRPr="001373C6">
        <w:rPr>
          <w:color w:val="000000"/>
        </w:rPr>
        <w:lastRenderedPageBreak/>
        <w:t xml:space="preserve">mediante una pregunta con 7 opciones de respuesta (siendo 1 “mala calidad” y 7 “buena calidad”). </w:t>
      </w:r>
      <w:r w:rsidRPr="001373C6">
        <w:t>El n</w:t>
      </w:r>
      <w:r w:rsidRPr="001373C6">
        <w:rPr>
          <w:color w:val="000000"/>
        </w:rPr>
        <w:t xml:space="preserve">ivel de ansiedad </w:t>
      </w:r>
      <w:r w:rsidRPr="001373C6">
        <w:t>hacia el envejecimiento</w:t>
      </w:r>
      <w:r w:rsidRPr="001373C6">
        <w:t xml:space="preserve"> se midió</w:t>
      </w:r>
      <w:r w:rsidRPr="001373C6">
        <w:rPr>
          <w:color w:val="000000"/>
        </w:rPr>
        <w:t xml:space="preserve"> mediante la escala AAS, que consta de 20 preguntas con 4 opciones de respuesta (desde 1 = en desacuerdo hasta 4 = de acuerdo) con 6 ítems inversos; mientras más alto es el puntaje, más altos son los niveles de ansiedad. El alfa de </w:t>
      </w:r>
      <w:proofErr w:type="spellStart"/>
      <w:r w:rsidRPr="001373C6">
        <w:rPr>
          <w:color w:val="000000"/>
        </w:rPr>
        <w:t>Cronbanch</w:t>
      </w:r>
      <w:proofErr w:type="spellEnd"/>
      <w:r w:rsidRPr="001373C6">
        <w:rPr>
          <w:color w:val="000000"/>
        </w:rPr>
        <w:t xml:space="preserve"> obten</w:t>
      </w:r>
      <w:r w:rsidRPr="001373C6">
        <w:rPr>
          <w:color w:val="000000"/>
        </w:rPr>
        <w:t>ido del to</w:t>
      </w:r>
      <w:r w:rsidRPr="001373C6">
        <w:t xml:space="preserve">tal de la escala fue de ,82. En relación con las subescalas, se obtuvieron los siguientes resultados: para el factor Miedo a las personas mayores, un alfa de </w:t>
      </w:r>
      <w:proofErr w:type="spellStart"/>
      <w:r w:rsidRPr="001373C6">
        <w:t>cronbanch</w:t>
      </w:r>
      <w:proofErr w:type="spellEnd"/>
      <w:r w:rsidRPr="001373C6">
        <w:t xml:space="preserve"> de ,86, Preocupaciones psicológicas ,66, Apariencia física ,72, y para el fact</w:t>
      </w:r>
      <w:r w:rsidRPr="001373C6">
        <w:t xml:space="preserve">or Miedo a las pérdidas ,69. En este estudio se empleó la escala de Ansiedad ante el Envejecimiento en su versión traducida y adaptada al español de Fernández-Jiménez et al., (2020). </w:t>
      </w:r>
      <w:proofErr w:type="spellStart"/>
      <w:r w:rsidRPr="001373C6">
        <w:t>Lasher</w:t>
      </w:r>
      <w:proofErr w:type="spellEnd"/>
      <w:r w:rsidRPr="001373C6">
        <w:t xml:space="preserve"> y </w:t>
      </w:r>
      <w:proofErr w:type="spellStart"/>
      <w:r w:rsidRPr="001373C6">
        <w:t>Faulkender</w:t>
      </w:r>
      <w:proofErr w:type="spellEnd"/>
      <w:r w:rsidRPr="001373C6">
        <w:t xml:space="preserve"> (1993) informaron que el Alfa de Cronbach era de,82 y</w:t>
      </w:r>
      <w:r w:rsidRPr="001373C6">
        <w:t xml:space="preserve"> que el cuestionario incluía 20 ítems repartidos en 4 factores. El factor de Miedo hacia las personas mayores, (α=,78) no tiene una relación directa con la ansiedad sobre el envejecimiento personal, sino que mide el contacto externo con otros individuos. E</w:t>
      </w:r>
      <w:r w:rsidRPr="001373C6">
        <w:t>l factor Preocupaciones psicológicas (α=,74) incluye elementos que analizan aspectos internos, tratando las responsabilidades psicológicas que se involucran en el proceso de envejecimiento. En el componente de Apariencia física, (α=,71), se hallan elemento</w:t>
      </w:r>
      <w:r w:rsidRPr="001373C6">
        <w:t>s vinculados a la ansiedad que provocan las alteraciones en la apariencia física durante el envejecimiento. Los componentes del factor Miedo a las pérdidas, (α=,69) evalúan la ansiedad asociada a algo que se elimina o se desvanece durante el envejecimiento</w:t>
      </w:r>
      <w:r w:rsidRPr="001373C6">
        <w:t>.</w:t>
      </w:r>
    </w:p>
    <w:p w14:paraId="0000002D" w14:textId="753B5C17" w:rsidR="00EC274E" w:rsidRPr="001373C6" w:rsidRDefault="00A718BA" w:rsidP="00363304">
      <w:pPr>
        <w:pBdr>
          <w:top w:val="nil"/>
          <w:left w:val="nil"/>
          <w:bottom w:val="nil"/>
          <w:right w:val="nil"/>
          <w:between w:val="nil"/>
        </w:pBdr>
        <w:spacing w:line="360" w:lineRule="auto"/>
        <w:jc w:val="both"/>
      </w:pPr>
      <w:r w:rsidRPr="001373C6">
        <w:t xml:space="preserve"> </w:t>
      </w:r>
      <w:r w:rsidRPr="001373C6">
        <w:rPr>
          <w:rFonts w:eastAsia="Calibri"/>
        </w:rPr>
        <w:br/>
      </w:r>
      <w:r w:rsidRPr="001373C6">
        <w:rPr>
          <w:color w:val="000000"/>
        </w:rPr>
        <w:t xml:space="preserve">Los estereotipos negativos hacia la vejez se midieron mediante el Cuestionario de Estereotipos Negativos hacia la vejez (CENVE) elaborado por la investigadora española María José Blanca Mena y su equipo (2005). </w:t>
      </w:r>
      <w:r w:rsidRPr="001373C6">
        <w:t xml:space="preserve">Consta de </w:t>
      </w:r>
      <w:r w:rsidRPr="001373C6">
        <w:rPr>
          <w:color w:val="000000"/>
        </w:rPr>
        <w:t>15 ítems con una escala de respu</w:t>
      </w:r>
      <w:r w:rsidRPr="001373C6">
        <w:rPr>
          <w:color w:val="000000"/>
        </w:rPr>
        <w:t xml:space="preserve">esta Likert de 4 opciones (desde 1 = muy en desacuerdo hasta 4 = muy de acuerdo); las puntuaciones finales indican unas creencias más negativas cuanto más elevado sea el valor obtenido. El instrumento está conformado por tres </w:t>
      </w:r>
      <w:proofErr w:type="spellStart"/>
      <w:r w:rsidRPr="001373C6">
        <w:rPr>
          <w:color w:val="000000"/>
        </w:rPr>
        <w:t>sub-escalas</w:t>
      </w:r>
      <w:proofErr w:type="spellEnd"/>
      <w:r w:rsidRPr="001373C6">
        <w:rPr>
          <w:color w:val="000000"/>
        </w:rPr>
        <w:t xml:space="preserve">: </w:t>
      </w:r>
      <w:proofErr w:type="spellStart"/>
      <w:r w:rsidRPr="001373C6">
        <w:rPr>
          <w:color w:val="000000"/>
        </w:rPr>
        <w:t>Sub-escala</w:t>
      </w:r>
      <w:proofErr w:type="spellEnd"/>
      <w:r w:rsidRPr="001373C6">
        <w:rPr>
          <w:color w:val="000000"/>
        </w:rPr>
        <w:t xml:space="preserve"> Salud,</w:t>
      </w:r>
      <w:r w:rsidRPr="001373C6">
        <w:rPr>
          <w:color w:val="000000"/>
        </w:rPr>
        <w:t xml:space="preserve"> que comprende las afirmaciones del deterioro físico y cognitivo, así como de sus discapacidades; </w:t>
      </w:r>
      <w:proofErr w:type="spellStart"/>
      <w:r w:rsidRPr="001373C6">
        <w:rPr>
          <w:color w:val="000000"/>
        </w:rPr>
        <w:t>Sub-escala</w:t>
      </w:r>
      <w:proofErr w:type="spellEnd"/>
      <w:r w:rsidRPr="001373C6">
        <w:rPr>
          <w:color w:val="000000"/>
        </w:rPr>
        <w:t xml:space="preserve"> Motivacional-Social, abarca las creencias acerca de las carencias socioafectivas y </w:t>
      </w:r>
      <w:proofErr w:type="spellStart"/>
      <w:r w:rsidRPr="001373C6">
        <w:rPr>
          <w:color w:val="000000"/>
        </w:rPr>
        <w:t>Sub-escala</w:t>
      </w:r>
      <w:proofErr w:type="spellEnd"/>
      <w:r w:rsidRPr="001373C6">
        <w:rPr>
          <w:color w:val="000000"/>
        </w:rPr>
        <w:t xml:space="preserve"> Carácter-Personalidad que refiere a la rigidez del pe</w:t>
      </w:r>
      <w:r w:rsidRPr="001373C6">
        <w:rPr>
          <w:color w:val="000000"/>
        </w:rPr>
        <w:t xml:space="preserve">nsamiento y los problemas de labilidad emocional (Blanca et al.,2005).  La puntuación del instrumento oscila entre 5 y 20 puntos para cada uno de los tres factores. La máxima puntuación del cuestionario es de 60 puntos, y la puntuación para cada dimensión </w:t>
      </w:r>
      <w:r w:rsidRPr="001373C6">
        <w:rPr>
          <w:color w:val="000000"/>
        </w:rPr>
        <w:t xml:space="preserve">es entre 5 y 20 puntos. De acuerdo con los criterios establecidos por Castanedo y Sarabia (2015), los niveles de estereotipos </w:t>
      </w:r>
      <w:r w:rsidRPr="001373C6">
        <w:rPr>
          <w:color w:val="000000"/>
        </w:rPr>
        <w:lastRenderedPageBreak/>
        <w:t xml:space="preserve">negativos hacia las personas mayores pueden clasificarse de la siguiente manera: una puntuación entre 15 y 28 indica un nivel muy </w:t>
      </w:r>
      <w:r w:rsidRPr="001373C6">
        <w:rPr>
          <w:color w:val="000000"/>
        </w:rPr>
        <w:t xml:space="preserve">bajo; de 29 a 39 corresponde a un nivel bajo; de 40 a 50 refleja un nivel alto; y de 51 a 60 se considera un nivel muy alto. El CENVE es una herramienta confiable para evaluar los estereotipos negativos hacia la vejez, destacando su consistencia interna y </w:t>
      </w:r>
      <w:r w:rsidRPr="001373C6">
        <w:rPr>
          <w:color w:val="000000"/>
        </w:rPr>
        <w:t>estructura factorial. En el estudio original realizado por María José Blanca Mena y su equipo en 2005, el alfa de Cronbach obtenido para las subdimensiones fue de 0,67, 0,64 y 0,66 para salud, motivacional-social y carácter-personalidad, lo que indica un b</w:t>
      </w:r>
      <w:r w:rsidRPr="001373C6">
        <w:rPr>
          <w:color w:val="000000"/>
        </w:rPr>
        <w:t>uen nivel de fiabilidad para evaluar los estereotipos negativos hacia la vejez.  Si bien el CENVE fue diseñado originariamente en un estudio realizado con personas de 65 o más años, con tres sub escalas</w:t>
      </w:r>
      <w:r w:rsidRPr="001373C6">
        <w:t xml:space="preserve">, </w:t>
      </w:r>
      <w:r w:rsidRPr="001373C6">
        <w:rPr>
          <w:color w:val="000000"/>
        </w:rPr>
        <w:t>un análisis de la estructura factorial del instrumen</w:t>
      </w:r>
      <w:r w:rsidRPr="001373C6">
        <w:rPr>
          <w:color w:val="000000"/>
        </w:rPr>
        <w:t>to realizado por Menéndez Álvarez-</w:t>
      </w:r>
      <w:proofErr w:type="spellStart"/>
      <w:r w:rsidRPr="001373C6">
        <w:rPr>
          <w:color w:val="000000"/>
        </w:rPr>
        <w:t>Dardet</w:t>
      </w:r>
      <w:proofErr w:type="spellEnd"/>
      <w:r w:rsidRPr="001373C6">
        <w:rPr>
          <w:color w:val="000000"/>
        </w:rPr>
        <w:t xml:space="preserve"> et al. (2016) encontró que el instrumento presenta un único factor. Este estudio, compuesto por 350 jóvenes y adultos que completaron el CENVE, concluyó que la estructura de tres dimensiones no se replicó en esta mu</w:t>
      </w:r>
      <w:r w:rsidRPr="001373C6">
        <w:rPr>
          <w:color w:val="000000"/>
        </w:rPr>
        <w:t xml:space="preserve">estra con menores de 65 años. Por ello, se recomienda el uso del CENVE en jóvenes y adultos, pero obteniendo una única puntuación global, donde valores altos indican estereotipos hacia la vejez más acentuados. </w:t>
      </w:r>
      <w:r w:rsidRPr="001373C6">
        <w:t>En el</w:t>
      </w:r>
      <w:r w:rsidRPr="001373C6">
        <w:rPr>
          <w:color w:val="000000"/>
        </w:rPr>
        <w:t xml:space="preserve"> presente estudio </w:t>
      </w:r>
      <w:r w:rsidRPr="001373C6">
        <w:t>el alfa de Cronbach fue de 0,87</w:t>
      </w:r>
      <w:r w:rsidRPr="001373C6">
        <w:rPr>
          <w:color w:val="000000"/>
        </w:rPr>
        <w:t xml:space="preserve"> </w:t>
      </w:r>
      <w:r w:rsidRPr="001373C6">
        <w:t>para la muestra de estudiantes de</w:t>
      </w:r>
      <w:r w:rsidRPr="001373C6">
        <w:rPr>
          <w:color w:val="000000"/>
        </w:rPr>
        <w:t xml:space="preserve"> enfermería y de </w:t>
      </w:r>
      <w:r w:rsidRPr="001373C6">
        <w:t>0,85 p</w:t>
      </w:r>
      <w:r w:rsidRPr="001373C6">
        <w:rPr>
          <w:color w:val="000000"/>
        </w:rPr>
        <w:t>ara los estudiantes de psicología, reflejando una buena consistencia</w:t>
      </w:r>
      <w:r w:rsidR="00363304">
        <w:rPr>
          <w:color w:val="000000"/>
        </w:rPr>
        <w:t xml:space="preserve"> </w:t>
      </w:r>
      <w:r w:rsidRPr="001373C6">
        <w:rPr>
          <w:color w:val="000000"/>
        </w:rPr>
        <w:t>interna.</w:t>
      </w:r>
      <w:r w:rsidRPr="001373C6">
        <w:t xml:space="preserve"> </w:t>
      </w:r>
      <w:r w:rsidRPr="001373C6">
        <w:t>Complementariamente, se recogió información sobre la autopercepción de prejuicio, mediant</w:t>
      </w:r>
      <w:r w:rsidRPr="001373C6">
        <w:t xml:space="preserve">e pregunta con tres opciones de respuesta (sí, no, no sé). </w:t>
      </w:r>
    </w:p>
    <w:p w14:paraId="0000002F" w14:textId="77777777" w:rsidR="00EC274E" w:rsidRPr="001373C6" w:rsidRDefault="00EC274E" w:rsidP="00363304">
      <w:pPr>
        <w:pBdr>
          <w:top w:val="nil"/>
          <w:left w:val="nil"/>
          <w:bottom w:val="nil"/>
          <w:right w:val="nil"/>
          <w:between w:val="nil"/>
        </w:pBdr>
        <w:spacing w:line="360" w:lineRule="auto"/>
        <w:jc w:val="both"/>
        <w:rPr>
          <w:color w:val="000000"/>
        </w:rPr>
      </w:pPr>
    </w:p>
    <w:p w14:paraId="00000030" w14:textId="77777777" w:rsidR="00EC274E" w:rsidRPr="001373C6" w:rsidRDefault="00A718BA" w:rsidP="00363304">
      <w:pPr>
        <w:pBdr>
          <w:top w:val="nil"/>
          <w:left w:val="nil"/>
          <w:bottom w:val="nil"/>
          <w:right w:val="nil"/>
          <w:between w:val="nil"/>
        </w:pBdr>
        <w:spacing w:line="360" w:lineRule="auto"/>
        <w:jc w:val="both"/>
        <w:rPr>
          <w:b/>
          <w:bCs/>
          <w:i/>
          <w:iCs/>
          <w:color w:val="000000"/>
        </w:rPr>
      </w:pPr>
      <w:r w:rsidRPr="001373C6">
        <w:rPr>
          <w:b/>
          <w:bCs/>
          <w:i/>
          <w:iCs/>
          <w:color w:val="000000"/>
        </w:rPr>
        <w:t>Procedimientos</w:t>
      </w:r>
    </w:p>
    <w:p w14:paraId="00000031" w14:textId="77777777" w:rsidR="00EC274E" w:rsidRPr="001373C6" w:rsidRDefault="00A718BA" w:rsidP="00363304">
      <w:pPr>
        <w:pBdr>
          <w:top w:val="nil"/>
          <w:left w:val="nil"/>
          <w:bottom w:val="nil"/>
          <w:right w:val="nil"/>
          <w:between w:val="nil"/>
        </w:pBdr>
        <w:spacing w:line="360" w:lineRule="auto"/>
        <w:jc w:val="both"/>
      </w:pPr>
      <w:r w:rsidRPr="001373C6">
        <w:t>Se realizó un muestreo por conveniencia. El cuestionario fue online y autoadministrado: se</w:t>
      </w:r>
      <w:r w:rsidRPr="001373C6">
        <w:rPr>
          <w:color w:val="000000"/>
        </w:rPr>
        <w:t xml:space="preserve"> solicitó la participación voluntaria de los estudiantes a través de redes sociales y pla</w:t>
      </w:r>
      <w:r w:rsidRPr="001373C6">
        <w:rPr>
          <w:color w:val="000000"/>
        </w:rPr>
        <w:t>taformas académicas de difus</w:t>
      </w:r>
      <w:r w:rsidRPr="001373C6">
        <w:t xml:space="preserve">ión de información. La recolección de datos se llevó a cabo entre mayo y junio de 2023 en la Facultad de Psicología y entre septiembre y octubre de 2025 en la Facultad de Enfermería mediante la plataforma Google </w:t>
      </w:r>
      <w:proofErr w:type="spellStart"/>
      <w:r w:rsidRPr="001373C6">
        <w:t>Forms</w:t>
      </w:r>
      <w:proofErr w:type="spellEnd"/>
      <w:r w:rsidRPr="001373C6">
        <w:t>. En el cas</w:t>
      </w:r>
      <w:r w:rsidRPr="001373C6">
        <w:t>o de los estudiantes de Enfermería, el cuestionario incluyó algunas preguntas adicionales, orientadas a relevar información complementaria vinculada con formación académica y al contacto con personas mayores.</w:t>
      </w:r>
    </w:p>
    <w:p w14:paraId="00000032" w14:textId="77777777" w:rsidR="00EC274E" w:rsidRPr="001373C6" w:rsidRDefault="00A718BA" w:rsidP="00363304">
      <w:pPr>
        <w:pBdr>
          <w:top w:val="nil"/>
          <w:left w:val="nil"/>
          <w:bottom w:val="nil"/>
          <w:right w:val="nil"/>
          <w:between w:val="nil"/>
        </w:pBdr>
        <w:spacing w:line="360" w:lineRule="auto"/>
        <w:jc w:val="both"/>
        <w:rPr>
          <w:color w:val="000000"/>
        </w:rPr>
      </w:pPr>
      <w:r w:rsidRPr="001373C6">
        <w:rPr>
          <w:color w:val="000000"/>
        </w:rPr>
        <w:t>El proyecto fue previamente evaluado y aprobado</w:t>
      </w:r>
      <w:r w:rsidRPr="001373C6">
        <w:rPr>
          <w:color w:val="000000"/>
        </w:rPr>
        <w:t xml:space="preserve"> por el Comité de Ética en Investigación de la Facultad de </w:t>
      </w:r>
      <w:r w:rsidRPr="001373C6">
        <w:t>Psicología,</w:t>
      </w:r>
      <w:r w:rsidRPr="001373C6">
        <w:rPr>
          <w:color w:val="000000"/>
        </w:rPr>
        <w:t xml:space="preserve"> que se rige por</w:t>
      </w:r>
      <w:r w:rsidRPr="001373C6">
        <w:t xml:space="preserve"> las normas éticas generales y específicas para la investigación con seres humanos consensuadas en Uruguay, así como con lo establecido en la Declaración Universal de Pri</w:t>
      </w:r>
      <w:r w:rsidRPr="001373C6">
        <w:t xml:space="preserve">ncipios Éticos para Psicólogas y Psicólogos (IAAP &amp; </w:t>
      </w:r>
      <w:proofErr w:type="spellStart"/>
      <w:r w:rsidRPr="001373C6">
        <w:t>IUPsyS</w:t>
      </w:r>
      <w:proofErr w:type="spellEnd"/>
      <w:r w:rsidRPr="001373C6">
        <w:t xml:space="preserve">, 2008), </w:t>
      </w:r>
      <w:r w:rsidRPr="001373C6">
        <w:lastRenderedPageBreak/>
        <w:t>las Pautas Éticas Internacionales para la Investigación Biomédica en seres humanos (CIOMS, OMS &amp; OPS, 2016).</w:t>
      </w:r>
    </w:p>
    <w:p w14:paraId="00000033" w14:textId="77777777" w:rsidR="00EC274E" w:rsidRPr="001373C6" w:rsidRDefault="00A718BA" w:rsidP="00363304">
      <w:pPr>
        <w:pBdr>
          <w:top w:val="nil"/>
          <w:left w:val="nil"/>
          <w:bottom w:val="nil"/>
          <w:right w:val="nil"/>
          <w:between w:val="nil"/>
        </w:pBdr>
        <w:spacing w:line="360" w:lineRule="auto"/>
        <w:jc w:val="both"/>
        <w:rPr>
          <w:color w:val="000000"/>
        </w:rPr>
      </w:pPr>
      <w:r w:rsidRPr="001373C6">
        <w:t>P</w:t>
      </w:r>
      <w:r w:rsidRPr="001373C6">
        <w:rPr>
          <w:color w:val="000000"/>
        </w:rPr>
        <w:t>ara el análisis de los datos, se utilizó el software estadístico de IBM SPSS ve</w:t>
      </w:r>
      <w:r w:rsidRPr="001373C6">
        <w:rPr>
          <w:color w:val="000000"/>
        </w:rPr>
        <w:t>rsión 26.</w:t>
      </w:r>
      <w:r w:rsidRPr="001373C6">
        <w:t xml:space="preserve"> Antes de </w:t>
      </w:r>
      <w:r w:rsidRPr="001373C6">
        <w:rPr>
          <w:color w:val="000000"/>
        </w:rPr>
        <w:t xml:space="preserve"> la </w:t>
      </w:r>
      <w:r w:rsidRPr="001373C6">
        <w:t>aplicación de estadística inferencial se analizó la normalidad de las variables dependientes en ambas poblaciones.</w:t>
      </w:r>
      <w:r w:rsidRPr="001373C6">
        <w:rPr>
          <w:color w:val="000000"/>
        </w:rPr>
        <w:t xml:space="preserve"> El test de Kolmogórov-Smirnov revela una desviación significativa de la normalidad en la distribución de los datos par</w:t>
      </w:r>
      <w:r w:rsidRPr="001373C6">
        <w:rPr>
          <w:color w:val="000000"/>
        </w:rPr>
        <w:t xml:space="preserve">a el CENVE total tanto para los estudiantes de enfermería (p = 0.042), como para los estudiantes de psicología (p = 0.000), lo cual sugiere estadísticamente que </w:t>
      </w:r>
      <w:r w:rsidRPr="001373C6">
        <w:t>dichas distribuciones</w:t>
      </w:r>
      <w:r w:rsidRPr="001373C6">
        <w:rPr>
          <w:color w:val="000000"/>
        </w:rPr>
        <w:t xml:space="preserve"> no pueden considerarse normales. Por lo cual se procede en los siguientes</w:t>
      </w:r>
      <w:r w:rsidRPr="001373C6">
        <w:rPr>
          <w:color w:val="000000"/>
        </w:rPr>
        <w:t xml:space="preserve"> análisis con pruebas no paramétricas.</w:t>
      </w:r>
    </w:p>
    <w:p w14:paraId="00000034" w14:textId="77777777" w:rsidR="00EC274E" w:rsidRPr="001373C6" w:rsidRDefault="00A718BA" w:rsidP="00363304">
      <w:pPr>
        <w:pBdr>
          <w:top w:val="nil"/>
          <w:left w:val="nil"/>
          <w:bottom w:val="nil"/>
          <w:right w:val="nil"/>
          <w:between w:val="nil"/>
        </w:pBdr>
        <w:spacing w:line="360" w:lineRule="auto"/>
        <w:jc w:val="both"/>
        <w:rPr>
          <w:color w:val="000000"/>
        </w:rPr>
      </w:pPr>
      <w:r w:rsidRPr="001373C6">
        <w:t>Se</w:t>
      </w:r>
      <w:r w:rsidRPr="001373C6">
        <w:rPr>
          <w:color w:val="000000"/>
        </w:rPr>
        <w:t xml:space="preserve"> compararon los niveles de estereotipos negativos hacia la vejez en relación con seis variables: autopercepción de prejuicio, el avance curricular de los estudiantes, la calidad del contacto con personas mayores, el</w:t>
      </w:r>
      <w:r w:rsidRPr="001373C6">
        <w:rPr>
          <w:color w:val="000000"/>
        </w:rPr>
        <w:t xml:space="preserve"> tipo de contacto con las personas mayores, y si tiene cursos y/o prácticas relacionadas con el envejecimiento. Para analizar estas variables, se utilizaron pruebas U de Mann-Whitney para las variables categóricas, y correlaciones de Spearman para las vari</w:t>
      </w:r>
      <w:r w:rsidRPr="001373C6">
        <w:rPr>
          <w:color w:val="000000"/>
        </w:rPr>
        <w:t xml:space="preserve">ables numéricas. </w:t>
      </w:r>
      <w:sdt>
        <w:sdtPr>
          <w:tag w:val="goog_rdk_0"/>
          <w:id w:val="1934054219"/>
        </w:sdtPr>
        <w:sdtEndPr/>
        <w:sdtContent>
          <w:r w:rsidRPr="001373C6">
            <w:rPr>
              <w:rFonts w:eastAsia="Gungsuh"/>
            </w:rPr>
            <w:t>Psicología: asimetría = 0.385, curtosis = 0.387; Enfermería: asimetría = −0.079, curtosis = −0.362), medida de ansiedad ante el envejecimiento (AAS): asimetría = 0.292, curtosis = 0.598.</w:t>
          </w:r>
        </w:sdtContent>
      </w:sdt>
    </w:p>
    <w:p w14:paraId="00000035" w14:textId="77777777" w:rsidR="00EC274E" w:rsidRPr="001373C6" w:rsidRDefault="00EC274E" w:rsidP="00363304">
      <w:pPr>
        <w:pBdr>
          <w:top w:val="nil"/>
          <w:left w:val="nil"/>
          <w:bottom w:val="nil"/>
          <w:right w:val="nil"/>
          <w:between w:val="nil"/>
        </w:pBdr>
        <w:spacing w:line="360" w:lineRule="auto"/>
      </w:pPr>
    </w:p>
    <w:p w14:paraId="00000036" w14:textId="77777777" w:rsidR="00EC274E" w:rsidRPr="001373C6" w:rsidRDefault="00A718BA" w:rsidP="00363304">
      <w:pPr>
        <w:pBdr>
          <w:top w:val="nil"/>
          <w:left w:val="nil"/>
          <w:bottom w:val="nil"/>
          <w:right w:val="nil"/>
          <w:between w:val="nil"/>
        </w:pBdr>
        <w:spacing w:line="360" w:lineRule="auto"/>
        <w:rPr>
          <w:b/>
          <w:bCs/>
          <w:color w:val="000000"/>
        </w:rPr>
      </w:pPr>
      <w:r w:rsidRPr="001373C6">
        <w:rPr>
          <w:b/>
          <w:bCs/>
          <w:color w:val="000000"/>
        </w:rPr>
        <w:t>Resultados</w:t>
      </w:r>
    </w:p>
    <w:p w14:paraId="00000037" w14:textId="77777777" w:rsidR="00EC274E" w:rsidRPr="001373C6" w:rsidRDefault="00EC274E" w:rsidP="00363304">
      <w:pPr>
        <w:pBdr>
          <w:top w:val="nil"/>
          <w:left w:val="nil"/>
          <w:bottom w:val="nil"/>
          <w:right w:val="nil"/>
          <w:between w:val="nil"/>
        </w:pBdr>
        <w:spacing w:line="360" w:lineRule="auto"/>
        <w:rPr>
          <w:b/>
          <w:bCs/>
          <w:color w:val="000000"/>
        </w:rPr>
      </w:pPr>
    </w:p>
    <w:p w14:paraId="00000038" w14:textId="77777777" w:rsidR="00EC274E" w:rsidRPr="001373C6" w:rsidRDefault="00A718BA" w:rsidP="00363304">
      <w:pPr>
        <w:pBdr>
          <w:top w:val="nil"/>
          <w:left w:val="nil"/>
          <w:bottom w:val="nil"/>
          <w:right w:val="nil"/>
          <w:between w:val="nil"/>
        </w:pBdr>
        <w:spacing w:line="360" w:lineRule="auto"/>
        <w:jc w:val="both"/>
      </w:pPr>
      <w:r w:rsidRPr="001373C6">
        <w:rPr>
          <w:color w:val="000000"/>
        </w:rPr>
        <w:t xml:space="preserve">La mayoría de los encuestados en ambas muestras </w:t>
      </w:r>
      <w:r w:rsidRPr="001373C6">
        <w:t>eran</w:t>
      </w:r>
      <w:r w:rsidRPr="001373C6">
        <w:rPr>
          <w:color w:val="000000"/>
        </w:rPr>
        <w:t xml:space="preserve"> mujeres, representando un 87% del total</w:t>
      </w:r>
      <w:r w:rsidRPr="001373C6">
        <w:t>, lo que muestra una relación de sexos proporcional a la de los estudiantes inscriptos en ambas carreras, que son mayoritariamente femeninas.</w:t>
      </w:r>
      <w:r w:rsidRPr="001373C6">
        <w:rPr>
          <w:b/>
          <w:bCs/>
          <w:color w:val="000000"/>
        </w:rPr>
        <w:t xml:space="preserve"> </w:t>
      </w:r>
      <w:r w:rsidRPr="001373C6">
        <w:rPr>
          <w:color w:val="000000"/>
        </w:rPr>
        <w:t xml:space="preserve">La edad promedio </w:t>
      </w:r>
      <w:r w:rsidRPr="001373C6">
        <w:t>en am</w:t>
      </w:r>
      <w:r w:rsidRPr="001373C6">
        <w:t>bas carreras es relativamente similar, sin embargo, se observa mayor desviación estándar en la muestra de psicología, en la que se encuentran estudiantes mayores de 60 años. Los análisis descriptivos muestran que los estudiantes de enfermería proporcionalm</w:t>
      </w:r>
      <w:r w:rsidRPr="001373C6">
        <w:t xml:space="preserve">ente han realizado más cursos sobre la temática de la vejez o el envejecimiento y han tenido mayor experiencia laboral con personas mayores (69%), en comparación con los estudiantes de Psicología. Llama la atención que, pese a la mayor experiencia laboral </w:t>
      </w:r>
      <w:r w:rsidRPr="001373C6">
        <w:t>con personas mayores, los estudiantes de Enfermería que no elegirían trabajar con personas mayores o no están seguros de querer hacerlo son más de la mitad (55%) (Tabla 1).</w:t>
      </w:r>
    </w:p>
    <w:p w14:paraId="00000039" w14:textId="77777777" w:rsidR="00EC274E" w:rsidRPr="001373C6" w:rsidRDefault="00A718BA" w:rsidP="00363304">
      <w:pPr>
        <w:pBdr>
          <w:top w:val="nil"/>
          <w:left w:val="nil"/>
          <w:bottom w:val="nil"/>
          <w:right w:val="nil"/>
          <w:between w:val="nil"/>
        </w:pBdr>
        <w:spacing w:line="360" w:lineRule="auto"/>
        <w:jc w:val="both"/>
      </w:pPr>
      <w:r w:rsidRPr="001373C6">
        <w:lastRenderedPageBreak/>
        <w:t>La proporción de estudiantes que mantienen contacto a diario con personas mayores e</w:t>
      </w:r>
      <w:r w:rsidRPr="001373C6">
        <w:t>s mayor entre los estudiantes de Enfermería, aunque también es mayor el porcentaje en Enfermería de aquellos que nunca (o casi nunca) tienen contacto con población mayor (9% versus 2,5% en Psicología).</w:t>
      </w:r>
    </w:p>
    <w:p w14:paraId="0000003A" w14:textId="77777777" w:rsidR="00EC274E" w:rsidRPr="001373C6" w:rsidRDefault="00A718BA" w:rsidP="00363304">
      <w:pPr>
        <w:pBdr>
          <w:top w:val="nil"/>
          <w:left w:val="nil"/>
          <w:bottom w:val="nil"/>
          <w:right w:val="nil"/>
          <w:between w:val="nil"/>
        </w:pBdr>
        <w:spacing w:line="360" w:lineRule="auto"/>
        <w:jc w:val="both"/>
      </w:pPr>
      <w:r w:rsidRPr="001373C6">
        <w:t>Cuando preguntado de forma directa sobre si creen tene</w:t>
      </w:r>
      <w:r w:rsidRPr="001373C6">
        <w:t>r estereotipos negativos hacia la vejez, quienes declaran en mayor proporción tener estereotipos negativos o no tener certeza sobre si los tienen o no, son los estudiantes de Psicología (representando el 63% del total), mientras que es el 40% de los estudi</w:t>
      </w:r>
      <w:r w:rsidRPr="001373C6">
        <w:t>antes de Enfermería que responden de igual manera.</w:t>
      </w:r>
    </w:p>
    <w:p w14:paraId="0000003B" w14:textId="77777777" w:rsidR="00EC274E" w:rsidRPr="001373C6" w:rsidRDefault="00EC274E" w:rsidP="00363304">
      <w:pPr>
        <w:pBdr>
          <w:top w:val="nil"/>
          <w:left w:val="nil"/>
          <w:bottom w:val="nil"/>
          <w:right w:val="nil"/>
          <w:between w:val="nil"/>
        </w:pBdr>
        <w:spacing w:line="360" w:lineRule="auto"/>
        <w:jc w:val="both"/>
        <w:rPr>
          <w:color w:val="000000"/>
        </w:rPr>
      </w:pPr>
    </w:p>
    <w:p w14:paraId="0000003C" w14:textId="77777777" w:rsidR="00EC274E" w:rsidRPr="001373C6" w:rsidRDefault="00A718BA" w:rsidP="00363304">
      <w:pPr>
        <w:pBdr>
          <w:top w:val="nil"/>
          <w:left w:val="nil"/>
          <w:bottom w:val="nil"/>
          <w:right w:val="nil"/>
          <w:between w:val="nil"/>
        </w:pBdr>
        <w:spacing w:line="360" w:lineRule="auto"/>
        <w:jc w:val="both"/>
        <w:rPr>
          <w:b/>
          <w:bCs/>
          <w:color w:val="000000"/>
        </w:rPr>
      </w:pPr>
      <w:r w:rsidRPr="001373C6">
        <w:rPr>
          <w:b/>
          <w:bCs/>
          <w:color w:val="000000"/>
        </w:rPr>
        <w:t>Tabla 1</w:t>
      </w:r>
    </w:p>
    <w:p w14:paraId="0000003D" w14:textId="77777777" w:rsidR="00EC274E" w:rsidRPr="001373C6" w:rsidRDefault="00A718BA" w:rsidP="00363304">
      <w:pPr>
        <w:pBdr>
          <w:top w:val="nil"/>
          <w:left w:val="nil"/>
          <w:bottom w:val="nil"/>
          <w:right w:val="nil"/>
          <w:between w:val="nil"/>
        </w:pBdr>
        <w:spacing w:line="360" w:lineRule="auto"/>
        <w:jc w:val="both"/>
        <w:rPr>
          <w:i/>
          <w:iCs/>
          <w:color w:val="000000"/>
        </w:rPr>
      </w:pPr>
      <w:r w:rsidRPr="001373C6">
        <w:rPr>
          <w:i/>
          <w:iCs/>
          <w:color w:val="000000"/>
        </w:rPr>
        <w:t>Características Sociodemográficas de los estudiantes de Enfermería y Psicología de UDELAR.</w:t>
      </w:r>
    </w:p>
    <w:p w14:paraId="0000003E" w14:textId="77777777" w:rsidR="00EC274E" w:rsidRPr="001373C6" w:rsidRDefault="00EC274E" w:rsidP="00363304">
      <w:pPr>
        <w:pBdr>
          <w:top w:val="nil"/>
          <w:left w:val="nil"/>
          <w:bottom w:val="nil"/>
          <w:right w:val="nil"/>
          <w:between w:val="nil"/>
        </w:pBdr>
        <w:spacing w:line="360" w:lineRule="auto"/>
        <w:jc w:val="both"/>
        <w:rPr>
          <w:i/>
          <w:iCs/>
          <w:color w:val="000000"/>
        </w:rPr>
      </w:pPr>
    </w:p>
    <w:p w14:paraId="0000003F" w14:textId="77777777" w:rsidR="00EC274E" w:rsidRPr="001373C6" w:rsidRDefault="00A718BA" w:rsidP="00363304">
      <w:pPr>
        <w:pBdr>
          <w:top w:val="nil"/>
          <w:left w:val="nil"/>
          <w:bottom w:val="nil"/>
          <w:right w:val="nil"/>
          <w:between w:val="nil"/>
        </w:pBdr>
        <w:spacing w:line="360" w:lineRule="auto"/>
        <w:rPr>
          <w:color w:val="000000"/>
        </w:rPr>
      </w:pPr>
      <w:r w:rsidRPr="001373C6">
        <w:rPr>
          <w:noProof/>
          <w:color w:val="000000"/>
        </w:rPr>
        <w:drawing>
          <wp:inline distT="0" distB="0" distL="0" distR="0">
            <wp:extent cx="5862885" cy="1871104"/>
            <wp:effectExtent l="0" t="0" r="0" b="0"/>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862885" cy="1871104"/>
                    </a:xfrm>
                    <a:prstGeom prst="rect">
                      <a:avLst/>
                    </a:prstGeom>
                    <a:ln/>
                  </pic:spPr>
                </pic:pic>
              </a:graphicData>
            </a:graphic>
          </wp:inline>
        </w:drawing>
      </w:r>
    </w:p>
    <w:p w14:paraId="00000040" w14:textId="77777777" w:rsidR="00EC274E" w:rsidRPr="001373C6" w:rsidRDefault="00A718BA" w:rsidP="00363304">
      <w:pPr>
        <w:pBdr>
          <w:top w:val="nil"/>
          <w:left w:val="nil"/>
          <w:bottom w:val="nil"/>
          <w:right w:val="nil"/>
          <w:between w:val="nil"/>
        </w:pBdr>
        <w:spacing w:line="360" w:lineRule="auto"/>
        <w:ind w:firstLine="708"/>
        <w:jc w:val="both"/>
        <w:rPr>
          <w:color w:val="000000"/>
        </w:rPr>
      </w:pPr>
      <w:r w:rsidRPr="001373C6">
        <w:rPr>
          <w:color w:val="000000"/>
        </w:rPr>
        <w:t>Fuente: Elaboración propia</w:t>
      </w:r>
    </w:p>
    <w:p w14:paraId="00000041" w14:textId="77777777" w:rsidR="00EC274E" w:rsidRPr="001373C6" w:rsidRDefault="00A718BA" w:rsidP="00363304">
      <w:pPr>
        <w:pBdr>
          <w:top w:val="nil"/>
          <w:left w:val="nil"/>
          <w:bottom w:val="nil"/>
          <w:right w:val="nil"/>
          <w:between w:val="nil"/>
        </w:pBdr>
        <w:spacing w:line="360" w:lineRule="auto"/>
        <w:jc w:val="both"/>
        <w:rPr>
          <w:color w:val="000000"/>
        </w:rPr>
      </w:pPr>
      <w:r w:rsidRPr="001373C6">
        <w:rPr>
          <w:b/>
          <w:bCs/>
          <w:color w:val="000000"/>
        </w:rPr>
        <w:t>Tabla 2</w:t>
      </w:r>
    </w:p>
    <w:p w14:paraId="00000042" w14:textId="77777777" w:rsidR="00EC274E" w:rsidRPr="001373C6" w:rsidRDefault="00A718BA" w:rsidP="00363304">
      <w:pPr>
        <w:pBdr>
          <w:top w:val="nil"/>
          <w:left w:val="nil"/>
          <w:bottom w:val="nil"/>
          <w:right w:val="nil"/>
          <w:between w:val="nil"/>
        </w:pBdr>
        <w:spacing w:line="360" w:lineRule="auto"/>
        <w:jc w:val="both"/>
        <w:rPr>
          <w:color w:val="000000"/>
        </w:rPr>
      </w:pPr>
      <w:r w:rsidRPr="001373C6">
        <w:rPr>
          <w:i/>
          <w:iCs/>
          <w:color w:val="000000"/>
        </w:rPr>
        <w:t>Distribución porcentual de las características académicas, contacto y autopercepción de prejuicio de los estudiantes.</w:t>
      </w:r>
      <w:r w:rsidRPr="001373C6">
        <w:rPr>
          <w:color w:val="000000"/>
        </w:rPr>
        <w:t xml:space="preserve"> </w:t>
      </w:r>
    </w:p>
    <w:p w14:paraId="00000045" w14:textId="5D627734" w:rsidR="00EC274E" w:rsidRDefault="00A718BA" w:rsidP="00363304">
      <w:pPr>
        <w:pBdr>
          <w:top w:val="nil"/>
          <w:left w:val="nil"/>
          <w:bottom w:val="nil"/>
          <w:right w:val="nil"/>
          <w:between w:val="nil"/>
        </w:pBdr>
        <w:spacing w:line="360" w:lineRule="auto"/>
        <w:jc w:val="both"/>
        <w:rPr>
          <w:color w:val="000000"/>
        </w:rPr>
      </w:pPr>
      <w:sdt>
        <w:sdtPr>
          <w:tag w:val="goog_rdk_1"/>
          <w:id w:val="796830453"/>
        </w:sdtPr>
        <w:sdtEndPr/>
        <w:sdtContent/>
      </w:sdt>
      <w:r w:rsidRPr="001373C6">
        <w:rPr>
          <w:noProof/>
          <w:color w:val="000000"/>
        </w:rPr>
        <w:drawing>
          <wp:inline distT="0" distB="0" distL="0" distR="0">
            <wp:extent cx="5923423" cy="3236151"/>
            <wp:effectExtent l="0" t="0" r="0" b="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923423" cy="3236151"/>
                    </a:xfrm>
                    <a:prstGeom prst="rect">
                      <a:avLst/>
                    </a:prstGeom>
                    <a:ln/>
                  </pic:spPr>
                </pic:pic>
              </a:graphicData>
            </a:graphic>
          </wp:inline>
        </w:drawing>
      </w:r>
      <w:r w:rsidRPr="001373C6">
        <w:rPr>
          <w:color w:val="000000"/>
        </w:rPr>
        <w:t>Fuente: Elaboración propia</w:t>
      </w:r>
    </w:p>
    <w:p w14:paraId="2583DDB5" w14:textId="77777777" w:rsidR="00363304" w:rsidRPr="00363304" w:rsidRDefault="00363304" w:rsidP="00363304">
      <w:pPr>
        <w:pBdr>
          <w:top w:val="nil"/>
          <w:left w:val="nil"/>
          <w:bottom w:val="nil"/>
          <w:right w:val="nil"/>
          <w:between w:val="nil"/>
        </w:pBdr>
        <w:spacing w:line="360" w:lineRule="auto"/>
        <w:jc w:val="both"/>
        <w:rPr>
          <w:color w:val="000000"/>
        </w:rPr>
      </w:pPr>
    </w:p>
    <w:p w14:paraId="4058E4E8" w14:textId="77777777" w:rsidR="00363304" w:rsidRDefault="00A718BA" w:rsidP="00363304">
      <w:pPr>
        <w:pBdr>
          <w:top w:val="nil"/>
          <w:left w:val="nil"/>
          <w:bottom w:val="nil"/>
          <w:right w:val="nil"/>
          <w:between w:val="nil"/>
        </w:pBdr>
        <w:spacing w:line="360" w:lineRule="auto"/>
        <w:jc w:val="both"/>
      </w:pPr>
      <w:r w:rsidRPr="001373C6">
        <w:t>Cuando se analiza la calidad del contacto, es importante hacer notar que los estudiantes de Enfermería</w:t>
      </w:r>
      <w:r w:rsidRPr="001373C6">
        <w:t xml:space="preserve"> presentan un promedio de contacto voluntario de 2,99 con un desvío estándar considerable (DE=2,06) indicando que el contacto es tanto voluntario como involuntario, pudiendo estar asociado a oportunidades de trabajo y prácticas </w:t>
      </w:r>
      <w:proofErr w:type="spellStart"/>
      <w:r w:rsidRPr="001373C6">
        <w:t>pre-profesionales</w:t>
      </w:r>
      <w:proofErr w:type="spellEnd"/>
      <w:r w:rsidRPr="001373C6">
        <w:t xml:space="preserve"> en las que</w:t>
      </w:r>
      <w:r w:rsidRPr="001373C6">
        <w:t xml:space="preserve"> los estudiantes no seleccionan a priori la población con la que trabajarán. Más allá de ello, la calidad del contacto es evaluada positivamente (M=6,04 y DE=1,16).</w:t>
      </w:r>
    </w:p>
    <w:p w14:paraId="554A3E1A" w14:textId="796C0717" w:rsidR="00363304" w:rsidRPr="001373C6" w:rsidRDefault="00A718BA" w:rsidP="00363304">
      <w:pPr>
        <w:pBdr>
          <w:top w:val="nil"/>
          <w:left w:val="nil"/>
          <w:bottom w:val="nil"/>
          <w:right w:val="nil"/>
          <w:between w:val="nil"/>
        </w:pBdr>
        <w:spacing w:line="360" w:lineRule="auto"/>
        <w:jc w:val="both"/>
      </w:pPr>
      <w:r w:rsidRPr="001373C6">
        <w:br/>
        <w:t>Notas: El tercer ciclo corresponde al tramo avanzado de la carrera en ambas formaciones, de</w:t>
      </w:r>
      <w:r w:rsidRPr="001373C6">
        <w:t xml:space="preserve"> acuerdo con la estructura curricular vigente en cada facultad.</w:t>
      </w:r>
    </w:p>
    <w:p w14:paraId="00000047" w14:textId="77777777" w:rsidR="00EC274E" w:rsidRPr="001373C6" w:rsidRDefault="00EC274E" w:rsidP="00363304">
      <w:pPr>
        <w:pBdr>
          <w:top w:val="nil"/>
          <w:left w:val="nil"/>
          <w:bottom w:val="nil"/>
          <w:right w:val="nil"/>
          <w:between w:val="nil"/>
        </w:pBdr>
        <w:spacing w:line="360" w:lineRule="auto"/>
        <w:jc w:val="both"/>
      </w:pPr>
    </w:p>
    <w:p w14:paraId="00000048" w14:textId="77777777" w:rsidR="00EC274E" w:rsidRPr="001373C6" w:rsidRDefault="00A718BA" w:rsidP="00363304">
      <w:pPr>
        <w:pBdr>
          <w:top w:val="nil"/>
          <w:left w:val="nil"/>
          <w:bottom w:val="nil"/>
          <w:right w:val="nil"/>
          <w:between w:val="nil"/>
        </w:pBdr>
        <w:spacing w:line="360" w:lineRule="auto"/>
        <w:jc w:val="both"/>
        <w:rPr>
          <w:b/>
          <w:bCs/>
          <w:color w:val="000000"/>
        </w:rPr>
      </w:pPr>
      <w:r w:rsidRPr="001373C6">
        <w:rPr>
          <w:b/>
          <w:bCs/>
          <w:color w:val="000000"/>
        </w:rPr>
        <w:t>Tabla 3</w:t>
      </w:r>
    </w:p>
    <w:p w14:paraId="00000049" w14:textId="77777777" w:rsidR="00EC274E" w:rsidRPr="001373C6" w:rsidRDefault="00A718BA" w:rsidP="00363304">
      <w:pPr>
        <w:pBdr>
          <w:top w:val="nil"/>
          <w:left w:val="nil"/>
          <w:bottom w:val="nil"/>
          <w:right w:val="nil"/>
          <w:between w:val="nil"/>
        </w:pBdr>
        <w:spacing w:line="360" w:lineRule="auto"/>
        <w:jc w:val="both"/>
        <w:rPr>
          <w:i/>
          <w:iCs/>
          <w:color w:val="000000"/>
        </w:rPr>
      </w:pPr>
      <w:r w:rsidRPr="001373C6">
        <w:rPr>
          <w:i/>
          <w:iCs/>
          <w:color w:val="000000"/>
        </w:rPr>
        <w:t>Estadísticas descriptivas de la calidad y tipo de contacto, y niveles de ansiedad en estudiantes de enfermería.</w:t>
      </w:r>
    </w:p>
    <w:p w14:paraId="0000004A" w14:textId="77777777" w:rsidR="00EC274E" w:rsidRPr="001373C6" w:rsidRDefault="00A718BA" w:rsidP="00363304">
      <w:pPr>
        <w:pBdr>
          <w:top w:val="nil"/>
          <w:left w:val="nil"/>
          <w:bottom w:val="nil"/>
          <w:right w:val="nil"/>
          <w:between w:val="nil"/>
        </w:pBdr>
        <w:spacing w:line="360" w:lineRule="auto"/>
        <w:jc w:val="both"/>
        <w:rPr>
          <w:color w:val="000000"/>
        </w:rPr>
      </w:pPr>
      <w:r w:rsidRPr="001373C6">
        <w:rPr>
          <w:noProof/>
          <w:color w:val="000000"/>
        </w:rPr>
        <w:drawing>
          <wp:inline distT="0" distB="0" distL="0" distR="0">
            <wp:extent cx="5257800" cy="838200"/>
            <wp:effectExtent l="0" t="0" r="0" b="0"/>
            <wp:docPr id="3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257800" cy="838200"/>
                    </a:xfrm>
                    <a:prstGeom prst="rect">
                      <a:avLst/>
                    </a:prstGeom>
                    <a:ln/>
                  </pic:spPr>
                </pic:pic>
              </a:graphicData>
            </a:graphic>
          </wp:inline>
        </w:drawing>
      </w:r>
    </w:p>
    <w:p w14:paraId="0000004B" w14:textId="77777777" w:rsidR="00EC274E" w:rsidRPr="001373C6" w:rsidRDefault="00A718BA" w:rsidP="00363304">
      <w:pPr>
        <w:pBdr>
          <w:top w:val="nil"/>
          <w:left w:val="nil"/>
          <w:bottom w:val="nil"/>
          <w:right w:val="nil"/>
          <w:between w:val="nil"/>
        </w:pBdr>
        <w:spacing w:line="360" w:lineRule="auto"/>
        <w:jc w:val="both"/>
        <w:rPr>
          <w:color w:val="000000"/>
        </w:rPr>
      </w:pPr>
      <w:r w:rsidRPr="001373C6">
        <w:rPr>
          <w:color w:val="000000"/>
        </w:rPr>
        <w:lastRenderedPageBreak/>
        <w:t>Fuente: Elaboración propia</w:t>
      </w:r>
    </w:p>
    <w:p w14:paraId="0000004D" w14:textId="40728D6A" w:rsidR="00EC274E" w:rsidRPr="001373C6" w:rsidRDefault="00A718BA" w:rsidP="00363304">
      <w:pPr>
        <w:pBdr>
          <w:top w:val="nil"/>
          <w:left w:val="nil"/>
          <w:bottom w:val="nil"/>
          <w:right w:val="nil"/>
          <w:between w:val="nil"/>
        </w:pBdr>
        <w:spacing w:line="360" w:lineRule="auto"/>
        <w:jc w:val="both"/>
        <w:rPr>
          <w:color w:val="000000"/>
        </w:rPr>
      </w:pPr>
      <w:r w:rsidRPr="001373C6">
        <w:rPr>
          <w:color w:val="000000"/>
        </w:rPr>
        <w:t>Notas: Tipo del contacto (Siendo 1 "volunt</w:t>
      </w:r>
      <w:r w:rsidRPr="001373C6">
        <w:rPr>
          <w:color w:val="000000"/>
        </w:rPr>
        <w:t>ario" y 7 "involuntario"); Calidad de contacto (Siendo 1 "mala calidad" y 7 "buena calidad").</w:t>
      </w:r>
      <w:r w:rsidRPr="001373C6">
        <w:rPr>
          <w:color w:val="000000"/>
        </w:rPr>
        <w:br/>
      </w:r>
    </w:p>
    <w:p w14:paraId="0000004E" w14:textId="77777777" w:rsidR="00EC274E" w:rsidRPr="001373C6" w:rsidRDefault="00A718BA" w:rsidP="00363304">
      <w:pPr>
        <w:pBdr>
          <w:top w:val="nil"/>
          <w:left w:val="nil"/>
          <w:bottom w:val="nil"/>
          <w:right w:val="nil"/>
          <w:between w:val="nil"/>
        </w:pBdr>
        <w:spacing w:line="360" w:lineRule="auto"/>
        <w:jc w:val="both"/>
        <w:rPr>
          <w:color w:val="000000"/>
        </w:rPr>
      </w:pPr>
      <w:r w:rsidRPr="001373C6">
        <w:rPr>
          <w:b/>
          <w:bCs/>
          <w:color w:val="000000"/>
        </w:rPr>
        <w:t>Tabla 4</w:t>
      </w:r>
    </w:p>
    <w:p w14:paraId="0000004F" w14:textId="77777777" w:rsidR="00EC274E" w:rsidRPr="001373C6" w:rsidRDefault="00A718BA" w:rsidP="00363304">
      <w:pPr>
        <w:pBdr>
          <w:top w:val="nil"/>
          <w:left w:val="nil"/>
          <w:bottom w:val="nil"/>
          <w:right w:val="nil"/>
          <w:between w:val="nil"/>
        </w:pBdr>
        <w:spacing w:line="360" w:lineRule="auto"/>
        <w:jc w:val="both"/>
        <w:rPr>
          <w:i/>
          <w:iCs/>
          <w:color w:val="000000"/>
        </w:rPr>
      </w:pPr>
      <w:r w:rsidRPr="001373C6">
        <w:rPr>
          <w:i/>
          <w:iCs/>
          <w:color w:val="000000"/>
        </w:rPr>
        <w:t xml:space="preserve">Resultados CENVE total y por dimensión en estudiantes de Enfermería y Psicología  </w:t>
      </w:r>
    </w:p>
    <w:p w14:paraId="00000050" w14:textId="77777777" w:rsidR="00EC274E" w:rsidRPr="001373C6" w:rsidRDefault="00A718BA" w:rsidP="00363304">
      <w:pPr>
        <w:pBdr>
          <w:top w:val="nil"/>
          <w:left w:val="nil"/>
          <w:bottom w:val="nil"/>
          <w:right w:val="nil"/>
          <w:between w:val="nil"/>
        </w:pBdr>
        <w:spacing w:line="360" w:lineRule="auto"/>
        <w:jc w:val="both"/>
        <w:rPr>
          <w:color w:val="000000"/>
        </w:rPr>
      </w:pPr>
      <w:r w:rsidRPr="001373C6">
        <w:rPr>
          <w:noProof/>
          <w:color w:val="000000"/>
        </w:rPr>
        <w:drawing>
          <wp:inline distT="0" distB="0" distL="0" distR="0">
            <wp:extent cx="5400040" cy="1769110"/>
            <wp:effectExtent l="0" t="0" r="0" b="0"/>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400040" cy="1769110"/>
                    </a:xfrm>
                    <a:prstGeom prst="rect">
                      <a:avLst/>
                    </a:prstGeom>
                    <a:ln/>
                  </pic:spPr>
                </pic:pic>
              </a:graphicData>
            </a:graphic>
          </wp:inline>
        </w:drawing>
      </w:r>
    </w:p>
    <w:p w14:paraId="00000051" w14:textId="05A7DFB2" w:rsidR="00EC274E" w:rsidRDefault="00A718BA" w:rsidP="00363304">
      <w:pPr>
        <w:pBdr>
          <w:top w:val="nil"/>
          <w:left w:val="nil"/>
          <w:bottom w:val="nil"/>
          <w:right w:val="nil"/>
          <w:between w:val="nil"/>
        </w:pBdr>
        <w:spacing w:line="360" w:lineRule="auto"/>
        <w:jc w:val="both"/>
        <w:rPr>
          <w:color w:val="000000"/>
        </w:rPr>
      </w:pPr>
      <w:r w:rsidRPr="001373C6">
        <w:rPr>
          <w:color w:val="000000"/>
        </w:rPr>
        <w:t>Fuente: Elaboración propia</w:t>
      </w:r>
    </w:p>
    <w:p w14:paraId="143D6E62" w14:textId="77777777" w:rsidR="00363304" w:rsidRPr="001373C6" w:rsidRDefault="00363304" w:rsidP="00363304">
      <w:pPr>
        <w:pBdr>
          <w:top w:val="nil"/>
          <w:left w:val="nil"/>
          <w:bottom w:val="nil"/>
          <w:right w:val="nil"/>
          <w:between w:val="nil"/>
        </w:pBdr>
        <w:spacing w:line="360" w:lineRule="auto"/>
        <w:jc w:val="both"/>
        <w:rPr>
          <w:color w:val="000000"/>
        </w:rPr>
      </w:pPr>
    </w:p>
    <w:p w14:paraId="00000053" w14:textId="77777777" w:rsidR="00EC274E" w:rsidRPr="001373C6" w:rsidRDefault="00A718BA" w:rsidP="00363304">
      <w:pPr>
        <w:pBdr>
          <w:top w:val="nil"/>
          <w:left w:val="nil"/>
          <w:bottom w:val="nil"/>
          <w:right w:val="nil"/>
          <w:between w:val="nil"/>
        </w:pBdr>
        <w:spacing w:line="360" w:lineRule="auto"/>
        <w:jc w:val="both"/>
        <w:rPr>
          <w:color w:val="000000"/>
        </w:rPr>
      </w:pPr>
      <w:r w:rsidRPr="001373C6">
        <w:rPr>
          <w:color w:val="000000"/>
        </w:rPr>
        <w:t>Según Castanedo y Sarabia (2015), se establecen los siguientes rangos para clasificar los niveles de estereotipos negativos hacia las personas mayores: a) un puntaje de 15 a 28 indica un nivel muy bajo de estereotipos; b) un puntaje entre 29 y 39 correspon</w:t>
      </w:r>
      <w:r w:rsidRPr="001373C6">
        <w:rPr>
          <w:color w:val="000000"/>
        </w:rPr>
        <w:t>de a un nivel bajo; c) de 40 a 50 se considera un nivel alto; y d) un puntaje de 51 a 60 refleja un nivel muy alto de estereotipos negativos hacia las personas mayores. A su vez, como se puede observar en la tabla 4, el promedio, desvío y rango de las sube</w:t>
      </w:r>
      <w:r w:rsidRPr="001373C6">
        <w:rPr>
          <w:color w:val="000000"/>
        </w:rPr>
        <w:t>scalas del CENVE presentan características muy similares entre sí. Ello se cumple para las dos poblaciones analizadas. En este caso, teniendo en cuenta las consideraciones expuestas por algunos autores, como Menéndez Álvarez-</w:t>
      </w:r>
      <w:proofErr w:type="spellStart"/>
      <w:r w:rsidRPr="001373C6">
        <w:rPr>
          <w:color w:val="000000"/>
        </w:rPr>
        <w:t>Dardet</w:t>
      </w:r>
      <w:proofErr w:type="spellEnd"/>
      <w:r w:rsidRPr="001373C6">
        <w:rPr>
          <w:color w:val="000000"/>
        </w:rPr>
        <w:t xml:space="preserve"> et al. (2016) de conside</w:t>
      </w:r>
      <w:r w:rsidRPr="001373C6">
        <w:rPr>
          <w:color w:val="000000"/>
        </w:rPr>
        <w:t>rar único factor para esta escala, se optará por no analizar los factores de manera separada. En su lugar, los análisis que se presentarán a continuación se centrarán en el CENVE total.</w:t>
      </w:r>
    </w:p>
    <w:p w14:paraId="00000054" w14:textId="77777777" w:rsidR="00EC274E" w:rsidRPr="001373C6" w:rsidRDefault="00EC274E" w:rsidP="00363304">
      <w:pPr>
        <w:pBdr>
          <w:top w:val="nil"/>
          <w:left w:val="nil"/>
          <w:bottom w:val="nil"/>
          <w:right w:val="nil"/>
          <w:between w:val="nil"/>
        </w:pBdr>
        <w:spacing w:line="360" w:lineRule="auto"/>
        <w:jc w:val="both"/>
        <w:rPr>
          <w:color w:val="000000"/>
        </w:rPr>
      </w:pPr>
    </w:p>
    <w:p w14:paraId="00000055" w14:textId="77777777" w:rsidR="00EC274E" w:rsidRPr="001373C6" w:rsidRDefault="00A718BA" w:rsidP="00363304">
      <w:pPr>
        <w:pBdr>
          <w:top w:val="nil"/>
          <w:left w:val="nil"/>
          <w:bottom w:val="nil"/>
          <w:right w:val="nil"/>
          <w:between w:val="nil"/>
        </w:pBdr>
        <w:spacing w:line="360" w:lineRule="auto"/>
        <w:jc w:val="both"/>
        <w:rPr>
          <w:b/>
          <w:bCs/>
          <w:color w:val="000000"/>
        </w:rPr>
      </w:pPr>
      <w:r w:rsidRPr="001373C6">
        <w:rPr>
          <w:b/>
          <w:bCs/>
          <w:color w:val="000000"/>
        </w:rPr>
        <w:t>Tabla 5</w:t>
      </w:r>
    </w:p>
    <w:p w14:paraId="00000056" w14:textId="77777777" w:rsidR="00EC274E" w:rsidRPr="001373C6" w:rsidRDefault="00A718BA" w:rsidP="00363304">
      <w:pPr>
        <w:pBdr>
          <w:top w:val="nil"/>
          <w:left w:val="nil"/>
          <w:bottom w:val="nil"/>
          <w:right w:val="nil"/>
          <w:between w:val="nil"/>
        </w:pBdr>
        <w:spacing w:line="360" w:lineRule="auto"/>
        <w:jc w:val="both"/>
        <w:rPr>
          <w:color w:val="000000"/>
        </w:rPr>
      </w:pPr>
      <w:r w:rsidRPr="001373C6">
        <w:rPr>
          <w:color w:val="000000"/>
        </w:rPr>
        <w:t>Comparación entre Psicología y Enfermería: CENVE total</w:t>
      </w:r>
    </w:p>
    <w:p w14:paraId="00000057" w14:textId="77777777" w:rsidR="00EC274E" w:rsidRPr="001373C6" w:rsidRDefault="00A718BA" w:rsidP="00363304">
      <w:pPr>
        <w:pBdr>
          <w:top w:val="nil"/>
          <w:left w:val="nil"/>
          <w:bottom w:val="nil"/>
          <w:right w:val="nil"/>
          <w:between w:val="nil"/>
        </w:pBdr>
        <w:spacing w:line="360" w:lineRule="auto"/>
        <w:jc w:val="both"/>
        <w:rPr>
          <w:i/>
          <w:iCs/>
          <w:color w:val="000000"/>
        </w:rPr>
      </w:pPr>
      <w:r w:rsidRPr="001373C6">
        <w:rPr>
          <w:noProof/>
          <w:color w:val="000000"/>
        </w:rPr>
        <w:drawing>
          <wp:inline distT="0" distB="0" distL="0" distR="0">
            <wp:extent cx="4862830" cy="401955"/>
            <wp:effectExtent l="0" t="0" r="0" b="0"/>
            <wp:docPr id="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4862830" cy="401955"/>
                    </a:xfrm>
                    <a:prstGeom prst="rect">
                      <a:avLst/>
                    </a:prstGeom>
                    <a:ln/>
                  </pic:spPr>
                </pic:pic>
              </a:graphicData>
            </a:graphic>
          </wp:inline>
        </w:drawing>
      </w:r>
    </w:p>
    <w:p w14:paraId="00000058" w14:textId="77777777" w:rsidR="00EC274E" w:rsidRPr="001373C6" w:rsidRDefault="00A718BA" w:rsidP="00363304">
      <w:pPr>
        <w:pBdr>
          <w:top w:val="nil"/>
          <w:left w:val="nil"/>
          <w:bottom w:val="nil"/>
          <w:right w:val="nil"/>
          <w:between w:val="nil"/>
        </w:pBdr>
        <w:spacing w:line="360" w:lineRule="auto"/>
        <w:jc w:val="both"/>
        <w:rPr>
          <w:color w:val="000000"/>
        </w:rPr>
      </w:pPr>
      <w:r w:rsidRPr="001373C6">
        <w:rPr>
          <w:color w:val="000000"/>
        </w:rPr>
        <w:t>Fuen</w:t>
      </w:r>
      <w:r w:rsidRPr="001373C6">
        <w:rPr>
          <w:color w:val="000000"/>
        </w:rPr>
        <w:t>te: Elaboración propia</w:t>
      </w:r>
    </w:p>
    <w:p w14:paraId="0000005A" w14:textId="4F1EDEDD" w:rsidR="00EC274E" w:rsidRDefault="00A718BA" w:rsidP="00363304">
      <w:pPr>
        <w:pBdr>
          <w:top w:val="nil"/>
          <w:left w:val="nil"/>
          <w:bottom w:val="nil"/>
          <w:right w:val="nil"/>
          <w:between w:val="nil"/>
        </w:pBdr>
        <w:spacing w:line="360" w:lineRule="auto"/>
        <w:jc w:val="both"/>
        <w:rPr>
          <w:color w:val="000000"/>
        </w:rPr>
      </w:pPr>
      <w:r w:rsidRPr="001373C6">
        <w:rPr>
          <w:color w:val="000000"/>
        </w:rPr>
        <w:lastRenderedPageBreak/>
        <w:t>Nota: Prueba U de Mann-Whitney</w:t>
      </w:r>
    </w:p>
    <w:p w14:paraId="6E58A876" w14:textId="77777777" w:rsidR="00363304" w:rsidRPr="001373C6" w:rsidRDefault="00363304" w:rsidP="00363304">
      <w:pPr>
        <w:pBdr>
          <w:top w:val="nil"/>
          <w:left w:val="nil"/>
          <w:bottom w:val="nil"/>
          <w:right w:val="nil"/>
          <w:between w:val="nil"/>
        </w:pBdr>
        <w:spacing w:line="360" w:lineRule="auto"/>
        <w:jc w:val="both"/>
        <w:rPr>
          <w:color w:val="000000"/>
        </w:rPr>
      </w:pPr>
    </w:p>
    <w:p w14:paraId="0000005B" w14:textId="77777777" w:rsidR="00EC274E" w:rsidRPr="001373C6" w:rsidRDefault="00A718BA" w:rsidP="00363304">
      <w:pPr>
        <w:pBdr>
          <w:top w:val="nil"/>
          <w:left w:val="nil"/>
          <w:bottom w:val="nil"/>
          <w:right w:val="nil"/>
          <w:between w:val="nil"/>
        </w:pBdr>
        <w:spacing w:line="360" w:lineRule="auto"/>
        <w:jc w:val="both"/>
        <w:rPr>
          <w:color w:val="000000"/>
        </w:rPr>
      </w:pPr>
      <w:r w:rsidRPr="001373C6">
        <w:rPr>
          <w:color w:val="000000"/>
        </w:rPr>
        <w:t>Se realizó una comparación del CENVE total entre los estudiantes de Psicología y Enfermería. Para evaluar las diferencias en las medianas de ambas poblaciones, se aplicó la prueba U de Mann-Whitney, ob</w:t>
      </w:r>
      <w:r w:rsidRPr="001373C6">
        <w:rPr>
          <w:color w:val="000000"/>
        </w:rPr>
        <w:t xml:space="preserve">teniendo un p-valor de 0,000. Este resultado sugiere que las medianas de ambas poblaciones son significativamente diferentes. Por lo cual se puede inferir que, dentro de la población estudiada, los </w:t>
      </w:r>
      <w:r w:rsidRPr="001373C6">
        <w:t>estudiantes</w:t>
      </w:r>
      <w:r w:rsidRPr="001373C6">
        <w:rPr>
          <w:color w:val="000000"/>
        </w:rPr>
        <w:t xml:space="preserve"> de la licenciatura en psicología presentan val</w:t>
      </w:r>
      <w:r w:rsidRPr="001373C6">
        <w:rPr>
          <w:color w:val="000000"/>
        </w:rPr>
        <w:t>ores más bajos de estereotipos negativos hacia la vejez (Tabla 5).</w:t>
      </w:r>
    </w:p>
    <w:p w14:paraId="0000005C" w14:textId="77777777" w:rsidR="00EC274E" w:rsidRPr="001373C6" w:rsidRDefault="00EC274E" w:rsidP="00363304">
      <w:pPr>
        <w:pBdr>
          <w:top w:val="nil"/>
          <w:left w:val="nil"/>
          <w:bottom w:val="nil"/>
          <w:right w:val="nil"/>
          <w:between w:val="nil"/>
        </w:pBdr>
        <w:spacing w:line="360" w:lineRule="auto"/>
        <w:jc w:val="both"/>
        <w:rPr>
          <w:color w:val="000000"/>
        </w:rPr>
      </w:pPr>
    </w:p>
    <w:p w14:paraId="0000005D" w14:textId="77777777" w:rsidR="00EC274E" w:rsidRPr="001373C6" w:rsidRDefault="00A718BA" w:rsidP="00363304">
      <w:pPr>
        <w:pBdr>
          <w:top w:val="nil"/>
          <w:left w:val="nil"/>
          <w:bottom w:val="nil"/>
          <w:right w:val="nil"/>
          <w:between w:val="nil"/>
        </w:pBdr>
        <w:spacing w:line="360" w:lineRule="auto"/>
        <w:jc w:val="both"/>
        <w:rPr>
          <w:b/>
          <w:bCs/>
          <w:color w:val="000000"/>
        </w:rPr>
      </w:pPr>
      <w:r w:rsidRPr="001373C6">
        <w:rPr>
          <w:b/>
          <w:bCs/>
          <w:color w:val="000000"/>
        </w:rPr>
        <w:t>Tabla 6</w:t>
      </w:r>
    </w:p>
    <w:p w14:paraId="0000005E" w14:textId="77777777" w:rsidR="00EC274E" w:rsidRPr="001373C6" w:rsidRDefault="00A718BA" w:rsidP="00363304">
      <w:pPr>
        <w:pBdr>
          <w:top w:val="nil"/>
          <w:left w:val="nil"/>
          <w:bottom w:val="nil"/>
          <w:right w:val="nil"/>
          <w:between w:val="nil"/>
        </w:pBdr>
        <w:spacing w:line="360" w:lineRule="auto"/>
        <w:jc w:val="both"/>
        <w:rPr>
          <w:i/>
          <w:iCs/>
          <w:color w:val="000000"/>
        </w:rPr>
      </w:pPr>
      <w:r w:rsidRPr="001373C6">
        <w:rPr>
          <w:i/>
          <w:iCs/>
          <w:color w:val="000000"/>
        </w:rPr>
        <w:t>Prueba U de Mann-Whitney de variables de interés sobre CENVE total</w:t>
      </w:r>
    </w:p>
    <w:p w14:paraId="0000005F" w14:textId="77777777" w:rsidR="00EC274E" w:rsidRPr="001373C6" w:rsidRDefault="00A718BA" w:rsidP="00363304">
      <w:pPr>
        <w:pBdr>
          <w:top w:val="nil"/>
          <w:left w:val="nil"/>
          <w:bottom w:val="nil"/>
          <w:right w:val="nil"/>
          <w:between w:val="nil"/>
        </w:pBdr>
        <w:spacing w:line="360" w:lineRule="auto"/>
        <w:jc w:val="both"/>
        <w:rPr>
          <w:i/>
          <w:iCs/>
          <w:color w:val="000000"/>
        </w:rPr>
      </w:pPr>
      <w:r w:rsidRPr="001373C6">
        <w:rPr>
          <w:noProof/>
          <w:color w:val="000000"/>
        </w:rPr>
        <w:drawing>
          <wp:inline distT="0" distB="0" distL="0" distR="0">
            <wp:extent cx="5716780" cy="1100467"/>
            <wp:effectExtent l="0" t="0" r="0" b="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716780" cy="1100467"/>
                    </a:xfrm>
                    <a:prstGeom prst="rect">
                      <a:avLst/>
                    </a:prstGeom>
                    <a:ln/>
                  </pic:spPr>
                </pic:pic>
              </a:graphicData>
            </a:graphic>
          </wp:inline>
        </w:drawing>
      </w:r>
    </w:p>
    <w:p w14:paraId="00000060" w14:textId="77777777" w:rsidR="00EC274E" w:rsidRPr="001373C6" w:rsidRDefault="00A718BA" w:rsidP="00363304">
      <w:pPr>
        <w:pBdr>
          <w:top w:val="nil"/>
          <w:left w:val="nil"/>
          <w:bottom w:val="nil"/>
          <w:right w:val="nil"/>
          <w:between w:val="nil"/>
        </w:pBdr>
        <w:spacing w:line="360" w:lineRule="auto"/>
        <w:jc w:val="both"/>
        <w:rPr>
          <w:color w:val="000000"/>
        </w:rPr>
      </w:pPr>
      <w:r w:rsidRPr="001373C6">
        <w:rPr>
          <w:color w:val="000000"/>
        </w:rPr>
        <w:t>Fuente: Elaboración propia</w:t>
      </w:r>
    </w:p>
    <w:p w14:paraId="00000061" w14:textId="77777777" w:rsidR="00EC274E" w:rsidRPr="001373C6" w:rsidRDefault="00EC274E" w:rsidP="00363304">
      <w:pPr>
        <w:pBdr>
          <w:top w:val="nil"/>
          <w:left w:val="nil"/>
          <w:bottom w:val="nil"/>
          <w:right w:val="nil"/>
          <w:between w:val="nil"/>
        </w:pBdr>
        <w:spacing w:line="360" w:lineRule="auto"/>
        <w:jc w:val="both"/>
        <w:rPr>
          <w:color w:val="000000"/>
        </w:rPr>
      </w:pPr>
    </w:p>
    <w:p w14:paraId="00000064" w14:textId="5A43B173" w:rsidR="00EC274E" w:rsidRPr="001373C6" w:rsidRDefault="00A718BA" w:rsidP="00363304">
      <w:pPr>
        <w:pBdr>
          <w:top w:val="nil"/>
          <w:left w:val="nil"/>
          <w:bottom w:val="nil"/>
          <w:right w:val="nil"/>
          <w:between w:val="nil"/>
        </w:pBdr>
        <w:spacing w:line="360" w:lineRule="auto"/>
        <w:jc w:val="both"/>
        <w:rPr>
          <w:color w:val="000000"/>
        </w:rPr>
      </w:pPr>
      <w:r w:rsidRPr="001373C6">
        <w:rPr>
          <w:color w:val="000000"/>
        </w:rPr>
        <w:t>Los resultados muestran diferencias significativas en ambas muestras en cuanto a la autopercepción de prejuicios; la mediana de los grupos “</w:t>
      </w:r>
      <w:r w:rsidRPr="001373C6">
        <w:rPr>
          <w:i/>
          <w:iCs/>
          <w:color w:val="000000"/>
        </w:rPr>
        <w:t>Sí y No sé – No”</w:t>
      </w:r>
      <w:r w:rsidRPr="001373C6">
        <w:rPr>
          <w:color w:val="000000"/>
        </w:rPr>
        <w:t xml:space="preserve"> indicó que quienes reconocen tener estereotipos hacia la vejez obtienen puntajes más altos en ester</w:t>
      </w:r>
      <w:r w:rsidRPr="001373C6">
        <w:rPr>
          <w:color w:val="000000"/>
        </w:rPr>
        <w:t xml:space="preserve">eotipos negativos. Además, entre los estudiantes de Psicología se identificaron diferencias significativas relacionadas con el avance curricular y la realización de cursos previos específicos sobre envejecimiento, situación que no se evidencia entre los </w:t>
      </w:r>
      <w:r w:rsidRPr="001373C6">
        <w:t>es</w:t>
      </w:r>
      <w:r w:rsidRPr="001373C6">
        <w:t>tudiantes</w:t>
      </w:r>
      <w:r w:rsidRPr="001373C6">
        <w:rPr>
          <w:color w:val="000000"/>
        </w:rPr>
        <w:t xml:space="preserve"> de enfermería. Esto sugiere que una mayor formación académica y la inclusión de contenidos relacionados con el envejecimiento entre los estudiantes de </w:t>
      </w:r>
      <w:r w:rsidRPr="001373C6">
        <w:t>Psicología</w:t>
      </w:r>
      <w:r w:rsidRPr="001373C6">
        <w:rPr>
          <w:color w:val="000000"/>
        </w:rPr>
        <w:t xml:space="preserve"> contribuye a reducir los estereotipos negativos hacia las personas mayores. </w:t>
      </w:r>
      <w:r w:rsidRPr="001373C6">
        <w:t>En relac</w:t>
      </w:r>
      <w:r w:rsidRPr="001373C6">
        <w:t>ión con</w:t>
      </w:r>
      <w:r w:rsidRPr="001373C6">
        <w:rPr>
          <w:color w:val="000000"/>
        </w:rPr>
        <w:t xml:space="preserve"> lo último, no se encuentra una diferencia significativa en los estudiantes de enfermería (Tabla 6).</w:t>
      </w:r>
    </w:p>
    <w:p w14:paraId="00000065" w14:textId="77777777" w:rsidR="00EC274E" w:rsidRPr="001373C6" w:rsidRDefault="00EC274E" w:rsidP="00363304">
      <w:pPr>
        <w:pBdr>
          <w:top w:val="nil"/>
          <w:left w:val="nil"/>
          <w:bottom w:val="nil"/>
          <w:right w:val="nil"/>
          <w:between w:val="nil"/>
        </w:pBdr>
        <w:spacing w:line="360" w:lineRule="auto"/>
        <w:ind w:firstLine="708"/>
        <w:jc w:val="both"/>
        <w:rPr>
          <w:b/>
          <w:bCs/>
          <w:color w:val="000000"/>
        </w:rPr>
      </w:pPr>
    </w:p>
    <w:p w14:paraId="00000066" w14:textId="77777777" w:rsidR="00EC274E" w:rsidRPr="001373C6" w:rsidRDefault="00A718BA" w:rsidP="00363304">
      <w:pPr>
        <w:pBdr>
          <w:top w:val="nil"/>
          <w:left w:val="nil"/>
          <w:bottom w:val="nil"/>
          <w:right w:val="nil"/>
          <w:between w:val="nil"/>
        </w:pBdr>
        <w:spacing w:line="360" w:lineRule="auto"/>
        <w:jc w:val="both"/>
        <w:rPr>
          <w:b/>
          <w:bCs/>
          <w:color w:val="000000"/>
        </w:rPr>
      </w:pPr>
      <w:r w:rsidRPr="001373C6">
        <w:rPr>
          <w:b/>
          <w:bCs/>
          <w:color w:val="000000"/>
        </w:rPr>
        <w:t>Tabla 7</w:t>
      </w:r>
    </w:p>
    <w:p w14:paraId="00000067" w14:textId="77777777" w:rsidR="00EC274E" w:rsidRPr="001373C6" w:rsidRDefault="00A718BA" w:rsidP="00363304">
      <w:pPr>
        <w:pBdr>
          <w:top w:val="nil"/>
          <w:left w:val="nil"/>
          <w:bottom w:val="nil"/>
          <w:right w:val="nil"/>
          <w:between w:val="nil"/>
        </w:pBdr>
        <w:spacing w:line="360" w:lineRule="auto"/>
        <w:jc w:val="both"/>
        <w:rPr>
          <w:color w:val="000000"/>
        </w:rPr>
      </w:pPr>
      <w:r w:rsidRPr="001373C6">
        <w:rPr>
          <w:color w:val="000000"/>
        </w:rPr>
        <w:t>Correlación de Spearman entre CENVE total, contacto y niveles de ansiedad ante el envejecimiento en estudiantes de Enfermería.</w:t>
      </w:r>
    </w:p>
    <w:p w14:paraId="00000068" w14:textId="77777777" w:rsidR="00EC274E" w:rsidRPr="001373C6" w:rsidRDefault="00A718BA" w:rsidP="00363304">
      <w:pPr>
        <w:pBdr>
          <w:top w:val="nil"/>
          <w:left w:val="nil"/>
          <w:bottom w:val="nil"/>
          <w:right w:val="nil"/>
          <w:between w:val="nil"/>
        </w:pBdr>
        <w:spacing w:line="360" w:lineRule="auto"/>
        <w:jc w:val="both"/>
        <w:rPr>
          <w:color w:val="000000"/>
        </w:rPr>
      </w:pPr>
      <w:r w:rsidRPr="001373C6">
        <w:rPr>
          <w:noProof/>
          <w:color w:val="000000"/>
        </w:rPr>
        <w:lastRenderedPageBreak/>
        <w:drawing>
          <wp:inline distT="0" distB="0" distL="0" distR="0">
            <wp:extent cx="5389245" cy="803275"/>
            <wp:effectExtent l="0" t="0" r="0" b="0"/>
            <wp:docPr id="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5389245" cy="803275"/>
                    </a:xfrm>
                    <a:prstGeom prst="rect">
                      <a:avLst/>
                    </a:prstGeom>
                    <a:ln/>
                  </pic:spPr>
                </pic:pic>
              </a:graphicData>
            </a:graphic>
          </wp:inline>
        </w:drawing>
      </w:r>
    </w:p>
    <w:p w14:paraId="00000069" w14:textId="77777777" w:rsidR="00EC274E" w:rsidRPr="001373C6" w:rsidRDefault="00A718BA" w:rsidP="00363304">
      <w:pPr>
        <w:pBdr>
          <w:top w:val="nil"/>
          <w:left w:val="nil"/>
          <w:bottom w:val="nil"/>
          <w:right w:val="nil"/>
          <w:between w:val="nil"/>
        </w:pBdr>
        <w:spacing w:line="360" w:lineRule="auto"/>
        <w:jc w:val="both"/>
        <w:rPr>
          <w:color w:val="000000"/>
        </w:rPr>
      </w:pPr>
      <w:r w:rsidRPr="001373C6">
        <w:rPr>
          <w:color w:val="000000"/>
        </w:rPr>
        <w:t xml:space="preserve">Fuente: </w:t>
      </w:r>
      <w:r w:rsidRPr="001373C6">
        <w:rPr>
          <w:color w:val="000000"/>
        </w:rPr>
        <w:t>Elaboración propia</w:t>
      </w:r>
    </w:p>
    <w:p w14:paraId="0000006A" w14:textId="77777777" w:rsidR="00EC274E" w:rsidRPr="001373C6" w:rsidRDefault="00EC274E" w:rsidP="00363304">
      <w:pPr>
        <w:pBdr>
          <w:top w:val="nil"/>
          <w:left w:val="nil"/>
          <w:bottom w:val="nil"/>
          <w:right w:val="nil"/>
          <w:between w:val="nil"/>
        </w:pBdr>
        <w:spacing w:line="360" w:lineRule="auto"/>
        <w:jc w:val="both"/>
        <w:rPr>
          <w:color w:val="000000"/>
        </w:rPr>
      </w:pPr>
    </w:p>
    <w:p w14:paraId="0000006B" w14:textId="77777777" w:rsidR="00EC274E" w:rsidRPr="001373C6" w:rsidRDefault="00A718BA" w:rsidP="00363304">
      <w:pPr>
        <w:pBdr>
          <w:top w:val="nil"/>
          <w:left w:val="nil"/>
          <w:bottom w:val="nil"/>
          <w:right w:val="nil"/>
          <w:between w:val="nil"/>
        </w:pBdr>
        <w:spacing w:line="360" w:lineRule="auto"/>
        <w:jc w:val="both"/>
        <w:rPr>
          <w:color w:val="000000"/>
        </w:rPr>
      </w:pPr>
      <w:r w:rsidRPr="001373C6">
        <w:rPr>
          <w:color w:val="000000"/>
        </w:rPr>
        <w:t>Finalmente, se compararon las puntuaciones totales del CENVE y la escala de ansiedad ante el envejecimiento (AAS) aplicado a los estudiantes de la licenciatura en enfermería. Obteniendo como resultado una correlación significativa entre</w:t>
      </w:r>
      <w:r w:rsidRPr="001373C6">
        <w:rPr>
          <w:color w:val="000000"/>
        </w:rPr>
        <w:t xml:space="preserve"> ambas escalas con un p-valor 0,000. Cabe destacar que, en ambas escalas, la prueba de normalidad realizada no mostró evidencia de que estos provinieran de una distribución normal, por lo que el test de correlación realizado fue la prueba no paramétrica de</w:t>
      </w:r>
      <w:r w:rsidRPr="001373C6">
        <w:rPr>
          <w:color w:val="000000"/>
        </w:rPr>
        <w:t xml:space="preserve"> Spearman. A su vez, los resultados de la correlación para el tipo de contacto muestran significancia estadística, con un p-valor de 0,048. En contraste, no se observa una correlación significativa para la calidad de contacto, cuyo p-valor es de 0,082. (Ta</w:t>
      </w:r>
      <w:r w:rsidRPr="001373C6">
        <w:rPr>
          <w:color w:val="000000"/>
        </w:rPr>
        <w:t>bla 7)</w:t>
      </w:r>
    </w:p>
    <w:p w14:paraId="0000006C" w14:textId="77777777" w:rsidR="00EC274E" w:rsidRPr="001373C6" w:rsidRDefault="00EC274E" w:rsidP="00363304">
      <w:pPr>
        <w:pBdr>
          <w:top w:val="nil"/>
          <w:left w:val="nil"/>
          <w:bottom w:val="nil"/>
          <w:right w:val="nil"/>
          <w:between w:val="nil"/>
        </w:pBdr>
        <w:spacing w:line="360" w:lineRule="auto"/>
        <w:jc w:val="both"/>
        <w:rPr>
          <w:color w:val="000000"/>
        </w:rPr>
      </w:pPr>
    </w:p>
    <w:p w14:paraId="0000006D" w14:textId="77777777" w:rsidR="00EC274E" w:rsidRPr="001373C6" w:rsidRDefault="00EC274E" w:rsidP="00363304">
      <w:pPr>
        <w:pBdr>
          <w:top w:val="nil"/>
          <w:left w:val="nil"/>
          <w:bottom w:val="nil"/>
          <w:right w:val="nil"/>
          <w:between w:val="nil"/>
        </w:pBdr>
        <w:spacing w:line="360" w:lineRule="auto"/>
        <w:ind w:firstLine="708"/>
        <w:jc w:val="both"/>
        <w:rPr>
          <w:color w:val="000000"/>
        </w:rPr>
      </w:pPr>
    </w:p>
    <w:p w14:paraId="0000006E" w14:textId="77777777" w:rsidR="00EC274E" w:rsidRPr="001373C6" w:rsidRDefault="00A718BA" w:rsidP="00363304">
      <w:pPr>
        <w:pBdr>
          <w:top w:val="nil"/>
          <w:left w:val="nil"/>
          <w:bottom w:val="nil"/>
          <w:right w:val="nil"/>
          <w:between w:val="nil"/>
        </w:pBdr>
        <w:spacing w:line="360" w:lineRule="auto"/>
      </w:pPr>
      <w:r w:rsidRPr="001373C6">
        <w:rPr>
          <w:b/>
          <w:bCs/>
          <w:color w:val="000000"/>
        </w:rPr>
        <w:t>Discusión y consideraciones finales</w:t>
      </w:r>
    </w:p>
    <w:p w14:paraId="0000006F" w14:textId="77777777" w:rsidR="00EC274E" w:rsidRPr="001373C6" w:rsidRDefault="00EC274E" w:rsidP="00363304">
      <w:pPr>
        <w:pBdr>
          <w:top w:val="nil"/>
          <w:left w:val="nil"/>
          <w:bottom w:val="nil"/>
          <w:right w:val="nil"/>
          <w:between w:val="nil"/>
        </w:pBdr>
        <w:spacing w:line="360" w:lineRule="auto"/>
        <w:rPr>
          <w:color w:val="000000"/>
        </w:rPr>
      </w:pPr>
    </w:p>
    <w:p w14:paraId="00000070" w14:textId="77777777" w:rsidR="00EC274E" w:rsidRPr="001373C6" w:rsidRDefault="00A718BA" w:rsidP="00363304">
      <w:pPr>
        <w:pBdr>
          <w:top w:val="nil"/>
          <w:left w:val="nil"/>
          <w:bottom w:val="nil"/>
          <w:right w:val="nil"/>
          <w:between w:val="nil"/>
        </w:pBdr>
        <w:spacing w:line="360" w:lineRule="auto"/>
        <w:jc w:val="both"/>
        <w:rPr>
          <w:color w:val="000000"/>
        </w:rPr>
      </w:pPr>
      <w:r w:rsidRPr="001373C6">
        <w:rPr>
          <w:color w:val="000000"/>
        </w:rPr>
        <w:t>Las creencias culturales influyen profundamente en las percepciones negativas sobre la vejez, perpetuando estereotipos y prejuicios. Estos estereotipos afectan no solo las actitudes hacia las personas mayores, sino también su sentir, su autoestima y bienes</w:t>
      </w:r>
      <w:r w:rsidRPr="001373C6">
        <w:rPr>
          <w:color w:val="000000"/>
        </w:rPr>
        <w:t>tar, limitando la percepción de su valor y capacidades. Entender cómo nuestras interacciones y expresiones reflejan estas creencias culturales puede contribuir a crear una sociedad más inclusiva y consciente de la diversidad y riqueza que aporta cada etapa</w:t>
      </w:r>
      <w:r w:rsidRPr="001373C6">
        <w:rPr>
          <w:color w:val="000000"/>
        </w:rPr>
        <w:t xml:space="preserve"> de la vida.</w:t>
      </w:r>
    </w:p>
    <w:p w14:paraId="00000071" w14:textId="4F50E277" w:rsidR="00EC274E" w:rsidRPr="001373C6" w:rsidRDefault="00A718BA" w:rsidP="00363304">
      <w:pPr>
        <w:pBdr>
          <w:top w:val="nil"/>
          <w:left w:val="nil"/>
          <w:bottom w:val="nil"/>
          <w:right w:val="nil"/>
          <w:between w:val="nil"/>
        </w:pBdr>
        <w:spacing w:line="360" w:lineRule="auto"/>
        <w:jc w:val="both"/>
        <w:rPr>
          <w:color w:val="000000"/>
        </w:rPr>
      </w:pPr>
      <w:r w:rsidRPr="001373C6">
        <w:rPr>
          <w:color w:val="000000"/>
        </w:rPr>
        <w:t>Los resultados de este estudio muestran que los estudiantes de la licenciatura en enfermería y psicología presentan, en promedio, bajos niveles de estereotipos hacia la vejez, con una media de 35,07 puntos para enfermería y 29,96 puntos p</w:t>
      </w:r>
      <w:r w:rsidRPr="001373C6">
        <w:rPr>
          <w:color w:val="000000"/>
        </w:rPr>
        <w:t>ara psicología. En el último caso, se observa que tienen niveles más bajos de estereotipos hacia la vejez en comparación con los estudiantes de enfermería. Es posible que estos resultados tengan una relación con la formación y la diferencia curricular entr</w:t>
      </w:r>
      <w:r w:rsidRPr="001373C6">
        <w:rPr>
          <w:color w:val="000000"/>
        </w:rPr>
        <w:t>e las dos carreras, ya que en el caso de Psicología suelen incluir una mayor cantidad de contenidos teóricos y prácticos relacionados con el envejecimiento, abordando tanto aspectos psicológicos como sociales. En contraste, en Enfermería, los contenidos re</w:t>
      </w:r>
      <w:r w:rsidRPr="001373C6">
        <w:rPr>
          <w:color w:val="000000"/>
        </w:rPr>
        <w:t xml:space="preserve">lacionados con la vejez </w:t>
      </w:r>
      <w:r w:rsidRPr="001373C6">
        <w:rPr>
          <w:color w:val="000000"/>
        </w:rPr>
        <w:lastRenderedPageBreak/>
        <w:t>podrían estar más enfocados en el cuidado físico y clínico, lo que podría limitar una comprensión más integral de esta etapa de la vida y sus desafíos socioculturales.</w:t>
      </w:r>
    </w:p>
    <w:p w14:paraId="00000072" w14:textId="77777777" w:rsidR="00EC274E" w:rsidRPr="001373C6" w:rsidRDefault="00A718BA" w:rsidP="00363304">
      <w:pPr>
        <w:pBdr>
          <w:top w:val="nil"/>
          <w:left w:val="nil"/>
          <w:bottom w:val="nil"/>
          <w:right w:val="nil"/>
          <w:between w:val="nil"/>
        </w:pBdr>
        <w:spacing w:line="360" w:lineRule="auto"/>
        <w:jc w:val="both"/>
        <w:rPr>
          <w:color w:val="000000"/>
        </w:rPr>
      </w:pPr>
      <w:r w:rsidRPr="001373C6">
        <w:rPr>
          <w:color w:val="000000"/>
        </w:rPr>
        <w:t xml:space="preserve">En cuanto a los resultados obtenidos sobre la autopercepción de </w:t>
      </w:r>
      <w:r w:rsidRPr="001373C6">
        <w:rPr>
          <w:color w:val="000000"/>
        </w:rPr>
        <w:t>prejuicios relacionados con la vejez, tanto en los estudiantes de enfermería como en psicología, se observa que aquellas personas que respondieron que sí tenían prejuicios, realmente obtuvieron una puntuación más alta en el puntaje total del CENVE. Este ha</w:t>
      </w:r>
      <w:r w:rsidRPr="001373C6">
        <w:rPr>
          <w:color w:val="000000"/>
        </w:rPr>
        <w:t xml:space="preserve">llazgo puede interpretarse de manera favorable, ya que el reconocimiento sobre estos prejuicios ofrece una oportunidad para trabajar activamente en reducirlos y mejorar así las actitudes hacia el envejecimiento. Es interesante notar que, </w:t>
      </w:r>
      <w:r w:rsidRPr="001373C6">
        <w:t>los estudiantes de</w:t>
      </w:r>
      <w:r w:rsidRPr="001373C6">
        <w:t xml:space="preserve"> Psicología parecerían tener un reconocimiento más afinado de sus propios prejuicios, ya que, como se mostró en el análisis descriptivo, es mayor la proporción de quienes reconocen tenerlos si comparado con los estudiantes de Enfermería.</w:t>
      </w:r>
    </w:p>
    <w:p w14:paraId="00000073" w14:textId="77777777" w:rsidR="00EC274E" w:rsidRPr="001373C6" w:rsidRDefault="00A718BA" w:rsidP="00363304">
      <w:pPr>
        <w:pBdr>
          <w:top w:val="nil"/>
          <w:left w:val="nil"/>
          <w:bottom w:val="nil"/>
          <w:right w:val="nil"/>
          <w:between w:val="nil"/>
        </w:pBdr>
        <w:spacing w:line="360" w:lineRule="auto"/>
        <w:jc w:val="both"/>
        <w:rPr>
          <w:color w:val="000000"/>
        </w:rPr>
      </w:pPr>
      <w:r w:rsidRPr="001373C6">
        <w:rPr>
          <w:color w:val="000000"/>
        </w:rPr>
        <w:t>Con respecto al av</w:t>
      </w:r>
      <w:r w:rsidRPr="001373C6">
        <w:rPr>
          <w:color w:val="000000"/>
        </w:rPr>
        <w:t xml:space="preserve">ance curricular y el curso previo, se encontró una diferencia significativa en los estudiantes de Psicología, lo que sugiere que haber cursado materias o cursos relacionados con el envejecimiento, junto con un mayor avance en la carrera, podría contribuir </w:t>
      </w:r>
      <w:r w:rsidRPr="001373C6">
        <w:rPr>
          <w:color w:val="000000"/>
        </w:rPr>
        <w:t>a reducir los estereotipos hacia esta etapa de la vida. Sin embargo, esta diferencia no fue significativa en los estudiantes de Enfermería</w:t>
      </w:r>
      <w:r w:rsidRPr="001373C6">
        <w:t>.</w:t>
      </w:r>
      <w:r w:rsidRPr="001373C6">
        <w:rPr>
          <w:color w:val="000000"/>
        </w:rPr>
        <w:t xml:space="preserve"> No se encontró evidencia estadística significativa de que esto influya en sus estereotipos y prejuicios hacia el env</w:t>
      </w:r>
      <w:r w:rsidRPr="001373C6">
        <w:rPr>
          <w:color w:val="000000"/>
        </w:rPr>
        <w:t>ejecimiento. En contraste, el estudio de Cobo y Castanedo (2015) en estudiantes de tercer año de Enfermería en la Universidad de Cantabria reveló una alta prevalencia de estereotipos negativos hacia la vejez, a pesar de que estos estudiantes ya contaban co</w:t>
      </w:r>
      <w:r w:rsidRPr="001373C6">
        <w:rPr>
          <w:color w:val="000000"/>
        </w:rPr>
        <w:t xml:space="preserve">n prácticas clínicas y conocimiento sobre la temática. </w:t>
      </w:r>
    </w:p>
    <w:p w14:paraId="00000074" w14:textId="77777777" w:rsidR="00EC274E" w:rsidRPr="001373C6" w:rsidRDefault="00A718BA" w:rsidP="00363304">
      <w:pPr>
        <w:pBdr>
          <w:top w:val="nil"/>
          <w:left w:val="nil"/>
          <w:bottom w:val="nil"/>
          <w:right w:val="nil"/>
          <w:between w:val="nil"/>
        </w:pBdr>
        <w:spacing w:line="360" w:lineRule="auto"/>
        <w:jc w:val="both"/>
        <w:rPr>
          <w:color w:val="000000"/>
        </w:rPr>
      </w:pPr>
      <w:r w:rsidRPr="001373C6">
        <w:rPr>
          <w:color w:val="000000"/>
        </w:rPr>
        <w:t>Por otro lado, se encontró una correlación significativa con los niveles de ansiedad ante el envejecimiento para los estudiantes de la licenciatura en enfermería. Se puede interpretar que, ante un aum</w:t>
      </w:r>
      <w:r w:rsidRPr="001373C6">
        <w:rPr>
          <w:color w:val="000000"/>
        </w:rPr>
        <w:t xml:space="preserve">ento en los niveles de ansiedad, también hay un aumento en el puntaje total de los estereotipos negativos. En este caso, es interesante considerar el modelo propuesto por Levy (2016), PEACE </w:t>
      </w:r>
      <w:r w:rsidRPr="001373C6">
        <w:rPr>
          <w:i/>
          <w:iCs/>
          <w:color w:val="000000"/>
        </w:rPr>
        <w:t xml:space="preserve">(Positive </w:t>
      </w:r>
      <w:proofErr w:type="spellStart"/>
      <w:r w:rsidRPr="001373C6">
        <w:rPr>
          <w:i/>
          <w:iCs/>
          <w:color w:val="000000"/>
        </w:rPr>
        <w:t>Education</w:t>
      </w:r>
      <w:proofErr w:type="spellEnd"/>
      <w:r w:rsidRPr="001373C6">
        <w:rPr>
          <w:i/>
          <w:iCs/>
          <w:color w:val="000000"/>
        </w:rPr>
        <w:t xml:space="preserve"> </w:t>
      </w:r>
      <w:proofErr w:type="spellStart"/>
      <w:r w:rsidRPr="001373C6">
        <w:rPr>
          <w:i/>
          <w:iCs/>
          <w:color w:val="000000"/>
        </w:rPr>
        <w:t>about</w:t>
      </w:r>
      <w:proofErr w:type="spellEnd"/>
      <w:r w:rsidRPr="001373C6">
        <w:rPr>
          <w:i/>
          <w:iCs/>
          <w:color w:val="000000"/>
        </w:rPr>
        <w:t xml:space="preserve"> </w:t>
      </w:r>
      <w:proofErr w:type="spellStart"/>
      <w:r w:rsidRPr="001373C6">
        <w:rPr>
          <w:i/>
          <w:iCs/>
          <w:color w:val="000000"/>
        </w:rPr>
        <w:t>Aging</w:t>
      </w:r>
      <w:proofErr w:type="spellEnd"/>
      <w:r w:rsidRPr="001373C6">
        <w:rPr>
          <w:i/>
          <w:iCs/>
          <w:color w:val="000000"/>
        </w:rPr>
        <w:t xml:space="preserve"> and </w:t>
      </w:r>
      <w:proofErr w:type="spellStart"/>
      <w:r w:rsidRPr="001373C6">
        <w:rPr>
          <w:i/>
          <w:iCs/>
          <w:color w:val="000000"/>
        </w:rPr>
        <w:t>Contact</w:t>
      </w:r>
      <w:proofErr w:type="spellEnd"/>
      <w:r w:rsidRPr="001373C6">
        <w:rPr>
          <w:i/>
          <w:iCs/>
          <w:color w:val="000000"/>
        </w:rPr>
        <w:t xml:space="preserve"> </w:t>
      </w:r>
      <w:proofErr w:type="spellStart"/>
      <w:r w:rsidRPr="001373C6">
        <w:rPr>
          <w:i/>
          <w:iCs/>
          <w:color w:val="000000"/>
        </w:rPr>
        <w:t>Experiences</w:t>
      </w:r>
      <w:proofErr w:type="spellEnd"/>
      <w:r w:rsidRPr="001373C6">
        <w:rPr>
          <w:i/>
          <w:iCs/>
          <w:color w:val="000000"/>
        </w:rPr>
        <w:t>)</w:t>
      </w:r>
      <w:r w:rsidRPr="001373C6">
        <w:rPr>
          <w:color w:val="000000"/>
        </w:rPr>
        <w:t>, donde su</w:t>
      </w:r>
      <w:r w:rsidRPr="001373C6">
        <w:rPr>
          <w:color w:val="000000"/>
        </w:rPr>
        <w:t>giere que el contacto intergeneracional, con educación y conocimiento sobre el envejecimiento puede ayudar a reducir estereotipos y por consecuencia también podría ayudar a reducir la ansiedad ante el envejecimiento.</w:t>
      </w:r>
    </w:p>
    <w:p w14:paraId="00000075" w14:textId="57616146" w:rsidR="00EC274E" w:rsidRPr="001373C6" w:rsidRDefault="00A718BA" w:rsidP="00363304">
      <w:pPr>
        <w:pBdr>
          <w:top w:val="nil"/>
          <w:left w:val="nil"/>
          <w:bottom w:val="nil"/>
          <w:right w:val="nil"/>
          <w:between w:val="nil"/>
        </w:pBdr>
        <w:spacing w:line="360" w:lineRule="auto"/>
        <w:jc w:val="both"/>
        <w:rPr>
          <w:color w:val="000000"/>
        </w:rPr>
      </w:pPr>
      <w:r w:rsidRPr="001373C6">
        <w:rPr>
          <w:color w:val="000000"/>
        </w:rPr>
        <w:t>Finalmente, los resultados muestran una</w:t>
      </w:r>
      <w:r w:rsidRPr="001373C6">
        <w:rPr>
          <w:color w:val="000000"/>
        </w:rPr>
        <w:t xml:space="preserve"> correlación positiva estadísticamente significativa entre el tipo de contacto con personas mayores en estudiantes de enfermería y los estereotipos negativos, lo que sugiere que un contacto involuntario se asocia con niveles más altos de estereotipos </w:t>
      </w:r>
      <w:r w:rsidRPr="001373C6">
        <w:rPr>
          <w:color w:val="000000"/>
        </w:rPr>
        <w:lastRenderedPageBreak/>
        <w:t>negat</w:t>
      </w:r>
      <w:r w:rsidRPr="001373C6">
        <w:rPr>
          <w:color w:val="000000"/>
        </w:rPr>
        <w:t>ivos. Esto puede indicar que, tener un contacto voluntario satisfactorio, positivo y cercano con personas mayores no solo reduc</w:t>
      </w:r>
      <w:r w:rsidRPr="001373C6">
        <w:t>iría</w:t>
      </w:r>
      <w:r w:rsidRPr="001373C6">
        <w:rPr>
          <w:color w:val="000000"/>
        </w:rPr>
        <w:t xml:space="preserve"> los estereotipos, sino que también </w:t>
      </w:r>
      <w:r w:rsidRPr="001373C6">
        <w:t>podría promover</w:t>
      </w:r>
      <w:r w:rsidRPr="001373C6">
        <w:rPr>
          <w:color w:val="000000"/>
        </w:rPr>
        <w:t xml:space="preserve"> actitudes más inclusivas y respetuosas hacia el envejecimiento. Por el co</w:t>
      </w:r>
      <w:r w:rsidRPr="001373C6">
        <w:rPr>
          <w:color w:val="000000"/>
        </w:rPr>
        <w:t>ntrario, como seña</w:t>
      </w:r>
      <w:r w:rsidRPr="001373C6">
        <w:t xml:space="preserve">lan </w:t>
      </w:r>
      <w:proofErr w:type="spellStart"/>
      <w:r w:rsidRPr="001373C6">
        <w:t>Ayalon</w:t>
      </w:r>
      <w:proofErr w:type="spellEnd"/>
      <w:r w:rsidRPr="001373C6">
        <w:t xml:space="preserve"> y </w:t>
      </w:r>
      <w:proofErr w:type="spellStart"/>
      <w:r w:rsidRPr="001373C6">
        <w:t>Tesch-Römer</w:t>
      </w:r>
      <w:proofErr w:type="spellEnd"/>
      <w:r w:rsidRPr="001373C6">
        <w:t xml:space="preserve"> (2018), en contextos formativos donde el envejecimiento se asocia predominantemente con deterioro funcional, podría esperarse que se reproduzcan imaginarios que invisibilicen la diversidad de las personas mayores.</w:t>
      </w:r>
      <w:r w:rsidRPr="001373C6">
        <w:t xml:space="preserve"> El </w:t>
      </w:r>
      <w:r w:rsidRPr="001373C6">
        <w:rPr>
          <w:color w:val="000000"/>
        </w:rPr>
        <w:t>contacto inv</w:t>
      </w:r>
      <w:r w:rsidRPr="001373C6">
        <w:t>oluntario en contextos de dependencia y deterioro funcional, podría estar contribuyendo a un aumento de los estereotipos negativos. Promocionar el encuentro intergeneracional en situaciones no vinculadas directamente a los aspectos del dete</w:t>
      </w:r>
      <w:r w:rsidRPr="001373C6">
        <w:t>rioro, podría favorecer mayor predisposición a trabajar con esta población e</w:t>
      </w:r>
      <w:r w:rsidR="001373C6">
        <w:t>n</w:t>
      </w:r>
      <w:r w:rsidRPr="001373C6">
        <w:t xml:space="preserve">tre los estudiantes de Enfermería. </w:t>
      </w:r>
      <w:r w:rsidRPr="001373C6">
        <w:rPr>
          <w:color w:val="000000"/>
        </w:rPr>
        <w:t xml:space="preserve">Estos hallazgos </w:t>
      </w:r>
      <w:r w:rsidR="001373C6">
        <w:t xml:space="preserve">sugieren </w:t>
      </w:r>
      <w:r w:rsidRPr="001373C6">
        <w:rPr>
          <w:color w:val="000000"/>
        </w:rPr>
        <w:t>la importancia de fomentar interacciones de calidad como una posible estrategia para reducir estereotipos negat</w:t>
      </w:r>
      <w:r w:rsidRPr="001373C6">
        <w:rPr>
          <w:color w:val="000000"/>
        </w:rPr>
        <w:t xml:space="preserve">ivos y mejorar las actitudes </w:t>
      </w:r>
      <w:proofErr w:type="spellStart"/>
      <w:r w:rsidRPr="001373C6">
        <w:rPr>
          <w:color w:val="000000"/>
        </w:rPr>
        <w:t>edadistas</w:t>
      </w:r>
      <w:proofErr w:type="spellEnd"/>
      <w:r w:rsidRPr="001373C6">
        <w:rPr>
          <w:color w:val="000000"/>
        </w:rPr>
        <w:t>.</w:t>
      </w:r>
    </w:p>
    <w:p w14:paraId="00000076" w14:textId="77777777" w:rsidR="00EC274E" w:rsidRPr="001373C6" w:rsidRDefault="00EC274E">
      <w:pPr>
        <w:rPr>
          <w:b/>
          <w:bCs/>
          <w:color w:val="000000"/>
        </w:rPr>
      </w:pPr>
    </w:p>
    <w:p w14:paraId="21A6C564" w14:textId="15EF49CC" w:rsidR="00363304" w:rsidRDefault="00363304">
      <w:pPr>
        <w:rPr>
          <w:b/>
          <w:bCs/>
          <w:color w:val="000000"/>
        </w:rPr>
      </w:pPr>
    </w:p>
    <w:p w14:paraId="17EEE0FE" w14:textId="77777777" w:rsidR="00363304" w:rsidRPr="001373C6" w:rsidRDefault="00363304">
      <w:pPr>
        <w:rPr>
          <w:b/>
          <w:bCs/>
          <w:color w:val="000000"/>
        </w:rPr>
      </w:pPr>
    </w:p>
    <w:p w14:paraId="00000078" w14:textId="77777777" w:rsidR="00EC274E" w:rsidRPr="001373C6" w:rsidRDefault="00A718BA" w:rsidP="00363304">
      <w:pPr>
        <w:spacing w:line="360" w:lineRule="auto"/>
        <w:rPr>
          <w:b/>
          <w:bCs/>
          <w:color w:val="000000"/>
        </w:rPr>
      </w:pPr>
      <w:r w:rsidRPr="001373C6">
        <w:rPr>
          <w:b/>
          <w:bCs/>
          <w:color w:val="000000"/>
        </w:rPr>
        <w:t>Anexos</w:t>
      </w:r>
    </w:p>
    <w:p w14:paraId="0000007A" w14:textId="77777777" w:rsidR="00EC274E" w:rsidRPr="001373C6" w:rsidRDefault="00EC274E" w:rsidP="00363304">
      <w:pPr>
        <w:spacing w:line="360" w:lineRule="auto"/>
        <w:rPr>
          <w:b/>
          <w:bCs/>
          <w:color w:val="000000"/>
        </w:rPr>
      </w:pPr>
    </w:p>
    <w:p w14:paraId="0000007B" w14:textId="77777777" w:rsidR="00EC274E" w:rsidRPr="001373C6" w:rsidRDefault="00A718BA" w:rsidP="00363304">
      <w:pPr>
        <w:spacing w:line="360" w:lineRule="auto"/>
        <w:rPr>
          <w:color w:val="000000"/>
        </w:rPr>
      </w:pPr>
      <w:r w:rsidRPr="001373C6">
        <w:rPr>
          <w:color w:val="000000"/>
        </w:rPr>
        <w:t xml:space="preserve">Cuestionario de estereotipos negativos hacia la vejez (CENVE). </w:t>
      </w:r>
    </w:p>
    <w:p w14:paraId="0000007C" w14:textId="77777777" w:rsidR="00EC274E" w:rsidRPr="001373C6" w:rsidRDefault="00A718BA" w:rsidP="00363304">
      <w:pPr>
        <w:spacing w:line="360" w:lineRule="auto"/>
        <w:rPr>
          <w:color w:val="000000"/>
        </w:rPr>
      </w:pPr>
      <w:r w:rsidRPr="001373C6">
        <w:rPr>
          <w:color w:val="000000"/>
        </w:rPr>
        <w:t>La escala CENVE está compuesta por 15 ítems que evalúan estereotipos negativos hacia las personas mayores. Los participantes responden en una</w:t>
      </w:r>
      <w:r w:rsidRPr="001373C6">
        <w:rPr>
          <w:color w:val="000000"/>
        </w:rPr>
        <w:t xml:space="preserve"> escala tipo Likert de 1 (totalmente en desacuerdo) a 4 (totalmente de acuerdo).</w:t>
      </w:r>
    </w:p>
    <w:p w14:paraId="0000007D" w14:textId="77777777" w:rsidR="00EC274E" w:rsidRPr="001373C6" w:rsidRDefault="00EC274E" w:rsidP="00363304">
      <w:pPr>
        <w:spacing w:line="360" w:lineRule="auto"/>
        <w:rPr>
          <w:color w:val="000000"/>
        </w:rPr>
      </w:pPr>
    </w:p>
    <w:p w14:paraId="0000007E" w14:textId="77777777" w:rsidR="00EC274E" w:rsidRPr="001373C6" w:rsidRDefault="00A718BA" w:rsidP="00363304">
      <w:pPr>
        <w:numPr>
          <w:ilvl w:val="0"/>
          <w:numId w:val="1"/>
        </w:numPr>
        <w:pBdr>
          <w:top w:val="nil"/>
          <w:left w:val="nil"/>
          <w:bottom w:val="nil"/>
          <w:right w:val="nil"/>
          <w:between w:val="nil"/>
        </w:pBdr>
        <w:spacing w:line="360" w:lineRule="auto"/>
        <w:rPr>
          <w:color w:val="000000"/>
        </w:rPr>
      </w:pPr>
      <w:r w:rsidRPr="001373C6">
        <w:rPr>
          <w:color w:val="000000"/>
        </w:rPr>
        <w:t>La mayor parte de las personas cuando llegan a los 65 años de edad aproximadamente, comienzan a tener un considerable deterioro de memoria.</w:t>
      </w:r>
    </w:p>
    <w:p w14:paraId="0000007F" w14:textId="77777777" w:rsidR="00EC274E" w:rsidRPr="001373C6" w:rsidRDefault="00A718BA" w:rsidP="00363304">
      <w:pPr>
        <w:numPr>
          <w:ilvl w:val="0"/>
          <w:numId w:val="1"/>
        </w:numPr>
        <w:pBdr>
          <w:top w:val="nil"/>
          <w:left w:val="nil"/>
          <w:bottom w:val="nil"/>
          <w:right w:val="nil"/>
          <w:between w:val="nil"/>
        </w:pBdr>
        <w:spacing w:line="360" w:lineRule="auto"/>
        <w:rPr>
          <w:color w:val="000000"/>
        </w:rPr>
      </w:pPr>
      <w:r w:rsidRPr="001373C6">
        <w:rPr>
          <w:color w:val="000000"/>
        </w:rPr>
        <w:t>Las personas mayores tienen menos interés por el sexo.</w:t>
      </w:r>
    </w:p>
    <w:p w14:paraId="00000080" w14:textId="77777777" w:rsidR="00EC274E" w:rsidRPr="001373C6" w:rsidRDefault="00A718BA" w:rsidP="00363304">
      <w:pPr>
        <w:numPr>
          <w:ilvl w:val="0"/>
          <w:numId w:val="1"/>
        </w:numPr>
        <w:pBdr>
          <w:top w:val="nil"/>
          <w:left w:val="nil"/>
          <w:bottom w:val="nil"/>
          <w:right w:val="nil"/>
          <w:between w:val="nil"/>
        </w:pBdr>
        <w:spacing w:line="360" w:lineRule="auto"/>
        <w:rPr>
          <w:color w:val="000000"/>
        </w:rPr>
      </w:pPr>
      <w:r w:rsidRPr="001373C6">
        <w:rPr>
          <w:color w:val="000000"/>
        </w:rPr>
        <w:t>Las personas mayores se irritan con facilidad y son "cascarrabias".</w:t>
      </w:r>
    </w:p>
    <w:p w14:paraId="00000081" w14:textId="77777777" w:rsidR="00EC274E" w:rsidRPr="001373C6" w:rsidRDefault="00A718BA" w:rsidP="00363304">
      <w:pPr>
        <w:numPr>
          <w:ilvl w:val="0"/>
          <w:numId w:val="1"/>
        </w:numPr>
        <w:pBdr>
          <w:top w:val="nil"/>
          <w:left w:val="nil"/>
          <w:bottom w:val="nil"/>
          <w:right w:val="nil"/>
          <w:between w:val="nil"/>
        </w:pBdr>
        <w:spacing w:line="360" w:lineRule="auto"/>
        <w:rPr>
          <w:color w:val="000000"/>
        </w:rPr>
      </w:pPr>
      <w:r w:rsidRPr="001373C6">
        <w:rPr>
          <w:color w:val="000000"/>
        </w:rPr>
        <w:t>La mayoría de las personas mayores de 70 años tienen alguna enfermedad mental lo bastante seria como para deteriorar sus capacidades normales.</w:t>
      </w:r>
    </w:p>
    <w:p w14:paraId="00000082" w14:textId="77777777" w:rsidR="00EC274E" w:rsidRPr="001373C6" w:rsidRDefault="00A718BA" w:rsidP="00363304">
      <w:pPr>
        <w:numPr>
          <w:ilvl w:val="0"/>
          <w:numId w:val="1"/>
        </w:numPr>
        <w:pBdr>
          <w:top w:val="nil"/>
          <w:left w:val="nil"/>
          <w:bottom w:val="nil"/>
          <w:right w:val="nil"/>
          <w:between w:val="nil"/>
        </w:pBdr>
        <w:spacing w:line="360" w:lineRule="auto"/>
        <w:rPr>
          <w:color w:val="000000"/>
        </w:rPr>
      </w:pPr>
      <w:r w:rsidRPr="001373C6">
        <w:rPr>
          <w:color w:val="000000"/>
        </w:rPr>
        <w:t xml:space="preserve">Las personas mayores tienen menos amigos que </w:t>
      </w:r>
      <w:r w:rsidRPr="001373C6">
        <w:rPr>
          <w:color w:val="000000"/>
        </w:rPr>
        <w:t>las más jóvenes.</w:t>
      </w:r>
    </w:p>
    <w:p w14:paraId="00000083" w14:textId="77777777" w:rsidR="00EC274E" w:rsidRPr="001373C6" w:rsidRDefault="00A718BA" w:rsidP="00363304">
      <w:pPr>
        <w:numPr>
          <w:ilvl w:val="0"/>
          <w:numId w:val="1"/>
        </w:numPr>
        <w:pBdr>
          <w:top w:val="nil"/>
          <w:left w:val="nil"/>
          <w:bottom w:val="nil"/>
          <w:right w:val="nil"/>
          <w:between w:val="nil"/>
        </w:pBdr>
        <w:spacing w:line="360" w:lineRule="auto"/>
        <w:rPr>
          <w:color w:val="000000"/>
        </w:rPr>
      </w:pPr>
      <w:r w:rsidRPr="001373C6">
        <w:rPr>
          <w:color w:val="000000"/>
        </w:rPr>
        <w:t>A medida que las personas mayores se hacen mayores, se vuelven más rígidas e inflexibles.</w:t>
      </w:r>
    </w:p>
    <w:p w14:paraId="00000084" w14:textId="77777777" w:rsidR="00EC274E" w:rsidRPr="001373C6" w:rsidRDefault="00A718BA" w:rsidP="00363304">
      <w:pPr>
        <w:numPr>
          <w:ilvl w:val="0"/>
          <w:numId w:val="1"/>
        </w:numPr>
        <w:pBdr>
          <w:top w:val="nil"/>
          <w:left w:val="nil"/>
          <w:bottom w:val="nil"/>
          <w:right w:val="nil"/>
          <w:between w:val="nil"/>
        </w:pBdr>
        <w:spacing w:line="360" w:lineRule="auto"/>
        <w:rPr>
          <w:color w:val="000000"/>
        </w:rPr>
      </w:pPr>
      <w:r w:rsidRPr="001373C6">
        <w:rPr>
          <w:color w:val="000000"/>
        </w:rPr>
        <w:lastRenderedPageBreak/>
        <w:t xml:space="preserve">La mayor parte de los adultos mantienen un nivel de salud aceptable hasta los 65 años aproximadamente, en donde se produce un fuerte deterioro de la </w:t>
      </w:r>
      <w:r w:rsidRPr="001373C6">
        <w:rPr>
          <w:color w:val="000000"/>
        </w:rPr>
        <w:t>salud.</w:t>
      </w:r>
    </w:p>
    <w:p w14:paraId="00000085" w14:textId="77777777" w:rsidR="00EC274E" w:rsidRPr="001373C6" w:rsidRDefault="00A718BA" w:rsidP="00363304">
      <w:pPr>
        <w:numPr>
          <w:ilvl w:val="0"/>
          <w:numId w:val="1"/>
        </w:numPr>
        <w:pBdr>
          <w:top w:val="nil"/>
          <w:left w:val="nil"/>
          <w:bottom w:val="nil"/>
          <w:right w:val="nil"/>
          <w:between w:val="nil"/>
        </w:pBdr>
        <w:spacing w:line="360" w:lineRule="auto"/>
        <w:rPr>
          <w:color w:val="000000"/>
        </w:rPr>
      </w:pPr>
      <w:r w:rsidRPr="001373C6">
        <w:rPr>
          <w:color w:val="000000"/>
        </w:rPr>
        <w:t>A medida que nos hacemos mayores perdemos el interés por las cosas.</w:t>
      </w:r>
    </w:p>
    <w:p w14:paraId="00000086" w14:textId="77777777" w:rsidR="00EC274E" w:rsidRPr="001373C6" w:rsidRDefault="00A718BA" w:rsidP="00363304">
      <w:pPr>
        <w:numPr>
          <w:ilvl w:val="0"/>
          <w:numId w:val="1"/>
        </w:numPr>
        <w:pBdr>
          <w:top w:val="nil"/>
          <w:left w:val="nil"/>
          <w:bottom w:val="nil"/>
          <w:right w:val="nil"/>
          <w:between w:val="nil"/>
        </w:pBdr>
        <w:spacing w:line="360" w:lineRule="auto"/>
        <w:rPr>
          <w:color w:val="000000"/>
        </w:rPr>
      </w:pPr>
      <w:r w:rsidRPr="001373C6">
        <w:rPr>
          <w:color w:val="000000"/>
        </w:rPr>
        <w:t>Las personas mayores son, en muchas ocasiones como niños.</w:t>
      </w:r>
    </w:p>
    <w:p w14:paraId="00000087" w14:textId="77777777" w:rsidR="00EC274E" w:rsidRPr="001373C6" w:rsidRDefault="00A718BA" w:rsidP="00363304">
      <w:pPr>
        <w:numPr>
          <w:ilvl w:val="0"/>
          <w:numId w:val="1"/>
        </w:numPr>
        <w:pBdr>
          <w:top w:val="nil"/>
          <w:left w:val="nil"/>
          <w:bottom w:val="nil"/>
          <w:right w:val="nil"/>
          <w:between w:val="nil"/>
        </w:pBdr>
        <w:spacing w:line="360" w:lineRule="auto"/>
        <w:rPr>
          <w:color w:val="000000"/>
        </w:rPr>
      </w:pPr>
      <w:r w:rsidRPr="001373C6">
        <w:rPr>
          <w:color w:val="000000"/>
        </w:rPr>
        <w:t>La mayor parte de las personas mayores de 65 años tienen una serie de incapacidades que les hacen depender de los demás.</w:t>
      </w:r>
    </w:p>
    <w:p w14:paraId="00000088" w14:textId="77777777" w:rsidR="00EC274E" w:rsidRPr="001373C6" w:rsidRDefault="00A718BA" w:rsidP="00363304">
      <w:pPr>
        <w:numPr>
          <w:ilvl w:val="0"/>
          <w:numId w:val="1"/>
        </w:numPr>
        <w:pBdr>
          <w:top w:val="nil"/>
          <w:left w:val="nil"/>
          <w:bottom w:val="nil"/>
          <w:right w:val="nil"/>
          <w:between w:val="nil"/>
        </w:pBdr>
        <w:spacing w:line="360" w:lineRule="auto"/>
        <w:rPr>
          <w:color w:val="000000"/>
        </w:rPr>
      </w:pPr>
      <w:r w:rsidRPr="001373C6">
        <w:rPr>
          <w:color w:val="000000"/>
        </w:rPr>
        <w:t xml:space="preserve">A </w:t>
      </w:r>
      <w:r w:rsidRPr="001373C6">
        <w:rPr>
          <w:color w:val="000000"/>
        </w:rPr>
        <w:t>medida que nos hacemos mayores perdemos la capacidad de resolver los problemas a los que nos enfrentamos.</w:t>
      </w:r>
    </w:p>
    <w:p w14:paraId="00000089" w14:textId="77777777" w:rsidR="00EC274E" w:rsidRPr="001373C6" w:rsidRDefault="00A718BA" w:rsidP="00363304">
      <w:pPr>
        <w:numPr>
          <w:ilvl w:val="0"/>
          <w:numId w:val="1"/>
        </w:numPr>
        <w:pBdr>
          <w:top w:val="nil"/>
          <w:left w:val="nil"/>
          <w:bottom w:val="nil"/>
          <w:right w:val="nil"/>
          <w:between w:val="nil"/>
        </w:pBdr>
        <w:spacing w:line="360" w:lineRule="auto"/>
        <w:rPr>
          <w:color w:val="000000"/>
        </w:rPr>
      </w:pPr>
      <w:r w:rsidRPr="001373C6">
        <w:rPr>
          <w:color w:val="000000"/>
        </w:rPr>
        <w:t>Los defectos de la gente se agudizan con la edad.</w:t>
      </w:r>
    </w:p>
    <w:p w14:paraId="0000008A" w14:textId="77777777" w:rsidR="00EC274E" w:rsidRPr="001373C6" w:rsidRDefault="00A718BA" w:rsidP="00363304">
      <w:pPr>
        <w:numPr>
          <w:ilvl w:val="0"/>
          <w:numId w:val="1"/>
        </w:numPr>
        <w:pBdr>
          <w:top w:val="nil"/>
          <w:left w:val="nil"/>
          <w:bottom w:val="nil"/>
          <w:right w:val="nil"/>
          <w:between w:val="nil"/>
        </w:pBdr>
        <w:spacing w:line="360" w:lineRule="auto"/>
        <w:rPr>
          <w:color w:val="000000"/>
        </w:rPr>
      </w:pPr>
      <w:r w:rsidRPr="001373C6">
        <w:rPr>
          <w:color w:val="000000"/>
        </w:rPr>
        <w:t>El deterioro cognitivo (pérdida de memoria, desorientación, confusión) es una parte inevitable de la</w:t>
      </w:r>
      <w:r w:rsidRPr="001373C6">
        <w:rPr>
          <w:color w:val="000000"/>
        </w:rPr>
        <w:t xml:space="preserve"> vejez.</w:t>
      </w:r>
    </w:p>
    <w:p w14:paraId="0000008B" w14:textId="77777777" w:rsidR="00EC274E" w:rsidRPr="001373C6" w:rsidRDefault="00A718BA" w:rsidP="00363304">
      <w:pPr>
        <w:numPr>
          <w:ilvl w:val="0"/>
          <w:numId w:val="1"/>
        </w:numPr>
        <w:pBdr>
          <w:top w:val="nil"/>
          <w:left w:val="nil"/>
          <w:bottom w:val="nil"/>
          <w:right w:val="nil"/>
          <w:between w:val="nil"/>
        </w:pBdr>
        <w:spacing w:line="360" w:lineRule="auto"/>
        <w:rPr>
          <w:color w:val="000000"/>
        </w:rPr>
      </w:pPr>
      <w:r w:rsidRPr="001373C6">
        <w:rPr>
          <w:color w:val="000000"/>
        </w:rPr>
        <w:t>Casi ninguna persona mayor de 65 años realiza un trabajo tan bien como lo haría otra más joven.</w:t>
      </w:r>
    </w:p>
    <w:p w14:paraId="0000008C" w14:textId="77777777" w:rsidR="00EC274E" w:rsidRPr="001373C6" w:rsidRDefault="00A718BA" w:rsidP="00363304">
      <w:pPr>
        <w:numPr>
          <w:ilvl w:val="0"/>
          <w:numId w:val="1"/>
        </w:numPr>
        <w:pBdr>
          <w:top w:val="nil"/>
          <w:left w:val="nil"/>
          <w:bottom w:val="nil"/>
          <w:right w:val="nil"/>
          <w:between w:val="nil"/>
        </w:pBdr>
        <w:spacing w:line="360" w:lineRule="auto"/>
        <w:rPr>
          <w:color w:val="000000"/>
        </w:rPr>
      </w:pPr>
      <w:r w:rsidRPr="001373C6">
        <w:rPr>
          <w:color w:val="000000"/>
        </w:rPr>
        <w:t>Una gran parte de las personas mayores de 65 años "chochean".</w:t>
      </w:r>
    </w:p>
    <w:p w14:paraId="0000008D" w14:textId="77777777" w:rsidR="00EC274E" w:rsidRPr="001373C6" w:rsidRDefault="00EC274E">
      <w:pPr>
        <w:pBdr>
          <w:top w:val="nil"/>
          <w:left w:val="nil"/>
          <w:bottom w:val="nil"/>
          <w:right w:val="nil"/>
          <w:between w:val="nil"/>
        </w:pBdr>
        <w:ind w:left="1080"/>
        <w:rPr>
          <w:color w:val="000000"/>
        </w:rPr>
      </w:pPr>
    </w:p>
    <w:p w14:paraId="0000008E" w14:textId="77777777" w:rsidR="00EC274E" w:rsidRPr="001373C6" w:rsidRDefault="00EC274E">
      <w:pPr>
        <w:rPr>
          <w:color w:val="000000"/>
        </w:rPr>
      </w:pPr>
    </w:p>
    <w:p w14:paraId="0000008F" w14:textId="77777777" w:rsidR="00EC274E" w:rsidRPr="001373C6" w:rsidRDefault="00A718BA">
      <w:pPr>
        <w:rPr>
          <w:color w:val="000000"/>
        </w:rPr>
      </w:pPr>
      <w:r w:rsidRPr="001373C6">
        <w:br w:type="page"/>
      </w:r>
    </w:p>
    <w:p w14:paraId="00000090" w14:textId="77777777" w:rsidR="00EC274E" w:rsidRPr="001373C6" w:rsidRDefault="00A718BA">
      <w:pPr>
        <w:pBdr>
          <w:top w:val="nil"/>
          <w:left w:val="nil"/>
          <w:bottom w:val="nil"/>
          <w:right w:val="nil"/>
          <w:between w:val="nil"/>
        </w:pBdr>
        <w:jc w:val="center"/>
        <w:rPr>
          <w:b/>
          <w:bCs/>
          <w:color w:val="000000"/>
        </w:rPr>
      </w:pPr>
      <w:r w:rsidRPr="001373C6">
        <w:rPr>
          <w:b/>
          <w:bCs/>
          <w:color w:val="000000"/>
        </w:rPr>
        <w:lastRenderedPageBreak/>
        <w:t>Referencias</w:t>
      </w:r>
    </w:p>
    <w:p w14:paraId="00000091" w14:textId="77777777" w:rsidR="00EC274E" w:rsidRPr="001373C6" w:rsidRDefault="00EC274E">
      <w:pPr>
        <w:pBdr>
          <w:top w:val="nil"/>
          <w:left w:val="nil"/>
          <w:bottom w:val="nil"/>
          <w:right w:val="nil"/>
          <w:between w:val="nil"/>
        </w:pBdr>
        <w:spacing w:line="360" w:lineRule="auto"/>
        <w:jc w:val="both"/>
      </w:pPr>
    </w:p>
    <w:p w14:paraId="00000092" w14:textId="77777777" w:rsidR="00EC274E" w:rsidRPr="001373C6" w:rsidRDefault="00A718BA">
      <w:pPr>
        <w:pBdr>
          <w:top w:val="nil"/>
          <w:left w:val="nil"/>
          <w:bottom w:val="nil"/>
          <w:right w:val="nil"/>
          <w:between w:val="nil"/>
        </w:pBdr>
        <w:spacing w:line="360" w:lineRule="auto"/>
        <w:jc w:val="both"/>
      </w:pPr>
      <w:r w:rsidRPr="001373C6">
        <w:t xml:space="preserve">Allan, L. J., &amp; Johnson, J. A. (2009). </w:t>
      </w:r>
      <w:proofErr w:type="spellStart"/>
      <w:r w:rsidRPr="001373C6">
        <w:t>Undergraduate</w:t>
      </w:r>
      <w:proofErr w:type="spellEnd"/>
      <w:r w:rsidRPr="001373C6">
        <w:t xml:space="preserve"> </w:t>
      </w:r>
      <w:proofErr w:type="spellStart"/>
      <w:r w:rsidRPr="001373C6">
        <w:t>attitudes</w:t>
      </w:r>
      <w:proofErr w:type="spellEnd"/>
      <w:r w:rsidRPr="001373C6">
        <w:t xml:space="preserve"> </w:t>
      </w:r>
      <w:proofErr w:type="spellStart"/>
      <w:r w:rsidRPr="001373C6">
        <w:t>toward</w:t>
      </w:r>
      <w:proofErr w:type="spellEnd"/>
      <w:r w:rsidRPr="001373C6">
        <w:t xml:space="preserve"> </w:t>
      </w:r>
      <w:proofErr w:type="spellStart"/>
      <w:r w:rsidRPr="001373C6">
        <w:t>the</w:t>
      </w:r>
      <w:proofErr w:type="spellEnd"/>
      <w:r w:rsidRPr="001373C6">
        <w:t xml:space="preserve"> </w:t>
      </w:r>
      <w:proofErr w:type="spellStart"/>
      <w:r w:rsidRPr="001373C6">
        <w:t>elderly</w:t>
      </w:r>
      <w:proofErr w:type="spellEnd"/>
      <w:r w:rsidRPr="001373C6">
        <w:t xml:space="preserve">: </w:t>
      </w:r>
      <w:proofErr w:type="spellStart"/>
      <w:r w:rsidRPr="001373C6">
        <w:t>The</w:t>
      </w:r>
      <w:proofErr w:type="spellEnd"/>
      <w:r w:rsidRPr="001373C6">
        <w:t xml:space="preserve"> role </w:t>
      </w:r>
      <w:proofErr w:type="spellStart"/>
      <w:r w:rsidRPr="001373C6">
        <w:t>of</w:t>
      </w:r>
      <w:proofErr w:type="spellEnd"/>
      <w:r w:rsidRPr="001373C6">
        <w:t xml:space="preserve"> </w:t>
      </w:r>
      <w:proofErr w:type="spellStart"/>
      <w:r w:rsidRPr="001373C6">
        <w:t>knowledge</w:t>
      </w:r>
      <w:proofErr w:type="spellEnd"/>
      <w:r w:rsidRPr="001373C6">
        <w:t xml:space="preserve">, </w:t>
      </w:r>
      <w:proofErr w:type="spellStart"/>
      <w:r w:rsidRPr="001373C6">
        <w:t>contact</w:t>
      </w:r>
      <w:proofErr w:type="spellEnd"/>
      <w:r w:rsidRPr="001373C6">
        <w:t xml:space="preserve"> and </w:t>
      </w:r>
      <w:proofErr w:type="spellStart"/>
      <w:r w:rsidRPr="001373C6">
        <w:t>aging</w:t>
      </w:r>
      <w:proofErr w:type="spellEnd"/>
      <w:r w:rsidRPr="001373C6">
        <w:t xml:space="preserve"> </w:t>
      </w:r>
      <w:proofErr w:type="spellStart"/>
      <w:r w:rsidRPr="001373C6">
        <w:t>anxiety</w:t>
      </w:r>
      <w:proofErr w:type="spellEnd"/>
      <w:r w:rsidRPr="001373C6">
        <w:t xml:space="preserve">. </w:t>
      </w:r>
      <w:proofErr w:type="spellStart"/>
      <w:r w:rsidRPr="001373C6">
        <w:t>Educational</w:t>
      </w:r>
      <w:proofErr w:type="spellEnd"/>
      <w:r w:rsidRPr="001373C6">
        <w:t xml:space="preserve"> </w:t>
      </w:r>
      <w:proofErr w:type="spellStart"/>
      <w:r w:rsidRPr="001373C6">
        <w:t>Gerontology</w:t>
      </w:r>
      <w:proofErr w:type="spellEnd"/>
      <w:r w:rsidRPr="001373C6">
        <w:t>, 35(1), 1-14.</w:t>
      </w:r>
    </w:p>
    <w:p w14:paraId="00000093" w14:textId="77777777" w:rsidR="00EC274E" w:rsidRPr="001373C6" w:rsidRDefault="00A718BA">
      <w:pPr>
        <w:pBdr>
          <w:top w:val="nil"/>
          <w:left w:val="nil"/>
          <w:bottom w:val="nil"/>
          <w:right w:val="nil"/>
          <w:between w:val="nil"/>
        </w:pBdr>
        <w:spacing w:line="360" w:lineRule="auto"/>
        <w:jc w:val="both"/>
      </w:pPr>
      <w:r w:rsidRPr="001373C6">
        <w:t>Atlas Sociodemográfico y de la Vejez en Uruguay. Envejecimiento y personas mayores en</w:t>
      </w:r>
      <w:r w:rsidRPr="001373C6">
        <w:t xml:space="preserve"> Uruguay. (2016). Ministerio de Desarrollo Social. </w:t>
      </w:r>
      <w:hyperlink r:id="rId18">
        <w:r w:rsidRPr="001373C6">
          <w:rPr>
            <w:color w:val="0000FF"/>
            <w:u w:val="single"/>
          </w:rPr>
          <w:t>https://www.gub.uy/ministerio-desa</w:t>
        </w:r>
        <w:r w:rsidRPr="001373C6">
          <w:rPr>
            <w:color w:val="0000FF"/>
            <w:u w:val="single"/>
          </w:rPr>
          <w:t>rrollo-social/comunicacion/publicaciones/atlas-sociodemografico-vejez-uruguay-envejecimiento-personas-mayores-uruguay</w:t>
        </w:r>
      </w:hyperlink>
    </w:p>
    <w:p w14:paraId="00000094" w14:textId="77777777" w:rsidR="00EC274E" w:rsidRPr="001373C6" w:rsidRDefault="00A718BA">
      <w:pPr>
        <w:pBdr>
          <w:top w:val="nil"/>
          <w:left w:val="nil"/>
          <w:bottom w:val="nil"/>
          <w:right w:val="nil"/>
          <w:between w:val="nil"/>
        </w:pBdr>
        <w:spacing w:line="360" w:lineRule="auto"/>
        <w:jc w:val="both"/>
        <w:rPr>
          <w:i/>
          <w:iCs/>
        </w:rPr>
      </w:pPr>
      <w:proofErr w:type="spellStart"/>
      <w:r w:rsidRPr="001373C6">
        <w:t>Banchs</w:t>
      </w:r>
      <w:proofErr w:type="spellEnd"/>
      <w:r w:rsidRPr="001373C6">
        <w:t xml:space="preserve">, M. A. (1986). Concepto de representaciones sociales: Análisis comparativo. </w:t>
      </w:r>
      <w:r w:rsidRPr="001373C6">
        <w:rPr>
          <w:i/>
          <w:iCs/>
        </w:rPr>
        <w:t>Revista costarricense de Psicología, 8-9, 27-40.</w:t>
      </w:r>
    </w:p>
    <w:p w14:paraId="00000095" w14:textId="77777777" w:rsidR="00EC274E" w:rsidRPr="001373C6" w:rsidRDefault="00A718BA">
      <w:pPr>
        <w:pBdr>
          <w:top w:val="nil"/>
          <w:left w:val="nil"/>
          <w:bottom w:val="nil"/>
          <w:right w:val="nil"/>
          <w:between w:val="nil"/>
        </w:pBdr>
        <w:spacing w:line="360" w:lineRule="auto"/>
        <w:jc w:val="both"/>
      </w:pPr>
      <w:proofErr w:type="spellStart"/>
      <w:r w:rsidRPr="001373C6">
        <w:t>Berrie</w:t>
      </w:r>
      <w:r w:rsidRPr="001373C6">
        <w:t>l</w:t>
      </w:r>
      <w:proofErr w:type="spellEnd"/>
      <w:r w:rsidRPr="001373C6">
        <w:t>, F. (2008). La vejez como producción subjetiva. Representación e imaginario social.</w:t>
      </w:r>
    </w:p>
    <w:p w14:paraId="00000096" w14:textId="77777777" w:rsidR="00EC274E" w:rsidRPr="001373C6" w:rsidRDefault="00A718BA">
      <w:pPr>
        <w:pBdr>
          <w:top w:val="nil"/>
          <w:left w:val="nil"/>
          <w:bottom w:val="nil"/>
          <w:right w:val="nil"/>
          <w:between w:val="nil"/>
        </w:pBdr>
        <w:spacing w:line="360" w:lineRule="auto"/>
        <w:jc w:val="both"/>
      </w:pPr>
      <w:proofErr w:type="spellStart"/>
      <w:r w:rsidRPr="001373C6">
        <w:t>Berriel</w:t>
      </w:r>
      <w:proofErr w:type="spellEnd"/>
      <w:r w:rsidRPr="001373C6">
        <w:t xml:space="preserve"> et al.,(2013). La sociedad uruguaya frente al envejecimiento de su población.</w:t>
      </w:r>
    </w:p>
    <w:p w14:paraId="00000097" w14:textId="77777777" w:rsidR="00EC274E" w:rsidRPr="001373C6" w:rsidRDefault="00A718BA">
      <w:pPr>
        <w:pBdr>
          <w:top w:val="nil"/>
          <w:left w:val="nil"/>
          <w:bottom w:val="nil"/>
          <w:right w:val="nil"/>
          <w:between w:val="nil"/>
        </w:pBdr>
        <w:spacing w:line="360" w:lineRule="auto"/>
        <w:jc w:val="both"/>
      </w:pPr>
      <w:r w:rsidRPr="001373C6">
        <w:t>Blanca MJ, Sánchez C, Torres M (2005) Cuestionario de evaluación de estereotipos neg</w:t>
      </w:r>
      <w:r w:rsidRPr="001373C6">
        <w:t xml:space="preserve">ativos hacia la vejez. </w:t>
      </w:r>
      <w:proofErr w:type="spellStart"/>
      <w:r w:rsidRPr="001373C6">
        <w:t>Rev</w:t>
      </w:r>
      <w:proofErr w:type="spellEnd"/>
      <w:r w:rsidRPr="001373C6">
        <w:t xml:space="preserve"> </w:t>
      </w:r>
      <w:proofErr w:type="spellStart"/>
      <w:r w:rsidRPr="001373C6">
        <w:t>Mult</w:t>
      </w:r>
      <w:proofErr w:type="spellEnd"/>
      <w:r w:rsidRPr="001373C6">
        <w:t xml:space="preserve"> </w:t>
      </w:r>
      <w:proofErr w:type="spellStart"/>
      <w:r w:rsidRPr="001373C6">
        <w:t>Gerontol</w:t>
      </w:r>
      <w:proofErr w:type="spellEnd"/>
      <w:r w:rsidRPr="001373C6">
        <w:t>. 15:212-20.</w:t>
      </w:r>
    </w:p>
    <w:p w14:paraId="00000098" w14:textId="77777777" w:rsidR="00EC274E" w:rsidRPr="001373C6" w:rsidRDefault="00A718BA">
      <w:pPr>
        <w:pBdr>
          <w:top w:val="nil"/>
          <w:left w:val="nil"/>
          <w:bottom w:val="nil"/>
          <w:right w:val="nil"/>
          <w:between w:val="nil"/>
        </w:pBdr>
        <w:spacing w:line="360" w:lineRule="auto"/>
        <w:jc w:val="both"/>
      </w:pPr>
      <w:r w:rsidRPr="001373C6">
        <w:t>Butler, R. N. (1969). Age-</w:t>
      </w:r>
      <w:proofErr w:type="spellStart"/>
      <w:r w:rsidRPr="001373C6">
        <w:t>ism</w:t>
      </w:r>
      <w:proofErr w:type="spellEnd"/>
      <w:r w:rsidRPr="001373C6">
        <w:t xml:space="preserve">: </w:t>
      </w:r>
      <w:proofErr w:type="spellStart"/>
      <w:r w:rsidRPr="001373C6">
        <w:t>Another</w:t>
      </w:r>
      <w:proofErr w:type="spellEnd"/>
      <w:r w:rsidRPr="001373C6">
        <w:t xml:space="preserve"> </w:t>
      </w:r>
      <w:proofErr w:type="spellStart"/>
      <w:r w:rsidRPr="001373C6">
        <w:t>form</w:t>
      </w:r>
      <w:proofErr w:type="spellEnd"/>
      <w:r w:rsidRPr="001373C6">
        <w:t xml:space="preserve"> </w:t>
      </w:r>
      <w:proofErr w:type="spellStart"/>
      <w:r w:rsidRPr="001373C6">
        <w:t>of</w:t>
      </w:r>
      <w:proofErr w:type="spellEnd"/>
      <w:r w:rsidRPr="001373C6">
        <w:t xml:space="preserve"> </w:t>
      </w:r>
      <w:proofErr w:type="spellStart"/>
      <w:r w:rsidRPr="001373C6">
        <w:t>bigotry</w:t>
      </w:r>
      <w:proofErr w:type="spellEnd"/>
      <w:r w:rsidRPr="001373C6">
        <w:t xml:space="preserve">. </w:t>
      </w:r>
      <w:proofErr w:type="spellStart"/>
      <w:r w:rsidRPr="001373C6">
        <w:rPr>
          <w:i/>
          <w:iCs/>
        </w:rPr>
        <w:t>The</w:t>
      </w:r>
      <w:proofErr w:type="spellEnd"/>
      <w:r w:rsidRPr="001373C6">
        <w:rPr>
          <w:i/>
          <w:iCs/>
        </w:rPr>
        <w:t xml:space="preserve"> </w:t>
      </w:r>
      <w:proofErr w:type="spellStart"/>
      <w:r w:rsidRPr="001373C6">
        <w:rPr>
          <w:i/>
          <w:iCs/>
        </w:rPr>
        <w:t>Gerontologist</w:t>
      </w:r>
      <w:proofErr w:type="spellEnd"/>
      <w:r w:rsidRPr="001373C6">
        <w:rPr>
          <w:i/>
          <w:iCs/>
        </w:rPr>
        <w:t>, 9</w:t>
      </w:r>
      <w:r w:rsidRPr="001373C6">
        <w:t xml:space="preserve">(4), 243-246. </w:t>
      </w:r>
      <w:hyperlink r:id="rId19">
        <w:r w:rsidRPr="001373C6">
          <w:rPr>
            <w:color w:val="0000FF"/>
            <w:u w:val="single"/>
          </w:rPr>
          <w:t>https://doi.org/10.1093/geront/9.4_Part_1.243</w:t>
        </w:r>
      </w:hyperlink>
      <w:r w:rsidRPr="001373C6">
        <w:t xml:space="preserve"> </w:t>
      </w:r>
    </w:p>
    <w:p w14:paraId="00000099" w14:textId="77777777" w:rsidR="00EC274E" w:rsidRPr="001373C6" w:rsidRDefault="00A718BA">
      <w:pPr>
        <w:pBdr>
          <w:top w:val="nil"/>
          <w:left w:val="nil"/>
          <w:bottom w:val="nil"/>
          <w:right w:val="nil"/>
          <w:between w:val="nil"/>
        </w:pBdr>
        <w:spacing w:line="360" w:lineRule="auto"/>
        <w:jc w:val="both"/>
      </w:pPr>
      <w:r w:rsidRPr="001373C6">
        <w:t>C</w:t>
      </w:r>
      <w:r w:rsidRPr="001373C6">
        <w:t xml:space="preserve">astoriadis, C. (1983). </w:t>
      </w:r>
      <w:r w:rsidRPr="001373C6">
        <w:rPr>
          <w:i/>
          <w:iCs/>
        </w:rPr>
        <w:t>La institución imaginaria de la sociedad</w:t>
      </w:r>
      <w:r w:rsidRPr="001373C6">
        <w:t>. Tusquets Editores.</w:t>
      </w:r>
    </w:p>
    <w:p w14:paraId="0000009A" w14:textId="77777777" w:rsidR="00EC274E" w:rsidRPr="001373C6" w:rsidRDefault="00A718BA">
      <w:pPr>
        <w:pBdr>
          <w:top w:val="nil"/>
          <w:left w:val="nil"/>
          <w:bottom w:val="nil"/>
          <w:right w:val="nil"/>
          <w:between w:val="nil"/>
        </w:pBdr>
        <w:spacing w:line="360" w:lineRule="auto"/>
        <w:jc w:val="both"/>
      </w:pPr>
      <w:r w:rsidRPr="001373C6">
        <w:t xml:space="preserve">Carrasco Contreras, A. (2023). </w:t>
      </w:r>
      <w:r w:rsidRPr="001373C6">
        <w:rPr>
          <w:i/>
          <w:iCs/>
        </w:rPr>
        <w:t>Estereotipos y vejez: Comparación de dos formaciones profesionales orientadas a la atención de personas mayores</w:t>
      </w:r>
      <w:r w:rsidRPr="001373C6">
        <w:t xml:space="preserve">. Trabajo final de grado, Universidad de la República.  </w:t>
      </w:r>
      <w:proofErr w:type="spellStart"/>
      <w:r w:rsidRPr="001373C6">
        <w:t>Colibri</w:t>
      </w:r>
      <w:proofErr w:type="spellEnd"/>
      <w:r w:rsidRPr="001373C6">
        <w:t xml:space="preserve">. </w:t>
      </w:r>
      <w:hyperlink r:id="rId20">
        <w:r w:rsidRPr="001373C6">
          <w:rPr>
            <w:color w:val="0000FF"/>
            <w:u w:val="single"/>
          </w:rPr>
          <w:t>https://hdl.handle.</w:t>
        </w:r>
        <w:r w:rsidRPr="001373C6">
          <w:rPr>
            <w:color w:val="0000FF"/>
            <w:u w:val="single"/>
          </w:rPr>
          <w:t>net/20.500.12008/39219</w:t>
        </w:r>
      </w:hyperlink>
    </w:p>
    <w:p w14:paraId="0000009B" w14:textId="77777777" w:rsidR="00EC274E" w:rsidRPr="001373C6" w:rsidRDefault="00A718BA">
      <w:pPr>
        <w:pBdr>
          <w:top w:val="nil"/>
          <w:left w:val="nil"/>
          <w:bottom w:val="nil"/>
          <w:right w:val="nil"/>
          <w:between w:val="nil"/>
        </w:pBdr>
        <w:spacing w:line="360" w:lineRule="auto"/>
        <w:jc w:val="both"/>
      </w:pPr>
      <w:r w:rsidRPr="001373C6">
        <w:t xml:space="preserve">Cummings, S. M., Williams, M. M., &amp; Ellis, R. A. (2000). </w:t>
      </w:r>
      <w:proofErr w:type="spellStart"/>
      <w:r w:rsidRPr="001373C6">
        <w:t>Impact</w:t>
      </w:r>
      <w:proofErr w:type="spellEnd"/>
      <w:r w:rsidRPr="001373C6">
        <w:t xml:space="preserve"> </w:t>
      </w:r>
      <w:proofErr w:type="spellStart"/>
      <w:r w:rsidRPr="001373C6">
        <w:t>of</w:t>
      </w:r>
      <w:proofErr w:type="spellEnd"/>
      <w:r w:rsidRPr="001373C6">
        <w:t xml:space="preserve"> </w:t>
      </w:r>
      <w:proofErr w:type="spellStart"/>
      <w:r w:rsidRPr="001373C6">
        <w:t>an</w:t>
      </w:r>
      <w:proofErr w:type="spellEnd"/>
      <w:r w:rsidRPr="001373C6">
        <w:t xml:space="preserve"> </w:t>
      </w:r>
      <w:proofErr w:type="spellStart"/>
      <w:r w:rsidRPr="001373C6">
        <w:t>intergenerational</w:t>
      </w:r>
      <w:proofErr w:type="spellEnd"/>
      <w:r w:rsidRPr="001373C6">
        <w:t xml:space="preserve"> </w:t>
      </w:r>
      <w:proofErr w:type="spellStart"/>
      <w:r w:rsidRPr="001373C6">
        <w:t>program</w:t>
      </w:r>
      <w:proofErr w:type="spellEnd"/>
      <w:r w:rsidRPr="001373C6">
        <w:t xml:space="preserve"> </w:t>
      </w:r>
      <w:proofErr w:type="spellStart"/>
      <w:r w:rsidRPr="001373C6">
        <w:t>on</w:t>
      </w:r>
      <w:proofErr w:type="spellEnd"/>
      <w:r w:rsidRPr="001373C6">
        <w:t xml:space="preserve"> 4th </w:t>
      </w:r>
      <w:proofErr w:type="spellStart"/>
      <w:r w:rsidRPr="001373C6">
        <w:t>graders</w:t>
      </w:r>
      <w:proofErr w:type="spellEnd"/>
      <w:r w:rsidRPr="001373C6">
        <w:t xml:space="preserve">’ </w:t>
      </w:r>
      <w:proofErr w:type="spellStart"/>
      <w:r w:rsidRPr="001373C6">
        <w:t>attitudes</w:t>
      </w:r>
      <w:proofErr w:type="spellEnd"/>
      <w:r w:rsidRPr="001373C6">
        <w:t xml:space="preserve"> </w:t>
      </w:r>
      <w:proofErr w:type="spellStart"/>
      <w:r w:rsidRPr="001373C6">
        <w:t>toward</w:t>
      </w:r>
      <w:proofErr w:type="spellEnd"/>
      <w:r w:rsidRPr="001373C6">
        <w:t xml:space="preserve"> </w:t>
      </w:r>
      <w:proofErr w:type="spellStart"/>
      <w:r w:rsidRPr="001373C6">
        <w:t>elders</w:t>
      </w:r>
      <w:proofErr w:type="spellEnd"/>
      <w:r w:rsidRPr="001373C6">
        <w:t xml:space="preserve"> and </w:t>
      </w:r>
      <w:proofErr w:type="spellStart"/>
      <w:r w:rsidRPr="001373C6">
        <w:t>school</w:t>
      </w:r>
      <w:proofErr w:type="spellEnd"/>
      <w:r w:rsidRPr="001373C6">
        <w:t xml:space="preserve"> </w:t>
      </w:r>
      <w:proofErr w:type="spellStart"/>
      <w:r w:rsidRPr="001373C6">
        <w:t>behaviors</w:t>
      </w:r>
      <w:proofErr w:type="spellEnd"/>
      <w:r w:rsidRPr="001373C6">
        <w:t xml:space="preserve">. </w:t>
      </w:r>
      <w:proofErr w:type="spellStart"/>
      <w:r w:rsidRPr="001373C6">
        <w:t>Journal</w:t>
      </w:r>
      <w:proofErr w:type="spellEnd"/>
      <w:r w:rsidRPr="001373C6">
        <w:t xml:space="preserve"> </w:t>
      </w:r>
      <w:proofErr w:type="spellStart"/>
      <w:r w:rsidRPr="001373C6">
        <w:t>of</w:t>
      </w:r>
      <w:proofErr w:type="spellEnd"/>
      <w:r w:rsidRPr="001373C6">
        <w:t xml:space="preserve"> Human </w:t>
      </w:r>
      <w:proofErr w:type="spellStart"/>
      <w:r w:rsidRPr="001373C6">
        <w:t>Behavior</w:t>
      </w:r>
      <w:proofErr w:type="spellEnd"/>
      <w:r w:rsidRPr="001373C6">
        <w:t xml:space="preserve"> in </w:t>
      </w:r>
      <w:proofErr w:type="spellStart"/>
      <w:r w:rsidRPr="001373C6">
        <w:t>the</w:t>
      </w:r>
      <w:proofErr w:type="spellEnd"/>
      <w:r w:rsidRPr="001373C6">
        <w:t xml:space="preserve"> Social </w:t>
      </w:r>
      <w:proofErr w:type="spellStart"/>
      <w:r w:rsidRPr="001373C6">
        <w:t>Environment</w:t>
      </w:r>
      <w:proofErr w:type="spellEnd"/>
      <w:r w:rsidRPr="001373C6">
        <w:t>, 3(3-4), 251-264.</w:t>
      </w:r>
      <w:r w:rsidRPr="001373C6">
        <w:br/>
        <w:t>Comis</w:t>
      </w:r>
      <w:r w:rsidRPr="001373C6">
        <w:t xml:space="preserve">ión Económica para América Latina y el Caribe (CEPAL). (2022). </w:t>
      </w:r>
      <w:r w:rsidRPr="001373C6">
        <w:rPr>
          <w:i/>
          <w:iCs/>
        </w:rPr>
        <w:t>América Latina y el Caribe: población de 60 años y más, 1950-2100</w:t>
      </w:r>
      <w:r w:rsidRPr="001373C6">
        <w:t>. CEPALSTAT, Naciones Unidas.</w:t>
      </w:r>
    </w:p>
    <w:p w14:paraId="0000009C" w14:textId="77777777" w:rsidR="00EC274E" w:rsidRPr="001373C6" w:rsidRDefault="00A718BA">
      <w:pPr>
        <w:pBdr>
          <w:top w:val="nil"/>
          <w:left w:val="nil"/>
          <w:bottom w:val="nil"/>
          <w:right w:val="nil"/>
          <w:between w:val="nil"/>
        </w:pBdr>
        <w:spacing w:line="360" w:lineRule="auto"/>
        <w:jc w:val="both"/>
      </w:pPr>
      <w:r w:rsidRPr="001373C6">
        <w:t>Franco et al.,(2010). Estereotipos negativos de la vejez en personal de salud de un Hospital de la</w:t>
      </w:r>
      <w:r w:rsidRPr="001373C6">
        <w:t xml:space="preserve"> Ciudad de Querétaro, México.</w:t>
      </w:r>
    </w:p>
    <w:p w14:paraId="0000009D" w14:textId="77777777" w:rsidR="00EC274E" w:rsidRPr="001373C6" w:rsidRDefault="00A718BA">
      <w:pPr>
        <w:pBdr>
          <w:top w:val="nil"/>
          <w:left w:val="nil"/>
          <w:bottom w:val="nil"/>
          <w:right w:val="nil"/>
          <w:between w:val="nil"/>
        </w:pBdr>
        <w:spacing w:line="360" w:lineRule="auto"/>
        <w:jc w:val="both"/>
      </w:pPr>
      <w:r w:rsidRPr="001373C6">
        <w:t xml:space="preserve">Gallegos, M., &amp; Rojas, S. (2012). </w:t>
      </w:r>
      <w:r w:rsidRPr="001373C6">
        <w:rPr>
          <w:i/>
          <w:iCs/>
        </w:rPr>
        <w:t>Estereotipos negativos hacia la vejez en universitarios de México y España: Un estudio comparativo.</w:t>
      </w:r>
      <w:r w:rsidRPr="001373C6">
        <w:t xml:space="preserve"> Revista Latinoamericana de Psicología, 44(2), 145-156.</w:t>
      </w:r>
    </w:p>
    <w:p w14:paraId="0000009E" w14:textId="77777777" w:rsidR="00EC274E" w:rsidRPr="001373C6" w:rsidRDefault="00A718BA">
      <w:pPr>
        <w:pBdr>
          <w:top w:val="nil"/>
          <w:left w:val="nil"/>
          <w:bottom w:val="nil"/>
          <w:right w:val="nil"/>
          <w:between w:val="nil"/>
        </w:pBdr>
        <w:spacing w:line="360" w:lineRule="auto"/>
        <w:jc w:val="both"/>
      </w:pPr>
      <w:r w:rsidRPr="001373C6">
        <w:lastRenderedPageBreak/>
        <w:t xml:space="preserve">García, J. L., &amp; Muñoz, F. (2015). </w:t>
      </w:r>
      <w:r w:rsidRPr="001373C6">
        <w:rPr>
          <w:i/>
          <w:iCs/>
        </w:rPr>
        <w:t>Ac</w:t>
      </w:r>
      <w:r w:rsidRPr="001373C6">
        <w:rPr>
          <w:i/>
          <w:iCs/>
        </w:rPr>
        <w:t>titudes hacia la vejez y estereotipos en profesionales de salud mental.</w:t>
      </w:r>
      <w:r w:rsidRPr="001373C6">
        <w:t xml:space="preserve"> Revista Interamericana de Psicología, 49(3), 456-468.</w:t>
      </w:r>
    </w:p>
    <w:p w14:paraId="0000009F" w14:textId="77777777" w:rsidR="00EC274E" w:rsidRPr="001373C6" w:rsidRDefault="00A718BA">
      <w:pPr>
        <w:pBdr>
          <w:top w:val="nil"/>
          <w:left w:val="nil"/>
          <w:bottom w:val="nil"/>
          <w:right w:val="nil"/>
          <w:between w:val="nil"/>
        </w:pBdr>
        <w:spacing w:line="360" w:lineRule="auto"/>
        <w:jc w:val="both"/>
      </w:pPr>
      <w:r w:rsidRPr="001373C6">
        <w:t xml:space="preserve">Hale, N. M. (1998). </w:t>
      </w:r>
      <w:proofErr w:type="spellStart"/>
      <w:r w:rsidRPr="001373C6">
        <w:t>Effects</w:t>
      </w:r>
      <w:proofErr w:type="spellEnd"/>
      <w:r w:rsidRPr="001373C6">
        <w:t xml:space="preserve"> </w:t>
      </w:r>
      <w:proofErr w:type="spellStart"/>
      <w:r w:rsidRPr="001373C6">
        <w:t>of</w:t>
      </w:r>
      <w:proofErr w:type="spellEnd"/>
      <w:r w:rsidRPr="001373C6">
        <w:t xml:space="preserve"> </w:t>
      </w:r>
      <w:proofErr w:type="spellStart"/>
      <w:r w:rsidRPr="001373C6">
        <w:t>age</w:t>
      </w:r>
      <w:proofErr w:type="spellEnd"/>
      <w:r w:rsidRPr="001373C6">
        <w:t xml:space="preserve"> and interpersonal </w:t>
      </w:r>
      <w:proofErr w:type="spellStart"/>
      <w:r w:rsidRPr="001373C6">
        <w:t>contact</w:t>
      </w:r>
      <w:proofErr w:type="spellEnd"/>
      <w:r w:rsidRPr="001373C6">
        <w:t xml:space="preserve"> </w:t>
      </w:r>
      <w:proofErr w:type="spellStart"/>
      <w:r w:rsidRPr="001373C6">
        <w:t>on</w:t>
      </w:r>
      <w:proofErr w:type="spellEnd"/>
      <w:r w:rsidRPr="001373C6">
        <w:t xml:space="preserve"> </w:t>
      </w:r>
      <w:proofErr w:type="spellStart"/>
      <w:r w:rsidRPr="001373C6">
        <w:t>stereotyping</w:t>
      </w:r>
      <w:proofErr w:type="spellEnd"/>
      <w:r w:rsidRPr="001373C6">
        <w:t xml:space="preserve"> </w:t>
      </w:r>
      <w:proofErr w:type="spellStart"/>
      <w:r w:rsidRPr="001373C6">
        <w:t>of</w:t>
      </w:r>
      <w:proofErr w:type="spellEnd"/>
      <w:r w:rsidRPr="001373C6">
        <w:t xml:space="preserve"> </w:t>
      </w:r>
      <w:proofErr w:type="spellStart"/>
      <w:r w:rsidRPr="001373C6">
        <w:t>the</w:t>
      </w:r>
      <w:proofErr w:type="spellEnd"/>
      <w:r w:rsidRPr="001373C6">
        <w:t xml:space="preserve"> </w:t>
      </w:r>
      <w:proofErr w:type="spellStart"/>
      <w:r w:rsidRPr="001373C6">
        <w:t>elderly</w:t>
      </w:r>
      <w:proofErr w:type="spellEnd"/>
      <w:r w:rsidRPr="001373C6">
        <w:t xml:space="preserve">. </w:t>
      </w:r>
      <w:proofErr w:type="spellStart"/>
      <w:r w:rsidRPr="001373C6">
        <w:t>Current</w:t>
      </w:r>
      <w:proofErr w:type="spellEnd"/>
      <w:r w:rsidRPr="001373C6">
        <w:t xml:space="preserve"> </w:t>
      </w:r>
      <w:proofErr w:type="spellStart"/>
      <w:r w:rsidRPr="001373C6">
        <w:t>Psychology</w:t>
      </w:r>
      <w:proofErr w:type="spellEnd"/>
      <w:r w:rsidRPr="001373C6">
        <w:t>, 17(1), 28-47.</w:t>
      </w:r>
    </w:p>
    <w:p w14:paraId="000000A0" w14:textId="77777777" w:rsidR="00EC274E" w:rsidRPr="001373C6" w:rsidRDefault="00A718BA">
      <w:pPr>
        <w:pBdr>
          <w:top w:val="nil"/>
          <w:left w:val="nil"/>
          <w:bottom w:val="nil"/>
          <w:right w:val="nil"/>
          <w:between w:val="nil"/>
        </w:pBdr>
        <w:spacing w:line="360" w:lineRule="auto"/>
        <w:jc w:val="both"/>
      </w:pPr>
      <w:r w:rsidRPr="001373C6">
        <w:t>Kno</w:t>
      </w:r>
      <w:r w:rsidRPr="001373C6">
        <w:t xml:space="preserve">x, V. J., </w:t>
      </w:r>
      <w:proofErr w:type="spellStart"/>
      <w:r w:rsidRPr="001373C6">
        <w:t>Gekoski</w:t>
      </w:r>
      <w:proofErr w:type="spellEnd"/>
      <w:r w:rsidRPr="001373C6">
        <w:t xml:space="preserve">, W. L., &amp; Johnson, E. A. (1986). </w:t>
      </w:r>
      <w:proofErr w:type="spellStart"/>
      <w:r w:rsidRPr="001373C6">
        <w:t>Contact</w:t>
      </w:r>
      <w:proofErr w:type="spellEnd"/>
      <w:r w:rsidRPr="001373C6">
        <w:t xml:space="preserve"> </w:t>
      </w:r>
      <w:proofErr w:type="spellStart"/>
      <w:r w:rsidRPr="001373C6">
        <w:t>with</w:t>
      </w:r>
      <w:proofErr w:type="spellEnd"/>
      <w:r w:rsidRPr="001373C6">
        <w:t xml:space="preserve"> and </w:t>
      </w:r>
      <w:proofErr w:type="spellStart"/>
      <w:r w:rsidRPr="001373C6">
        <w:t>perceptions</w:t>
      </w:r>
      <w:proofErr w:type="spellEnd"/>
      <w:r w:rsidRPr="001373C6">
        <w:t xml:space="preserve"> </w:t>
      </w:r>
      <w:proofErr w:type="spellStart"/>
      <w:r w:rsidRPr="001373C6">
        <w:t>of</w:t>
      </w:r>
      <w:proofErr w:type="spellEnd"/>
      <w:r w:rsidRPr="001373C6">
        <w:t xml:space="preserve"> </w:t>
      </w:r>
      <w:proofErr w:type="spellStart"/>
      <w:r w:rsidRPr="001373C6">
        <w:t>the</w:t>
      </w:r>
      <w:proofErr w:type="spellEnd"/>
      <w:r w:rsidRPr="001373C6">
        <w:t xml:space="preserve"> </w:t>
      </w:r>
      <w:proofErr w:type="spellStart"/>
      <w:r w:rsidRPr="001373C6">
        <w:t>elderly</w:t>
      </w:r>
      <w:proofErr w:type="spellEnd"/>
      <w:r w:rsidRPr="001373C6">
        <w:t xml:space="preserve">. </w:t>
      </w:r>
      <w:proofErr w:type="spellStart"/>
      <w:r w:rsidRPr="001373C6">
        <w:t>The</w:t>
      </w:r>
      <w:proofErr w:type="spellEnd"/>
      <w:r w:rsidRPr="001373C6">
        <w:t xml:space="preserve"> </w:t>
      </w:r>
      <w:proofErr w:type="spellStart"/>
      <w:r w:rsidRPr="001373C6">
        <w:t>Gerontologist</w:t>
      </w:r>
      <w:proofErr w:type="spellEnd"/>
      <w:r w:rsidRPr="001373C6">
        <w:t>, 26(3), 309–313.</w:t>
      </w:r>
    </w:p>
    <w:p w14:paraId="000000A1" w14:textId="77777777" w:rsidR="00EC274E" w:rsidRPr="001373C6" w:rsidRDefault="00A718BA">
      <w:pPr>
        <w:pBdr>
          <w:top w:val="nil"/>
          <w:left w:val="nil"/>
          <w:bottom w:val="nil"/>
          <w:right w:val="nil"/>
          <w:between w:val="nil"/>
        </w:pBdr>
        <w:spacing w:line="360" w:lineRule="auto"/>
        <w:jc w:val="both"/>
      </w:pPr>
      <w:r w:rsidRPr="001373C6">
        <w:t xml:space="preserve">Levy, B. R. (2016). PEACE (Positive </w:t>
      </w:r>
      <w:proofErr w:type="spellStart"/>
      <w:r w:rsidRPr="001373C6">
        <w:t>Education</w:t>
      </w:r>
      <w:proofErr w:type="spellEnd"/>
      <w:r w:rsidRPr="001373C6">
        <w:t xml:space="preserve"> </w:t>
      </w:r>
      <w:proofErr w:type="spellStart"/>
      <w:r w:rsidRPr="001373C6">
        <w:t>about</w:t>
      </w:r>
      <w:proofErr w:type="spellEnd"/>
      <w:r w:rsidRPr="001373C6">
        <w:t xml:space="preserve"> </w:t>
      </w:r>
      <w:proofErr w:type="spellStart"/>
      <w:r w:rsidRPr="001373C6">
        <w:t>Aging</w:t>
      </w:r>
      <w:proofErr w:type="spellEnd"/>
      <w:r w:rsidRPr="001373C6">
        <w:t xml:space="preserve"> and </w:t>
      </w:r>
      <w:proofErr w:type="spellStart"/>
      <w:r w:rsidRPr="001373C6">
        <w:t>Contact</w:t>
      </w:r>
      <w:proofErr w:type="spellEnd"/>
      <w:r w:rsidRPr="001373C6">
        <w:t xml:space="preserve"> </w:t>
      </w:r>
      <w:proofErr w:type="spellStart"/>
      <w:r w:rsidRPr="001373C6">
        <w:t>Experiences</w:t>
      </w:r>
      <w:proofErr w:type="spellEnd"/>
      <w:r w:rsidRPr="001373C6">
        <w:t xml:space="preserve">): A </w:t>
      </w:r>
      <w:proofErr w:type="spellStart"/>
      <w:r w:rsidRPr="001373C6">
        <w:t>framework</w:t>
      </w:r>
      <w:proofErr w:type="spellEnd"/>
      <w:r w:rsidRPr="001373C6">
        <w:t xml:space="preserve"> </w:t>
      </w:r>
      <w:proofErr w:type="spellStart"/>
      <w:r w:rsidRPr="001373C6">
        <w:t>for</w:t>
      </w:r>
      <w:proofErr w:type="spellEnd"/>
      <w:r w:rsidRPr="001373C6">
        <w:t xml:space="preserve"> </w:t>
      </w:r>
      <w:proofErr w:type="spellStart"/>
      <w:r w:rsidRPr="001373C6">
        <w:t>reducing</w:t>
      </w:r>
      <w:proofErr w:type="spellEnd"/>
      <w:r w:rsidRPr="001373C6">
        <w:t xml:space="preserve"> </w:t>
      </w:r>
      <w:proofErr w:type="spellStart"/>
      <w:r w:rsidRPr="001373C6">
        <w:t>ageism</w:t>
      </w:r>
      <w:proofErr w:type="spellEnd"/>
      <w:r w:rsidRPr="001373C6">
        <w:t xml:space="preserve">. </w:t>
      </w:r>
      <w:proofErr w:type="spellStart"/>
      <w:r w:rsidRPr="001373C6">
        <w:rPr>
          <w:i/>
          <w:iCs/>
        </w:rPr>
        <w:t>Journal</w:t>
      </w:r>
      <w:proofErr w:type="spellEnd"/>
      <w:r w:rsidRPr="001373C6">
        <w:rPr>
          <w:i/>
          <w:iCs/>
        </w:rPr>
        <w:t xml:space="preserve"> </w:t>
      </w:r>
      <w:proofErr w:type="spellStart"/>
      <w:r w:rsidRPr="001373C6">
        <w:rPr>
          <w:i/>
          <w:iCs/>
        </w:rPr>
        <w:t>of</w:t>
      </w:r>
      <w:proofErr w:type="spellEnd"/>
      <w:r w:rsidRPr="001373C6">
        <w:rPr>
          <w:i/>
          <w:iCs/>
        </w:rPr>
        <w:t xml:space="preserve"> Social Issues, 72</w:t>
      </w:r>
      <w:r w:rsidRPr="001373C6">
        <w:t>(1), 105-116.</w:t>
      </w:r>
    </w:p>
    <w:p w14:paraId="000000A2" w14:textId="77777777" w:rsidR="00EC274E" w:rsidRPr="001373C6" w:rsidRDefault="00A718BA">
      <w:pPr>
        <w:pBdr>
          <w:top w:val="nil"/>
          <w:left w:val="nil"/>
          <w:bottom w:val="nil"/>
          <w:right w:val="nil"/>
          <w:between w:val="nil"/>
        </w:pBdr>
        <w:spacing w:line="360" w:lineRule="auto"/>
        <w:jc w:val="both"/>
      </w:pPr>
      <w:bookmarkStart w:id="1" w:name="_heading=h.1fob9te" w:colFirst="0" w:colLast="0"/>
      <w:bookmarkEnd w:id="1"/>
      <w:proofErr w:type="spellStart"/>
      <w:r w:rsidRPr="001373C6">
        <w:t>Lopez</w:t>
      </w:r>
      <w:proofErr w:type="spellEnd"/>
      <w:r w:rsidRPr="001373C6">
        <w:t>, Alejandro (2023). Estereotipos en cuidadores formales de personas mayores institucionalizadas en establecimientos de Montevideo, Uruguay.</w:t>
      </w:r>
    </w:p>
    <w:p w14:paraId="000000A3" w14:textId="77777777" w:rsidR="00EC274E" w:rsidRPr="001373C6" w:rsidRDefault="00A718BA">
      <w:pPr>
        <w:pBdr>
          <w:top w:val="nil"/>
          <w:left w:val="nil"/>
          <w:bottom w:val="nil"/>
          <w:right w:val="nil"/>
          <w:between w:val="nil"/>
        </w:pBdr>
        <w:spacing w:line="360" w:lineRule="auto"/>
        <w:jc w:val="both"/>
      </w:pPr>
      <w:bookmarkStart w:id="2" w:name="_heading=h.h62oiaalhg1k" w:colFirst="0" w:colLast="0"/>
      <w:bookmarkEnd w:id="2"/>
      <w:r w:rsidRPr="001373C6">
        <w:t xml:space="preserve">López Bañuelos, A. A. (2019). </w:t>
      </w:r>
      <w:r w:rsidRPr="001373C6">
        <w:rPr>
          <w:i/>
          <w:iCs/>
        </w:rPr>
        <w:t>Evaluación de las actitudes hacia el adulto mayor: Estudio comparativo entre Baja</w:t>
      </w:r>
      <w:r w:rsidRPr="001373C6">
        <w:rPr>
          <w:i/>
          <w:iCs/>
        </w:rPr>
        <w:t xml:space="preserve"> California (México) y Castilla y León (España)</w:t>
      </w:r>
      <w:r w:rsidRPr="001373C6">
        <w:t>. Universidad Pontificada de Salamanca.</w:t>
      </w:r>
    </w:p>
    <w:p w14:paraId="000000A4" w14:textId="77777777" w:rsidR="00EC274E" w:rsidRPr="001373C6" w:rsidRDefault="00A718BA">
      <w:pPr>
        <w:pBdr>
          <w:top w:val="nil"/>
          <w:left w:val="nil"/>
          <w:bottom w:val="nil"/>
          <w:right w:val="nil"/>
          <w:between w:val="nil"/>
        </w:pBdr>
        <w:spacing w:line="360" w:lineRule="auto"/>
        <w:jc w:val="both"/>
      </w:pPr>
      <w:bookmarkStart w:id="3" w:name="_heading=h.5z2se0eb3ibn" w:colFirst="0" w:colLast="0"/>
      <w:bookmarkEnd w:id="3"/>
      <w:r w:rsidRPr="001373C6">
        <w:t xml:space="preserve">López, J., Cuesta, M., &amp; Latorre, J. M. (2016). Actitudes hacia la vejez y percepción del envejecimiento en estudiantes de enfermería. </w:t>
      </w:r>
      <w:r w:rsidRPr="001373C6">
        <w:rPr>
          <w:i/>
          <w:iCs/>
        </w:rPr>
        <w:t>Revista Española de Geriatría y Ge</w:t>
      </w:r>
      <w:r w:rsidRPr="001373C6">
        <w:rPr>
          <w:i/>
          <w:iCs/>
        </w:rPr>
        <w:t>rontología, 51</w:t>
      </w:r>
      <w:r w:rsidRPr="001373C6">
        <w:t>(5), 282-289.</w:t>
      </w:r>
    </w:p>
    <w:p w14:paraId="000000A5" w14:textId="77777777" w:rsidR="00EC274E" w:rsidRPr="001373C6" w:rsidRDefault="00A718BA">
      <w:pPr>
        <w:pBdr>
          <w:top w:val="nil"/>
          <w:left w:val="nil"/>
          <w:bottom w:val="nil"/>
          <w:right w:val="nil"/>
          <w:between w:val="nil"/>
        </w:pBdr>
        <w:spacing w:line="360" w:lineRule="auto"/>
        <w:jc w:val="both"/>
      </w:pPr>
      <w:bookmarkStart w:id="4" w:name="_heading=h.ufuk3p5s1lpp" w:colFirst="0" w:colLast="0"/>
      <w:bookmarkEnd w:id="4"/>
      <w:r w:rsidRPr="001373C6">
        <w:t xml:space="preserve">Lorente Martínez, R., Brotons, P., &amp; Sitges, E. (2020). Estrategias para combatir el edadismo: ¿formación específica sobre envejecimiento o contacto intergeneracional? </w:t>
      </w:r>
      <w:r w:rsidRPr="001373C6">
        <w:rPr>
          <w:i/>
          <w:iCs/>
        </w:rPr>
        <w:t>Cuaderno de Pedagogía Universitaria, 17</w:t>
      </w:r>
      <w:r w:rsidRPr="001373C6">
        <w:t>(33), 6-16</w:t>
      </w:r>
    </w:p>
    <w:p w14:paraId="000000A6" w14:textId="77777777" w:rsidR="00EC274E" w:rsidRPr="001373C6" w:rsidRDefault="00A718BA">
      <w:pPr>
        <w:pBdr>
          <w:top w:val="nil"/>
          <w:left w:val="nil"/>
          <w:bottom w:val="nil"/>
          <w:right w:val="nil"/>
          <w:between w:val="nil"/>
        </w:pBdr>
        <w:spacing w:line="360" w:lineRule="auto"/>
        <w:jc w:val="both"/>
      </w:pPr>
      <w:r w:rsidRPr="001373C6">
        <w:t>Ministerio</w:t>
      </w:r>
      <w:r w:rsidRPr="001373C6">
        <w:t xml:space="preserve"> de Salud Pública. (s.f.). </w:t>
      </w:r>
      <w:r w:rsidRPr="001373C6">
        <w:rPr>
          <w:i/>
          <w:iCs/>
        </w:rPr>
        <w:t>Programa Nacional de Salud del Adulto Mayor</w:t>
      </w:r>
      <w:r w:rsidRPr="001373C6">
        <w:t xml:space="preserve">. </w:t>
      </w:r>
      <w:hyperlink r:id="rId21">
        <w:r w:rsidRPr="001373C6">
          <w:rPr>
            <w:color w:val="0000FF"/>
            <w:u w:val="single"/>
          </w:rPr>
          <w:t>https://www.gub.uy/ministerio</w:t>
        </w:r>
        <w:r w:rsidRPr="001373C6">
          <w:rPr>
            <w:color w:val="0000FF"/>
            <w:u w:val="single"/>
          </w:rPr>
          <w:t>-salud-publica/sites/ministerio-salud-publica/files/documentos/publicaciones/Programa%20Adulto%20Mayor.pdf</w:t>
        </w:r>
      </w:hyperlink>
    </w:p>
    <w:p w14:paraId="000000A7" w14:textId="77777777" w:rsidR="00EC274E" w:rsidRPr="001373C6" w:rsidRDefault="00A718BA">
      <w:pPr>
        <w:pBdr>
          <w:top w:val="nil"/>
          <w:left w:val="nil"/>
          <w:bottom w:val="nil"/>
          <w:right w:val="nil"/>
          <w:between w:val="nil"/>
        </w:pBdr>
        <w:spacing w:line="360" w:lineRule="auto"/>
        <w:jc w:val="both"/>
      </w:pPr>
      <w:r w:rsidRPr="001373C6">
        <w:t xml:space="preserve">Menéndez, S., Cuevas, A., Pérez-Padilla, J. &amp; Lorence, B. (2016). Evaluación de los estereotipos negativos hacia la vejez en jóvenes y adultos. Rev. </w:t>
      </w:r>
      <w:r w:rsidRPr="001373C6">
        <w:t>Esp. Geriatría y Gerontología, 51, pp. 323.3</w:t>
      </w:r>
    </w:p>
    <w:p w14:paraId="000000A8" w14:textId="77777777" w:rsidR="00EC274E" w:rsidRPr="001373C6" w:rsidRDefault="00A718BA">
      <w:pPr>
        <w:pBdr>
          <w:top w:val="nil"/>
          <w:left w:val="nil"/>
          <w:bottom w:val="nil"/>
          <w:right w:val="nil"/>
          <w:between w:val="nil"/>
        </w:pBdr>
        <w:spacing w:line="360" w:lineRule="auto"/>
        <w:jc w:val="both"/>
      </w:pPr>
      <w:proofErr w:type="spellStart"/>
      <w:r w:rsidRPr="001373C6">
        <w:t>Monchietti</w:t>
      </w:r>
      <w:proofErr w:type="spellEnd"/>
      <w:r w:rsidRPr="001373C6">
        <w:t>, A. y Lombardo, E. (2000). Representación social de la vejez y su influencia sobre el aislamiento social y la salud de quien envejece. Revista Tiempo, 4. http: //www.psiconet.com/tiempo.</w:t>
      </w:r>
    </w:p>
    <w:p w14:paraId="000000A9" w14:textId="77777777" w:rsidR="00EC274E" w:rsidRPr="001373C6" w:rsidRDefault="00A718BA">
      <w:pPr>
        <w:pBdr>
          <w:top w:val="nil"/>
          <w:left w:val="nil"/>
          <w:bottom w:val="nil"/>
          <w:right w:val="nil"/>
          <w:between w:val="nil"/>
        </w:pBdr>
        <w:spacing w:line="360" w:lineRule="auto"/>
        <w:jc w:val="both"/>
      </w:pPr>
      <w:r w:rsidRPr="001373C6">
        <w:t>Moscovici, S.</w:t>
      </w:r>
      <w:r w:rsidRPr="001373C6">
        <w:t xml:space="preserve"> (1984). </w:t>
      </w:r>
      <w:r w:rsidRPr="001373C6">
        <w:rPr>
          <w:i/>
          <w:iCs/>
        </w:rPr>
        <w:t>El psicoanálisis, su imagen y su público</w:t>
      </w:r>
      <w:r w:rsidRPr="001373C6">
        <w:t>. Huemul.</w:t>
      </w:r>
    </w:p>
    <w:p w14:paraId="000000AA" w14:textId="77777777" w:rsidR="00EC274E" w:rsidRPr="001373C6" w:rsidRDefault="00EC274E">
      <w:pPr>
        <w:pBdr>
          <w:top w:val="nil"/>
          <w:left w:val="nil"/>
          <w:bottom w:val="nil"/>
          <w:right w:val="nil"/>
          <w:between w:val="nil"/>
        </w:pBdr>
        <w:spacing w:line="360" w:lineRule="auto"/>
        <w:jc w:val="both"/>
      </w:pPr>
    </w:p>
    <w:p w14:paraId="000000AB" w14:textId="77777777" w:rsidR="00EC274E" w:rsidRPr="001373C6" w:rsidRDefault="00A718BA">
      <w:pPr>
        <w:pBdr>
          <w:top w:val="nil"/>
          <w:left w:val="nil"/>
          <w:bottom w:val="nil"/>
          <w:right w:val="nil"/>
          <w:between w:val="nil"/>
        </w:pBdr>
        <w:spacing w:line="360" w:lineRule="auto"/>
        <w:jc w:val="both"/>
      </w:pPr>
      <w:r w:rsidRPr="001373C6">
        <w:lastRenderedPageBreak/>
        <w:t xml:space="preserve">Nunes, Cristina et al.,(2018). </w:t>
      </w:r>
      <w:proofErr w:type="spellStart"/>
      <w:r w:rsidRPr="001373C6">
        <w:t>Psychometric</w:t>
      </w:r>
      <w:proofErr w:type="spellEnd"/>
      <w:r w:rsidRPr="001373C6">
        <w:t xml:space="preserve"> </w:t>
      </w:r>
      <w:proofErr w:type="spellStart"/>
      <w:r w:rsidRPr="001373C6">
        <w:t>properties</w:t>
      </w:r>
      <w:proofErr w:type="spellEnd"/>
      <w:r w:rsidRPr="001373C6">
        <w:t xml:space="preserve"> </w:t>
      </w:r>
      <w:proofErr w:type="spellStart"/>
      <w:r w:rsidRPr="001373C6">
        <w:t>of</w:t>
      </w:r>
      <w:proofErr w:type="spellEnd"/>
      <w:r w:rsidRPr="001373C6">
        <w:t xml:space="preserve"> </w:t>
      </w:r>
      <w:proofErr w:type="spellStart"/>
      <w:r w:rsidRPr="001373C6">
        <w:t>the</w:t>
      </w:r>
      <w:proofErr w:type="spellEnd"/>
      <w:r w:rsidRPr="001373C6">
        <w:t xml:space="preserve"> Negative </w:t>
      </w:r>
      <w:proofErr w:type="spellStart"/>
      <w:r w:rsidRPr="001373C6">
        <w:t>Stereotypes</w:t>
      </w:r>
      <w:proofErr w:type="spellEnd"/>
      <w:r w:rsidRPr="001373C6">
        <w:t xml:space="preserve"> </w:t>
      </w:r>
      <w:proofErr w:type="spellStart"/>
      <w:r w:rsidRPr="001373C6">
        <w:t>Towards</w:t>
      </w:r>
      <w:proofErr w:type="spellEnd"/>
      <w:r w:rsidRPr="001373C6">
        <w:t xml:space="preserve"> </w:t>
      </w:r>
      <w:proofErr w:type="spellStart"/>
      <w:r w:rsidRPr="001373C6">
        <w:t>Aging</w:t>
      </w:r>
      <w:proofErr w:type="spellEnd"/>
      <w:r w:rsidRPr="001373C6">
        <w:t xml:space="preserve"> </w:t>
      </w:r>
      <w:proofErr w:type="spellStart"/>
      <w:r w:rsidRPr="001373C6">
        <w:t>Questionnaire</w:t>
      </w:r>
      <w:proofErr w:type="spellEnd"/>
      <w:r w:rsidRPr="001373C6">
        <w:t xml:space="preserve"> (CENVE) </w:t>
      </w:r>
      <w:proofErr w:type="spellStart"/>
      <w:r w:rsidRPr="001373C6">
        <w:t>among</w:t>
      </w:r>
      <w:proofErr w:type="spellEnd"/>
      <w:r w:rsidRPr="001373C6">
        <w:t xml:space="preserve"> a </w:t>
      </w:r>
      <w:proofErr w:type="spellStart"/>
      <w:r w:rsidRPr="001373C6">
        <w:t>sample</w:t>
      </w:r>
      <w:proofErr w:type="spellEnd"/>
      <w:r w:rsidRPr="001373C6">
        <w:t xml:space="preserve"> </w:t>
      </w:r>
      <w:proofErr w:type="spellStart"/>
      <w:r w:rsidRPr="001373C6">
        <w:t>of</w:t>
      </w:r>
      <w:proofErr w:type="spellEnd"/>
      <w:r w:rsidRPr="001373C6">
        <w:t xml:space="preserve"> Portuguese </w:t>
      </w:r>
      <w:proofErr w:type="spellStart"/>
      <w:r w:rsidRPr="001373C6">
        <w:t>adults</w:t>
      </w:r>
      <w:proofErr w:type="spellEnd"/>
      <w:r w:rsidRPr="001373C6">
        <w:t xml:space="preserve">. </w:t>
      </w:r>
      <w:proofErr w:type="spellStart"/>
      <w:r w:rsidRPr="001373C6">
        <w:t>University</w:t>
      </w:r>
      <w:proofErr w:type="spellEnd"/>
      <w:r w:rsidRPr="001373C6">
        <w:t xml:space="preserve"> </w:t>
      </w:r>
      <w:proofErr w:type="spellStart"/>
      <w:r w:rsidRPr="001373C6">
        <w:t>of</w:t>
      </w:r>
      <w:proofErr w:type="spellEnd"/>
      <w:r w:rsidRPr="001373C6">
        <w:t xml:space="preserve"> Algarve, Faro, Portugal.</w:t>
      </w:r>
    </w:p>
    <w:p w14:paraId="000000AC" w14:textId="77777777" w:rsidR="00EC274E" w:rsidRPr="001373C6" w:rsidRDefault="00A718BA">
      <w:pPr>
        <w:pBdr>
          <w:top w:val="nil"/>
          <w:left w:val="nil"/>
          <w:bottom w:val="nil"/>
          <w:right w:val="nil"/>
          <w:between w:val="nil"/>
        </w:pBdr>
        <w:spacing w:line="360" w:lineRule="auto"/>
        <w:jc w:val="both"/>
      </w:pPr>
      <w:r w:rsidRPr="001373C6">
        <w:t>R</w:t>
      </w:r>
      <w:r w:rsidRPr="001373C6">
        <w:t xml:space="preserve">obyn J Brunton , Greg Scott  (2015) Do </w:t>
      </w:r>
      <w:proofErr w:type="spellStart"/>
      <w:r w:rsidRPr="001373C6">
        <w:t>we</w:t>
      </w:r>
      <w:proofErr w:type="spellEnd"/>
      <w:r w:rsidRPr="001373C6">
        <w:t xml:space="preserve"> </w:t>
      </w:r>
      <w:proofErr w:type="spellStart"/>
      <w:r w:rsidRPr="001373C6">
        <w:t>fear</w:t>
      </w:r>
      <w:proofErr w:type="spellEnd"/>
      <w:r w:rsidRPr="001373C6">
        <w:t xml:space="preserve"> </w:t>
      </w:r>
      <w:proofErr w:type="spellStart"/>
      <w:r w:rsidRPr="001373C6">
        <w:t>ageing</w:t>
      </w:r>
      <w:proofErr w:type="spellEnd"/>
      <w:r w:rsidRPr="001373C6">
        <w:t xml:space="preserve">? A multidimensional </w:t>
      </w:r>
      <w:proofErr w:type="spellStart"/>
      <w:r w:rsidRPr="001373C6">
        <w:t>approach</w:t>
      </w:r>
      <w:proofErr w:type="spellEnd"/>
      <w:r w:rsidRPr="001373C6">
        <w:t xml:space="preserve"> </w:t>
      </w:r>
      <w:proofErr w:type="spellStart"/>
      <w:r w:rsidRPr="001373C6">
        <w:t>to</w:t>
      </w:r>
      <w:proofErr w:type="spellEnd"/>
      <w:r w:rsidRPr="001373C6">
        <w:t xml:space="preserve"> </w:t>
      </w:r>
      <w:proofErr w:type="spellStart"/>
      <w:r w:rsidRPr="001373C6">
        <w:t>ageing</w:t>
      </w:r>
      <w:proofErr w:type="spellEnd"/>
      <w:r w:rsidRPr="001373C6">
        <w:t xml:space="preserve"> </w:t>
      </w:r>
      <w:proofErr w:type="spellStart"/>
      <w:r w:rsidRPr="001373C6">
        <w:t>anxiety</w:t>
      </w:r>
      <w:proofErr w:type="spellEnd"/>
      <w:r w:rsidRPr="001373C6">
        <w:t xml:space="preserve">. </w:t>
      </w:r>
      <w:proofErr w:type="spellStart"/>
      <w:r w:rsidRPr="001373C6">
        <w:t>School</w:t>
      </w:r>
      <w:proofErr w:type="spellEnd"/>
      <w:r w:rsidRPr="001373C6">
        <w:t xml:space="preserve"> </w:t>
      </w:r>
      <w:proofErr w:type="spellStart"/>
      <w:r w:rsidRPr="001373C6">
        <w:t>of</w:t>
      </w:r>
      <w:proofErr w:type="spellEnd"/>
      <w:r w:rsidRPr="001373C6">
        <w:t xml:space="preserve"> </w:t>
      </w:r>
      <w:proofErr w:type="spellStart"/>
      <w:r w:rsidRPr="001373C6">
        <w:t>Psychology</w:t>
      </w:r>
      <w:proofErr w:type="spellEnd"/>
      <w:r w:rsidRPr="001373C6">
        <w:t xml:space="preserve">, Charles </w:t>
      </w:r>
      <w:proofErr w:type="spellStart"/>
      <w:r w:rsidRPr="001373C6">
        <w:t>Sturt</w:t>
      </w:r>
      <w:proofErr w:type="spellEnd"/>
      <w:r w:rsidRPr="001373C6">
        <w:t xml:space="preserve"> </w:t>
      </w:r>
      <w:proofErr w:type="spellStart"/>
      <w:r w:rsidRPr="001373C6">
        <w:t>University</w:t>
      </w:r>
      <w:proofErr w:type="spellEnd"/>
      <w:r w:rsidRPr="001373C6">
        <w:t xml:space="preserve">, </w:t>
      </w:r>
      <w:proofErr w:type="spellStart"/>
      <w:r w:rsidRPr="001373C6">
        <w:t>Bathurst</w:t>
      </w:r>
      <w:proofErr w:type="spellEnd"/>
      <w:r w:rsidRPr="001373C6">
        <w:t xml:space="preserve">, NSW, Australia. </w:t>
      </w:r>
    </w:p>
    <w:p w14:paraId="000000AD" w14:textId="77777777" w:rsidR="00EC274E" w:rsidRPr="001373C6" w:rsidRDefault="00A718BA">
      <w:pPr>
        <w:pBdr>
          <w:top w:val="nil"/>
          <w:left w:val="nil"/>
          <w:bottom w:val="nil"/>
          <w:right w:val="nil"/>
          <w:between w:val="nil"/>
        </w:pBdr>
        <w:spacing w:line="360" w:lineRule="auto"/>
        <w:jc w:val="both"/>
      </w:pPr>
      <w:proofErr w:type="spellStart"/>
      <w:r w:rsidRPr="001373C6">
        <w:t>Salvarezza</w:t>
      </w:r>
      <w:proofErr w:type="spellEnd"/>
      <w:r w:rsidRPr="001373C6">
        <w:t>, Leopoldo (1988). Psicogeriatría - Teoría y Clínica</w:t>
      </w:r>
    </w:p>
    <w:p w14:paraId="000000AE" w14:textId="77777777" w:rsidR="00EC274E" w:rsidRPr="001373C6" w:rsidRDefault="00A718BA">
      <w:pPr>
        <w:pBdr>
          <w:top w:val="nil"/>
          <w:left w:val="nil"/>
          <w:bottom w:val="nil"/>
          <w:right w:val="nil"/>
          <w:between w:val="nil"/>
        </w:pBdr>
        <w:spacing w:line="360" w:lineRule="auto"/>
        <w:jc w:val="both"/>
      </w:pPr>
      <w:r w:rsidRPr="001373C6">
        <w:t>Sarabia Cobo, C.</w:t>
      </w:r>
      <w:r w:rsidRPr="001373C6">
        <w:t xml:space="preserve">, &amp; Castanedo Pfeiffer, C. (2015). Modificación de estereotipos negativos en la vejez en estudiantes de enfermería. </w:t>
      </w:r>
      <w:proofErr w:type="spellStart"/>
      <w:r w:rsidRPr="001373C6">
        <w:t>Gerokomos</w:t>
      </w:r>
      <w:proofErr w:type="spellEnd"/>
      <w:r w:rsidRPr="001373C6">
        <w:t xml:space="preserve">, 26 (1), pp.10-12. </w:t>
      </w:r>
    </w:p>
    <w:p w14:paraId="000000AF" w14:textId="77777777" w:rsidR="00EC274E" w:rsidRPr="001373C6" w:rsidRDefault="00A718BA">
      <w:pPr>
        <w:pBdr>
          <w:top w:val="nil"/>
          <w:left w:val="nil"/>
          <w:bottom w:val="nil"/>
          <w:right w:val="nil"/>
          <w:between w:val="nil"/>
        </w:pBdr>
        <w:spacing w:line="360" w:lineRule="auto"/>
        <w:jc w:val="both"/>
      </w:pPr>
      <w:r w:rsidRPr="001373C6">
        <w:t xml:space="preserve">Schwartz, L. K. &amp; Simmons, J. P. (2001). </w:t>
      </w:r>
      <w:proofErr w:type="spellStart"/>
      <w:r w:rsidRPr="001373C6">
        <w:t>Contact</w:t>
      </w:r>
      <w:proofErr w:type="spellEnd"/>
      <w:r w:rsidRPr="001373C6">
        <w:t xml:space="preserve"> </w:t>
      </w:r>
      <w:proofErr w:type="spellStart"/>
      <w:r w:rsidRPr="001373C6">
        <w:t>quality</w:t>
      </w:r>
      <w:proofErr w:type="spellEnd"/>
      <w:r w:rsidRPr="001373C6">
        <w:t xml:space="preserve"> and </w:t>
      </w:r>
      <w:proofErr w:type="spellStart"/>
      <w:r w:rsidRPr="001373C6">
        <w:t>attitudes</w:t>
      </w:r>
      <w:proofErr w:type="spellEnd"/>
      <w:r w:rsidRPr="001373C6">
        <w:t xml:space="preserve"> </w:t>
      </w:r>
      <w:proofErr w:type="spellStart"/>
      <w:r w:rsidRPr="001373C6">
        <w:t>toward</w:t>
      </w:r>
      <w:proofErr w:type="spellEnd"/>
      <w:r w:rsidRPr="001373C6">
        <w:t xml:space="preserve"> </w:t>
      </w:r>
      <w:proofErr w:type="spellStart"/>
      <w:r w:rsidRPr="001373C6">
        <w:t>the</w:t>
      </w:r>
      <w:proofErr w:type="spellEnd"/>
    </w:p>
    <w:p w14:paraId="000000B0" w14:textId="77777777" w:rsidR="00EC274E" w:rsidRPr="001373C6" w:rsidRDefault="00A718BA">
      <w:pPr>
        <w:pBdr>
          <w:top w:val="nil"/>
          <w:left w:val="nil"/>
          <w:bottom w:val="nil"/>
          <w:right w:val="nil"/>
          <w:between w:val="nil"/>
        </w:pBdr>
        <w:spacing w:line="360" w:lineRule="auto"/>
        <w:jc w:val="both"/>
      </w:pPr>
      <w:proofErr w:type="spellStart"/>
      <w:r w:rsidRPr="001373C6">
        <w:t>elderly</w:t>
      </w:r>
      <w:proofErr w:type="spellEnd"/>
      <w:r w:rsidRPr="001373C6">
        <w:t xml:space="preserve">. </w:t>
      </w:r>
      <w:proofErr w:type="spellStart"/>
      <w:r w:rsidRPr="001373C6">
        <w:t>Educational</w:t>
      </w:r>
      <w:proofErr w:type="spellEnd"/>
      <w:r w:rsidRPr="001373C6">
        <w:t xml:space="preserve"> </w:t>
      </w:r>
      <w:proofErr w:type="spellStart"/>
      <w:r w:rsidRPr="001373C6">
        <w:t>Geronto</w:t>
      </w:r>
      <w:r w:rsidRPr="001373C6">
        <w:t>logy</w:t>
      </w:r>
      <w:proofErr w:type="spellEnd"/>
      <w:r w:rsidRPr="001373C6">
        <w:t>, 27, 127–137.</w:t>
      </w:r>
    </w:p>
    <w:p w14:paraId="000000B1" w14:textId="77777777" w:rsidR="00EC274E" w:rsidRPr="001373C6" w:rsidRDefault="00A718BA">
      <w:pPr>
        <w:pBdr>
          <w:top w:val="nil"/>
          <w:left w:val="nil"/>
          <w:bottom w:val="nil"/>
          <w:right w:val="nil"/>
          <w:between w:val="nil"/>
        </w:pBdr>
        <w:spacing w:line="360" w:lineRule="auto"/>
        <w:jc w:val="both"/>
      </w:pPr>
      <w:r w:rsidRPr="001373C6">
        <w:t xml:space="preserve">Toledo, </w:t>
      </w:r>
      <w:proofErr w:type="spellStart"/>
      <w:r w:rsidRPr="001373C6">
        <w:t>Angel</w:t>
      </w:r>
      <w:proofErr w:type="spellEnd"/>
      <w:r w:rsidRPr="001373C6">
        <w:t xml:space="preserve"> (2010). Viejismo (</w:t>
      </w:r>
      <w:proofErr w:type="spellStart"/>
      <w:r w:rsidRPr="001373C6">
        <w:t>ageism</w:t>
      </w:r>
      <w:proofErr w:type="spellEnd"/>
      <w:r w:rsidRPr="001373C6">
        <w:t>). Percepciones de la población acerca de la tercera edad: estereotipos, actitudes e implicaciones sociales.</w:t>
      </w:r>
    </w:p>
    <w:p w14:paraId="000000B2" w14:textId="77777777" w:rsidR="00EC274E" w:rsidRPr="001373C6" w:rsidRDefault="00A718BA">
      <w:pPr>
        <w:pBdr>
          <w:top w:val="nil"/>
          <w:left w:val="nil"/>
          <w:bottom w:val="nil"/>
          <w:right w:val="nil"/>
          <w:between w:val="nil"/>
        </w:pBdr>
        <w:spacing w:line="360" w:lineRule="auto"/>
        <w:jc w:val="both"/>
      </w:pPr>
      <w:proofErr w:type="spellStart"/>
      <w:r w:rsidRPr="001373C6">
        <w:t>United</w:t>
      </w:r>
      <w:proofErr w:type="spellEnd"/>
      <w:r w:rsidRPr="001373C6">
        <w:t xml:space="preserve"> </w:t>
      </w:r>
      <w:proofErr w:type="spellStart"/>
      <w:r w:rsidRPr="001373C6">
        <w:t>Nations</w:t>
      </w:r>
      <w:proofErr w:type="spellEnd"/>
      <w:r w:rsidRPr="001373C6">
        <w:t xml:space="preserve">, </w:t>
      </w:r>
      <w:proofErr w:type="spellStart"/>
      <w:r w:rsidRPr="001373C6">
        <w:t>Department</w:t>
      </w:r>
      <w:proofErr w:type="spellEnd"/>
      <w:r w:rsidRPr="001373C6">
        <w:t xml:space="preserve"> </w:t>
      </w:r>
      <w:proofErr w:type="spellStart"/>
      <w:r w:rsidRPr="001373C6">
        <w:t>of</w:t>
      </w:r>
      <w:proofErr w:type="spellEnd"/>
      <w:r w:rsidRPr="001373C6">
        <w:t xml:space="preserve"> </w:t>
      </w:r>
      <w:proofErr w:type="spellStart"/>
      <w:r w:rsidRPr="001373C6">
        <w:t>Economic</w:t>
      </w:r>
      <w:proofErr w:type="spellEnd"/>
      <w:r w:rsidRPr="001373C6">
        <w:t xml:space="preserve"> and Social </w:t>
      </w:r>
      <w:proofErr w:type="spellStart"/>
      <w:r w:rsidRPr="001373C6">
        <w:t>Affairs</w:t>
      </w:r>
      <w:proofErr w:type="spellEnd"/>
      <w:r w:rsidRPr="001373C6">
        <w:t xml:space="preserve">, </w:t>
      </w:r>
      <w:proofErr w:type="spellStart"/>
      <w:r w:rsidRPr="001373C6">
        <w:t>Population</w:t>
      </w:r>
      <w:proofErr w:type="spellEnd"/>
      <w:r w:rsidRPr="001373C6">
        <w:t xml:space="preserve"> </w:t>
      </w:r>
      <w:proofErr w:type="spellStart"/>
      <w:r w:rsidRPr="001373C6">
        <w:t>Division</w:t>
      </w:r>
      <w:proofErr w:type="spellEnd"/>
      <w:r w:rsidRPr="001373C6">
        <w:t xml:space="preserve"> (2024). </w:t>
      </w:r>
      <w:proofErr w:type="spellStart"/>
      <w:r w:rsidRPr="001373C6">
        <w:t>Wor</w:t>
      </w:r>
      <w:r w:rsidRPr="001373C6">
        <w:t>ld</w:t>
      </w:r>
      <w:proofErr w:type="spellEnd"/>
      <w:r w:rsidRPr="001373C6">
        <w:t xml:space="preserve"> </w:t>
      </w:r>
      <w:proofErr w:type="spellStart"/>
      <w:r w:rsidRPr="001373C6">
        <w:t>Population</w:t>
      </w:r>
      <w:proofErr w:type="spellEnd"/>
      <w:r w:rsidRPr="001373C6">
        <w:t xml:space="preserve"> </w:t>
      </w:r>
      <w:proofErr w:type="spellStart"/>
      <w:r w:rsidRPr="001373C6">
        <w:t>Prospects</w:t>
      </w:r>
      <w:proofErr w:type="spellEnd"/>
      <w:r w:rsidRPr="001373C6">
        <w:t xml:space="preserve"> 2024: </w:t>
      </w:r>
      <w:proofErr w:type="spellStart"/>
      <w:r w:rsidRPr="001373C6">
        <w:t>Summary</w:t>
      </w:r>
      <w:proofErr w:type="spellEnd"/>
      <w:r w:rsidRPr="001373C6">
        <w:t xml:space="preserve"> </w:t>
      </w:r>
      <w:proofErr w:type="spellStart"/>
      <w:r w:rsidRPr="001373C6">
        <w:t>of</w:t>
      </w:r>
      <w:proofErr w:type="spellEnd"/>
      <w:r w:rsidRPr="001373C6">
        <w:t xml:space="preserve"> </w:t>
      </w:r>
      <w:proofErr w:type="spellStart"/>
      <w:r w:rsidRPr="001373C6">
        <w:t>Results</w:t>
      </w:r>
      <w:proofErr w:type="spellEnd"/>
      <w:r w:rsidRPr="001373C6">
        <w:t xml:space="preserve"> (UN DESA/POP/2024/TR/NO. 9).</w:t>
      </w:r>
    </w:p>
    <w:p w14:paraId="000000B3" w14:textId="77777777" w:rsidR="00EC274E" w:rsidRPr="001373C6" w:rsidRDefault="00A718BA">
      <w:pPr>
        <w:pBdr>
          <w:top w:val="nil"/>
          <w:left w:val="nil"/>
          <w:bottom w:val="nil"/>
          <w:right w:val="nil"/>
          <w:between w:val="nil"/>
        </w:pBdr>
        <w:spacing w:line="360" w:lineRule="auto"/>
        <w:jc w:val="both"/>
      </w:pPr>
      <w:proofErr w:type="spellStart"/>
      <w:r w:rsidRPr="001373C6">
        <w:t>World</w:t>
      </w:r>
      <w:proofErr w:type="spellEnd"/>
      <w:r w:rsidRPr="001373C6">
        <w:t xml:space="preserve"> </w:t>
      </w:r>
      <w:proofErr w:type="spellStart"/>
      <w:r w:rsidRPr="001373C6">
        <w:t>Health</w:t>
      </w:r>
      <w:proofErr w:type="spellEnd"/>
      <w:r w:rsidRPr="001373C6">
        <w:t xml:space="preserve"> </w:t>
      </w:r>
      <w:proofErr w:type="spellStart"/>
      <w:r w:rsidRPr="001373C6">
        <w:t>Organization</w:t>
      </w:r>
      <w:proofErr w:type="spellEnd"/>
      <w:r w:rsidRPr="001373C6">
        <w:t xml:space="preserve"> (2020). </w:t>
      </w:r>
      <w:proofErr w:type="spellStart"/>
      <w:r w:rsidRPr="001373C6">
        <w:t>Decade</w:t>
      </w:r>
      <w:proofErr w:type="spellEnd"/>
      <w:r w:rsidRPr="001373C6">
        <w:t xml:space="preserve"> </w:t>
      </w:r>
      <w:proofErr w:type="spellStart"/>
      <w:r w:rsidRPr="001373C6">
        <w:t>of</w:t>
      </w:r>
      <w:proofErr w:type="spellEnd"/>
      <w:r w:rsidRPr="001373C6">
        <w:t xml:space="preserve"> </w:t>
      </w:r>
      <w:proofErr w:type="spellStart"/>
      <w:r w:rsidRPr="001373C6">
        <w:t>healthy</w:t>
      </w:r>
      <w:proofErr w:type="spellEnd"/>
      <w:r w:rsidRPr="001373C6">
        <w:t xml:space="preserve"> </w:t>
      </w:r>
      <w:proofErr w:type="spellStart"/>
      <w:r w:rsidRPr="001373C6">
        <w:t>ageing</w:t>
      </w:r>
      <w:proofErr w:type="spellEnd"/>
      <w:r w:rsidRPr="001373C6">
        <w:t xml:space="preserve">: </w:t>
      </w:r>
      <w:proofErr w:type="spellStart"/>
      <w:r w:rsidRPr="001373C6">
        <w:t>baseline</w:t>
      </w:r>
      <w:proofErr w:type="spellEnd"/>
      <w:r w:rsidRPr="001373C6">
        <w:t xml:space="preserve"> </w:t>
      </w:r>
      <w:proofErr w:type="spellStart"/>
      <w:r w:rsidRPr="001373C6">
        <w:t>report</w:t>
      </w:r>
      <w:proofErr w:type="spellEnd"/>
    </w:p>
    <w:p w14:paraId="000000B4" w14:textId="77777777" w:rsidR="00EC274E" w:rsidRPr="001373C6" w:rsidRDefault="00EC274E">
      <w:pPr>
        <w:pBdr>
          <w:top w:val="nil"/>
          <w:left w:val="nil"/>
          <w:bottom w:val="nil"/>
          <w:right w:val="nil"/>
          <w:between w:val="nil"/>
        </w:pBdr>
        <w:jc w:val="center"/>
      </w:pPr>
    </w:p>
    <w:p w14:paraId="000000B5" w14:textId="77777777" w:rsidR="00EC274E" w:rsidRPr="001373C6" w:rsidRDefault="00EC274E">
      <w:pPr>
        <w:pBdr>
          <w:top w:val="nil"/>
          <w:left w:val="nil"/>
          <w:bottom w:val="nil"/>
          <w:right w:val="nil"/>
          <w:between w:val="nil"/>
        </w:pBdr>
        <w:jc w:val="center"/>
      </w:pPr>
    </w:p>
    <w:p w14:paraId="000000B6" w14:textId="77777777" w:rsidR="00EC274E" w:rsidRPr="001373C6" w:rsidRDefault="00EC274E">
      <w:pPr>
        <w:pBdr>
          <w:top w:val="nil"/>
          <w:left w:val="nil"/>
          <w:bottom w:val="nil"/>
          <w:right w:val="nil"/>
          <w:between w:val="nil"/>
        </w:pBdr>
        <w:spacing w:line="360" w:lineRule="auto"/>
        <w:jc w:val="both"/>
        <w:rPr>
          <w:color w:val="000000"/>
        </w:rPr>
      </w:pPr>
    </w:p>
    <w:sectPr w:rsidR="00EC274E" w:rsidRPr="001373C6">
      <w:headerReference w:type="even" r:id="rId22"/>
      <w:headerReference w:type="default" r:id="rId23"/>
      <w:footerReference w:type="even" r:id="rId24"/>
      <w:footerReference w:type="default" r:id="rId2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954E6" w14:textId="77777777" w:rsidR="00A718BA" w:rsidRDefault="00A718BA">
      <w:r>
        <w:separator/>
      </w:r>
    </w:p>
  </w:endnote>
  <w:endnote w:type="continuationSeparator" w:id="0">
    <w:p w14:paraId="550D7475" w14:textId="77777777" w:rsidR="00A718BA" w:rsidRDefault="00A71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D1F6478-750F-4F87-ACB3-829B1AA8BC4B}"/>
  </w:font>
  <w:font w:name="Times">
    <w:panose1 w:val="02020603050405020304"/>
    <w:charset w:val="00"/>
    <w:family w:val="roman"/>
    <w:pitch w:val="variable"/>
    <w:sig w:usb0="E0002EFF" w:usb1="C000785B" w:usb2="00000009" w:usb3="00000000" w:csb0="000001FF" w:csb1="00000000"/>
    <w:embedRegular r:id="rId2" w:fontKey="{8F5C6E91-BDE6-43AF-B981-34E70DCC60EE}"/>
    <w:embedItalic r:id="rId3" w:fontKey="{6D47B80B-FE36-4A4C-8CE1-3DC0C78527C3}"/>
    <w:embedBoldItalic r:id="rId4" w:fontKey="{A2F7F12C-6D11-48FA-B7D7-1EB4FEB22EC7}"/>
  </w:font>
  <w:font w:name="Calibri Light">
    <w:panose1 w:val="020F0302020204030204"/>
    <w:charset w:val="00"/>
    <w:family w:val="swiss"/>
    <w:pitch w:val="variable"/>
    <w:sig w:usb0="E4002EFF" w:usb1="C200247B" w:usb2="00000009" w:usb3="00000000" w:csb0="000001FF" w:csb1="00000000"/>
    <w:embedRegular r:id="rId5" w:fontKey="{059AA7A9-D0B9-4A9D-A7E4-9B7BDCCC8B01}"/>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6" w:fontKey="{A2FECF49-1963-4604-9ED5-A72F49DA04F6}"/>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BA" w14:textId="651F1410" w:rsidR="00EC274E" w:rsidRDefault="00A718BA">
    <w:pPr>
      <w:pBdr>
        <w:top w:val="nil"/>
        <w:left w:val="nil"/>
        <w:bottom w:val="nil"/>
        <w:right w:val="nil"/>
        <w:between w:val="nil"/>
      </w:pBdr>
      <w:tabs>
        <w:tab w:val="center" w:pos="4680"/>
        <w:tab w:val="right" w:pos="9360"/>
      </w:tabs>
      <w:ind w:left="3960" w:firstLine="3960"/>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1373C6">
      <w:rPr>
        <w:rFonts w:ascii="Times" w:eastAsia="Times" w:hAnsi="Times" w:cs="Times"/>
        <w:noProof/>
        <w:color w:val="000000"/>
        <w:sz w:val="16"/>
        <w:szCs w:val="16"/>
      </w:rPr>
      <w:t>2</w:t>
    </w:r>
    <w:r>
      <w:rPr>
        <w:rFonts w:ascii="Times" w:eastAsia="Times" w:hAnsi="Times" w:cs="Times"/>
        <w:color w:val="000000"/>
        <w:sz w:val="16"/>
        <w:szCs w:val="16"/>
      </w:rPr>
      <w:fldChar w:fldCharType="end"/>
    </w:r>
  </w:p>
  <w:p w14:paraId="000000BB" w14:textId="77777777" w:rsidR="00EC274E" w:rsidRDefault="00EC274E">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BC" w14:textId="3F34BC0D" w:rsidR="00EC274E" w:rsidRDefault="00A718BA">
    <w:pPr>
      <w:pBdr>
        <w:top w:val="nil"/>
        <w:left w:val="nil"/>
        <w:bottom w:val="nil"/>
        <w:right w:val="nil"/>
        <w:between w:val="nil"/>
      </w:pBdr>
      <w:tabs>
        <w:tab w:val="center" w:pos="4680"/>
        <w:tab w:val="right" w:pos="9360"/>
      </w:tabs>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1373C6">
      <w:rPr>
        <w:rFonts w:ascii="Times" w:eastAsia="Times" w:hAnsi="Times" w:cs="Times"/>
        <w:noProof/>
        <w:color w:val="000000"/>
        <w:sz w:val="16"/>
        <w:szCs w:val="16"/>
      </w:rPr>
      <w:t>1</w:t>
    </w:r>
    <w:r>
      <w:rPr>
        <w:rFonts w:ascii="Times" w:eastAsia="Times" w:hAnsi="Times" w:cs="Times"/>
        <w:color w:val="000000"/>
        <w:sz w:val="16"/>
        <w:szCs w:val="16"/>
      </w:rPr>
      <w:fldChar w:fldCharType="end"/>
    </w:r>
  </w:p>
  <w:p w14:paraId="000000BD" w14:textId="77777777" w:rsidR="00EC274E" w:rsidRDefault="00EC274E">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87053" w14:textId="77777777" w:rsidR="00A718BA" w:rsidRDefault="00A718BA">
      <w:r>
        <w:separator/>
      </w:r>
    </w:p>
  </w:footnote>
  <w:footnote w:type="continuationSeparator" w:id="0">
    <w:p w14:paraId="6E19A6B8" w14:textId="77777777" w:rsidR="00A718BA" w:rsidRDefault="00A718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B7" w14:textId="77777777" w:rsidR="00EC274E" w:rsidRDefault="00EC274E">
    <w:pPr>
      <w:pBdr>
        <w:top w:val="nil"/>
        <w:left w:val="nil"/>
        <w:bottom w:val="nil"/>
        <w:right w:val="nil"/>
        <w:between w:val="nil"/>
      </w:pBdr>
      <w:tabs>
        <w:tab w:val="center" w:pos="4680"/>
        <w:tab w:val="right" w:pos="9360"/>
      </w:tabs>
      <w:jc w:val="center"/>
      <w:rPr>
        <w:rFonts w:ascii="Times" w:eastAsia="Times" w:hAnsi="Times" w:cs="Times"/>
        <w:smallCaps/>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B8" w14:textId="77777777" w:rsidR="00EC274E" w:rsidRDefault="00A718BA">
    <w:pPr>
      <w:pBdr>
        <w:top w:val="nil"/>
        <w:left w:val="nil"/>
        <w:bottom w:val="nil"/>
        <w:right w:val="nil"/>
        <w:between w:val="nil"/>
      </w:pBdr>
      <w:tabs>
        <w:tab w:val="center" w:pos="4680"/>
        <w:tab w:val="right" w:pos="9360"/>
      </w:tabs>
      <w:jc w:val="right"/>
      <w:rPr>
        <w:rFonts w:ascii="Times" w:eastAsia="Times" w:hAnsi="Times" w:cs="Times"/>
        <w:i/>
        <w:iCs/>
        <w:color w:val="000000"/>
        <w:sz w:val="18"/>
        <w:szCs w:val="18"/>
      </w:rPr>
    </w:pPr>
    <w:r>
      <w:rPr>
        <w:rFonts w:ascii="Times" w:eastAsia="Times" w:hAnsi="Times" w:cs="Times"/>
        <w:b/>
        <w:bCs/>
        <w:i/>
        <w:iCs/>
        <w:color w:val="000000"/>
        <w:sz w:val="18"/>
        <w:szCs w:val="18"/>
      </w:rPr>
      <w:t>Revista Interamericana de Psicología/</w:t>
    </w:r>
    <w:proofErr w:type="spellStart"/>
    <w:r>
      <w:rPr>
        <w:rFonts w:ascii="Times" w:eastAsia="Times" w:hAnsi="Times" w:cs="Times"/>
        <w:b/>
        <w:bCs/>
        <w:i/>
        <w:iCs/>
        <w:color w:val="000000"/>
        <w:sz w:val="18"/>
        <w:szCs w:val="18"/>
      </w:rPr>
      <w:t>Interamerican</w:t>
    </w:r>
    <w:proofErr w:type="spellEnd"/>
    <w:r>
      <w:rPr>
        <w:rFonts w:ascii="Times" w:eastAsia="Times" w:hAnsi="Times" w:cs="Times"/>
        <w:b/>
        <w:bCs/>
        <w:i/>
        <w:iCs/>
        <w:color w:val="000000"/>
        <w:sz w:val="18"/>
        <w:szCs w:val="18"/>
      </w:rPr>
      <w:t xml:space="preserve"> </w:t>
    </w:r>
    <w:proofErr w:type="spellStart"/>
    <w:r>
      <w:rPr>
        <w:rFonts w:ascii="Times" w:eastAsia="Times" w:hAnsi="Times" w:cs="Times"/>
        <w:b/>
        <w:bCs/>
        <w:i/>
        <w:iCs/>
        <w:color w:val="000000"/>
        <w:sz w:val="18"/>
        <w:szCs w:val="18"/>
      </w:rPr>
      <w:t>Journal</w:t>
    </w:r>
    <w:proofErr w:type="spellEnd"/>
    <w:r>
      <w:rPr>
        <w:rFonts w:ascii="Times" w:eastAsia="Times" w:hAnsi="Times" w:cs="Times"/>
        <w:b/>
        <w:bCs/>
        <w:i/>
        <w:iCs/>
        <w:color w:val="000000"/>
        <w:sz w:val="18"/>
        <w:szCs w:val="18"/>
      </w:rPr>
      <w:t xml:space="preserve"> </w:t>
    </w:r>
    <w:proofErr w:type="spellStart"/>
    <w:r>
      <w:rPr>
        <w:rFonts w:ascii="Times" w:eastAsia="Times" w:hAnsi="Times" w:cs="Times"/>
        <w:b/>
        <w:bCs/>
        <w:i/>
        <w:iCs/>
        <w:color w:val="000000"/>
        <w:sz w:val="18"/>
        <w:szCs w:val="18"/>
      </w:rPr>
      <w:t>of</w:t>
    </w:r>
    <w:proofErr w:type="spellEnd"/>
    <w:r>
      <w:rPr>
        <w:rFonts w:ascii="Times" w:eastAsia="Times" w:hAnsi="Times" w:cs="Times"/>
        <w:b/>
        <w:bCs/>
        <w:i/>
        <w:iCs/>
        <w:color w:val="000000"/>
        <w:sz w:val="18"/>
        <w:szCs w:val="18"/>
      </w:rPr>
      <w:t xml:space="preserve"> </w:t>
    </w:r>
    <w:proofErr w:type="spellStart"/>
    <w:r>
      <w:rPr>
        <w:rFonts w:ascii="Times" w:eastAsia="Times" w:hAnsi="Times" w:cs="Times"/>
        <w:b/>
        <w:bCs/>
        <w:i/>
        <w:iCs/>
        <w:color w:val="000000"/>
        <w:sz w:val="18"/>
        <w:szCs w:val="18"/>
      </w:rPr>
      <w:t>Psychology</w:t>
    </w:r>
    <w:proofErr w:type="spellEnd"/>
    <w:r>
      <w:rPr>
        <w:noProof/>
      </w:rPr>
      <w:drawing>
        <wp:anchor distT="0" distB="0" distL="114300" distR="114300" simplePos="0" relativeHeight="251658240" behindDoc="0" locked="0" layoutInCell="1" hidden="0" allowOverlap="1">
          <wp:simplePos x="0" y="0"/>
          <wp:positionH relativeFrom="column">
            <wp:posOffset>64657</wp:posOffset>
          </wp:positionH>
          <wp:positionV relativeFrom="paragraph">
            <wp:posOffset>-253535</wp:posOffset>
          </wp:positionV>
          <wp:extent cx="681164" cy="628073"/>
          <wp:effectExtent l="0" t="0" r="0" b="0"/>
          <wp:wrapNone/>
          <wp:docPr id="3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l="18661"/>
                  <a:stretch>
                    <a:fillRect/>
                  </a:stretch>
                </pic:blipFill>
                <pic:spPr>
                  <a:xfrm>
                    <a:off x="0" y="0"/>
                    <a:ext cx="681164" cy="628073"/>
                  </a:xfrm>
                  <a:prstGeom prst="rect">
                    <a:avLst/>
                  </a:prstGeom>
                  <a:ln/>
                </pic:spPr>
              </pic:pic>
            </a:graphicData>
          </a:graphic>
        </wp:anchor>
      </w:drawing>
    </w:r>
  </w:p>
  <w:p w14:paraId="000000B9" w14:textId="77777777" w:rsidR="00EC274E" w:rsidRDefault="00A718BA">
    <w:pPr>
      <w:pBdr>
        <w:top w:val="nil"/>
        <w:left w:val="nil"/>
        <w:bottom w:val="nil"/>
        <w:right w:val="nil"/>
        <w:between w:val="nil"/>
      </w:pBdr>
      <w:tabs>
        <w:tab w:val="center" w:pos="4680"/>
        <w:tab w:val="right" w:pos="9360"/>
      </w:tabs>
      <w:jc w:val="right"/>
      <w:rPr>
        <w:rFonts w:ascii="Times" w:eastAsia="Times" w:hAnsi="Times" w:cs="Times"/>
        <w:i/>
        <w:iCs/>
        <w:color w:val="000000"/>
        <w:sz w:val="18"/>
        <w:szCs w:val="18"/>
      </w:rPr>
    </w:pPr>
    <w:r>
      <w:rPr>
        <w:rFonts w:ascii="Times" w:eastAsia="Times" w:hAnsi="Times" w:cs="Times"/>
        <w:i/>
        <w:iCs/>
        <w:color w:val="000000"/>
        <w:sz w:val="18"/>
        <w:szCs w:val="18"/>
      </w:rPr>
      <w:t xml:space="preserve">2025, Vol., </w:t>
    </w:r>
    <w:proofErr w:type="spellStart"/>
    <w:r>
      <w:rPr>
        <w:rFonts w:ascii="Times" w:eastAsia="Times" w:hAnsi="Times" w:cs="Times"/>
        <w:i/>
        <w:iCs/>
        <w:color w:val="000000"/>
        <w:sz w:val="18"/>
        <w:szCs w:val="18"/>
      </w:rPr>
      <w:t>xxx</w:t>
    </w:r>
    <w:proofErr w:type="spellEnd"/>
    <w:r>
      <w:rPr>
        <w:rFonts w:ascii="Times" w:eastAsia="Times" w:hAnsi="Times" w:cs="Times"/>
        <w:i/>
        <w:iCs/>
        <w:color w:val="000000"/>
        <w:sz w:val="18"/>
        <w:szCs w:val="18"/>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6972B1"/>
    <w:multiLevelType w:val="multilevel"/>
    <w:tmpl w:val="9E5CDC3A"/>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74E"/>
    <w:rsid w:val="001373C6"/>
    <w:rsid w:val="00363304"/>
    <w:rsid w:val="006773A5"/>
    <w:rsid w:val="00A718BA"/>
    <w:rsid w:val="00C01AF4"/>
    <w:rsid w:val="00EC274E"/>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BA039"/>
  <w15:docId w15:val="{0DAF2379-E745-4ADD-A9F4-E205C8092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UY" w:eastAsia="es-U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semiHidden/>
    <w:unhideWhenUsed/>
    <w:rsid w:val="00C413D4"/>
    <w:rPr>
      <w:sz w:val="20"/>
      <w:szCs w:val="20"/>
    </w:rPr>
  </w:style>
  <w:style w:type="character" w:customStyle="1" w:styleId="TextonotapieCar">
    <w:name w:val="Texto nota pie Car"/>
    <w:basedOn w:val="Fuentedeprrafopredeter"/>
    <w:link w:val="Textonotapie"/>
    <w:uiPriority w:val="99"/>
    <w:semiHidden/>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semiHidden/>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iPriority w:val="99"/>
    <w:unhideWhenUsed/>
    <w:rsid w:val="00B6522A"/>
    <w:rPr>
      <w:color w:val="0000FF"/>
      <w:u w:val="single"/>
    </w:rPr>
  </w:style>
  <w:style w:type="paragraph" w:styleId="Textodeglobo">
    <w:name w:val="Balloon Text"/>
    <w:basedOn w:val="Normal"/>
    <w:link w:val="TextodegloboCar"/>
    <w:uiPriority w:val="99"/>
    <w:semiHidden/>
    <w:unhideWhenUsed/>
    <w:rsid w:val="00FB0419"/>
    <w:rPr>
      <w:sz w:val="18"/>
      <w:szCs w:val="18"/>
    </w:rPr>
  </w:style>
  <w:style w:type="character" w:customStyle="1" w:styleId="TextodegloboCar">
    <w:name w:val="Texto de globo Car"/>
    <w:basedOn w:val="Fuentedeprrafopredeter"/>
    <w:link w:val="Textodeglobo"/>
    <w:uiPriority w:val="99"/>
    <w:semiHidden/>
    <w:rsid w:val="00FB0419"/>
    <w:rPr>
      <w:rFonts w:ascii="Times New Roman" w:eastAsia="Times New Roman" w:hAnsi="Times New Roman" w:cs="Times New Roman"/>
      <w:sz w:val="18"/>
      <w:szCs w:val="18"/>
      <w:lang w:val="es-ES_tradnl" w:eastAsia="es-ES_tradnl"/>
    </w:rPr>
  </w:style>
  <w:style w:type="table" w:styleId="Tablaconcuadrcula">
    <w:name w:val="Table Grid"/>
    <w:basedOn w:val="Tablanormal"/>
    <w:uiPriority w:val="3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uentedeprrafopredeter"/>
    <w:link w:val="Ttulosinternos"/>
    <w:rsid w:val="001516ED"/>
    <w:rPr>
      <w:rFonts w:ascii="Times New Roman" w:eastAsia="Times New Roman" w:hAnsi="Times New Roman" w:cs="Times New Roman"/>
      <w:b/>
    </w:rPr>
  </w:style>
  <w:style w:type="character" w:customStyle="1" w:styleId="Ttulo2Car">
    <w:name w:val="Título 2 Car"/>
    <w:basedOn w:val="Fuentedeprrafopredeter"/>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Fuentedeprrafopredeter"/>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uentedeprrafopredeter"/>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uentedeprrafopredeter"/>
    <w:link w:val="TtuloResumen"/>
    <w:rsid w:val="00C43335"/>
    <w:rPr>
      <w:rFonts w:ascii="Times New Roman" w:eastAsia="Times New Roman" w:hAnsi="Times New Roman" w:cs="Times New Roman"/>
      <w:b/>
      <w:smallCaps/>
      <w:sz w:val="20"/>
      <w:szCs w:val="20"/>
      <w:lang w:val="pt-BR" w:eastAsia="es-ES_tradnl"/>
    </w:rPr>
  </w:style>
  <w:style w:type="character" w:styleId="Mencinsinresolver">
    <w:name w:val="Unresolved Mention"/>
    <w:basedOn w:val="Fuentedeprrafopredeter"/>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styleId="Tablanormal2">
    <w:name w:val="Plain Table 2"/>
    <w:basedOn w:val="Tablanormal"/>
    <w:uiPriority w:val="99"/>
    <w:rsid w:val="00E23C9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6concolores-nfasis3">
    <w:name w:val="List Table 6 Colorful Accent 3"/>
    <w:basedOn w:val="Tablanormal"/>
    <w:uiPriority w:val="51"/>
    <w:rsid w:val="00E23C9E"/>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1clara">
    <w:name w:val="Grid Table 1 Light"/>
    <w:basedOn w:val="Tablanormal"/>
    <w:uiPriority w:val="99"/>
    <w:rsid w:val="00E23C9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normal4">
    <w:name w:val="Plain Table 4"/>
    <w:basedOn w:val="Tablanormal"/>
    <w:uiPriority w:val="99"/>
    <w:rsid w:val="00E23C9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99"/>
    <w:rsid w:val="00E23C9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0">
    <w:name w:val="Table Normal0"/>
    <w:rsid w:val="00F92F1A"/>
    <w:pPr>
      <w:pBdr>
        <w:top w:val="nil"/>
        <w:left w:val="nil"/>
        <w:bottom w:val="nil"/>
        <w:right w:val="nil"/>
        <w:between w:val="nil"/>
        <w:bar w:val="nil"/>
      </w:pBdr>
    </w:pPr>
    <w:rPr>
      <w:rFonts w:eastAsia="Arial Unicode MS"/>
      <w:sz w:val="20"/>
      <w:szCs w:val="20"/>
      <w:bdr w:val="nil"/>
      <w:lang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DE7EB8"/>
    <w:pPr>
      <w:outlineLvl w:val="2"/>
    </w:pPr>
    <w:rPr>
      <w:b w:val="0"/>
      <w:lang w:val="es-AR" w:eastAsia="en-US"/>
    </w:rPr>
  </w:style>
  <w:style w:type="character" w:customStyle="1" w:styleId="SubtituloInterno1Car">
    <w:name w:val="Subtitulo Interno 1 Car"/>
    <w:basedOn w:val="Fuentedeprrafopredeter"/>
    <w:link w:val="SubtituloInterno1"/>
    <w:rsid w:val="00DE7EB8"/>
    <w:rPr>
      <w:rFonts w:ascii="Times New Roman" w:eastAsia="Times New Roman" w:hAnsi="Times New Roman" w:cs="Times New Roman"/>
      <w:i/>
      <w:lang w:val="es-AR"/>
    </w:rPr>
  </w:style>
  <w:style w:type="table" w:customStyle="1" w:styleId="a">
    <w:basedOn w:val="TableNormal0"/>
    <w:rPr>
      <w:rFonts w:eastAsia="Times New Roman"/>
    </w:rPr>
    <w:tblPr>
      <w:tblStyleRowBandSize w:val="1"/>
      <w:tblStyleColBandSize w:val="1"/>
    </w:tblPr>
  </w:style>
  <w:style w:type="character" w:customStyle="1" w:styleId="normaltextrun">
    <w:name w:val="normaltextrun"/>
    <w:basedOn w:val="Fuentedeprrafopredeter"/>
    <w:rsid w:val="008C2717"/>
  </w:style>
  <w:style w:type="character" w:customStyle="1" w:styleId="eop">
    <w:name w:val="eop"/>
    <w:basedOn w:val="Fuentedeprrafopredeter"/>
    <w:rsid w:val="008C2717"/>
  </w:style>
  <w:style w:type="character" w:styleId="Refdecomentario">
    <w:name w:val="annotation reference"/>
    <w:basedOn w:val="Fuentedeprrafopredeter"/>
    <w:uiPriority w:val="99"/>
    <w:semiHidden/>
    <w:unhideWhenUsed/>
    <w:rsid w:val="00E41795"/>
    <w:rPr>
      <w:sz w:val="16"/>
      <w:szCs w:val="16"/>
    </w:rPr>
  </w:style>
  <w:style w:type="paragraph" w:styleId="Textocomentario">
    <w:name w:val="annotation text"/>
    <w:basedOn w:val="Normal"/>
    <w:link w:val="TextocomentarioCar"/>
    <w:uiPriority w:val="99"/>
    <w:unhideWhenUsed/>
    <w:rsid w:val="00E41795"/>
    <w:rPr>
      <w:sz w:val="20"/>
      <w:szCs w:val="20"/>
    </w:rPr>
  </w:style>
  <w:style w:type="character" w:customStyle="1" w:styleId="TextocomentarioCar">
    <w:name w:val="Texto comentario Car"/>
    <w:basedOn w:val="Fuentedeprrafopredeter"/>
    <w:link w:val="Textocomentario"/>
    <w:uiPriority w:val="99"/>
    <w:rsid w:val="00E41795"/>
    <w:rPr>
      <w:sz w:val="20"/>
      <w:szCs w:val="20"/>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E41795"/>
    <w:rPr>
      <w:b/>
      <w:bCs/>
    </w:rPr>
  </w:style>
  <w:style w:type="character" w:customStyle="1" w:styleId="AsuntodelcomentarioCar">
    <w:name w:val="Asunto del comentario Car"/>
    <w:basedOn w:val="TextocomentarioCar"/>
    <w:link w:val="Asuntodelcomentario"/>
    <w:uiPriority w:val="99"/>
    <w:semiHidden/>
    <w:rsid w:val="00E41795"/>
    <w:rPr>
      <w:b/>
      <w:bCs/>
      <w:sz w:val="20"/>
      <w:szCs w:val="20"/>
      <w:lang w:val="es-ES_tradnl" w:eastAsia="es-ES_tradnl"/>
    </w:rPr>
  </w:style>
  <w:style w:type="paragraph" w:styleId="Prrafodelista">
    <w:name w:val="List Paragraph"/>
    <w:basedOn w:val="Normal"/>
    <w:uiPriority w:val="34"/>
    <w:qFormat/>
    <w:rsid w:val="003111DB"/>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gub.uy/ministerio-desarrollo-social/comunicacion/publicaciones/atlas-sociodemografico-vejez-uruguay-envejecimiento-personas-mayores-uruguay"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gub.uy/ministerio-salud-publica/sites/ministerio-salud-publica/files/documentos/publicaciones/Programa%20Adulto%20Mayor.pdf"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hdl.handle.net/20.500.12008/392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yperlink" Target="https://doi.org/10.1093/geront/9.4_Part_1.243"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rpuXI0N0O8uT02KnhaYU8VwAVg==">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20</Pages>
  <Words>6338</Words>
  <Characters>34863</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Romina Benítez</cp:lastModifiedBy>
  <cp:revision>2</cp:revision>
  <dcterms:created xsi:type="dcterms:W3CDTF">2025-07-03T23:32:00Z</dcterms:created>
  <dcterms:modified xsi:type="dcterms:W3CDTF">2025-12-31T19:19:00Z</dcterms:modified>
</cp:coreProperties>
</file>