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217654" w14:textId="77777777" w:rsidR="0068286E" w:rsidRDefault="00000000">
      <w:pPr>
        <w:jc w:val="center"/>
        <w:rPr>
          <w:b/>
          <w:bCs/>
          <w:color w:val="000000"/>
          <w:sz w:val="36"/>
          <w:szCs w:val="36"/>
        </w:rPr>
      </w:pPr>
      <w:r>
        <w:rPr>
          <w:b/>
          <w:bCs/>
          <w:sz w:val="36"/>
          <w:szCs w:val="36"/>
        </w:rPr>
        <w:t>Pain mirrors: female identification in caring for women victims of violence — A phenomenological study</w:t>
      </w:r>
    </w:p>
    <w:p w14:paraId="12C523F3" w14:textId="77777777" w:rsidR="0068286E" w:rsidRDefault="0068286E">
      <w:pPr>
        <w:rPr>
          <w:i/>
          <w:iCs/>
          <w:sz w:val="28"/>
          <w:szCs w:val="28"/>
        </w:rPr>
      </w:pPr>
    </w:p>
    <w:p w14:paraId="3000D3EE" w14:textId="77777777" w:rsidR="0068286E" w:rsidRDefault="00000000">
      <w:pPr>
        <w:rPr>
          <w:rFonts w:ascii="Times" w:eastAsia="Times" w:hAnsi="Times" w:cs="Times"/>
          <w:i/>
          <w:iCs/>
          <w:sz w:val="28"/>
          <w:szCs w:val="28"/>
        </w:rPr>
      </w:pPr>
      <w:r>
        <w:rPr>
          <w:noProof/>
        </w:rPr>
        <mc:AlternateContent>
          <mc:Choice Requires="wpg">
            <w:drawing>
              <wp:anchor distT="4294967295" distB="4294967295" distL="114300" distR="114300" simplePos="0" relativeHeight="251658240" behindDoc="0" locked="0" layoutInCell="1" hidden="0" allowOverlap="1" wp14:anchorId="0DE1B838" wp14:editId="2764E315">
                <wp:simplePos x="0" y="0"/>
                <wp:positionH relativeFrom="column">
                  <wp:posOffset>-25397</wp:posOffset>
                </wp:positionH>
                <wp:positionV relativeFrom="paragraph">
                  <wp:posOffset>30498</wp:posOffset>
                </wp:positionV>
                <wp:extent cx="6223000" cy="76200"/>
                <wp:effectExtent l="0" t="0" r="0" b="0"/>
                <wp:wrapNone/>
                <wp:docPr id="778373607" name="Conector de Seta Reta 778373607"/>
                <wp:cNvGraphicFramePr/>
                <a:graphic xmlns:a="http://schemas.openxmlformats.org/drawingml/2006/main">
                  <a:graphicData uri="http://schemas.microsoft.com/office/word/2010/wordprocessingShape">
                    <wps:wsp>
                      <wps:cNvCnPr/>
                      <wps:spPr>
                        <a:xfrm>
                          <a:off x="2259900" y="3780000"/>
                          <a:ext cx="6172200" cy="0"/>
                        </a:xfrm>
                        <a:prstGeom prst="straightConnector1">
                          <a:avLst/>
                        </a:prstGeom>
                        <a:noFill/>
                        <a:ln w="25400"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-25397</wp:posOffset>
                </wp:positionH>
                <wp:positionV relativeFrom="paragraph">
                  <wp:posOffset>30498</wp:posOffset>
                </wp:positionV>
                <wp:extent cx="6223000" cy="76200"/>
                <wp:effectExtent b="0" l="0" r="0" t="0"/>
                <wp:wrapNone/>
                <wp:docPr id="778373607"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6223000" cy="76200"/>
                        </a:xfrm>
                        <a:prstGeom prst="rect"/>
                        <a:ln/>
                      </pic:spPr>
                    </pic:pic>
                  </a:graphicData>
                </a:graphic>
              </wp:anchor>
            </w:drawing>
          </mc:Fallback>
        </mc:AlternateContent>
      </w:r>
    </w:p>
    <w:p w14:paraId="2ACF2336" w14:textId="77777777" w:rsidR="0068286E" w:rsidRDefault="0068286E">
      <w:pPr>
        <w:rPr>
          <w:b/>
          <w:bCs/>
          <w:sz w:val="20"/>
          <w:szCs w:val="20"/>
        </w:rPr>
      </w:pPr>
    </w:p>
    <w:p w14:paraId="6786889C" w14:textId="77777777" w:rsidR="0068286E" w:rsidRDefault="00000000">
      <w:pPr>
        <w:pBdr>
          <w:top w:val="nil"/>
          <w:left w:val="nil"/>
          <w:bottom w:val="nil"/>
          <w:right w:val="nil"/>
          <w:between w:val="nil"/>
        </w:pBdr>
        <w:spacing w:after="120"/>
        <w:jc w:val="center"/>
        <w:rPr>
          <w:b/>
          <w:bCs/>
          <w:smallCaps/>
          <w:color w:val="000000"/>
          <w:sz w:val="20"/>
          <w:szCs w:val="20"/>
        </w:rPr>
      </w:pPr>
      <w:r>
        <w:rPr>
          <w:b/>
          <w:bCs/>
          <w:smallCaps/>
          <w:color w:val="000000"/>
          <w:sz w:val="20"/>
          <w:szCs w:val="20"/>
        </w:rPr>
        <w:t>Abstract</w:t>
      </w:r>
    </w:p>
    <w:p w14:paraId="2F33B924" w14:textId="77777777" w:rsidR="0068286E" w:rsidRDefault="00000000">
      <w:pPr>
        <w:jc w:val="both"/>
        <w:rPr>
          <w:sz w:val="20"/>
          <w:szCs w:val="20"/>
        </w:rPr>
      </w:pPr>
      <w:r>
        <w:rPr>
          <w:sz w:val="20"/>
          <w:szCs w:val="20"/>
        </w:rPr>
        <w:t>Violence against women is a pervasive global issue with consequences, requiring coordinated, intersectoral care networks and emotionally prepared professionals to support victims. This study aims to explore the meanings attributed by Women’s Reference Centers (CRAM) professionals to the care provided to women victims of violence. This study used a phenomenological approach via the Clinical-Qualitative Method to explore meanings and employing in-depth semi-structured interviews with seven female professionals. The analysis of the interview data led to the consolidation of three categories: 1: “</w:t>
      </w:r>
      <w:r>
        <w:rPr>
          <w:i/>
          <w:iCs/>
          <w:sz w:val="20"/>
          <w:szCs w:val="20"/>
        </w:rPr>
        <w:t>Identification that causes distress in daily work</w:t>
      </w:r>
      <w:r>
        <w:rPr>
          <w:sz w:val="20"/>
          <w:szCs w:val="20"/>
        </w:rPr>
        <w:t>”; 2: “</w:t>
      </w:r>
      <w:r>
        <w:rPr>
          <w:i/>
          <w:iCs/>
          <w:sz w:val="20"/>
          <w:szCs w:val="20"/>
        </w:rPr>
        <w:t>Work and traumas in personal relationships</w:t>
      </w:r>
      <w:r>
        <w:rPr>
          <w:sz w:val="20"/>
          <w:szCs w:val="20"/>
        </w:rPr>
        <w:t>”; and 3: “</w:t>
      </w:r>
      <w:r>
        <w:rPr>
          <w:i/>
          <w:iCs/>
          <w:sz w:val="20"/>
          <w:szCs w:val="20"/>
        </w:rPr>
        <w:t>Impact of network organization on the relationship between workers and users.</w:t>
      </w:r>
      <w:r>
        <w:rPr>
          <w:sz w:val="20"/>
          <w:szCs w:val="20"/>
        </w:rPr>
        <w:t>” CRAM is an environment characterized by a high emotional load, and exposure to the demands presented in the workplace highlights the need for emotional support not only for female patients who are victims of violence but also for the professionals working there. This underscores the importance of valuing the relational dimension of workers in services dedicated to victims of violence. The workers perceive their work as meaningful despite the difficulties. This reflects their empathic identification with the victims, as it demonstrates their resilience and commitment in the fight against gender-based violence.</w:t>
      </w:r>
    </w:p>
    <w:p w14:paraId="6E526634" w14:textId="77777777" w:rsidR="0068286E" w:rsidRDefault="0068286E">
      <w:pPr>
        <w:rPr>
          <w:sz w:val="20"/>
          <w:szCs w:val="20"/>
        </w:rPr>
      </w:pPr>
    </w:p>
    <w:p w14:paraId="6A27C7B5" w14:textId="77777777" w:rsidR="0068286E" w:rsidRDefault="00000000">
      <w:pPr>
        <w:rPr>
          <w:b/>
          <w:bCs/>
          <w:sz w:val="20"/>
          <w:szCs w:val="20"/>
        </w:rPr>
      </w:pPr>
      <w:r>
        <w:rPr>
          <w:b/>
          <w:bCs/>
          <w:sz w:val="20"/>
          <w:szCs w:val="20"/>
        </w:rPr>
        <w:t>Keywords</w:t>
      </w:r>
    </w:p>
    <w:p w14:paraId="13255D79" w14:textId="77777777" w:rsidR="0068286E" w:rsidRDefault="00000000">
      <w:pPr>
        <w:jc w:val="both"/>
        <w:rPr>
          <w:sz w:val="20"/>
          <w:szCs w:val="20"/>
        </w:rPr>
      </w:pPr>
      <w:r>
        <w:rPr>
          <w:sz w:val="20"/>
          <w:szCs w:val="20"/>
        </w:rPr>
        <w:t>Violence against Women; Sentiment Analysis; Qualitative Research.</w:t>
      </w:r>
    </w:p>
    <w:p w14:paraId="1B7FA1F5" w14:textId="77777777" w:rsidR="0068286E" w:rsidRDefault="0068286E">
      <w:pPr>
        <w:jc w:val="both"/>
        <w:rPr>
          <w:sz w:val="20"/>
          <w:szCs w:val="20"/>
        </w:rPr>
      </w:pPr>
    </w:p>
    <w:p w14:paraId="0A74F3EC" w14:textId="77777777" w:rsidR="0068286E" w:rsidRDefault="00000000">
      <w:pPr>
        <w:pBdr>
          <w:top w:val="nil"/>
          <w:left w:val="nil"/>
          <w:bottom w:val="nil"/>
          <w:right w:val="nil"/>
          <w:between w:val="nil"/>
        </w:pBdr>
        <w:spacing w:after="120"/>
        <w:jc w:val="center"/>
        <w:rPr>
          <w:b/>
          <w:bCs/>
          <w:smallCaps/>
          <w:color w:val="000000"/>
          <w:sz w:val="20"/>
          <w:szCs w:val="20"/>
        </w:rPr>
      </w:pPr>
      <w:r>
        <w:rPr>
          <w:b/>
          <w:bCs/>
          <w:smallCaps/>
          <w:color w:val="000000"/>
          <w:sz w:val="20"/>
          <w:szCs w:val="20"/>
        </w:rPr>
        <w:t>Resumo</w:t>
      </w:r>
    </w:p>
    <w:p w14:paraId="43BE55E3" w14:textId="77777777" w:rsidR="0068286E" w:rsidRDefault="00000000">
      <w:pPr>
        <w:jc w:val="both"/>
        <w:rPr>
          <w:sz w:val="20"/>
          <w:szCs w:val="20"/>
        </w:rPr>
      </w:pPr>
      <w:r>
        <w:rPr>
          <w:sz w:val="20"/>
          <w:szCs w:val="20"/>
        </w:rPr>
        <w:t>A violência contra as mulheres é um problema global persistente, com múltiplas consequências, que exige redes de cuidado coordenadas e intersetoriais, bem como profissionais emocionalmente preparados para apoiar as vítimas. Este estudo teve como objetivo explorar os significados atribuídos, por profissionais dos Centros de Referência de Atendimento à Mulher (CRAM), ao cuidado oferecido às mulheres vítimas de violência. Trata-se de um estudo de abordagem fenomenológica, utilizando o Método Clínico-Qualitativo para a exploração dos significados, por meio de entrevistas semiestruturadas em profundidade com sete profissionais mulheres. A análise dos dados das entrevistas resultou na consolidação de três categorias: 1) “</w:t>
      </w:r>
      <w:r>
        <w:rPr>
          <w:i/>
          <w:iCs/>
          <w:sz w:val="20"/>
          <w:szCs w:val="20"/>
        </w:rPr>
        <w:t>Identificação que gera sofrimento no trabalho cotidiano</w:t>
      </w:r>
      <w:r>
        <w:rPr>
          <w:sz w:val="20"/>
          <w:szCs w:val="20"/>
        </w:rPr>
        <w:t>”; 2) “</w:t>
      </w:r>
      <w:r>
        <w:rPr>
          <w:i/>
          <w:iCs/>
          <w:sz w:val="20"/>
          <w:szCs w:val="20"/>
        </w:rPr>
        <w:t>Trabalho e</w:t>
      </w:r>
      <w:r>
        <w:rPr>
          <w:sz w:val="20"/>
          <w:szCs w:val="20"/>
        </w:rPr>
        <w:t xml:space="preserve"> traumas nas relações pessoais”; e 3) “</w:t>
      </w:r>
      <w:r>
        <w:rPr>
          <w:i/>
          <w:iCs/>
          <w:sz w:val="20"/>
          <w:szCs w:val="20"/>
        </w:rPr>
        <w:t>Impacto da organização da rede na relação entre trabalhadores e usuárias</w:t>
      </w:r>
      <w:r>
        <w:rPr>
          <w:sz w:val="20"/>
          <w:szCs w:val="20"/>
        </w:rPr>
        <w:t>”. O CRAM configura-se como um ambiente marcado por elevada carga emocional, e a exposição às demandas apresentadas no contexto laboral evidencia a necessidade de suporte emocional não apenas para as mulheres vítimas de violência, mas também para as profissionais que ali atuam. Tal achado reforça a importância de valorizar a dimensão relacional dos trabalhadores nos serviços destinados ao atendimento de vítimas de violência. Apesar das dificuldades, as profissionais percebem seu trabalho como significativo, o que reflete sua identificação empática com as vítimas e evidencia sua resiliência e compromisso no enfrentamento da violência de gênero.</w:t>
      </w:r>
    </w:p>
    <w:p w14:paraId="77F1C54C" w14:textId="77777777" w:rsidR="0068286E" w:rsidRDefault="0068286E">
      <w:pPr>
        <w:jc w:val="both"/>
        <w:rPr>
          <w:sz w:val="20"/>
          <w:szCs w:val="20"/>
        </w:rPr>
      </w:pPr>
    </w:p>
    <w:p w14:paraId="112ADAAA" w14:textId="77777777" w:rsidR="0068286E" w:rsidRDefault="00000000">
      <w:pPr>
        <w:jc w:val="both"/>
        <w:rPr>
          <w:b/>
          <w:bCs/>
          <w:sz w:val="20"/>
          <w:szCs w:val="20"/>
        </w:rPr>
      </w:pPr>
      <w:r>
        <w:rPr>
          <w:b/>
          <w:bCs/>
          <w:sz w:val="20"/>
          <w:szCs w:val="20"/>
        </w:rPr>
        <w:t>Palavras-chave</w:t>
      </w:r>
    </w:p>
    <w:p w14:paraId="34136E5F" w14:textId="77777777" w:rsidR="0068286E" w:rsidRDefault="00000000">
      <w:pPr>
        <w:jc w:val="both"/>
        <w:rPr>
          <w:sz w:val="20"/>
          <w:szCs w:val="20"/>
        </w:rPr>
      </w:pPr>
      <w:r>
        <w:rPr>
          <w:sz w:val="20"/>
          <w:szCs w:val="20"/>
        </w:rPr>
        <w:t>Violência contra as mulheres; Análise de sentimentos; Pesquisa qualitativa.</w:t>
      </w:r>
      <w:r>
        <w:rPr>
          <w:noProof/>
        </w:rPr>
        <w:drawing>
          <wp:anchor distT="0" distB="0" distL="114300" distR="114300" simplePos="0" relativeHeight="251659264" behindDoc="0" locked="0" layoutInCell="1" hidden="0" allowOverlap="1" wp14:anchorId="646872F2" wp14:editId="160E9159">
            <wp:simplePos x="0" y="0"/>
            <wp:positionH relativeFrom="column">
              <wp:posOffset>5400675</wp:posOffset>
            </wp:positionH>
            <wp:positionV relativeFrom="paragraph">
              <wp:posOffset>0</wp:posOffset>
            </wp:positionV>
            <wp:extent cx="396000" cy="259200"/>
            <wp:effectExtent l="0" t="0" r="0" b="0"/>
            <wp:wrapNone/>
            <wp:docPr id="77837360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96000" cy="259200"/>
                    </a:xfrm>
                    <a:prstGeom prst="rect">
                      <a:avLst/>
                    </a:prstGeom>
                    <a:ln/>
                  </pic:spPr>
                </pic:pic>
              </a:graphicData>
            </a:graphic>
          </wp:anchor>
        </w:drawing>
      </w:r>
    </w:p>
    <w:p w14:paraId="687DF858" w14:textId="77777777" w:rsidR="0068286E" w:rsidRDefault="0068286E">
      <w:pPr>
        <w:rPr>
          <w:b/>
          <w:bCs/>
        </w:rPr>
      </w:pPr>
    </w:p>
    <w:p w14:paraId="43AD2CE6" w14:textId="77777777" w:rsidR="0068286E" w:rsidRDefault="0068286E">
      <w:pPr>
        <w:pBdr>
          <w:top w:val="nil"/>
          <w:left w:val="nil"/>
          <w:bottom w:val="nil"/>
          <w:right w:val="nil"/>
          <w:between w:val="nil"/>
        </w:pBdr>
        <w:jc w:val="center"/>
        <w:rPr>
          <w:color w:val="000000"/>
        </w:rPr>
      </w:pPr>
    </w:p>
    <w:p w14:paraId="65A040BB" w14:textId="77777777" w:rsidR="0068286E" w:rsidRDefault="0068286E">
      <w:pPr>
        <w:pBdr>
          <w:top w:val="nil"/>
          <w:left w:val="nil"/>
          <w:bottom w:val="nil"/>
          <w:right w:val="nil"/>
          <w:between w:val="nil"/>
        </w:pBdr>
        <w:jc w:val="center"/>
        <w:rPr>
          <w:color w:val="000000"/>
        </w:rPr>
      </w:pPr>
    </w:p>
    <w:p w14:paraId="4FE02338" w14:textId="77777777" w:rsidR="0068286E" w:rsidRDefault="0068286E">
      <w:pPr>
        <w:pBdr>
          <w:top w:val="nil"/>
          <w:left w:val="nil"/>
          <w:bottom w:val="nil"/>
          <w:right w:val="nil"/>
          <w:between w:val="nil"/>
        </w:pBdr>
        <w:jc w:val="center"/>
        <w:rPr>
          <w:color w:val="000000"/>
        </w:rPr>
      </w:pPr>
    </w:p>
    <w:p w14:paraId="64B3FAA7" w14:textId="77777777" w:rsidR="0068286E" w:rsidRDefault="0068286E">
      <w:pPr>
        <w:pBdr>
          <w:top w:val="nil"/>
          <w:left w:val="nil"/>
          <w:bottom w:val="nil"/>
          <w:right w:val="nil"/>
          <w:between w:val="nil"/>
        </w:pBdr>
        <w:jc w:val="center"/>
        <w:rPr>
          <w:color w:val="000000"/>
        </w:rPr>
      </w:pPr>
    </w:p>
    <w:p w14:paraId="67A3B44E" w14:textId="77777777" w:rsidR="0068286E" w:rsidRDefault="0068286E">
      <w:pPr>
        <w:pBdr>
          <w:top w:val="nil"/>
          <w:left w:val="nil"/>
          <w:bottom w:val="nil"/>
          <w:right w:val="nil"/>
          <w:between w:val="nil"/>
        </w:pBdr>
        <w:jc w:val="center"/>
        <w:rPr>
          <w:color w:val="000000"/>
        </w:rPr>
      </w:pPr>
    </w:p>
    <w:p w14:paraId="0E48F3CC" w14:textId="77777777" w:rsidR="0068286E" w:rsidRDefault="0068286E">
      <w:pPr>
        <w:pBdr>
          <w:top w:val="nil"/>
          <w:left w:val="nil"/>
          <w:bottom w:val="nil"/>
          <w:right w:val="nil"/>
          <w:between w:val="nil"/>
        </w:pBdr>
        <w:jc w:val="center"/>
        <w:rPr>
          <w:color w:val="000000"/>
        </w:rPr>
      </w:pPr>
    </w:p>
    <w:p w14:paraId="1FBD9C53" w14:textId="77777777" w:rsidR="0068286E" w:rsidRDefault="0068286E">
      <w:pPr>
        <w:pBdr>
          <w:top w:val="nil"/>
          <w:left w:val="nil"/>
          <w:bottom w:val="nil"/>
          <w:right w:val="nil"/>
          <w:between w:val="nil"/>
        </w:pBdr>
      </w:pPr>
    </w:p>
    <w:p w14:paraId="4822CD01" w14:textId="77777777" w:rsidR="0068286E" w:rsidRDefault="0068286E">
      <w:pPr>
        <w:pBdr>
          <w:top w:val="nil"/>
          <w:left w:val="nil"/>
          <w:bottom w:val="nil"/>
          <w:right w:val="nil"/>
          <w:between w:val="nil"/>
        </w:pBdr>
      </w:pPr>
    </w:p>
    <w:p w14:paraId="7A1F89AF" w14:textId="77777777" w:rsidR="0068286E" w:rsidRDefault="00000000">
      <w:pPr>
        <w:pBdr>
          <w:top w:val="nil"/>
          <w:left w:val="nil"/>
          <w:bottom w:val="nil"/>
          <w:right w:val="nil"/>
          <w:between w:val="nil"/>
        </w:pBdr>
        <w:spacing w:line="360" w:lineRule="auto"/>
        <w:jc w:val="center"/>
        <w:rPr>
          <w:color w:val="000000"/>
        </w:rPr>
      </w:pPr>
      <w:r>
        <w:lastRenderedPageBreak/>
        <w:t>Pain mirrors: female identification in caring for women victims of violence — A phenomenological study</w:t>
      </w:r>
    </w:p>
    <w:p w14:paraId="26F1F51D" w14:textId="77777777" w:rsidR="0068286E" w:rsidRDefault="0068286E">
      <w:pPr>
        <w:pBdr>
          <w:top w:val="nil"/>
          <w:left w:val="nil"/>
          <w:bottom w:val="nil"/>
          <w:right w:val="nil"/>
          <w:between w:val="nil"/>
        </w:pBdr>
        <w:spacing w:line="360" w:lineRule="auto"/>
        <w:jc w:val="center"/>
        <w:rPr>
          <w:color w:val="000000"/>
        </w:rPr>
      </w:pPr>
    </w:p>
    <w:p w14:paraId="2B551AA6" w14:textId="77777777" w:rsidR="0068286E" w:rsidRDefault="00000000">
      <w:pPr>
        <w:pBdr>
          <w:top w:val="nil"/>
          <w:left w:val="nil"/>
          <w:bottom w:val="nil"/>
          <w:right w:val="nil"/>
          <w:between w:val="nil"/>
        </w:pBdr>
        <w:spacing w:line="360" w:lineRule="auto"/>
        <w:jc w:val="center"/>
        <w:rPr>
          <w:b/>
          <w:bCs/>
          <w:color w:val="000000"/>
        </w:rPr>
      </w:pPr>
      <w:r>
        <w:rPr>
          <w:b/>
          <w:bCs/>
          <w:color w:val="000000"/>
        </w:rPr>
        <w:t>Introduction</w:t>
      </w:r>
    </w:p>
    <w:p w14:paraId="7AEC2639" w14:textId="77777777" w:rsidR="0068286E" w:rsidRDefault="0068286E">
      <w:pPr>
        <w:pBdr>
          <w:top w:val="nil"/>
          <w:left w:val="nil"/>
          <w:bottom w:val="nil"/>
          <w:right w:val="nil"/>
          <w:between w:val="nil"/>
        </w:pBdr>
        <w:spacing w:line="360" w:lineRule="auto"/>
        <w:jc w:val="center"/>
        <w:rPr>
          <w:b/>
          <w:bCs/>
          <w:color w:val="000000"/>
        </w:rPr>
      </w:pPr>
    </w:p>
    <w:p w14:paraId="50834354" w14:textId="77777777" w:rsidR="0068286E" w:rsidRDefault="00000000">
      <w:pPr>
        <w:pBdr>
          <w:top w:val="nil"/>
          <w:left w:val="nil"/>
          <w:bottom w:val="nil"/>
          <w:right w:val="nil"/>
          <w:between w:val="nil"/>
        </w:pBdr>
        <w:spacing w:line="360" w:lineRule="auto"/>
        <w:ind w:firstLine="708"/>
        <w:jc w:val="both"/>
      </w:pPr>
      <w:r>
        <w:t>Violence against women (VAW) is a global public health phenomenon that affects all social classes and is considered a violation of fundamental human rights (Vigano and Lafin 2019). Its impacts involve not only physical harm, such as injuries, especially in the facial region, but also psychological consequences, such as anxiety (32.7%) and depression (11.7%), and sexual violence, in addition to the risk of death , which, when it occurs, constitutes femicide. Such violence, when perpetrated by aggressors who have an emotional bond with the victim, is considered domestic or family violence (Garcia 2016).</w:t>
      </w:r>
    </w:p>
    <w:p w14:paraId="56BAD9A3" w14:textId="77777777" w:rsidR="0068286E" w:rsidRDefault="00000000">
      <w:pPr>
        <w:pBdr>
          <w:top w:val="nil"/>
          <w:left w:val="nil"/>
          <w:bottom w:val="nil"/>
          <w:right w:val="nil"/>
          <w:between w:val="nil"/>
        </w:pBdr>
        <w:spacing w:line="360" w:lineRule="auto"/>
        <w:ind w:firstLine="708"/>
        <w:jc w:val="both"/>
      </w:pPr>
      <w:r>
        <w:t>According to the World Health Organization (WHO 2021), the prevalence of VAW is high worldwide, with estimates indicating that one in three women has been subjected to violence by an intimate partner, such as a husband or family member, during her lifetime. These findings are consistent with data from Brazil, showing that 30% of women have experienced some form of violence perpetrated by a man at some point in their lives (Brasil 2023), an estimated 31 million women out of a population of 104 million. For victims, the State’s immediate and legal protection must occur through the organization of an intersectoral network capable of providing guidance regarding access to justice, healthcare, emergency protective measures, and guarantees of means of survival. Thus, VAW is understood as an intersectoral issue, not restricted to any specific sector or practice, and requires equally intersectoral actions for its control, response, and prevention (Gonçalves and Scheaiber 2021). However, continuous progress is needed to ensure that victims receive humane and effective care that enables them to break free from the cycle of violence to which they are subjected.</w:t>
      </w:r>
    </w:p>
    <w:p w14:paraId="593C202C" w14:textId="77777777" w:rsidR="0068286E" w:rsidRDefault="00000000">
      <w:pPr>
        <w:pBdr>
          <w:top w:val="nil"/>
          <w:left w:val="nil"/>
          <w:bottom w:val="nil"/>
          <w:right w:val="nil"/>
          <w:between w:val="nil"/>
        </w:pBdr>
        <w:spacing w:line="360" w:lineRule="auto"/>
        <w:ind w:firstLine="708"/>
        <w:jc w:val="both"/>
      </w:pPr>
      <w:r>
        <w:t xml:space="preserve">Challenges in coordinating the services that make up the care network for these victims persist (Arboit et al. 2017). The lack of awareness of available services among all network actors, the still hierarchical management model, and the insufficient allocation of human resources compared to service demands are among the main obstacles to establishing a comprehensive and effective care network for victims (Gonçalves and Scheaiber 2021). Furthermore, within the professional sphere, there remains a lack of preparedness to identify the signs and symptoms of </w:t>
      </w:r>
      <w:r>
        <w:lastRenderedPageBreak/>
        <w:t>DV, provide appropriate support to victims, and properly refer them within the network, often due to limited knowledge about available services and their respective responsibilities (Soares and Lopes 2018). Nonetheless, within the context of advances introduced by the Maria da Penha Law (Law No. 11.340), several preventive and victim support measures have been established, including the Social Assistance Reference Centers and healthcare services. Among these, the Women’s Reference Centers (CRAM) are particularly relevant; they are linked to the Departments of Health and serve as spaces for reception and care, aimed at empowering victims through psychological assistance, social support, and legal referral.</w:t>
      </w:r>
    </w:p>
    <w:p w14:paraId="72AB2FA4" w14:textId="77777777" w:rsidR="0068286E" w:rsidRDefault="00000000">
      <w:pPr>
        <w:pBdr>
          <w:top w:val="nil"/>
          <w:left w:val="nil"/>
          <w:bottom w:val="nil"/>
          <w:right w:val="nil"/>
          <w:between w:val="nil"/>
        </w:pBdr>
        <w:spacing w:line="360" w:lineRule="auto"/>
        <w:ind w:firstLine="708"/>
        <w:jc w:val="both"/>
      </w:pPr>
      <w:r>
        <w:t>From the perspective of comprehensive care, as a guiding principle of the Unified Health System (SUS), within which CRAM is integrated, the work of professionals in these services is based on “soft” and humanized technologies, such as relational elements, welcoming, establishing bonds, and dialogue between the professional and the victim (Costa and Lopes 2012). However, it is important to recognize that the work performed by professionals in institutions that assist victims of DV, despite including rewarding aspects such as interdisciplinary exchange, counseling, and providing help to those in need, encompasses a series of subjective and socially constructed dimensions capable of leading to emotional and, consequently, physical suffering. This is due to the intense and daily nature of caring for individuals in states of suffering, need, and social vulnerability, which demands from professionals both competence and emotional readiness to assist victims of a perverse system that kills because of who they are. It primarily involves women caring for women in distress, which generates multiple projections and shared suffering. These professionals thus constitute a group susceptible to experiencing various situations of tension and anxiety, accompanied by physical and psychosocial disorders linked to the nature of their work (Velázquez 2012).</w:t>
      </w:r>
    </w:p>
    <w:p w14:paraId="2C4FA9DB" w14:textId="77777777" w:rsidR="0068286E" w:rsidRDefault="00000000">
      <w:pPr>
        <w:pBdr>
          <w:top w:val="nil"/>
          <w:left w:val="nil"/>
          <w:bottom w:val="nil"/>
          <w:right w:val="nil"/>
          <w:between w:val="nil"/>
        </w:pBdr>
        <w:spacing w:line="360" w:lineRule="auto"/>
        <w:ind w:firstLine="708"/>
        <w:jc w:val="both"/>
      </w:pPr>
      <w:r>
        <w:t>Therefore, aiming to explore the meanings attributed by CRAM professionals to the care provided to women victims of violence, this study prioritizes the subjectivity of these workers and investigates the emotional, relational, and institutional meanings of professional practice within this institution. It also contributes an unprecedented perspective on the psychosocial effects of caregiving, expanding understanding of the affective dynamics that permeate the confrontation of violence, whose experiences and perceptions are often neglected in the literature.</w:t>
      </w:r>
    </w:p>
    <w:p w14:paraId="635323A4" w14:textId="77777777" w:rsidR="00FC5917" w:rsidRDefault="00FC5917">
      <w:pPr>
        <w:pBdr>
          <w:top w:val="nil"/>
          <w:left w:val="nil"/>
          <w:bottom w:val="nil"/>
          <w:right w:val="nil"/>
          <w:between w:val="nil"/>
        </w:pBdr>
        <w:spacing w:line="360" w:lineRule="auto"/>
        <w:ind w:firstLine="708"/>
        <w:jc w:val="both"/>
      </w:pPr>
    </w:p>
    <w:p w14:paraId="0733F308" w14:textId="77777777" w:rsidR="0068286E" w:rsidRDefault="0068286E">
      <w:pPr>
        <w:pBdr>
          <w:top w:val="nil"/>
          <w:left w:val="nil"/>
          <w:bottom w:val="nil"/>
          <w:right w:val="nil"/>
          <w:between w:val="nil"/>
        </w:pBdr>
        <w:spacing w:line="360" w:lineRule="auto"/>
        <w:jc w:val="both"/>
        <w:rPr>
          <w:color w:val="000000"/>
        </w:rPr>
      </w:pPr>
    </w:p>
    <w:p w14:paraId="6EFF1D6B" w14:textId="77777777" w:rsidR="0068286E" w:rsidRDefault="00000000">
      <w:pPr>
        <w:pBdr>
          <w:top w:val="nil"/>
          <w:left w:val="nil"/>
          <w:bottom w:val="nil"/>
          <w:right w:val="nil"/>
          <w:between w:val="nil"/>
        </w:pBdr>
        <w:spacing w:line="360" w:lineRule="auto"/>
        <w:jc w:val="center"/>
        <w:rPr>
          <w:b/>
          <w:bCs/>
          <w:color w:val="000000"/>
        </w:rPr>
      </w:pPr>
      <w:r>
        <w:rPr>
          <w:b/>
          <w:bCs/>
          <w:color w:val="000000"/>
        </w:rPr>
        <w:lastRenderedPageBreak/>
        <w:t>Method</w:t>
      </w:r>
    </w:p>
    <w:p w14:paraId="4C1895D2" w14:textId="77777777" w:rsidR="0068286E" w:rsidRDefault="0068286E">
      <w:pPr>
        <w:pBdr>
          <w:top w:val="nil"/>
          <w:left w:val="nil"/>
          <w:bottom w:val="nil"/>
          <w:right w:val="nil"/>
          <w:between w:val="nil"/>
        </w:pBdr>
        <w:spacing w:line="360" w:lineRule="auto"/>
        <w:jc w:val="center"/>
        <w:rPr>
          <w:b/>
          <w:bCs/>
          <w:color w:val="000000"/>
        </w:rPr>
      </w:pPr>
    </w:p>
    <w:p w14:paraId="66386E2E" w14:textId="77777777" w:rsidR="0068286E" w:rsidRDefault="00000000">
      <w:pPr>
        <w:pBdr>
          <w:top w:val="nil"/>
          <w:left w:val="nil"/>
          <w:bottom w:val="nil"/>
          <w:right w:val="nil"/>
          <w:between w:val="nil"/>
        </w:pBdr>
        <w:spacing w:line="360" w:lineRule="auto"/>
        <w:ind w:firstLine="708"/>
        <w:jc w:val="both"/>
      </w:pPr>
      <w:r>
        <w:t>The methodology of this study was designed based on phenomenology and detailed through the Clinical-Qualitative Method (CQM) (Turato 2018), enabling the exploration of the meanings attributed by assistance professionals at the CRAM regarding the care provided to women victims of violence. In-depth interviews with open-ended questions were conducted, aiming to address the topic in a flexible manner and to obtain information, perceptions, and experiences from the interviewees within their work environments (Fontanella, Campos and Turato 2006).</w:t>
      </w:r>
    </w:p>
    <w:p w14:paraId="1DE7D333" w14:textId="77777777" w:rsidR="0068286E" w:rsidRDefault="00000000">
      <w:pPr>
        <w:pBdr>
          <w:top w:val="nil"/>
          <w:left w:val="nil"/>
          <w:bottom w:val="nil"/>
          <w:right w:val="nil"/>
          <w:between w:val="nil"/>
        </w:pBdr>
        <w:spacing w:line="360" w:lineRule="auto"/>
        <w:ind w:firstLine="708"/>
        <w:jc w:val="both"/>
      </w:pPr>
      <w:r>
        <w:t>This project was approved by the Research Ethics Committee of the Faculdade de Odontologia de Piracicaba, Universidade Estadual de Campinas (FOP/Unicamp), opinion number 48017321.2.0000.5418: Piracicaba, Campinas-SP, Brazil.</w:t>
      </w:r>
    </w:p>
    <w:p w14:paraId="619E0200" w14:textId="77777777" w:rsidR="0068286E" w:rsidRDefault="0068286E">
      <w:pPr>
        <w:pBdr>
          <w:top w:val="nil"/>
          <w:left w:val="nil"/>
          <w:bottom w:val="nil"/>
          <w:right w:val="nil"/>
          <w:between w:val="nil"/>
        </w:pBdr>
        <w:spacing w:line="360" w:lineRule="auto"/>
        <w:ind w:firstLine="708"/>
        <w:jc w:val="both"/>
        <w:rPr>
          <w:color w:val="000000"/>
        </w:rPr>
      </w:pPr>
    </w:p>
    <w:p w14:paraId="05BF95DE" w14:textId="77777777" w:rsidR="0068286E" w:rsidRDefault="00000000">
      <w:pPr>
        <w:pBdr>
          <w:top w:val="nil"/>
          <w:left w:val="nil"/>
          <w:bottom w:val="nil"/>
          <w:right w:val="nil"/>
          <w:between w:val="nil"/>
        </w:pBdr>
        <w:spacing w:line="360" w:lineRule="auto"/>
        <w:jc w:val="both"/>
        <w:rPr>
          <w:b/>
          <w:bCs/>
          <w:i/>
          <w:iCs/>
          <w:color w:val="000000"/>
        </w:rPr>
      </w:pPr>
      <w:r>
        <w:rPr>
          <w:b/>
          <w:bCs/>
          <w:i/>
          <w:iCs/>
        </w:rPr>
        <w:t>Participants</w:t>
      </w:r>
    </w:p>
    <w:p w14:paraId="21E50D4A" w14:textId="77777777" w:rsidR="0068286E" w:rsidRDefault="00000000">
      <w:pPr>
        <w:pBdr>
          <w:top w:val="nil"/>
          <w:left w:val="nil"/>
          <w:bottom w:val="nil"/>
          <w:right w:val="nil"/>
          <w:between w:val="nil"/>
        </w:pBdr>
        <w:spacing w:line="360" w:lineRule="auto"/>
        <w:ind w:firstLine="708"/>
        <w:jc w:val="both"/>
      </w:pPr>
      <w:r>
        <w:t>The study population comprised seven professionals working at the only CRAM in a municipality of approximately 407,000 inhabitants located in the southeastern region of Brazil. These professionals were distributed across administrative (1), legal (1), social assistance (3), and psychological (2) areas. The study population was composed exclusively of women, aged between 25 and 55 years, all working 40 hours per week. The inclusion criterion was employment at the CRAM and involvement in providing care to women victims of violence.</w:t>
      </w:r>
    </w:p>
    <w:p w14:paraId="6B3B86BA" w14:textId="77777777" w:rsidR="0068286E" w:rsidRDefault="00000000">
      <w:pPr>
        <w:pBdr>
          <w:top w:val="nil"/>
          <w:left w:val="nil"/>
          <w:bottom w:val="nil"/>
          <w:right w:val="nil"/>
          <w:between w:val="nil"/>
        </w:pBdr>
        <w:spacing w:line="360" w:lineRule="auto"/>
        <w:ind w:firstLine="708"/>
        <w:jc w:val="both"/>
      </w:pPr>
      <w:r>
        <w:t>Sample closure occurred by exhaustion, a criterion in which all participants within the research universe were interviewed. Initially, a pilot study was conducted to test the adequacy of the interview script with two professionals belonging to the study population who met the inclusion criteria. The researcher also underwent acculturation at the research site with the aim of gaining an in-depth understanding of the participants’ perspectives, values, norms, and behaviors by directly observing and experiencing their cultural practices (Turato and Melo 2011).</w:t>
      </w:r>
    </w:p>
    <w:p w14:paraId="65AC8C46" w14:textId="77777777" w:rsidR="0068286E" w:rsidRDefault="0068286E">
      <w:pPr>
        <w:pBdr>
          <w:top w:val="nil"/>
          <w:left w:val="nil"/>
          <w:bottom w:val="nil"/>
          <w:right w:val="nil"/>
          <w:between w:val="nil"/>
        </w:pBdr>
        <w:spacing w:line="360" w:lineRule="auto"/>
        <w:ind w:firstLine="708"/>
        <w:jc w:val="both"/>
        <w:rPr>
          <w:color w:val="000000"/>
        </w:rPr>
      </w:pPr>
    </w:p>
    <w:p w14:paraId="278E3944" w14:textId="77777777" w:rsidR="0068286E" w:rsidRDefault="00000000">
      <w:pPr>
        <w:pBdr>
          <w:top w:val="nil"/>
          <w:left w:val="nil"/>
          <w:bottom w:val="nil"/>
          <w:right w:val="nil"/>
          <w:between w:val="nil"/>
        </w:pBdr>
        <w:spacing w:line="360" w:lineRule="auto"/>
        <w:jc w:val="both"/>
        <w:rPr>
          <w:color w:val="000000"/>
        </w:rPr>
      </w:pPr>
      <w:r>
        <w:rPr>
          <w:b/>
          <w:bCs/>
          <w:i/>
          <w:iCs/>
        </w:rPr>
        <w:t>Data collection and analysis</w:t>
      </w:r>
    </w:p>
    <w:p w14:paraId="1637A565" w14:textId="77777777" w:rsidR="0068286E" w:rsidRDefault="00000000">
      <w:pPr>
        <w:pBdr>
          <w:top w:val="nil"/>
          <w:left w:val="nil"/>
          <w:bottom w:val="nil"/>
          <w:right w:val="nil"/>
          <w:between w:val="nil"/>
        </w:pBdr>
        <w:spacing w:line="360" w:lineRule="auto"/>
        <w:ind w:firstLine="708"/>
        <w:jc w:val="both"/>
      </w:pPr>
      <w:r>
        <w:t xml:space="preserve">The interviews were initiated only after obtaining the signed TCLE. Regarding the data collection method, a semi-structured interview format was employed, characterized by the inclusion of core questions grounded in theories and hypotheses related to the research topic. This </w:t>
      </w:r>
      <w:r>
        <w:lastRenderedPageBreak/>
        <w:t>format, in turn, allows for the emergence of new theories and questions derived from participants’ responses. Additionally, it is distinguished by the active and conscious presence of the researcher throughout the data collection process.</w:t>
      </w:r>
    </w:p>
    <w:p w14:paraId="6FD0D64D" w14:textId="77777777" w:rsidR="0068286E" w:rsidRDefault="00000000">
      <w:pPr>
        <w:pBdr>
          <w:top w:val="nil"/>
          <w:left w:val="nil"/>
          <w:bottom w:val="nil"/>
          <w:right w:val="nil"/>
          <w:between w:val="nil"/>
        </w:pBdr>
        <w:spacing w:line="360" w:lineRule="auto"/>
        <w:ind w:firstLine="708"/>
        <w:jc w:val="both"/>
      </w:pPr>
      <w:r>
        <w:t xml:space="preserve">The interview script was developed around the following guiding question: “How do you feel when assisting women who are victims of domestic violence?” At the end of each interview, participants were asked about their emotional state and whether they wished to share any additional information. All details from the interview setting, such as tone of voice, posture, and descriptions of the environment, were carefully recorded in a field notebook. The data were subjected to treatment and validation through peer discussions with researchers from the Qualitative Research Study Group (GEPEQ) at FOP-UNICAMP. </w:t>
      </w:r>
    </w:p>
    <w:p w14:paraId="39BA342B" w14:textId="77777777" w:rsidR="0068286E" w:rsidRDefault="00000000">
      <w:pPr>
        <w:pBdr>
          <w:top w:val="nil"/>
          <w:left w:val="nil"/>
          <w:bottom w:val="nil"/>
          <w:right w:val="nil"/>
          <w:between w:val="nil"/>
        </w:pBdr>
        <w:spacing w:line="360" w:lineRule="auto"/>
        <w:ind w:firstLine="708"/>
        <w:jc w:val="both"/>
      </w:pPr>
      <w:r>
        <w:t>The principal researcher conducted all interviews at the participants’ workplace, in private rooms chosen by them, without the presence of observers. Each interview lasted an average of 50 minutes. The interviews were audio-recorded and later fully transcribed by the interviewer, maintaining the fidelity of participants’ statements for subsequent categorization and systematization. To ensure participants’ anonymity in the transcripts, their names were replaced with fictitious ones.</w:t>
      </w:r>
    </w:p>
    <w:p w14:paraId="37703A8D" w14:textId="77777777" w:rsidR="0068286E" w:rsidRDefault="00000000">
      <w:pPr>
        <w:pBdr>
          <w:top w:val="nil"/>
          <w:left w:val="nil"/>
          <w:bottom w:val="nil"/>
          <w:right w:val="nil"/>
          <w:between w:val="nil"/>
        </w:pBdr>
        <w:spacing w:line="360" w:lineRule="auto"/>
        <w:ind w:firstLine="708"/>
        <w:jc w:val="both"/>
      </w:pPr>
      <w:r>
        <w:t>The data were collected and analyzed using Clinical-Qualitative Content Analysis (CQCA) (Turato 2018). This analytical approach is part of the CQM, particularly applied within the field of health. It encompasses a process of organizing, understanding, and interpreting the material obtained through the transcription of interviews and involves seven stages that may be carried out sequentially or simultaneously (Faria-Schützer et al. 2021).</w:t>
      </w:r>
    </w:p>
    <w:p w14:paraId="67830066" w14:textId="77777777" w:rsidR="0068286E" w:rsidRDefault="0068286E">
      <w:pPr>
        <w:pBdr>
          <w:top w:val="nil"/>
          <w:left w:val="nil"/>
          <w:bottom w:val="nil"/>
          <w:right w:val="nil"/>
          <w:between w:val="nil"/>
        </w:pBdr>
        <w:spacing w:line="360" w:lineRule="auto"/>
        <w:jc w:val="center"/>
        <w:rPr>
          <w:b/>
          <w:bCs/>
          <w:i/>
          <w:iCs/>
          <w:color w:val="000000"/>
        </w:rPr>
      </w:pPr>
    </w:p>
    <w:p w14:paraId="27B32658" w14:textId="77777777" w:rsidR="0068286E" w:rsidRDefault="00000000">
      <w:pPr>
        <w:pBdr>
          <w:top w:val="nil"/>
          <w:left w:val="nil"/>
          <w:bottom w:val="nil"/>
          <w:right w:val="nil"/>
          <w:between w:val="nil"/>
        </w:pBdr>
        <w:spacing w:line="360" w:lineRule="auto"/>
        <w:jc w:val="center"/>
        <w:rPr>
          <w:b/>
          <w:bCs/>
          <w:color w:val="000000"/>
        </w:rPr>
      </w:pPr>
      <w:r>
        <w:rPr>
          <w:b/>
          <w:bCs/>
          <w:color w:val="000000"/>
        </w:rPr>
        <w:t>Results</w:t>
      </w:r>
    </w:p>
    <w:p w14:paraId="1ED2B6EB" w14:textId="77777777" w:rsidR="0068286E" w:rsidRDefault="0068286E">
      <w:pPr>
        <w:pBdr>
          <w:top w:val="nil"/>
          <w:left w:val="nil"/>
          <w:bottom w:val="nil"/>
          <w:right w:val="nil"/>
          <w:between w:val="nil"/>
        </w:pBdr>
        <w:spacing w:line="360" w:lineRule="auto"/>
        <w:jc w:val="center"/>
        <w:rPr>
          <w:b/>
          <w:bCs/>
          <w:color w:val="000000"/>
        </w:rPr>
      </w:pPr>
    </w:p>
    <w:p w14:paraId="14C00AA6" w14:textId="77777777" w:rsidR="0068286E" w:rsidRDefault="00000000">
      <w:pPr>
        <w:pBdr>
          <w:top w:val="nil"/>
          <w:left w:val="nil"/>
          <w:bottom w:val="nil"/>
          <w:right w:val="nil"/>
          <w:between w:val="nil"/>
        </w:pBdr>
        <w:spacing w:line="360" w:lineRule="auto"/>
        <w:ind w:firstLine="708"/>
        <w:jc w:val="both"/>
      </w:pPr>
      <w:r>
        <w:t xml:space="preserve">Because this study was conducted in a center dedicated exclusively to assisting women victims of violence, it enabled us to interview participants within the specific context of the care and reception provided by CRAM professionals to victims of DV. A similar study demonstrates the difficulty that female workers face in classifying cases as violent or not (Feltin, Toso and Cheffer 2019), as well as in identifying non-physical forms of violence. These professionals also reported challenges in welcoming women due to their own prejudices and moral judgments (Rodrigues, Rodrigues and Ferreira 2017), or in providing the necessary “non-clinical” attention </w:t>
      </w:r>
      <w:r>
        <w:lastRenderedPageBreak/>
        <w:t>due to lack of time (Cortes et al. 2015), as other priorities and emergencies often compete within these services. Such factors tend to hinder, and sometimes even prevent, the provision of care, thereby compromising the collection of genuine perceptions from these workers regarding their emotional experiences during service provision.</w:t>
      </w:r>
    </w:p>
    <w:p w14:paraId="26653B67" w14:textId="77777777" w:rsidR="0068286E" w:rsidRDefault="00000000">
      <w:pPr>
        <w:pBdr>
          <w:top w:val="nil"/>
          <w:left w:val="nil"/>
          <w:bottom w:val="nil"/>
          <w:right w:val="nil"/>
          <w:between w:val="nil"/>
        </w:pBdr>
        <w:spacing w:line="360" w:lineRule="auto"/>
        <w:ind w:firstLine="708"/>
        <w:jc w:val="both"/>
      </w:pPr>
      <w:r>
        <w:t>This context also made it possible to hear professionals from different fields of knowledge, not restricting the analysis to the perceptions of a single professional category (Mpheohu and du Plessis 2021). Therefore, the focus on the emotions experienced during these encounters, and their subsequent discussion, was particularly favored by the setting in which this study took place.</w:t>
      </w:r>
    </w:p>
    <w:p w14:paraId="14A4A1A2" w14:textId="77777777" w:rsidR="0068286E" w:rsidRDefault="00000000">
      <w:pPr>
        <w:pBdr>
          <w:top w:val="nil"/>
          <w:left w:val="nil"/>
          <w:bottom w:val="nil"/>
          <w:right w:val="nil"/>
          <w:between w:val="nil"/>
        </w:pBdr>
        <w:spacing w:line="360" w:lineRule="auto"/>
        <w:ind w:firstLine="708"/>
        <w:jc w:val="both"/>
      </w:pPr>
      <w:r>
        <w:t>The analysis of the interview data led to the consolidation of three categories:</w:t>
      </w:r>
    </w:p>
    <w:p w14:paraId="0AD974B5" w14:textId="77777777" w:rsidR="0068286E" w:rsidRDefault="00000000">
      <w:pPr>
        <w:pBdr>
          <w:top w:val="nil"/>
          <w:left w:val="nil"/>
          <w:bottom w:val="nil"/>
          <w:right w:val="nil"/>
          <w:between w:val="nil"/>
        </w:pBdr>
        <w:spacing w:line="360" w:lineRule="auto"/>
        <w:ind w:firstLine="708"/>
        <w:jc w:val="both"/>
      </w:pPr>
      <w:r>
        <w:t>Category 1: “</w:t>
      </w:r>
      <w:r>
        <w:rPr>
          <w:i/>
          <w:iCs/>
        </w:rPr>
        <w:t>Identification that causes distress in daily work</w:t>
      </w:r>
      <w:r>
        <w:t>”;</w:t>
      </w:r>
    </w:p>
    <w:p w14:paraId="535F07B7" w14:textId="77777777" w:rsidR="0068286E" w:rsidRDefault="00000000">
      <w:pPr>
        <w:pBdr>
          <w:top w:val="nil"/>
          <w:left w:val="nil"/>
          <w:bottom w:val="nil"/>
          <w:right w:val="nil"/>
          <w:between w:val="nil"/>
        </w:pBdr>
        <w:spacing w:line="360" w:lineRule="auto"/>
        <w:ind w:firstLine="708"/>
        <w:jc w:val="both"/>
      </w:pPr>
      <w:r>
        <w:t>Category 2: “</w:t>
      </w:r>
      <w:r>
        <w:rPr>
          <w:i/>
          <w:iCs/>
        </w:rPr>
        <w:t>Work and traumas in personal relationships</w:t>
      </w:r>
      <w:r>
        <w:t>”; and</w:t>
      </w:r>
    </w:p>
    <w:p w14:paraId="7FB7C7A6" w14:textId="77777777" w:rsidR="0068286E" w:rsidRDefault="00000000">
      <w:pPr>
        <w:pBdr>
          <w:top w:val="nil"/>
          <w:left w:val="nil"/>
          <w:bottom w:val="nil"/>
          <w:right w:val="nil"/>
          <w:between w:val="nil"/>
        </w:pBdr>
        <w:spacing w:line="360" w:lineRule="auto"/>
        <w:ind w:firstLine="708"/>
        <w:jc w:val="both"/>
      </w:pPr>
      <w:r>
        <w:t>Category 3: “</w:t>
      </w:r>
      <w:r>
        <w:rPr>
          <w:i/>
          <w:iCs/>
        </w:rPr>
        <w:t>Impact of network organization on the relationship between workers and users.</w:t>
      </w:r>
      <w:r>
        <w:t>”</w:t>
      </w:r>
    </w:p>
    <w:p w14:paraId="48733925" w14:textId="77777777" w:rsidR="0068286E" w:rsidRDefault="0068286E">
      <w:pPr>
        <w:pBdr>
          <w:top w:val="nil"/>
          <w:left w:val="nil"/>
          <w:bottom w:val="nil"/>
          <w:right w:val="nil"/>
          <w:between w:val="nil"/>
        </w:pBdr>
        <w:spacing w:line="360" w:lineRule="auto"/>
        <w:ind w:firstLine="708"/>
        <w:jc w:val="both"/>
      </w:pPr>
    </w:p>
    <w:p w14:paraId="07641471" w14:textId="77777777" w:rsidR="0068286E" w:rsidRDefault="00000000">
      <w:pPr>
        <w:pBdr>
          <w:top w:val="nil"/>
          <w:left w:val="nil"/>
          <w:bottom w:val="nil"/>
          <w:right w:val="nil"/>
          <w:between w:val="nil"/>
        </w:pBdr>
        <w:spacing w:line="360" w:lineRule="auto"/>
        <w:jc w:val="both"/>
        <w:rPr>
          <w:b/>
          <w:bCs/>
          <w:i/>
          <w:iCs/>
        </w:rPr>
      </w:pPr>
      <w:r>
        <w:rPr>
          <w:b/>
          <w:bCs/>
          <w:i/>
          <w:iCs/>
        </w:rPr>
        <w:t>Category 1: Identification that causes distress in daily work</w:t>
      </w:r>
    </w:p>
    <w:p w14:paraId="2570D7EB" w14:textId="77777777" w:rsidR="0068286E" w:rsidRDefault="00000000">
      <w:pPr>
        <w:pBdr>
          <w:top w:val="nil"/>
          <w:left w:val="nil"/>
          <w:bottom w:val="nil"/>
          <w:right w:val="nil"/>
          <w:between w:val="nil"/>
        </w:pBdr>
        <w:spacing w:line="360" w:lineRule="auto"/>
        <w:ind w:firstLine="708"/>
        <w:jc w:val="both"/>
      </w:pPr>
      <w:r>
        <w:t>During the course of the interviews, one of the issues that emerged was the duality inherent in providing care to victims of DV, being both the professional caregiver and the woman who feels the other’s pain. Thus, this category is grounded in the dichotomy between the gratification derived from the work and the anguish and suffering experienced by the professionals, who see in the victim a reflection of what could have been their own trajectory as women. The relationship between the woman who cares and the woman who is cared for is not neutral, as both carry social marks and psychological conditions associated with their gender and experiences of violence. This gives rise to identifications and projections that interfere with the reception provided by assistance professionals, as they perceive their work as meaningful and transformative, but at the same time deeply mobilizing, revealing subjective implications that require emotional support (Silva and Bini 2021), as illustrated by the participants’ statements below:</w:t>
      </w:r>
    </w:p>
    <w:p w14:paraId="751813EE" w14:textId="77777777" w:rsidR="0068286E" w:rsidRDefault="0068286E">
      <w:pPr>
        <w:pBdr>
          <w:top w:val="nil"/>
          <w:left w:val="nil"/>
          <w:bottom w:val="nil"/>
          <w:right w:val="nil"/>
          <w:between w:val="nil"/>
        </w:pBdr>
        <w:spacing w:line="360" w:lineRule="auto"/>
        <w:ind w:firstLine="708"/>
        <w:jc w:val="both"/>
      </w:pPr>
    </w:p>
    <w:p w14:paraId="37C18F31" w14:textId="77777777" w:rsidR="0068286E" w:rsidRDefault="00000000">
      <w:pPr>
        <w:pBdr>
          <w:top w:val="nil"/>
          <w:left w:val="nil"/>
          <w:bottom w:val="nil"/>
          <w:right w:val="nil"/>
          <w:between w:val="nil"/>
        </w:pBdr>
        <w:spacing w:line="360" w:lineRule="auto"/>
        <w:ind w:firstLine="708"/>
        <w:jc w:val="both"/>
      </w:pPr>
      <w:r>
        <w:t>“</w:t>
      </w:r>
      <w:r>
        <w:rPr>
          <w:i/>
          <w:iCs/>
        </w:rPr>
        <w:t>...I have found it heavier than I imagined it would be. At the same time, it is very powerful, and we see great transformations. It is high-impact work, but it is also very painful... very distressing. I often feel anguished, and at times a sense of helplessness, but I also feel it is very rewarding.</w:t>
      </w:r>
      <w:r>
        <w:t>” (E01)</w:t>
      </w:r>
    </w:p>
    <w:p w14:paraId="179F1CB3" w14:textId="77777777" w:rsidR="0068286E" w:rsidRDefault="0068286E">
      <w:pPr>
        <w:pBdr>
          <w:top w:val="nil"/>
          <w:left w:val="nil"/>
          <w:bottom w:val="nil"/>
          <w:right w:val="nil"/>
          <w:between w:val="nil"/>
        </w:pBdr>
        <w:spacing w:line="360" w:lineRule="auto"/>
        <w:ind w:firstLine="708"/>
        <w:jc w:val="both"/>
      </w:pPr>
    </w:p>
    <w:p w14:paraId="4E1CC6F5" w14:textId="77777777" w:rsidR="0068286E" w:rsidRDefault="00000000">
      <w:pPr>
        <w:pBdr>
          <w:top w:val="nil"/>
          <w:left w:val="nil"/>
          <w:bottom w:val="nil"/>
          <w:right w:val="nil"/>
          <w:between w:val="nil"/>
        </w:pBdr>
        <w:spacing w:line="360" w:lineRule="auto"/>
        <w:ind w:firstLine="708"/>
        <w:jc w:val="both"/>
      </w:pPr>
      <w:r>
        <w:t>“</w:t>
      </w:r>
      <w:r>
        <w:rPr>
          <w:i/>
          <w:iCs/>
        </w:rPr>
        <w:t>These women’s beatings, I think we end up feeling the impact in our own lives too. Because we put ourselves in their place, right? Of course, it’s our technical work, but we do put ourselves in their position. In the beginning, I think what affected me the most was that I ended up feeling sick after the appointments.</w:t>
      </w:r>
      <w:r>
        <w:t>” (E02)</w:t>
      </w:r>
    </w:p>
    <w:p w14:paraId="41098D3B" w14:textId="77777777" w:rsidR="0068286E" w:rsidRDefault="0068286E">
      <w:pPr>
        <w:pBdr>
          <w:top w:val="nil"/>
          <w:left w:val="nil"/>
          <w:bottom w:val="nil"/>
          <w:right w:val="nil"/>
          <w:between w:val="nil"/>
        </w:pBdr>
        <w:spacing w:line="360" w:lineRule="auto"/>
        <w:ind w:firstLine="708"/>
        <w:jc w:val="both"/>
      </w:pPr>
    </w:p>
    <w:p w14:paraId="267BDD50" w14:textId="77777777" w:rsidR="0068286E" w:rsidRDefault="00000000">
      <w:pPr>
        <w:pBdr>
          <w:top w:val="nil"/>
          <w:left w:val="nil"/>
          <w:bottom w:val="nil"/>
          <w:right w:val="nil"/>
          <w:between w:val="nil"/>
        </w:pBdr>
        <w:spacing w:line="360" w:lineRule="auto"/>
        <w:ind w:firstLine="708"/>
        <w:jc w:val="both"/>
      </w:pPr>
      <w:r>
        <w:t>“</w:t>
      </w:r>
      <w:r>
        <w:rPr>
          <w:i/>
          <w:iCs/>
        </w:rPr>
        <w:t>At first, it was agony; I couldn’t sleep. I kept thinking because, imagine, I couldn’t separate myself from it. I kept thinking about what I could do. I suffered. I even had vaginal pain.</w:t>
      </w:r>
      <w:r>
        <w:t>” (E03)</w:t>
      </w:r>
    </w:p>
    <w:p w14:paraId="78E60779" w14:textId="77777777" w:rsidR="0068286E" w:rsidRDefault="0068286E">
      <w:pPr>
        <w:pBdr>
          <w:top w:val="nil"/>
          <w:left w:val="nil"/>
          <w:bottom w:val="nil"/>
          <w:right w:val="nil"/>
          <w:between w:val="nil"/>
        </w:pBdr>
        <w:spacing w:line="360" w:lineRule="auto"/>
        <w:ind w:firstLine="708"/>
        <w:jc w:val="both"/>
      </w:pPr>
    </w:p>
    <w:p w14:paraId="2BB99CC0" w14:textId="77777777" w:rsidR="0068286E" w:rsidRDefault="00000000">
      <w:pPr>
        <w:pBdr>
          <w:top w:val="nil"/>
          <w:left w:val="nil"/>
          <w:bottom w:val="nil"/>
          <w:right w:val="nil"/>
          <w:between w:val="nil"/>
        </w:pBdr>
        <w:spacing w:line="360" w:lineRule="auto"/>
        <w:ind w:firstLine="708"/>
        <w:jc w:val="both"/>
      </w:pPr>
      <w:r>
        <w:t>The statements demonstrate a form of care that, although painful, since professionals recognize themselves in the victims, is also powerful. This occurs because, as a rule, an empathic transferential relationship takes place, one that is “sensitive to the client’s feelings and personal meanings as they are experienced moment by moment, understanding them from within, as the client sees them, and successfully communicating some of this understanding back to the client”. Therefore, when the professional says “</w:t>
      </w:r>
      <w:r>
        <w:rPr>
          <w:i/>
          <w:iCs/>
        </w:rPr>
        <w:t>I can’t separate myself from it</w:t>
      </w:r>
      <w:r>
        <w:t>” or “</w:t>
      </w:r>
      <w:r>
        <w:rPr>
          <w:i/>
          <w:iCs/>
        </w:rPr>
        <w:t>it’s agony</w:t>
      </w:r>
      <w:r>
        <w:t>”, she expresses the meaning of an internal learning process. If the professional is able to communicate this understanding to the victim, care takes place, not merely because she is an attentive and empathetic professional, but because she is a woman (Rogers 2009).</w:t>
      </w:r>
    </w:p>
    <w:p w14:paraId="0ABF4BE4" w14:textId="77777777" w:rsidR="0068286E" w:rsidRDefault="00000000">
      <w:pPr>
        <w:pBdr>
          <w:top w:val="nil"/>
          <w:left w:val="nil"/>
          <w:bottom w:val="nil"/>
          <w:right w:val="nil"/>
          <w:between w:val="nil"/>
        </w:pBdr>
        <w:spacing w:line="360" w:lineRule="auto"/>
        <w:ind w:firstLine="708"/>
        <w:jc w:val="both"/>
      </w:pPr>
      <w:r>
        <w:t>The interviewees shared a sense of identification with some cases, mainly due to their shared womanhood, which evokes their own vulnerability, as they too are susceptible to experiencing similar forms of violence. The legitimacy of this relationship is evident, leaving them to cope with the anguish and discomfort it generates, as reflected in the following excerpts:</w:t>
      </w:r>
    </w:p>
    <w:p w14:paraId="67CF3102" w14:textId="77777777" w:rsidR="0068286E" w:rsidRDefault="0068286E">
      <w:pPr>
        <w:pBdr>
          <w:top w:val="nil"/>
          <w:left w:val="nil"/>
          <w:bottom w:val="nil"/>
          <w:right w:val="nil"/>
          <w:between w:val="nil"/>
        </w:pBdr>
        <w:spacing w:line="360" w:lineRule="auto"/>
        <w:ind w:firstLine="708"/>
        <w:jc w:val="both"/>
      </w:pPr>
    </w:p>
    <w:p w14:paraId="12980900" w14:textId="77777777" w:rsidR="0068286E" w:rsidRDefault="00000000">
      <w:pPr>
        <w:pBdr>
          <w:top w:val="nil"/>
          <w:left w:val="nil"/>
          <w:bottom w:val="nil"/>
          <w:right w:val="nil"/>
          <w:between w:val="nil"/>
        </w:pBdr>
        <w:spacing w:line="360" w:lineRule="auto"/>
        <w:ind w:firstLine="708"/>
        <w:jc w:val="both"/>
      </w:pPr>
      <w:r>
        <w:t>“</w:t>
      </w:r>
      <w:r>
        <w:rPr>
          <w:i/>
          <w:iCs/>
        </w:rPr>
        <w:t>There’s a vulnerability within us that’s almost inherent. I’ve suffered several times, several types of violence—all those listed in the Maria da Penha Law. These are feelings I can’t manage, and I also try to take care of my relationships with men.</w:t>
      </w:r>
      <w:r>
        <w:t>” (E01)</w:t>
      </w:r>
    </w:p>
    <w:p w14:paraId="6D9DEE5C" w14:textId="77777777" w:rsidR="0068286E" w:rsidRDefault="0068286E">
      <w:pPr>
        <w:pBdr>
          <w:top w:val="nil"/>
          <w:left w:val="nil"/>
          <w:bottom w:val="nil"/>
          <w:right w:val="nil"/>
          <w:between w:val="nil"/>
        </w:pBdr>
        <w:spacing w:line="360" w:lineRule="auto"/>
        <w:ind w:firstLine="708"/>
        <w:jc w:val="both"/>
      </w:pPr>
    </w:p>
    <w:p w14:paraId="5ECE2373" w14:textId="77777777" w:rsidR="0068286E" w:rsidRDefault="00000000">
      <w:pPr>
        <w:pBdr>
          <w:top w:val="nil"/>
          <w:left w:val="nil"/>
          <w:bottom w:val="nil"/>
          <w:right w:val="nil"/>
          <w:between w:val="nil"/>
        </w:pBdr>
        <w:spacing w:line="360" w:lineRule="auto"/>
        <w:ind w:firstLine="708"/>
        <w:jc w:val="both"/>
      </w:pPr>
      <w:r>
        <w:t>“</w:t>
      </w:r>
      <w:r>
        <w:rPr>
          <w:i/>
          <w:iCs/>
        </w:rPr>
        <w:t>The professionals working here spend eight hours a day listening to and dealing with issues of violence against women, right? And we are women ourselves, right?!</w:t>
      </w:r>
      <w:r>
        <w:t>” (E04)</w:t>
      </w:r>
    </w:p>
    <w:p w14:paraId="2532DF80" w14:textId="77777777" w:rsidR="0068286E" w:rsidRDefault="0068286E">
      <w:pPr>
        <w:pBdr>
          <w:top w:val="nil"/>
          <w:left w:val="nil"/>
          <w:bottom w:val="nil"/>
          <w:right w:val="nil"/>
          <w:between w:val="nil"/>
        </w:pBdr>
        <w:spacing w:line="360" w:lineRule="auto"/>
        <w:ind w:firstLine="708"/>
        <w:jc w:val="both"/>
      </w:pPr>
    </w:p>
    <w:p w14:paraId="2BB4FA7B" w14:textId="77777777" w:rsidR="0068286E" w:rsidRDefault="00000000">
      <w:pPr>
        <w:pBdr>
          <w:top w:val="nil"/>
          <w:left w:val="nil"/>
          <w:bottom w:val="nil"/>
          <w:right w:val="nil"/>
          <w:between w:val="nil"/>
        </w:pBdr>
        <w:spacing w:line="360" w:lineRule="auto"/>
        <w:ind w:firstLine="708"/>
        <w:jc w:val="both"/>
      </w:pPr>
      <w:r>
        <w:lastRenderedPageBreak/>
        <w:t>“</w:t>
      </w:r>
      <w:r>
        <w:rPr>
          <w:i/>
          <w:iCs/>
        </w:rPr>
        <w:t>...actually, there’s a greater impact, right? Especially because we’re working with something that we also are. So yes, there’s a bigger impact because we’re women. It’s difficult work, not easy, especially because we see the severity of these relationships, right?!</w:t>
      </w:r>
      <w:r>
        <w:t>” (E05)</w:t>
      </w:r>
    </w:p>
    <w:p w14:paraId="58FA1760" w14:textId="77777777" w:rsidR="0068286E" w:rsidRDefault="0068286E">
      <w:pPr>
        <w:pBdr>
          <w:top w:val="nil"/>
          <w:left w:val="nil"/>
          <w:bottom w:val="nil"/>
          <w:right w:val="nil"/>
          <w:between w:val="nil"/>
        </w:pBdr>
        <w:spacing w:line="360" w:lineRule="auto"/>
        <w:ind w:firstLine="708"/>
        <w:jc w:val="both"/>
      </w:pPr>
    </w:p>
    <w:p w14:paraId="0D5F9DC9" w14:textId="77777777" w:rsidR="0068286E" w:rsidRDefault="00000000">
      <w:pPr>
        <w:pBdr>
          <w:top w:val="nil"/>
          <w:left w:val="nil"/>
          <w:bottom w:val="nil"/>
          <w:right w:val="nil"/>
          <w:between w:val="nil"/>
        </w:pBdr>
        <w:spacing w:line="360" w:lineRule="auto"/>
        <w:ind w:firstLine="708"/>
        <w:jc w:val="both"/>
      </w:pPr>
      <w:r>
        <w:t>In addition to the emotional burden, there are situations where anguish intensifies, as various typifications and aggravating circumstances of the crimes can arise at any moment. In other words, there is a constant imminence of greater suffering and a persistent state of alert, consolidating anguish and the prospect of enduring distress.</w:t>
      </w:r>
    </w:p>
    <w:p w14:paraId="2834EEAE" w14:textId="77777777" w:rsidR="0068286E" w:rsidRDefault="0068286E">
      <w:pPr>
        <w:pBdr>
          <w:top w:val="nil"/>
          <w:left w:val="nil"/>
          <w:bottom w:val="nil"/>
          <w:right w:val="nil"/>
          <w:between w:val="nil"/>
        </w:pBdr>
        <w:spacing w:line="360" w:lineRule="auto"/>
        <w:ind w:firstLine="708"/>
        <w:jc w:val="both"/>
      </w:pPr>
    </w:p>
    <w:p w14:paraId="11B547B4" w14:textId="77777777" w:rsidR="0068286E" w:rsidRDefault="00000000">
      <w:pPr>
        <w:pBdr>
          <w:top w:val="nil"/>
          <w:left w:val="nil"/>
          <w:bottom w:val="nil"/>
          <w:right w:val="nil"/>
          <w:between w:val="nil"/>
        </w:pBdr>
        <w:spacing w:line="360" w:lineRule="auto"/>
        <w:ind w:firstLine="708"/>
        <w:jc w:val="both"/>
      </w:pPr>
      <w:r>
        <w:t>“</w:t>
      </w:r>
      <w:r>
        <w:rPr>
          <w:i/>
          <w:iCs/>
        </w:rPr>
        <w:t>But when sometimes a severe case comes in—and it really is very serious—it causes a real anguish, [...] especially when the woman comes accompanied by her children, which sometimes requires multiple interventions, [...] it’s really distressing, right?!</w:t>
      </w:r>
      <w:r>
        <w:t>” (E05)</w:t>
      </w:r>
    </w:p>
    <w:p w14:paraId="728C8A98" w14:textId="77777777" w:rsidR="0068286E" w:rsidRDefault="0068286E">
      <w:pPr>
        <w:pBdr>
          <w:top w:val="nil"/>
          <w:left w:val="nil"/>
          <w:bottom w:val="nil"/>
          <w:right w:val="nil"/>
          <w:between w:val="nil"/>
        </w:pBdr>
        <w:spacing w:line="360" w:lineRule="auto"/>
        <w:ind w:firstLine="708"/>
        <w:jc w:val="both"/>
      </w:pPr>
    </w:p>
    <w:p w14:paraId="14ADF0FE" w14:textId="77777777" w:rsidR="0068286E" w:rsidRDefault="00000000">
      <w:pPr>
        <w:pBdr>
          <w:top w:val="nil"/>
          <w:left w:val="nil"/>
          <w:bottom w:val="nil"/>
          <w:right w:val="nil"/>
          <w:between w:val="nil"/>
        </w:pBdr>
        <w:spacing w:line="360" w:lineRule="auto"/>
        <w:ind w:firstLine="708"/>
        <w:jc w:val="both"/>
      </w:pPr>
      <w:r>
        <w:t>“</w:t>
      </w:r>
      <w:r>
        <w:rPr>
          <w:i/>
          <w:iCs/>
        </w:rPr>
        <w:t>...I think all cases affect me in some way. Sometimes it’s because the violence is something we’ve experienced ourselves, right?!</w:t>
      </w:r>
      <w:r>
        <w:t>” (E03)</w:t>
      </w:r>
    </w:p>
    <w:p w14:paraId="7002F8D7" w14:textId="77777777" w:rsidR="0068286E" w:rsidRDefault="0068286E">
      <w:pPr>
        <w:pBdr>
          <w:top w:val="nil"/>
          <w:left w:val="nil"/>
          <w:bottom w:val="nil"/>
          <w:right w:val="nil"/>
          <w:between w:val="nil"/>
        </w:pBdr>
        <w:spacing w:line="360" w:lineRule="auto"/>
        <w:ind w:firstLine="708"/>
        <w:jc w:val="both"/>
      </w:pPr>
    </w:p>
    <w:p w14:paraId="3D1155A1" w14:textId="77777777" w:rsidR="0068286E" w:rsidRDefault="00000000">
      <w:pPr>
        <w:pBdr>
          <w:top w:val="nil"/>
          <w:left w:val="nil"/>
          <w:bottom w:val="nil"/>
          <w:right w:val="nil"/>
          <w:between w:val="nil"/>
        </w:pBdr>
        <w:spacing w:line="360" w:lineRule="auto"/>
        <w:ind w:firstLine="708"/>
        <w:jc w:val="both"/>
      </w:pPr>
      <w:r>
        <w:t>As already documented in the literature, these professionals play a key role in providing legal guidance, appropriate psychological support, and information about available assistance resources. However, such roles are not without challenges. Listening to traumatic narratives, reconstructing violent events, and confronting the victims’ confusion and self-blame affect the professionals’ subjectivity, generating stress and impairing their work performance (Velázquez 2012). Moreover, daily operations face challenges such as a reduction in staff despite growing demand, high turnover, lack of professional training, insufficient opportunities for qualified debriefing, limited resources, and moral, ethical, and religious conflicts.</w:t>
      </w:r>
    </w:p>
    <w:p w14:paraId="5D0ECF30" w14:textId="77777777" w:rsidR="0068286E" w:rsidRDefault="00000000">
      <w:pPr>
        <w:pBdr>
          <w:top w:val="nil"/>
          <w:left w:val="nil"/>
          <w:bottom w:val="nil"/>
          <w:right w:val="nil"/>
          <w:between w:val="nil"/>
        </w:pBdr>
        <w:spacing w:line="360" w:lineRule="auto"/>
        <w:ind w:firstLine="708"/>
        <w:jc w:val="both"/>
      </w:pPr>
      <w:r>
        <w:t xml:space="preserve">Consistent with findings from previous research (Saletti-Cuesta, Lila Aizemberg and Ricci-Cabello 2018), one barrier identified was the fear of becoming personally involved. Some professionals had personal histories of violence, and in another study (Taylor et al. 2013), one participant reported: “You feel like you’re about to open a box full of problems, and you’re not prepared to deal with what you might find inside. It’s a frightening feeling of having no control...” Thus, the recognition of the relational dimension between professionals and victims is an urgent necessity, as this dimension is expressed through the professionals’ protagonism in institutional </w:t>
      </w:r>
      <w:r>
        <w:lastRenderedPageBreak/>
        <w:t>actions. In this sense, the present study aligns with the findings of Incerp and Cury (2020), who affirm that only through this recognition can these workers overcome the feeling that they too are victims of a system that renders them powerless.</w:t>
      </w:r>
    </w:p>
    <w:p w14:paraId="1C2F4C24" w14:textId="77777777" w:rsidR="0068286E" w:rsidRDefault="00000000">
      <w:pPr>
        <w:pBdr>
          <w:top w:val="nil"/>
          <w:left w:val="nil"/>
          <w:bottom w:val="nil"/>
          <w:right w:val="nil"/>
          <w:between w:val="nil"/>
        </w:pBdr>
        <w:spacing w:line="360" w:lineRule="auto"/>
        <w:ind w:firstLine="708"/>
        <w:jc w:val="both"/>
      </w:pPr>
      <w:r>
        <w:t>Furthermore, the professionals acknowledge the importance of receiving support, preferably from mental health specialists, to mitigate these emotional impacts. However, the number of care institutions that recognize and provide such support remains limited. Even so, other alternatives have emerged, such as group discussions and team meetings, which serve as valuable tools for processing traumatic experiences, raising issues, and seeking solutions that promote well-being and prevent illness resulting from the emotional strain of their work (Santos 2018).</w:t>
      </w:r>
    </w:p>
    <w:p w14:paraId="5D88C38A" w14:textId="77777777" w:rsidR="0068286E" w:rsidRDefault="0068286E">
      <w:pPr>
        <w:pBdr>
          <w:top w:val="nil"/>
          <w:left w:val="nil"/>
          <w:bottom w:val="nil"/>
          <w:right w:val="nil"/>
          <w:between w:val="nil"/>
        </w:pBdr>
        <w:spacing w:line="360" w:lineRule="auto"/>
        <w:ind w:firstLine="708"/>
        <w:jc w:val="both"/>
      </w:pPr>
    </w:p>
    <w:p w14:paraId="62C26364" w14:textId="77777777" w:rsidR="0068286E" w:rsidRDefault="00000000">
      <w:pPr>
        <w:pBdr>
          <w:top w:val="nil"/>
          <w:left w:val="nil"/>
          <w:bottom w:val="nil"/>
          <w:right w:val="nil"/>
          <w:between w:val="nil"/>
        </w:pBdr>
        <w:spacing w:line="360" w:lineRule="auto"/>
        <w:jc w:val="both"/>
        <w:rPr>
          <w:b/>
          <w:bCs/>
          <w:i/>
          <w:iCs/>
        </w:rPr>
      </w:pPr>
      <w:r>
        <w:rPr>
          <w:b/>
          <w:bCs/>
          <w:i/>
          <w:iCs/>
        </w:rPr>
        <w:t>Category 2: Work and traumas in personal relationships</w:t>
      </w:r>
    </w:p>
    <w:p w14:paraId="566BE07F" w14:textId="77777777" w:rsidR="0068286E" w:rsidRDefault="00000000">
      <w:pPr>
        <w:pBdr>
          <w:top w:val="nil"/>
          <w:left w:val="nil"/>
          <w:bottom w:val="nil"/>
          <w:right w:val="nil"/>
          <w:between w:val="nil"/>
        </w:pBdr>
        <w:spacing w:line="360" w:lineRule="auto"/>
        <w:ind w:firstLine="708"/>
        <w:jc w:val="both"/>
      </w:pPr>
      <w:r>
        <w:t>Regarding personal relationships, the interviewed professionals become rigid and intolerant in response to certain behaviors of their partners; this corroborates another study (Velasquez 2012), which states that direct contact with victims of DV and the experiences narrated by those affected foster a harsher attitude in daily life. This phenomenon may be related to the deep knowledge about VAW, since working at CRAM requires them to develop skills for managing violence through readings, participation in lectures, and training courses, enabling them to gain greater understanding of the aspects, often subjective, related to the issue. Signs of DV, especially psychological violence, which require deeper comprehension to identify, are easily detected.</w:t>
      </w:r>
    </w:p>
    <w:p w14:paraId="03905AEE" w14:textId="77777777" w:rsidR="0068286E" w:rsidRDefault="0068286E">
      <w:pPr>
        <w:pBdr>
          <w:top w:val="nil"/>
          <w:left w:val="nil"/>
          <w:bottom w:val="nil"/>
          <w:right w:val="nil"/>
          <w:between w:val="nil"/>
        </w:pBdr>
        <w:spacing w:line="360" w:lineRule="auto"/>
        <w:ind w:firstLine="708"/>
        <w:jc w:val="both"/>
      </w:pPr>
    </w:p>
    <w:p w14:paraId="53FD1A6D" w14:textId="77777777" w:rsidR="0068286E" w:rsidRDefault="00000000">
      <w:pPr>
        <w:pBdr>
          <w:top w:val="nil"/>
          <w:left w:val="nil"/>
          <w:bottom w:val="nil"/>
          <w:right w:val="nil"/>
          <w:between w:val="nil"/>
        </w:pBdr>
        <w:spacing w:line="360" w:lineRule="auto"/>
        <w:ind w:firstLine="708"/>
        <w:jc w:val="both"/>
      </w:pPr>
      <w:r>
        <w:t>“</w:t>
      </w:r>
      <w:r>
        <w:rPr>
          <w:i/>
          <w:iCs/>
        </w:rPr>
        <w:t>...one thing that I feel really affects us, I feel it affects everyone, I think, the biggest difficulty in personal life is about our relationships, it’s very hard, it’s a challenge, sometimes I feel doubtful that it’s even possible to have a relationship</w:t>
      </w:r>
      <w:r>
        <w:t>” (E01).</w:t>
      </w:r>
    </w:p>
    <w:p w14:paraId="2FEBA9C1" w14:textId="77777777" w:rsidR="0068286E" w:rsidRDefault="0068286E">
      <w:pPr>
        <w:pBdr>
          <w:top w:val="nil"/>
          <w:left w:val="nil"/>
          <w:bottom w:val="nil"/>
          <w:right w:val="nil"/>
          <w:between w:val="nil"/>
        </w:pBdr>
        <w:spacing w:line="360" w:lineRule="auto"/>
        <w:ind w:firstLine="708"/>
        <w:jc w:val="both"/>
      </w:pPr>
    </w:p>
    <w:p w14:paraId="7EDC2900" w14:textId="77777777" w:rsidR="0068286E" w:rsidRDefault="00000000">
      <w:pPr>
        <w:pBdr>
          <w:top w:val="nil"/>
          <w:left w:val="nil"/>
          <w:bottom w:val="nil"/>
          <w:right w:val="nil"/>
          <w:between w:val="nil"/>
        </w:pBdr>
        <w:spacing w:line="360" w:lineRule="auto"/>
        <w:ind w:firstLine="708"/>
        <w:jc w:val="both"/>
      </w:pPr>
      <w:r>
        <w:t>“</w:t>
      </w:r>
      <w:r>
        <w:rPr>
          <w:i/>
          <w:iCs/>
        </w:rPr>
        <w:t>…I live very irritated with him, always demanding a lot, always needing to be alert, and I see him getting very angry about it, I just can’t behave differently because I am always on guard</w:t>
      </w:r>
      <w:r>
        <w:t>” (E01).</w:t>
      </w:r>
    </w:p>
    <w:p w14:paraId="5F1DE7AC" w14:textId="77777777" w:rsidR="0068286E" w:rsidRDefault="0068286E">
      <w:pPr>
        <w:pBdr>
          <w:top w:val="nil"/>
          <w:left w:val="nil"/>
          <w:bottom w:val="nil"/>
          <w:right w:val="nil"/>
          <w:between w:val="nil"/>
        </w:pBdr>
        <w:spacing w:line="360" w:lineRule="auto"/>
        <w:ind w:firstLine="708"/>
        <w:jc w:val="both"/>
      </w:pPr>
    </w:p>
    <w:p w14:paraId="194DA94C" w14:textId="77777777" w:rsidR="0068286E" w:rsidRDefault="00000000">
      <w:pPr>
        <w:pBdr>
          <w:top w:val="nil"/>
          <w:left w:val="nil"/>
          <w:bottom w:val="nil"/>
          <w:right w:val="nil"/>
          <w:between w:val="nil"/>
        </w:pBdr>
        <w:spacing w:line="360" w:lineRule="auto"/>
        <w:ind w:firstLine="708"/>
        <w:jc w:val="both"/>
      </w:pPr>
      <w:r>
        <w:t>“</w:t>
      </w:r>
      <w:r>
        <w:rPr>
          <w:i/>
          <w:iCs/>
        </w:rPr>
        <w:t xml:space="preserve">I don’t want to do this, I don’t want to fall into this trap,” sometimes living the dream of marriage and having a child, then I stop and think, but who taught me this? Yet I remain in a loop; </w:t>
      </w:r>
      <w:r>
        <w:rPr>
          <w:i/>
          <w:iCs/>
        </w:rPr>
        <w:lastRenderedPageBreak/>
        <w:t>I don’t relax regarding this heterosexual theme because, working here, you see that things went wrong, went really wrong!</w:t>
      </w:r>
      <w:r>
        <w:t>” (E01).</w:t>
      </w:r>
    </w:p>
    <w:p w14:paraId="53648D18" w14:textId="77777777" w:rsidR="0068286E" w:rsidRDefault="0068286E">
      <w:pPr>
        <w:pBdr>
          <w:top w:val="nil"/>
          <w:left w:val="nil"/>
          <w:bottom w:val="nil"/>
          <w:right w:val="nil"/>
          <w:between w:val="nil"/>
        </w:pBdr>
        <w:spacing w:line="360" w:lineRule="auto"/>
        <w:ind w:firstLine="708"/>
        <w:jc w:val="both"/>
      </w:pPr>
    </w:p>
    <w:p w14:paraId="5385AC4E" w14:textId="77777777" w:rsidR="0068286E" w:rsidRDefault="00000000">
      <w:pPr>
        <w:pBdr>
          <w:top w:val="nil"/>
          <w:left w:val="nil"/>
          <w:bottom w:val="nil"/>
          <w:right w:val="nil"/>
          <w:between w:val="nil"/>
        </w:pBdr>
        <w:spacing w:line="360" w:lineRule="auto"/>
        <w:ind w:firstLine="708"/>
        <w:jc w:val="both"/>
      </w:pPr>
      <w:r>
        <w:t>Being directly involved with the suffering of a DV victim and performing tasks that demand a high workload with emotionally taxing situations (Molinier 2006) carries over into personal life the feelings experienced during service provision, as the professional practice is permeated by ethical concern arising from emotion rather than reason, leaving no neutrality in the delivery of care and in processing these experiences. It is noteworthy, however, that individual experiences and their repercussions in personal life are directly related to each professional’s subjectivity, presenting distinct responses to the topic, and one must not neglect the uniqueness, subjectivity, and life history of these professionals (Penso et al. 2010), as the statements below demonstrate:</w:t>
      </w:r>
    </w:p>
    <w:p w14:paraId="4A301D54" w14:textId="77777777" w:rsidR="0068286E" w:rsidRDefault="0068286E">
      <w:pPr>
        <w:pBdr>
          <w:top w:val="nil"/>
          <w:left w:val="nil"/>
          <w:bottom w:val="nil"/>
          <w:right w:val="nil"/>
          <w:between w:val="nil"/>
        </w:pBdr>
        <w:spacing w:line="360" w:lineRule="auto"/>
        <w:ind w:firstLine="708"/>
        <w:jc w:val="both"/>
      </w:pPr>
    </w:p>
    <w:p w14:paraId="32E1F60F" w14:textId="77777777" w:rsidR="0068286E" w:rsidRDefault="00000000">
      <w:pPr>
        <w:pBdr>
          <w:top w:val="nil"/>
          <w:left w:val="nil"/>
          <w:bottom w:val="nil"/>
          <w:right w:val="nil"/>
          <w:between w:val="nil"/>
        </w:pBdr>
        <w:spacing w:line="360" w:lineRule="auto"/>
        <w:ind w:firstLine="708"/>
        <w:jc w:val="both"/>
      </w:pPr>
      <w:r>
        <w:t>“T</w:t>
      </w:r>
      <w:r>
        <w:rPr>
          <w:i/>
          <w:iCs/>
        </w:rPr>
        <w:t>here are situations I have experienced as a woman, other situations someone close has experienced. So there’s no way not to be affected at some point by a service encounter… it’s impossible that nobody has experienced some form of violence in a relationship at some point. But I try to filter what may have happened to me from what may be happening to someone else</w:t>
      </w:r>
      <w:r>
        <w:t>” (E02).</w:t>
      </w:r>
    </w:p>
    <w:p w14:paraId="21A96F6C" w14:textId="77777777" w:rsidR="0068286E" w:rsidRDefault="00000000">
      <w:pPr>
        <w:pBdr>
          <w:top w:val="nil"/>
          <w:left w:val="nil"/>
          <w:bottom w:val="nil"/>
          <w:right w:val="nil"/>
          <w:between w:val="nil"/>
        </w:pBdr>
        <w:spacing w:line="360" w:lineRule="auto"/>
        <w:ind w:firstLine="708"/>
        <w:jc w:val="both"/>
      </w:pPr>
      <w:r>
        <w:t>“</w:t>
      </w:r>
      <w:r>
        <w:rPr>
          <w:i/>
          <w:iCs/>
        </w:rPr>
        <w:t>So, we become vulnerable at first when you enter CRAM, I think everyone goes through a crisis, you know, a crisis because you think your partner could commit violence, you carry that anger about violence</w:t>
      </w:r>
      <w:r>
        <w:t>” (E03).</w:t>
      </w:r>
    </w:p>
    <w:p w14:paraId="7C245121" w14:textId="77777777" w:rsidR="0068286E" w:rsidRDefault="0068286E">
      <w:pPr>
        <w:pBdr>
          <w:top w:val="nil"/>
          <w:left w:val="nil"/>
          <w:bottom w:val="nil"/>
          <w:right w:val="nil"/>
          <w:between w:val="nil"/>
        </w:pBdr>
        <w:spacing w:line="360" w:lineRule="auto"/>
        <w:ind w:firstLine="708"/>
        <w:jc w:val="both"/>
      </w:pPr>
    </w:p>
    <w:p w14:paraId="18496975" w14:textId="77777777" w:rsidR="0068286E" w:rsidRDefault="00000000">
      <w:pPr>
        <w:pBdr>
          <w:top w:val="nil"/>
          <w:left w:val="nil"/>
          <w:bottom w:val="nil"/>
          <w:right w:val="nil"/>
          <w:between w:val="nil"/>
        </w:pBdr>
        <w:spacing w:line="360" w:lineRule="auto"/>
        <w:ind w:firstLine="708"/>
        <w:jc w:val="both"/>
      </w:pPr>
      <w:r>
        <w:t xml:space="preserve">Although the results of this category are consistent with findings from other research (Vieira et al. 2008), in which professionals report feelings of indignation, outrage, anger, and compassion, there are also narratives marked by emotional distancing, revealing fear of becoming involved with the situation of violence. This attitude can be understood as a self-protection mechanism of the professional in a context that also affects them, while, at the same time, reflecting a perception anchored in rationality and a technicist model of care that favors this type of behavior, particularly in service locations focused on resolving physical signs, such as hospitals and emergency care centers, unlike CRAM, the setting of this study. However, similar research (Saletti-Cuesta, Aizemberg and Ricci-Cabello 2018) highlights the difficulty of workers in </w:t>
      </w:r>
      <w:r>
        <w:lastRenderedPageBreak/>
        <w:t>identifying non-physical signs of violence and the lack of communication skills based on empathy and sensitive listening.</w:t>
      </w:r>
    </w:p>
    <w:p w14:paraId="535F7AC1" w14:textId="77777777" w:rsidR="0068286E" w:rsidRDefault="00000000">
      <w:pPr>
        <w:pBdr>
          <w:top w:val="nil"/>
          <w:left w:val="nil"/>
          <w:bottom w:val="nil"/>
          <w:right w:val="nil"/>
          <w:between w:val="nil"/>
        </w:pBdr>
        <w:spacing w:line="360" w:lineRule="auto"/>
        <w:ind w:firstLine="708"/>
        <w:jc w:val="both"/>
      </w:pPr>
      <w:r>
        <w:t>The observed limitations may be associated with the prevalence of a training model grounded in the biomedical paradigm of care, which tends to separate biological aspects from the biopsychosocial dimensions of suffering, constituting one of the obstacles faced by professionals. This model often restricts care to physical aspects, limiting holistic listening and support, or resulting in automatic referrals to other areas, such as psychology or social services.</w:t>
      </w:r>
    </w:p>
    <w:p w14:paraId="10F5225F" w14:textId="77777777" w:rsidR="0068286E" w:rsidRDefault="0068286E">
      <w:pPr>
        <w:pBdr>
          <w:top w:val="nil"/>
          <w:left w:val="nil"/>
          <w:bottom w:val="nil"/>
          <w:right w:val="nil"/>
          <w:between w:val="nil"/>
        </w:pBdr>
        <w:spacing w:line="360" w:lineRule="auto"/>
        <w:ind w:firstLine="708"/>
        <w:jc w:val="both"/>
      </w:pPr>
    </w:p>
    <w:p w14:paraId="27344B57" w14:textId="77777777" w:rsidR="0068286E" w:rsidRDefault="00000000">
      <w:pPr>
        <w:pBdr>
          <w:top w:val="nil"/>
          <w:left w:val="nil"/>
          <w:bottom w:val="nil"/>
          <w:right w:val="nil"/>
          <w:between w:val="nil"/>
        </w:pBdr>
        <w:spacing w:line="360" w:lineRule="auto"/>
        <w:jc w:val="both"/>
        <w:rPr>
          <w:b/>
          <w:bCs/>
          <w:i/>
          <w:iCs/>
        </w:rPr>
      </w:pPr>
      <w:r>
        <w:rPr>
          <w:b/>
          <w:bCs/>
          <w:i/>
          <w:iCs/>
        </w:rPr>
        <w:t>Category 3: Impact of network organization on the relationship between workers and users</w:t>
      </w:r>
    </w:p>
    <w:p w14:paraId="1C3AFE42" w14:textId="77777777" w:rsidR="0068286E" w:rsidRDefault="00000000">
      <w:pPr>
        <w:pBdr>
          <w:top w:val="nil"/>
          <w:left w:val="nil"/>
          <w:bottom w:val="nil"/>
          <w:right w:val="nil"/>
          <w:between w:val="nil"/>
        </w:pBdr>
        <w:spacing w:line="360" w:lineRule="auto"/>
        <w:ind w:firstLine="708"/>
        <w:jc w:val="both"/>
      </w:pPr>
      <w:r>
        <w:t>The organization of services within the logic of a care network serves as a guiding principle for the decentralization of the SUS into health regions and promotes the integration of mental, physical, and emotional health services (Hagemann-White 2018) within a logic of comprehensive care, according to one of the system's guiding principles. Such coordination may contribute to the early identification of cases of DV, the provision of specialized assistance, and the creation of an environment conducive to addressing and overcoming situations of violence (Silva 2022). Nonetheless, despite gender-related issues concerning DV having already been widely discussed by care professionals through the critique of gender inequality, which could help in understanding the phenomenon and improve support for women, this recognition still seems distant from the concrete reality experienced by women seeking these services, causing professionals to remain in the realm of idealizing an efficient networked service.</w:t>
      </w:r>
    </w:p>
    <w:p w14:paraId="1E38DF8D" w14:textId="77777777" w:rsidR="0068286E" w:rsidRDefault="0068286E">
      <w:pPr>
        <w:pBdr>
          <w:top w:val="nil"/>
          <w:left w:val="nil"/>
          <w:bottom w:val="nil"/>
          <w:right w:val="nil"/>
          <w:between w:val="nil"/>
        </w:pBdr>
        <w:spacing w:line="360" w:lineRule="auto"/>
        <w:ind w:firstLine="708"/>
        <w:jc w:val="both"/>
      </w:pPr>
    </w:p>
    <w:p w14:paraId="06E4F932" w14:textId="77777777" w:rsidR="0068286E" w:rsidRDefault="00000000">
      <w:pPr>
        <w:pBdr>
          <w:top w:val="nil"/>
          <w:left w:val="nil"/>
          <w:bottom w:val="nil"/>
          <w:right w:val="nil"/>
          <w:between w:val="nil"/>
        </w:pBdr>
        <w:spacing w:line="360" w:lineRule="auto"/>
        <w:ind w:firstLine="708"/>
        <w:jc w:val="both"/>
      </w:pPr>
      <w:r>
        <w:t>“</w:t>
      </w:r>
      <w:r>
        <w:rPr>
          <w:i/>
          <w:iCs/>
        </w:rPr>
        <w:t>…violence is much more complex, so we need to look at what is missing in our care network, at the interventions that are lacking, and see what is missing; otherwise, we will not be able to confront violence as a whole; we will be spinning our wheels, I will say that we can achieve harm reduction, and that is significant, but if we think about breaking the cycle of violence, we need more; not as CRAM, but more as a network</w:t>
      </w:r>
      <w:r>
        <w:t>” (E01).</w:t>
      </w:r>
    </w:p>
    <w:p w14:paraId="1938A5E5" w14:textId="77777777" w:rsidR="0068286E" w:rsidRDefault="0068286E">
      <w:pPr>
        <w:pBdr>
          <w:top w:val="nil"/>
          <w:left w:val="nil"/>
          <w:bottom w:val="nil"/>
          <w:right w:val="nil"/>
          <w:between w:val="nil"/>
        </w:pBdr>
        <w:spacing w:line="360" w:lineRule="auto"/>
        <w:ind w:firstLine="708"/>
        <w:jc w:val="both"/>
      </w:pPr>
    </w:p>
    <w:p w14:paraId="2D40F48B" w14:textId="77777777" w:rsidR="0068286E" w:rsidRDefault="00000000">
      <w:pPr>
        <w:pBdr>
          <w:top w:val="nil"/>
          <w:left w:val="nil"/>
          <w:bottom w:val="nil"/>
          <w:right w:val="nil"/>
          <w:between w:val="nil"/>
        </w:pBdr>
        <w:spacing w:line="360" w:lineRule="auto"/>
        <w:ind w:firstLine="708"/>
        <w:jc w:val="both"/>
      </w:pPr>
      <w:r>
        <w:t>“</w:t>
      </w:r>
      <w:r>
        <w:rPr>
          <w:i/>
          <w:iCs/>
        </w:rPr>
        <w:t>…articulating with other network services that also attend to women is not easy, as we face many barriers</w:t>
      </w:r>
      <w:r>
        <w:t>” (E04).</w:t>
      </w:r>
    </w:p>
    <w:p w14:paraId="2FF254BC" w14:textId="77777777" w:rsidR="0068286E" w:rsidRDefault="0068286E">
      <w:pPr>
        <w:pBdr>
          <w:top w:val="nil"/>
          <w:left w:val="nil"/>
          <w:bottom w:val="nil"/>
          <w:right w:val="nil"/>
          <w:between w:val="nil"/>
        </w:pBdr>
        <w:spacing w:line="360" w:lineRule="auto"/>
        <w:ind w:firstLine="708"/>
        <w:jc w:val="both"/>
      </w:pPr>
    </w:p>
    <w:p w14:paraId="7EA97AC6" w14:textId="77777777" w:rsidR="0068286E" w:rsidRDefault="00000000">
      <w:pPr>
        <w:pBdr>
          <w:top w:val="nil"/>
          <w:left w:val="nil"/>
          <w:bottom w:val="nil"/>
          <w:right w:val="nil"/>
          <w:between w:val="nil"/>
        </w:pBdr>
        <w:spacing w:line="360" w:lineRule="auto"/>
        <w:ind w:firstLine="708"/>
        <w:jc w:val="both"/>
      </w:pPr>
      <w:r>
        <w:lastRenderedPageBreak/>
        <w:t>“</w:t>
      </w:r>
      <w:r>
        <w:rPr>
          <w:i/>
          <w:iCs/>
        </w:rPr>
        <w:t>Oh, there are, yes, obstacles, there are deficiencies in the network itself. It is (pause), there are things that simply cannot be offered, right, in the municipality. So, even the issue of housing, there is no housing for these women, right?</w:t>
      </w:r>
      <w:r>
        <w:t>” (E05).</w:t>
      </w:r>
    </w:p>
    <w:p w14:paraId="46D7ECE6" w14:textId="77777777" w:rsidR="0068286E" w:rsidRDefault="0068286E">
      <w:pPr>
        <w:pBdr>
          <w:top w:val="nil"/>
          <w:left w:val="nil"/>
          <w:bottom w:val="nil"/>
          <w:right w:val="nil"/>
          <w:between w:val="nil"/>
        </w:pBdr>
        <w:spacing w:line="360" w:lineRule="auto"/>
        <w:ind w:firstLine="708"/>
        <w:jc w:val="both"/>
      </w:pPr>
    </w:p>
    <w:p w14:paraId="64A80DD7" w14:textId="77777777" w:rsidR="0068286E" w:rsidRDefault="00000000">
      <w:pPr>
        <w:pBdr>
          <w:top w:val="nil"/>
          <w:left w:val="nil"/>
          <w:bottom w:val="nil"/>
          <w:right w:val="nil"/>
          <w:between w:val="nil"/>
        </w:pBdr>
        <w:spacing w:line="360" w:lineRule="auto"/>
        <w:ind w:firstLine="708"/>
        <w:jc w:val="both"/>
      </w:pPr>
      <w:r>
        <w:t>“</w:t>
      </w:r>
      <w:r>
        <w:rPr>
          <w:i/>
          <w:iCs/>
        </w:rPr>
        <w:t>…And then it leaves us more anguished, because she has already filed a report, has already attended a hearing, and is still free, perpetuating all forms of violence, now against her children as well…</w:t>
      </w:r>
      <w:r>
        <w:t>” (E06).</w:t>
      </w:r>
    </w:p>
    <w:p w14:paraId="1E27EC97" w14:textId="77777777" w:rsidR="0068286E" w:rsidRDefault="0068286E">
      <w:pPr>
        <w:pBdr>
          <w:top w:val="nil"/>
          <w:left w:val="nil"/>
          <w:bottom w:val="nil"/>
          <w:right w:val="nil"/>
          <w:between w:val="nil"/>
        </w:pBdr>
        <w:spacing w:line="360" w:lineRule="auto"/>
        <w:ind w:firstLine="708"/>
        <w:jc w:val="both"/>
      </w:pPr>
    </w:p>
    <w:p w14:paraId="7CAC1D84" w14:textId="77777777" w:rsidR="0068286E" w:rsidRDefault="00000000">
      <w:pPr>
        <w:pBdr>
          <w:top w:val="nil"/>
          <w:left w:val="nil"/>
          <w:bottom w:val="nil"/>
          <w:right w:val="nil"/>
          <w:between w:val="nil"/>
        </w:pBdr>
        <w:spacing w:line="360" w:lineRule="auto"/>
        <w:ind w:firstLine="708"/>
        <w:jc w:val="both"/>
      </w:pPr>
      <w:r>
        <w:t>Regarding network articulation, there is a directly proportional relationship between the organization of services and professionals’ knowledge of the existence of other services within the system itself. However, there is greater awareness of the difficulties in the coordination between these services, highlighting the need for continuous articulation and communication among them (Aguiar, D’Oliveira and Schraiber 2020). Thus, the ambiguity between dissatisfaction, arising from service limitations, and the sense of gratification perceived by the interviewees corroborates other findings (Incerpe and Cury 2020) and should be considered in light of the changes that the work of these women can promote in the daily lives of violence victims.</w:t>
      </w:r>
    </w:p>
    <w:p w14:paraId="71F547C9" w14:textId="77777777" w:rsidR="0068286E" w:rsidRDefault="00000000">
      <w:pPr>
        <w:pBdr>
          <w:top w:val="nil"/>
          <w:left w:val="nil"/>
          <w:bottom w:val="nil"/>
          <w:right w:val="nil"/>
          <w:between w:val="nil"/>
        </w:pBdr>
        <w:spacing w:line="360" w:lineRule="auto"/>
        <w:ind w:firstLine="708"/>
        <w:jc w:val="both"/>
      </w:pPr>
      <w:r>
        <w:t>The results of this category, which highlight professionals’ lack of knowledge regarding the protection network for victims, are consistent with previous literature findings. A study (Lira and Castro, 2022) identified that, when asked about the available locations in their municipalities for accommodating women in situations of violence, only two professionals mentioned their own workplace as a possible service option. It is noteworthy that, even among professionals working in hospitals responsible for performing trauma and sexology exams, few recognized it as a space for assisting victims, corroborating the idealization of a care network by the professional and also confirming the lack of awareness of an already established organization in several municipalities.</w:t>
      </w:r>
    </w:p>
    <w:p w14:paraId="69CFED5E" w14:textId="77777777" w:rsidR="0068286E" w:rsidRDefault="0068286E">
      <w:pPr>
        <w:pBdr>
          <w:top w:val="nil"/>
          <w:left w:val="nil"/>
          <w:bottom w:val="nil"/>
          <w:right w:val="nil"/>
          <w:between w:val="nil"/>
        </w:pBdr>
        <w:spacing w:line="360" w:lineRule="auto"/>
        <w:ind w:firstLine="708"/>
        <w:jc w:val="both"/>
      </w:pPr>
    </w:p>
    <w:p w14:paraId="68D21905" w14:textId="77777777" w:rsidR="0068286E" w:rsidRDefault="00000000">
      <w:pPr>
        <w:pBdr>
          <w:top w:val="nil"/>
          <w:left w:val="nil"/>
          <w:bottom w:val="nil"/>
          <w:right w:val="nil"/>
          <w:between w:val="nil"/>
        </w:pBdr>
        <w:spacing w:line="360" w:lineRule="auto"/>
        <w:ind w:firstLine="708"/>
        <w:jc w:val="both"/>
      </w:pPr>
      <w:r>
        <w:t>“</w:t>
      </w:r>
      <w:r>
        <w:rPr>
          <w:i/>
          <w:iCs/>
        </w:rPr>
        <w:t>So I think it is still a case we are, you know, discussing, working on, a case that leaves me somewhat anguished. Because she is expecting justice to resolve this, but justice is also very, it has… how can I say? It has its limitations… anyway, there is the police that can conduct the investigation, but we know that the police also have… right, millions of cases to solve</w:t>
      </w:r>
      <w:r>
        <w:t>” (E06).</w:t>
      </w:r>
    </w:p>
    <w:p w14:paraId="5F16C7E8" w14:textId="77777777" w:rsidR="0068286E" w:rsidRDefault="0068286E">
      <w:pPr>
        <w:pBdr>
          <w:top w:val="nil"/>
          <w:left w:val="nil"/>
          <w:bottom w:val="nil"/>
          <w:right w:val="nil"/>
          <w:between w:val="nil"/>
        </w:pBdr>
        <w:spacing w:line="360" w:lineRule="auto"/>
        <w:ind w:firstLine="708"/>
        <w:jc w:val="both"/>
      </w:pPr>
    </w:p>
    <w:p w14:paraId="07FFE920" w14:textId="77777777" w:rsidR="0068286E" w:rsidRDefault="00000000">
      <w:pPr>
        <w:pBdr>
          <w:top w:val="nil"/>
          <w:left w:val="nil"/>
          <w:bottom w:val="nil"/>
          <w:right w:val="nil"/>
          <w:between w:val="nil"/>
        </w:pBdr>
        <w:spacing w:line="360" w:lineRule="auto"/>
        <w:ind w:firstLine="708"/>
        <w:jc w:val="both"/>
      </w:pPr>
      <w:r>
        <w:lastRenderedPageBreak/>
        <w:t>The feeling of powerlessness in the face of a system that frequently does not respond to the needs of its clients has also been reported by other authors (Keegan et al. 2024), corroborating the present study insofar as it becomes evident that, in addition to being unaware of the network, the professionals in this study are also frustrated by the slowness, delay, or non-resolution of its components.</w:t>
      </w:r>
    </w:p>
    <w:p w14:paraId="7F9F1BEE" w14:textId="77777777" w:rsidR="0068286E" w:rsidRDefault="0068286E">
      <w:pPr>
        <w:pBdr>
          <w:top w:val="nil"/>
          <w:left w:val="nil"/>
          <w:bottom w:val="nil"/>
          <w:right w:val="nil"/>
          <w:between w:val="nil"/>
        </w:pBdr>
        <w:spacing w:line="360" w:lineRule="auto"/>
        <w:ind w:firstLine="708"/>
        <w:jc w:val="both"/>
      </w:pPr>
    </w:p>
    <w:p w14:paraId="15FF7937" w14:textId="77777777" w:rsidR="0068286E" w:rsidRDefault="00000000">
      <w:pPr>
        <w:pBdr>
          <w:top w:val="nil"/>
          <w:left w:val="nil"/>
          <w:bottom w:val="nil"/>
          <w:right w:val="nil"/>
          <w:between w:val="nil"/>
        </w:pBdr>
        <w:spacing w:line="360" w:lineRule="auto"/>
        <w:ind w:firstLine="708"/>
        <w:jc w:val="both"/>
      </w:pPr>
      <w:r>
        <w:t>“</w:t>
      </w:r>
      <w:r>
        <w:rPr>
          <w:i/>
          <w:iCs/>
        </w:rPr>
        <w:t>Sometimes it ends up being a little frustrating; I usually say that it is an extremely rich service, but too limiting. So I think it is sometimes a bit frustrating to realize how much is missing, and that our service is just the tip of the iceberg</w:t>
      </w:r>
      <w:r>
        <w:t>” (E07).</w:t>
      </w:r>
    </w:p>
    <w:p w14:paraId="04DA0149" w14:textId="77777777" w:rsidR="0068286E" w:rsidRDefault="0068286E">
      <w:pPr>
        <w:pBdr>
          <w:top w:val="nil"/>
          <w:left w:val="nil"/>
          <w:bottom w:val="nil"/>
          <w:right w:val="nil"/>
          <w:between w:val="nil"/>
        </w:pBdr>
        <w:spacing w:line="360" w:lineRule="auto"/>
        <w:ind w:firstLine="708"/>
        <w:jc w:val="both"/>
      </w:pPr>
    </w:p>
    <w:p w14:paraId="3A6FF9E1" w14:textId="77777777" w:rsidR="0068286E" w:rsidRDefault="00000000">
      <w:pPr>
        <w:pBdr>
          <w:top w:val="nil"/>
          <w:left w:val="nil"/>
          <w:bottom w:val="nil"/>
          <w:right w:val="nil"/>
          <w:between w:val="nil"/>
        </w:pBdr>
        <w:spacing w:line="360" w:lineRule="auto"/>
        <w:ind w:firstLine="708"/>
        <w:jc w:val="both"/>
      </w:pPr>
      <w:r>
        <w:t>CRAM is an environment characterized by a high emotional load, and exposure to the demands presented in the workplace highlights the need for emotional support not only for female patients who are victims of violence but also for the professionals working there. This underscores the importance of valuing the relational dimension of workers in services dedicated to victims of violence. The workers perceive their work as meaningful despite the difficulties. This reflects their empathic identification with the victims, as it demonstrates their resilience and commitment in the fight against gender-based violence.</w:t>
      </w:r>
    </w:p>
    <w:p w14:paraId="74D1F497" w14:textId="77777777" w:rsidR="0068286E" w:rsidRDefault="0068286E">
      <w:pPr>
        <w:pBdr>
          <w:top w:val="nil"/>
          <w:left w:val="nil"/>
          <w:bottom w:val="nil"/>
          <w:right w:val="nil"/>
          <w:between w:val="nil"/>
        </w:pBdr>
        <w:spacing w:line="360" w:lineRule="auto"/>
        <w:ind w:firstLine="708"/>
        <w:jc w:val="both"/>
      </w:pPr>
    </w:p>
    <w:p w14:paraId="35A14C7A" w14:textId="77777777" w:rsidR="0068286E" w:rsidRDefault="0068286E">
      <w:pPr>
        <w:pBdr>
          <w:top w:val="nil"/>
          <w:left w:val="nil"/>
          <w:bottom w:val="nil"/>
          <w:right w:val="nil"/>
          <w:between w:val="nil"/>
        </w:pBdr>
        <w:spacing w:line="360" w:lineRule="auto"/>
        <w:jc w:val="both"/>
      </w:pPr>
    </w:p>
    <w:p w14:paraId="07FFB552" w14:textId="77777777" w:rsidR="0068286E" w:rsidRDefault="0068286E">
      <w:pPr>
        <w:pBdr>
          <w:top w:val="nil"/>
          <w:left w:val="nil"/>
          <w:bottom w:val="nil"/>
          <w:right w:val="nil"/>
          <w:between w:val="nil"/>
        </w:pBdr>
        <w:spacing w:line="360" w:lineRule="auto"/>
        <w:jc w:val="both"/>
      </w:pPr>
    </w:p>
    <w:p w14:paraId="77DBCBD3" w14:textId="77777777" w:rsidR="0068286E" w:rsidRDefault="0068286E">
      <w:pPr>
        <w:pBdr>
          <w:top w:val="nil"/>
          <w:left w:val="nil"/>
          <w:bottom w:val="nil"/>
          <w:right w:val="nil"/>
          <w:between w:val="nil"/>
        </w:pBdr>
        <w:spacing w:line="360" w:lineRule="auto"/>
        <w:jc w:val="both"/>
      </w:pPr>
    </w:p>
    <w:p w14:paraId="462750F8" w14:textId="77777777" w:rsidR="0068286E" w:rsidRDefault="0068286E">
      <w:pPr>
        <w:pBdr>
          <w:top w:val="nil"/>
          <w:left w:val="nil"/>
          <w:bottom w:val="nil"/>
          <w:right w:val="nil"/>
          <w:between w:val="nil"/>
        </w:pBdr>
        <w:spacing w:line="360" w:lineRule="auto"/>
        <w:jc w:val="both"/>
      </w:pPr>
    </w:p>
    <w:p w14:paraId="00122DC5" w14:textId="77777777" w:rsidR="00FC5917" w:rsidRDefault="00FC5917">
      <w:pPr>
        <w:pBdr>
          <w:top w:val="nil"/>
          <w:left w:val="nil"/>
          <w:bottom w:val="nil"/>
          <w:right w:val="nil"/>
          <w:between w:val="nil"/>
        </w:pBdr>
        <w:spacing w:line="360" w:lineRule="auto"/>
        <w:jc w:val="both"/>
      </w:pPr>
    </w:p>
    <w:p w14:paraId="4C536AE8" w14:textId="77777777" w:rsidR="00FC5917" w:rsidRDefault="00FC5917">
      <w:pPr>
        <w:pBdr>
          <w:top w:val="nil"/>
          <w:left w:val="nil"/>
          <w:bottom w:val="nil"/>
          <w:right w:val="nil"/>
          <w:between w:val="nil"/>
        </w:pBdr>
        <w:spacing w:line="360" w:lineRule="auto"/>
        <w:jc w:val="both"/>
      </w:pPr>
    </w:p>
    <w:p w14:paraId="2815F9F7" w14:textId="77777777" w:rsidR="00FC5917" w:rsidRDefault="00FC5917">
      <w:pPr>
        <w:pBdr>
          <w:top w:val="nil"/>
          <w:left w:val="nil"/>
          <w:bottom w:val="nil"/>
          <w:right w:val="nil"/>
          <w:between w:val="nil"/>
        </w:pBdr>
        <w:spacing w:line="360" w:lineRule="auto"/>
        <w:jc w:val="both"/>
      </w:pPr>
    </w:p>
    <w:p w14:paraId="5BB641A0" w14:textId="77777777" w:rsidR="00FC5917" w:rsidRDefault="00FC5917">
      <w:pPr>
        <w:pBdr>
          <w:top w:val="nil"/>
          <w:left w:val="nil"/>
          <w:bottom w:val="nil"/>
          <w:right w:val="nil"/>
          <w:between w:val="nil"/>
        </w:pBdr>
        <w:spacing w:line="360" w:lineRule="auto"/>
        <w:jc w:val="both"/>
      </w:pPr>
    </w:p>
    <w:p w14:paraId="7E6200BE" w14:textId="77777777" w:rsidR="00FC5917" w:rsidRDefault="00FC5917">
      <w:pPr>
        <w:pBdr>
          <w:top w:val="nil"/>
          <w:left w:val="nil"/>
          <w:bottom w:val="nil"/>
          <w:right w:val="nil"/>
          <w:between w:val="nil"/>
        </w:pBdr>
        <w:spacing w:line="360" w:lineRule="auto"/>
        <w:jc w:val="both"/>
      </w:pPr>
    </w:p>
    <w:p w14:paraId="36C0AFCD" w14:textId="77777777" w:rsidR="00FC5917" w:rsidRDefault="00FC5917">
      <w:pPr>
        <w:pBdr>
          <w:top w:val="nil"/>
          <w:left w:val="nil"/>
          <w:bottom w:val="nil"/>
          <w:right w:val="nil"/>
          <w:between w:val="nil"/>
        </w:pBdr>
        <w:spacing w:line="360" w:lineRule="auto"/>
        <w:jc w:val="both"/>
      </w:pPr>
    </w:p>
    <w:p w14:paraId="3E43C032" w14:textId="77777777" w:rsidR="00FC5917" w:rsidRDefault="00FC5917">
      <w:pPr>
        <w:pBdr>
          <w:top w:val="nil"/>
          <w:left w:val="nil"/>
          <w:bottom w:val="nil"/>
          <w:right w:val="nil"/>
          <w:between w:val="nil"/>
        </w:pBdr>
        <w:spacing w:line="360" w:lineRule="auto"/>
        <w:jc w:val="both"/>
      </w:pPr>
    </w:p>
    <w:p w14:paraId="1E2AD345" w14:textId="77777777" w:rsidR="00FC5917" w:rsidRDefault="00FC5917">
      <w:pPr>
        <w:pBdr>
          <w:top w:val="nil"/>
          <w:left w:val="nil"/>
          <w:bottom w:val="nil"/>
          <w:right w:val="nil"/>
          <w:between w:val="nil"/>
        </w:pBdr>
        <w:spacing w:line="360" w:lineRule="auto"/>
        <w:jc w:val="both"/>
      </w:pPr>
    </w:p>
    <w:p w14:paraId="6D5A028C" w14:textId="77777777" w:rsidR="0068286E" w:rsidRDefault="0068286E">
      <w:pPr>
        <w:pBdr>
          <w:top w:val="nil"/>
          <w:left w:val="nil"/>
          <w:bottom w:val="nil"/>
          <w:right w:val="nil"/>
          <w:between w:val="nil"/>
        </w:pBdr>
        <w:spacing w:line="360" w:lineRule="auto"/>
        <w:jc w:val="both"/>
      </w:pPr>
    </w:p>
    <w:p w14:paraId="3120A780" w14:textId="77777777" w:rsidR="0068286E" w:rsidRDefault="00000000">
      <w:pPr>
        <w:pBdr>
          <w:top w:val="nil"/>
          <w:left w:val="nil"/>
          <w:bottom w:val="nil"/>
          <w:right w:val="nil"/>
          <w:between w:val="nil"/>
        </w:pBdr>
        <w:jc w:val="center"/>
        <w:rPr>
          <w:b/>
          <w:bCs/>
          <w:color w:val="000000"/>
        </w:rPr>
      </w:pPr>
      <w:r>
        <w:rPr>
          <w:b/>
          <w:bCs/>
          <w:color w:val="000000"/>
        </w:rPr>
        <w:lastRenderedPageBreak/>
        <w:t>References</w:t>
      </w:r>
    </w:p>
    <w:p w14:paraId="4CC6AFE4" w14:textId="77777777" w:rsidR="0068286E" w:rsidRDefault="0068286E">
      <w:pPr>
        <w:pBdr>
          <w:top w:val="nil"/>
          <w:left w:val="nil"/>
          <w:bottom w:val="nil"/>
          <w:right w:val="nil"/>
          <w:between w:val="nil"/>
        </w:pBdr>
        <w:jc w:val="center"/>
        <w:rPr>
          <w:b/>
          <w:bCs/>
          <w:color w:val="000000"/>
        </w:rPr>
      </w:pPr>
    </w:p>
    <w:p w14:paraId="7D56A839" w14:textId="77777777" w:rsidR="0068286E" w:rsidRDefault="00000000">
      <w:pPr>
        <w:ind w:left="720" w:hanging="720"/>
        <w:jc w:val="both"/>
      </w:pPr>
      <w:r>
        <w:t>Aguiar, J. M., D’Oliveira, A. F. P. L., &amp; Schraiber, L. B. (2020). Mudanças históricas na rede intersetorial de serviços voltados à violência contra a mulher – São Paulo, Brasil. Interface – Comunicação, Saúde, Educação, 24, 1–16.</w:t>
      </w:r>
    </w:p>
    <w:p w14:paraId="00809037" w14:textId="77777777" w:rsidR="0068286E" w:rsidRDefault="00000000">
      <w:pPr>
        <w:ind w:left="720" w:hanging="720"/>
        <w:jc w:val="both"/>
      </w:pPr>
      <w:r>
        <w:t>Arboit, J., Padoin, S. M. M., Vieira, L. B., Paula, C. C., Costa, M. C., &amp; Cortes, L. F. (2017). Atenção à saúde de mulheres em situação de violência: Desarticulação dos profissionais em rede. Revista da Escola de Enfermagem da USP, 51, 1–7.</w:t>
      </w:r>
    </w:p>
    <w:p w14:paraId="5F294B0C" w14:textId="77777777" w:rsidR="0068286E" w:rsidRDefault="00000000">
      <w:pPr>
        <w:ind w:left="720" w:hanging="720"/>
        <w:jc w:val="both"/>
      </w:pPr>
      <w:r>
        <w:t>Brasil. Instituto de Pesquisa DataSenado. (2023). Violência doméstica e familiar contra a mulher. Brasília, DF.</w:t>
      </w:r>
    </w:p>
    <w:p w14:paraId="4E30E69F" w14:textId="77777777" w:rsidR="0068286E" w:rsidRDefault="00000000">
      <w:pPr>
        <w:ind w:left="720" w:hanging="720"/>
        <w:jc w:val="both"/>
      </w:pPr>
      <w:r>
        <w:t>Cortes, L. F., Padoin, S. M. M., Vieira, L. B., Landerdhal, M. C., &amp; Arboit, J. (2015). Cuidar mulheres em situação de violência: Empoderamento da enfermagem em busca de equidade de gênero. Revista Gaúcha de Enfermagem, 36(esp.), 77–84.</w:t>
      </w:r>
    </w:p>
    <w:p w14:paraId="450C5035" w14:textId="77777777" w:rsidR="0068286E" w:rsidRDefault="00000000">
      <w:pPr>
        <w:ind w:left="720" w:hanging="720"/>
        <w:jc w:val="both"/>
      </w:pPr>
      <w:r>
        <w:t>Costa, M. C., &amp; Lopes, M. J. M. (2012). Elementos de integralidade nas práticas profissionais de saúde a mulheres rurais vítimas de violência. Revista da Escola de Enfermagem da USP, 46(5), 1088–1095.</w:t>
      </w:r>
    </w:p>
    <w:p w14:paraId="046DD10E" w14:textId="77777777" w:rsidR="0068286E" w:rsidRDefault="00000000">
      <w:pPr>
        <w:ind w:left="720" w:hanging="720"/>
        <w:jc w:val="both"/>
      </w:pPr>
      <w:r>
        <w:t>Feltrin, B., Toso, L. S., &amp; Cheffer, M. H. (2019). Ser enfermeiro e o cuidado a mulheres vítimas de violência doméstica: Situações vivenciadas. Revista Varia Scientia – Ciências da Saúde, 5(2), 143–152.</w:t>
      </w:r>
    </w:p>
    <w:p w14:paraId="03F9CAB9" w14:textId="77777777" w:rsidR="0068286E" w:rsidRDefault="00000000">
      <w:pPr>
        <w:ind w:left="720" w:hanging="720"/>
        <w:jc w:val="both"/>
      </w:pPr>
      <w:r>
        <w:t>Fontanella, B. J. B., Campos, C. J. G., &amp; Turato, E. R. (2006). Data collection in clinical-qualitative research: Use of non-directed interviews with open-ended questions by health professionals. Revista Latino-Americana de Enfermagem, 14(5), 812–820.</w:t>
      </w:r>
    </w:p>
    <w:p w14:paraId="20E2DD5F" w14:textId="77777777" w:rsidR="0068286E" w:rsidRDefault="00000000">
      <w:pPr>
        <w:ind w:left="720" w:hanging="720"/>
        <w:jc w:val="both"/>
      </w:pPr>
      <w:r>
        <w:t>Garcia, L. P. (2016). A magnitude invisível da violência contra a mulher. Epidemiologia e Serviços de Saúde, 25(3), 451–454.</w:t>
      </w:r>
    </w:p>
    <w:p w14:paraId="3A5347E6" w14:textId="77777777" w:rsidR="0068286E" w:rsidRDefault="00000000">
      <w:pPr>
        <w:ind w:left="720" w:hanging="720"/>
        <w:jc w:val="both"/>
      </w:pPr>
      <w:r>
        <w:t>Gonçalves, E. M., &amp; Schraiber, L. B. (2021). Obstáculos e facilitadores para o trabalho em rede de serviços de atendimento às mulheres em situação de violência. Saúde em Redes, 7(2), 1–14.</w:t>
      </w:r>
    </w:p>
    <w:p w14:paraId="27FA19D9" w14:textId="77777777" w:rsidR="0068286E" w:rsidRDefault="00000000">
      <w:pPr>
        <w:ind w:left="720" w:hanging="720"/>
        <w:jc w:val="both"/>
      </w:pPr>
      <w:r>
        <w:t>Hagemann-White, C. (2018). Violência doméstica e mulheres minorizadas: Um estudo de caso da Polônia, Turquia e África do Sul. Springer.</w:t>
      </w:r>
    </w:p>
    <w:p w14:paraId="40BE64C3" w14:textId="77777777" w:rsidR="0068286E" w:rsidRDefault="00000000">
      <w:pPr>
        <w:ind w:left="720" w:hanging="720"/>
        <w:jc w:val="both"/>
      </w:pPr>
      <w:r>
        <w:t>Incerpe, P. R. B., &amp; Cury, V. E. (2020). Atendimento a mulheres em situação de violência: A experiência de profissionais de um CREAS. Estudos e Pesquisas em Psicologia, 20(3), 919–939.</w:t>
      </w:r>
    </w:p>
    <w:p w14:paraId="632C58E4" w14:textId="77777777" w:rsidR="0068286E" w:rsidRDefault="00000000">
      <w:pPr>
        <w:ind w:left="720" w:hanging="720"/>
        <w:jc w:val="both"/>
      </w:pPr>
      <w:r>
        <w:t>Keegan, G., Jones, L., Sholi, C., Campbell, P. A., Zakrison, T. L., &amp; Hoefer, L. E. (2024). Women working in violence intervention and outreach: Providing space for emotional vulnerability and empathy. Trauma Surgery &amp; Acute Care Open, 9(1), e001477. https://doi.org/10.1136/tsaco-2024-001477</w:t>
      </w:r>
    </w:p>
    <w:p w14:paraId="375B0AAE" w14:textId="77777777" w:rsidR="0068286E" w:rsidRDefault="00000000">
      <w:pPr>
        <w:ind w:left="720" w:hanging="720"/>
        <w:jc w:val="both"/>
      </w:pPr>
      <w:r>
        <w:t>Lira, K. F. S., &amp; Castro, R. V. (2022). Percepções de profissionais da saúde sobre violência contra as mulheres. Revista Psicologia e Saúde, 14(1), 1–14. https://doi.org/10.20435/pssa.v14i1.1524</w:t>
      </w:r>
    </w:p>
    <w:p w14:paraId="3AB5859C" w14:textId="77777777" w:rsidR="0068286E" w:rsidRDefault="00000000">
      <w:pPr>
        <w:ind w:left="720" w:hanging="720"/>
        <w:jc w:val="both"/>
      </w:pPr>
      <w:r>
        <w:t>Molinier, P. (2006). Les enjeux psychiques du travail: Introduction à la psychodynamique du travail. Petite Bibliothèque Payot.</w:t>
      </w:r>
    </w:p>
    <w:p w14:paraId="60D387B0" w14:textId="77777777" w:rsidR="0068286E" w:rsidRDefault="00000000">
      <w:pPr>
        <w:ind w:left="720" w:hanging="720"/>
        <w:jc w:val="both"/>
      </w:pPr>
      <w:r>
        <w:t>Mphephu, A., &amp; du Plessis, E. (2021). Professional nurses’ experience in providing nursing care to women experiencing gender-based violence: A caring presence study. Health SA Gesondheid, 26, 1658. https://doi.org/10.4102/hsag.v26i0.1658</w:t>
      </w:r>
    </w:p>
    <w:p w14:paraId="2E0958DC" w14:textId="77777777" w:rsidR="0068286E" w:rsidRDefault="00000000">
      <w:pPr>
        <w:ind w:left="720" w:hanging="720"/>
        <w:jc w:val="both"/>
      </w:pPr>
      <w:r>
        <w:t>Organização Mundial da Saúde. (2021). OMS: Uma em cada 3 mulheres em todo o mundo sofre violência.</w:t>
      </w:r>
    </w:p>
    <w:p w14:paraId="37A2B54E" w14:textId="77777777" w:rsidR="0068286E" w:rsidRDefault="00000000">
      <w:pPr>
        <w:ind w:left="720" w:hanging="720"/>
        <w:jc w:val="both"/>
      </w:pPr>
      <w:r>
        <w:lastRenderedPageBreak/>
        <w:t>Penso, M. A., Almeida, T. M. C., Brasil, K. C. T., Barros, C. A., &amp; Brandão, P. L. (2010). O atendimento a vítimas de violência e seus impactos na vida de profissionais da saúde. Temas em Psicologia, 18(1), 197–212.</w:t>
      </w:r>
    </w:p>
    <w:p w14:paraId="781252D1" w14:textId="77777777" w:rsidR="0068286E" w:rsidRDefault="00000000">
      <w:pPr>
        <w:ind w:left="720" w:hanging="720"/>
        <w:jc w:val="both"/>
      </w:pPr>
      <w:r>
        <w:t>Rodrigues, W. F. G., Rodrigues, R. F. G., &amp; Ferreira, F. A. (2017). Violência contra a mulher dentro de um contexto biopsicossocial: Um desafio para o profissional da enfermagem. Revista de Enfermagem, 11(4), 1752–1758.</w:t>
      </w:r>
    </w:p>
    <w:p w14:paraId="720001D3" w14:textId="77777777" w:rsidR="0068286E" w:rsidRDefault="00000000">
      <w:pPr>
        <w:ind w:left="720" w:hanging="720"/>
        <w:jc w:val="both"/>
      </w:pPr>
      <w:r>
        <w:t>Rogers, C. R. (2009). Tornar-se pessoa. WMF Martins Fontes.</w:t>
      </w:r>
    </w:p>
    <w:p w14:paraId="0552FD0F" w14:textId="77777777" w:rsidR="0068286E" w:rsidRDefault="00000000">
      <w:pPr>
        <w:ind w:left="720" w:hanging="720"/>
        <w:jc w:val="both"/>
      </w:pPr>
      <w:r>
        <w:t>Saletti-Cuesta, L., Aizenberg, L., &amp; Ricci-Cabello, I. (2018). Opinions and experiences of primary healthcare providers regarding violence against women: A systematic review of qualitative studies. Journal of Family Violence, 33, 405–420. https://doi.org/10.1007/s10896-018-9971-6</w:t>
      </w:r>
    </w:p>
    <w:p w14:paraId="5BC2D03C" w14:textId="77777777" w:rsidR="0068286E" w:rsidRDefault="00000000">
      <w:pPr>
        <w:ind w:left="720" w:hanging="720"/>
        <w:jc w:val="both"/>
      </w:pPr>
      <w:r>
        <w:t>Santos, K. D. A. (2018). Assédio moral e autocuidado no trabalho de assistência às vítimas de violência contra a mulher (Dissertação de mestrado). Universidade Federal de Sergipe, São Cristóvão, SE.</w:t>
      </w:r>
    </w:p>
    <w:p w14:paraId="5BBB78F1" w14:textId="77777777" w:rsidR="0068286E" w:rsidRDefault="00000000">
      <w:pPr>
        <w:ind w:left="720" w:hanging="720"/>
        <w:jc w:val="both"/>
      </w:pPr>
      <w:r>
        <w:t>Silva, A. M. B., &amp; Bini, M. C. N. (2021). Percepções sobre o plantão psicológico em uma Delegacia de Defesa da Mulher. Psicologia USP, 32, 1–11.</w:t>
      </w:r>
    </w:p>
    <w:p w14:paraId="421BAC03" w14:textId="77777777" w:rsidR="0068286E" w:rsidRDefault="00000000">
      <w:pPr>
        <w:ind w:left="720" w:hanging="720"/>
        <w:jc w:val="both"/>
      </w:pPr>
      <w:r>
        <w:t>Silva, M. A. B. F. (2022). A Casa da Mulher Brasileira na cidade de Campo Grande/MS como modelo de inovação social de política pública em rede integrada e multinível no enfrentamento à violência doméstica e familiar. Direito em Movimento, 20(1), 158–187.</w:t>
      </w:r>
    </w:p>
    <w:p w14:paraId="3AA2CF99" w14:textId="77777777" w:rsidR="0068286E" w:rsidRDefault="00000000">
      <w:pPr>
        <w:ind w:left="720" w:hanging="720"/>
        <w:jc w:val="both"/>
      </w:pPr>
      <w:r>
        <w:t>Soares, J. S. F., &amp; Lopes, M. J. M. (2018). Experiências de mulheres em situação de violência em busca de atenção no setor saúde e na rede intersetorial. Interface – Comunicação, Saúde, Educação, 22(66), 789–800.</w:t>
      </w:r>
    </w:p>
    <w:p w14:paraId="1302F8A0" w14:textId="77777777" w:rsidR="0068286E" w:rsidRDefault="00000000">
      <w:pPr>
        <w:ind w:left="720" w:hanging="720"/>
        <w:jc w:val="both"/>
      </w:pPr>
      <w:r>
        <w:t>Taylor, J., Bradbury-Jones, C., Kroll, T., &amp; Duncan, F. (2013). Health professionals’ beliefs about domestic abuse and the issue of disclosure: A critical incident technique study. Health &amp; Social Care in the Community, 21, 489–499.</w:t>
      </w:r>
    </w:p>
    <w:p w14:paraId="7408D602" w14:textId="77777777" w:rsidR="0068286E" w:rsidRDefault="00000000">
      <w:pPr>
        <w:ind w:left="720" w:hanging="720"/>
        <w:jc w:val="both"/>
      </w:pPr>
      <w:r>
        <w:t>Turato, E. R. (2018). Treatise on clinical-qualitative research methodology: Theoretical-epistemological construction, comparative discussion and application in the health and humanities areas (6th ed.). Vozes.</w:t>
      </w:r>
    </w:p>
    <w:p w14:paraId="1206FA4C" w14:textId="77777777" w:rsidR="0068286E" w:rsidRDefault="00000000">
      <w:pPr>
        <w:ind w:left="720" w:hanging="720"/>
        <w:jc w:val="both"/>
      </w:pPr>
      <w:r>
        <w:t>Turato, E. R., &amp; Melo, D. G. (2011). Amostragem em pesquisas qualitativas: Proposta de procedimentos para constatar saturação teórica. Cadernos de Saúde Pública, 27(2), 389–394.</w:t>
      </w:r>
    </w:p>
    <w:p w14:paraId="30BCFAEB" w14:textId="77777777" w:rsidR="0068286E" w:rsidRDefault="00000000">
      <w:pPr>
        <w:ind w:left="720" w:hanging="720"/>
        <w:jc w:val="both"/>
      </w:pPr>
      <w:r>
        <w:t>Velasquez, S. (2012). Violencias y familias: Implicancias del trabajo profesional: El cuidado de quienes cuidan (1st ed.). Paidós.</w:t>
      </w:r>
    </w:p>
    <w:p w14:paraId="5CF2E3E2" w14:textId="77777777" w:rsidR="0068286E" w:rsidRDefault="00000000">
      <w:pPr>
        <w:ind w:left="720" w:hanging="720"/>
        <w:jc w:val="both"/>
      </w:pPr>
      <w:r>
        <w:t>Vieira, L. J. E. S., Pordeus, A. M. J., Ferreira, R. C., Moreira, D. P., Maia, P. B., &amp; Saviolli, K. C. (2008). Fatores de risco para violência contra a mulher no contexto doméstico e coletivo. Saúde e Sociedade, 17(3), 113–125.</w:t>
      </w:r>
    </w:p>
    <w:p w14:paraId="6D1D3F1F" w14:textId="77777777" w:rsidR="0068286E" w:rsidRDefault="00000000">
      <w:pPr>
        <w:ind w:left="720" w:hanging="720"/>
        <w:jc w:val="both"/>
      </w:pPr>
      <w:r>
        <w:t>Vigano, S. M. M., &amp; Laffin, M. H. L. (2019). Mulheres, políticas públicas e combate à violência de gênero. História (São Paulo), 38, 1–18.</w:t>
      </w:r>
    </w:p>
    <w:p w14:paraId="160B894B" w14:textId="77777777" w:rsidR="0068286E" w:rsidRDefault="00000000">
      <w:pPr>
        <w:ind w:left="720" w:hanging="720"/>
        <w:jc w:val="both"/>
      </w:pPr>
      <w:r>
        <w:t xml:space="preserve"> </w:t>
      </w:r>
    </w:p>
    <w:p w14:paraId="539EAD7B" w14:textId="77777777" w:rsidR="0068286E" w:rsidRDefault="0068286E">
      <w:pPr>
        <w:ind w:left="720" w:hanging="720"/>
        <w:jc w:val="both"/>
      </w:pPr>
    </w:p>
    <w:p w14:paraId="09721A1C" w14:textId="77777777" w:rsidR="0068286E" w:rsidRDefault="0068286E">
      <w:pPr>
        <w:ind w:left="720" w:hanging="720"/>
        <w:jc w:val="both"/>
      </w:pPr>
    </w:p>
    <w:p w14:paraId="79605027" w14:textId="77777777" w:rsidR="0068286E" w:rsidRDefault="0068286E">
      <w:pPr>
        <w:ind w:left="720" w:hanging="720"/>
        <w:jc w:val="both"/>
      </w:pPr>
    </w:p>
    <w:p w14:paraId="7EEFD9E8" w14:textId="77777777" w:rsidR="0068286E" w:rsidRDefault="0068286E">
      <w:pPr>
        <w:ind w:left="720" w:hanging="720"/>
        <w:jc w:val="both"/>
      </w:pPr>
    </w:p>
    <w:p w14:paraId="52878F25" w14:textId="77777777" w:rsidR="0068286E" w:rsidRDefault="0068286E">
      <w:pPr>
        <w:ind w:left="720" w:hanging="720"/>
        <w:jc w:val="both"/>
      </w:pPr>
    </w:p>
    <w:p w14:paraId="358B4DA4" w14:textId="77777777" w:rsidR="0068286E" w:rsidRDefault="0068286E">
      <w:pPr>
        <w:jc w:val="both"/>
      </w:pPr>
    </w:p>
    <w:p w14:paraId="3C2E6631" w14:textId="77777777" w:rsidR="0068286E" w:rsidRDefault="00000000">
      <w:pPr>
        <w:shd w:val="clear" w:color="auto" w:fill="FFFFFF"/>
        <w:jc w:val="right"/>
        <w:rPr>
          <w:i/>
          <w:iCs/>
          <w:sz w:val="20"/>
          <w:szCs w:val="20"/>
        </w:rPr>
      </w:pPr>
      <w:r>
        <w:rPr>
          <w:i/>
          <w:iCs/>
          <w:sz w:val="20"/>
          <w:szCs w:val="20"/>
        </w:rPr>
        <w:t xml:space="preserve">Received: </w:t>
      </w:r>
    </w:p>
    <w:p w14:paraId="5B1348EE" w14:textId="77777777" w:rsidR="0068286E" w:rsidRDefault="00000000">
      <w:pPr>
        <w:shd w:val="clear" w:color="auto" w:fill="FFFFFF"/>
        <w:jc w:val="right"/>
        <w:rPr>
          <w:i/>
          <w:iCs/>
          <w:sz w:val="20"/>
          <w:szCs w:val="20"/>
        </w:rPr>
      </w:pPr>
      <w:r>
        <w:rPr>
          <w:i/>
          <w:iCs/>
          <w:sz w:val="20"/>
          <w:szCs w:val="20"/>
        </w:rPr>
        <w:t>Accepted:</w:t>
      </w:r>
      <w:r>
        <w:rPr>
          <w:rFonts w:ascii="Quattrocento Sans" w:eastAsia="Quattrocento Sans" w:hAnsi="Quattrocento Sans" w:cs="Quattrocento Sans"/>
          <w:sz w:val="21"/>
          <w:szCs w:val="21"/>
          <w:highlight w:val="white"/>
        </w:rPr>
        <w:t xml:space="preserve"> </w:t>
      </w:r>
    </w:p>
    <w:sectPr w:rsidR="0068286E">
      <w:headerReference w:type="even" r:id="rId9"/>
      <w:headerReference w:type="default" r:id="rId10"/>
      <w:footerReference w:type="even" r:id="rId11"/>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BEEE2F" w14:textId="77777777" w:rsidR="00121E11" w:rsidRDefault="00121E11">
      <w:r>
        <w:separator/>
      </w:r>
    </w:p>
  </w:endnote>
  <w:endnote w:type="continuationSeparator" w:id="0">
    <w:p w14:paraId="3088D4C5" w14:textId="77777777" w:rsidR="00121E11" w:rsidRDefault="00121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4F44AC1-A95D-A746-A5BD-26D7F000C912}"/>
    <w:embedBold r:id="rId2" w:fontKey="{663FB04E-601F-824A-9121-C429F35AC962}"/>
    <w:embedItalic r:id="rId3" w:fontKey="{8153519D-11F4-7E4D-A9CD-D71A5D8D34E5}"/>
    <w:embedBoldItalic r:id="rId4" w:fontKey="{BD18CEED-C987-474B-B1A7-DF61DDA41BD4}"/>
  </w:font>
  <w:font w:name="Calibri">
    <w:panose1 w:val="020F0502020204030204"/>
    <w:charset w:val="00"/>
    <w:family w:val="swiss"/>
    <w:pitch w:val="variable"/>
    <w:sig w:usb0="E0002AFF" w:usb1="C000247B" w:usb2="00000009" w:usb3="00000000" w:csb0="000001FF" w:csb1="00000000"/>
    <w:embedRegular r:id="rId5" w:fontKey="{700B3810-09DF-0043-A43A-4EE8BED4782E}"/>
  </w:font>
  <w:font w:name="Times">
    <w:altName w:val="Times New Roman"/>
    <w:panose1 w:val="00000500000000020000"/>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9" w:fontKey="{EE95F606-FEAA-1345-A055-77FC4B6F775E}"/>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Italic r:id="rId10" w:fontKey="{3CD97E90-F17C-4346-9875-3B710D862226}"/>
  </w:font>
  <w:font w:name="Quattrocento Sans">
    <w:panose1 w:val="020B0502050000020003"/>
    <w:charset w:val="00"/>
    <w:family w:val="swiss"/>
    <w:pitch w:val="variable"/>
    <w:sig w:usb0="800000BF" w:usb1="4000005B" w:usb2="00000000" w:usb3="00000000" w:csb0="00000001" w:csb1="00000000"/>
    <w:embedRegular r:id="rId11" w:fontKey="{6BC9DE95-0266-6D42-88BA-8306171C92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026C6" w14:textId="77777777" w:rsidR="0068286E" w:rsidRDefault="00000000">
    <w:pPr>
      <w:pBdr>
        <w:top w:val="nil"/>
        <w:left w:val="nil"/>
        <w:bottom w:val="nil"/>
        <w:right w:val="nil"/>
        <w:between w:val="nil"/>
      </w:pBdr>
      <w:tabs>
        <w:tab w:val="center" w:pos="4680"/>
        <w:tab w:val="right" w:pos="9360"/>
      </w:tabs>
      <w:ind w:left="3960" w:firstLine="3960"/>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FC5917">
      <w:rPr>
        <w:rFonts w:ascii="Times" w:eastAsia="Times" w:hAnsi="Times" w:cs="Times"/>
        <w:noProof/>
        <w:color w:val="000000"/>
        <w:sz w:val="16"/>
        <w:szCs w:val="16"/>
      </w:rPr>
      <w:t>2</w:t>
    </w:r>
    <w:r>
      <w:rPr>
        <w:rFonts w:ascii="Times" w:eastAsia="Times" w:hAnsi="Times" w:cs="Times"/>
        <w:color w:val="000000"/>
        <w:sz w:val="16"/>
        <w:szCs w:val="16"/>
      </w:rPr>
      <w:fldChar w:fldCharType="end"/>
    </w:r>
  </w:p>
  <w:p w14:paraId="2F3C417D" w14:textId="77777777" w:rsidR="0068286E" w:rsidRDefault="0068286E">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21261" w14:textId="77777777" w:rsidR="0068286E" w:rsidRDefault="00000000">
    <w:pPr>
      <w:pBdr>
        <w:top w:val="nil"/>
        <w:left w:val="nil"/>
        <w:bottom w:val="nil"/>
        <w:right w:val="nil"/>
        <w:between w:val="nil"/>
      </w:pBdr>
      <w:tabs>
        <w:tab w:val="center" w:pos="4680"/>
        <w:tab w:val="right" w:pos="9360"/>
      </w:tabs>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FC5917">
      <w:rPr>
        <w:rFonts w:ascii="Times" w:eastAsia="Times" w:hAnsi="Times" w:cs="Times"/>
        <w:noProof/>
        <w:color w:val="000000"/>
        <w:sz w:val="16"/>
        <w:szCs w:val="16"/>
      </w:rPr>
      <w:t>1</w:t>
    </w:r>
    <w:r>
      <w:rPr>
        <w:rFonts w:ascii="Times" w:eastAsia="Times" w:hAnsi="Times" w:cs="Times"/>
        <w:color w:val="000000"/>
        <w:sz w:val="16"/>
        <w:szCs w:val="16"/>
      </w:rPr>
      <w:fldChar w:fldCharType="end"/>
    </w:r>
  </w:p>
  <w:p w14:paraId="25A7D33B" w14:textId="77777777" w:rsidR="0068286E" w:rsidRDefault="0068286E">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382540" w14:textId="77777777" w:rsidR="00121E11" w:rsidRDefault="00121E11">
      <w:r>
        <w:separator/>
      </w:r>
    </w:p>
  </w:footnote>
  <w:footnote w:type="continuationSeparator" w:id="0">
    <w:p w14:paraId="76D9E6C3" w14:textId="77777777" w:rsidR="00121E11" w:rsidRDefault="00121E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F46BF" w14:textId="77777777" w:rsidR="0068286E" w:rsidRDefault="00000000">
    <w:pPr>
      <w:pBdr>
        <w:top w:val="nil"/>
        <w:left w:val="nil"/>
        <w:bottom w:val="nil"/>
        <w:right w:val="nil"/>
        <w:between w:val="nil"/>
      </w:pBdr>
      <w:tabs>
        <w:tab w:val="center" w:pos="4680"/>
        <w:tab w:val="right" w:pos="9360"/>
      </w:tabs>
      <w:jc w:val="center"/>
      <w:rPr>
        <w:rFonts w:ascii="Times" w:eastAsia="Times" w:hAnsi="Times" w:cs="Times"/>
        <w:smallCaps/>
        <w:color w:val="000000"/>
        <w:sz w:val="20"/>
        <w:szCs w:val="20"/>
      </w:rPr>
    </w:pPr>
    <w:r>
      <w:rPr>
        <w:rFonts w:ascii="Times" w:eastAsia="Times" w:hAnsi="Times" w:cs="Times"/>
        <w:smallCaps/>
        <w:color w:val="000000"/>
        <w:sz w:val="20"/>
        <w:szCs w:val="20"/>
      </w:rPr>
      <w:t>Manuscript submission model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EDFC6" w14:textId="77777777" w:rsidR="0068286E" w:rsidRDefault="00000000">
    <w:pPr>
      <w:pBdr>
        <w:top w:val="nil"/>
        <w:left w:val="nil"/>
        <w:bottom w:val="nil"/>
        <w:right w:val="nil"/>
        <w:between w:val="nil"/>
      </w:pBdr>
      <w:tabs>
        <w:tab w:val="center" w:pos="4680"/>
        <w:tab w:val="right" w:pos="9360"/>
      </w:tabs>
      <w:jc w:val="right"/>
      <w:rPr>
        <w:rFonts w:ascii="Times" w:eastAsia="Times" w:hAnsi="Times" w:cs="Times"/>
        <w:i/>
        <w:iCs/>
        <w:color w:val="000000"/>
        <w:sz w:val="18"/>
        <w:szCs w:val="18"/>
      </w:rPr>
    </w:pPr>
    <w:r>
      <w:rPr>
        <w:rFonts w:ascii="Times" w:eastAsia="Times" w:hAnsi="Times" w:cs="Times"/>
        <w:b/>
        <w:bCs/>
        <w:i/>
        <w:iCs/>
        <w:color w:val="000000"/>
        <w:sz w:val="18"/>
        <w:szCs w:val="18"/>
      </w:rPr>
      <w:t>Revista Interamericana de Psicología/Interamerican Journal of Psychology</w:t>
    </w:r>
    <w:r>
      <w:rPr>
        <w:noProof/>
      </w:rPr>
      <w:drawing>
        <wp:anchor distT="0" distB="0" distL="114300" distR="114300" simplePos="0" relativeHeight="251658240" behindDoc="0" locked="0" layoutInCell="1" hidden="0" allowOverlap="1" wp14:anchorId="2950670A" wp14:editId="0C8DA9BA">
          <wp:simplePos x="0" y="0"/>
          <wp:positionH relativeFrom="column">
            <wp:posOffset>64658</wp:posOffset>
          </wp:positionH>
          <wp:positionV relativeFrom="paragraph">
            <wp:posOffset>-253534</wp:posOffset>
          </wp:positionV>
          <wp:extent cx="681164" cy="628073"/>
          <wp:effectExtent l="0" t="0" r="0" b="0"/>
          <wp:wrapNone/>
          <wp:docPr id="77837360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8661"/>
                  <a:stretch>
                    <a:fillRect/>
                  </a:stretch>
                </pic:blipFill>
                <pic:spPr>
                  <a:xfrm>
                    <a:off x="0" y="0"/>
                    <a:ext cx="681164" cy="628073"/>
                  </a:xfrm>
                  <a:prstGeom prst="rect">
                    <a:avLst/>
                  </a:prstGeom>
                  <a:ln/>
                </pic:spPr>
              </pic:pic>
            </a:graphicData>
          </a:graphic>
        </wp:anchor>
      </w:drawing>
    </w:r>
  </w:p>
  <w:p w14:paraId="141B979C" w14:textId="77777777" w:rsidR="0068286E" w:rsidRDefault="00000000">
    <w:pPr>
      <w:pBdr>
        <w:top w:val="nil"/>
        <w:left w:val="nil"/>
        <w:bottom w:val="nil"/>
        <w:right w:val="nil"/>
        <w:between w:val="nil"/>
      </w:pBdr>
      <w:tabs>
        <w:tab w:val="center" w:pos="4680"/>
        <w:tab w:val="right" w:pos="9360"/>
      </w:tabs>
      <w:jc w:val="right"/>
      <w:rPr>
        <w:rFonts w:ascii="Calibri" w:eastAsia="Calibri" w:hAnsi="Calibri" w:cs="Calibri"/>
        <w:color w:val="000000"/>
      </w:rPr>
    </w:pPr>
    <w:r>
      <w:rPr>
        <w:rFonts w:ascii="Times" w:eastAsia="Times" w:hAnsi="Times" w:cs="Times"/>
        <w:i/>
        <w:iCs/>
        <w:color w:val="000000"/>
        <w:sz w:val="18"/>
        <w:szCs w:val="18"/>
      </w:rPr>
      <w:t>Manuscript submission model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6"/>
  <w:embedTrueTypeFonts/>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86E"/>
    <w:rsid w:val="00121E11"/>
    <w:rsid w:val="0068286E"/>
    <w:rsid w:val="00765C25"/>
    <w:rsid w:val="00FC591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064679EA"/>
  <w15:docId w15:val="{0B8890DF-15CE-5B47-97F6-0D7FF2DE5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paragraph" w:styleId="Cabealho">
    <w:name w:val="header"/>
    <w:basedOn w:val="Normal"/>
    <w:link w:val="Cabealho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CabealhoChar">
    <w:name w:val="Cabeçalho Char"/>
    <w:basedOn w:val="Fontepargpadro"/>
    <w:link w:val="Cabealho"/>
    <w:uiPriority w:val="99"/>
    <w:rsid w:val="00C413D4"/>
  </w:style>
  <w:style w:type="paragraph" w:styleId="Rodap">
    <w:name w:val="footer"/>
    <w:basedOn w:val="Normal"/>
    <w:link w:val="Rodap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RodapChar">
    <w:name w:val="Rodapé Char"/>
    <w:basedOn w:val="Fontepargpadro"/>
    <w:link w:val="Rodap"/>
    <w:uiPriority w:val="99"/>
    <w:rsid w:val="00C413D4"/>
  </w:style>
  <w:style w:type="character" w:customStyle="1" w:styleId="label3">
    <w:name w:val="label3"/>
    <w:basedOn w:val="Fontepargpadro"/>
    <w:rsid w:val="00C413D4"/>
  </w:style>
  <w:style w:type="paragraph" w:styleId="Textodenotaderodap">
    <w:name w:val="footnote text"/>
    <w:basedOn w:val="Normal"/>
    <w:link w:val="TextodenotaderodapChar"/>
    <w:uiPriority w:val="99"/>
    <w:semiHidden/>
    <w:unhideWhenUsed/>
    <w:rsid w:val="00C413D4"/>
    <w:rPr>
      <w:sz w:val="20"/>
      <w:szCs w:val="20"/>
    </w:rPr>
  </w:style>
  <w:style w:type="character" w:customStyle="1" w:styleId="TextodenotaderodapChar">
    <w:name w:val="Texto de nota de rodapé Char"/>
    <w:basedOn w:val="Fontepargpadro"/>
    <w:link w:val="Textodenotaderodap"/>
    <w:uiPriority w:val="99"/>
    <w:semiHidden/>
    <w:rsid w:val="00C413D4"/>
    <w:rPr>
      <w:rFonts w:ascii="Times New Roman" w:eastAsia="Times New Roman" w:hAnsi="Times New Roman" w:cs="Times New Roman"/>
      <w:sz w:val="20"/>
      <w:szCs w:val="20"/>
      <w:lang w:val="es-ES_tradnl" w:eastAsia="es-ES_tradnl"/>
    </w:rPr>
  </w:style>
  <w:style w:type="character" w:styleId="Refdenotaderodap">
    <w:name w:val="footnote reference"/>
    <w:basedOn w:val="Fontepargpadro"/>
    <w:uiPriority w:val="99"/>
    <w:semiHidden/>
    <w:unhideWhenUsed/>
    <w:rsid w:val="00C413D4"/>
    <w:rPr>
      <w:vertAlign w:val="superscript"/>
    </w:rPr>
  </w:style>
  <w:style w:type="character" w:styleId="Nmerodepgina">
    <w:name w:val="page number"/>
    <w:basedOn w:val="Fontepargpadro"/>
    <w:uiPriority w:val="99"/>
    <w:semiHidden/>
    <w:unhideWhenUsed/>
    <w:rsid w:val="00C413D4"/>
  </w:style>
  <w:style w:type="paragraph" w:styleId="Corpodetexto">
    <w:name w:val="Body Text"/>
    <w:basedOn w:val="Normal"/>
    <w:link w:val="CorpodetextoChar"/>
    <w:rsid w:val="006F7E7E"/>
    <w:pPr>
      <w:spacing w:line="480" w:lineRule="auto"/>
      <w:ind w:firstLine="540"/>
    </w:pPr>
    <w:rPr>
      <w:szCs w:val="20"/>
      <w:lang w:val="en-US" w:eastAsia="en-US"/>
    </w:rPr>
  </w:style>
  <w:style w:type="character" w:customStyle="1" w:styleId="CorpodetextoChar">
    <w:name w:val="Corpo de texto Char"/>
    <w:basedOn w:val="Fontepargpadro"/>
    <w:link w:val="Corpodetexto"/>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denotadefim">
    <w:name w:val="endnote text"/>
    <w:basedOn w:val="Normal"/>
    <w:link w:val="TextodenotadefimChar"/>
    <w:uiPriority w:val="99"/>
    <w:semiHidden/>
    <w:unhideWhenUsed/>
    <w:rsid w:val="007A7C7C"/>
    <w:rPr>
      <w:sz w:val="20"/>
      <w:szCs w:val="20"/>
    </w:rPr>
  </w:style>
  <w:style w:type="character" w:customStyle="1" w:styleId="TextodenotadefimChar">
    <w:name w:val="Texto de nota de fim Char"/>
    <w:basedOn w:val="Fontepargpadro"/>
    <w:link w:val="Textodenotadefim"/>
    <w:uiPriority w:val="99"/>
    <w:semiHidden/>
    <w:rsid w:val="007A7C7C"/>
    <w:rPr>
      <w:rFonts w:ascii="Times New Roman" w:eastAsia="Times New Roman" w:hAnsi="Times New Roman" w:cs="Times New Roman"/>
      <w:sz w:val="20"/>
      <w:szCs w:val="20"/>
      <w:lang w:val="es-ES_tradnl" w:eastAsia="es-ES_tradnl"/>
    </w:rPr>
  </w:style>
  <w:style w:type="character" w:styleId="Refdenotadefim">
    <w:name w:val="endnote reference"/>
    <w:basedOn w:val="Fontepargpadro"/>
    <w:uiPriority w:val="99"/>
    <w:semiHidden/>
    <w:unhideWhenUsed/>
    <w:rsid w:val="007A7C7C"/>
    <w:rPr>
      <w:vertAlign w:val="superscript"/>
    </w:rPr>
  </w:style>
  <w:style w:type="character" w:styleId="Hyperlink">
    <w:name w:val="Hyperlink"/>
    <w:basedOn w:val="Fontepargpadro"/>
    <w:uiPriority w:val="99"/>
    <w:unhideWhenUsed/>
    <w:rsid w:val="00B6522A"/>
    <w:rPr>
      <w:color w:val="0000FF"/>
      <w:u w:val="single"/>
    </w:rPr>
  </w:style>
  <w:style w:type="paragraph" w:styleId="Textodebalo">
    <w:name w:val="Balloon Text"/>
    <w:basedOn w:val="Normal"/>
    <w:link w:val="TextodebaloChar"/>
    <w:uiPriority w:val="99"/>
    <w:semiHidden/>
    <w:unhideWhenUsed/>
    <w:rsid w:val="00FB0419"/>
    <w:rPr>
      <w:sz w:val="18"/>
      <w:szCs w:val="18"/>
    </w:rPr>
  </w:style>
  <w:style w:type="character" w:customStyle="1" w:styleId="TextodebaloChar">
    <w:name w:val="Texto de balão Char"/>
    <w:basedOn w:val="Fontepargpadro"/>
    <w:link w:val="Textodebalo"/>
    <w:uiPriority w:val="99"/>
    <w:semiHidden/>
    <w:rsid w:val="00FB0419"/>
    <w:rPr>
      <w:rFonts w:ascii="Times New Roman" w:eastAsia="Times New Roman" w:hAnsi="Times New Roman" w:cs="Times New Roman"/>
      <w:sz w:val="18"/>
      <w:szCs w:val="18"/>
      <w:lang w:val="es-ES_tradnl" w:eastAsia="es-ES_tradnl"/>
    </w:rPr>
  </w:style>
  <w:style w:type="table" w:styleId="Tabelacomgrade">
    <w:name w:val="Table Grid"/>
    <w:basedOn w:val="Tabelanormal"/>
    <w:uiPriority w:val="39"/>
    <w:rsid w:val="00CE7D6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rPr>
  </w:style>
  <w:style w:type="paragraph" w:customStyle="1" w:styleId="Resumen">
    <w:name w:val="Resumen"/>
    <w:basedOn w:val="Normal"/>
    <w:autoRedefine/>
    <w:qFormat/>
    <w:rsid w:val="007E3B8D"/>
    <w:pPr>
      <w:jc w:val="both"/>
    </w:pPr>
    <w:rPr>
      <w:sz w:val="20"/>
      <w:szCs w:val="20"/>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rPr>
  </w:style>
  <w:style w:type="paragraph" w:customStyle="1" w:styleId="NombresAutores">
    <w:name w:val="Nombres Autores"/>
    <w:basedOn w:val="Normal"/>
    <w:qFormat/>
    <w:rsid w:val="00CE7D65"/>
    <w:rPr>
      <w:b/>
      <w:color w:val="222222"/>
      <w:sz w:val="28"/>
      <w:szCs w:val="28"/>
    </w:rPr>
  </w:style>
  <w:style w:type="paragraph" w:customStyle="1" w:styleId="Instituciones">
    <w:name w:val="Instituciones"/>
    <w:basedOn w:val="Normal"/>
    <w:qFormat/>
    <w:rsid w:val="00CE7D65"/>
    <w:rPr>
      <w:i/>
      <w:sz w:val="28"/>
      <w:szCs w:val="28"/>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rPr>
  </w:style>
  <w:style w:type="character" w:customStyle="1" w:styleId="TtulosinternosCar">
    <w:name w:val="Títulos internos Car"/>
    <w:basedOn w:val="Fontepargpadro"/>
    <w:link w:val="Ttulosinternos"/>
    <w:rsid w:val="001516ED"/>
    <w:rPr>
      <w:rFonts w:ascii="Times New Roman" w:eastAsia="Times New Roman" w:hAnsi="Times New Roman" w:cs="Times New Roman"/>
      <w:b/>
    </w:rPr>
  </w:style>
  <w:style w:type="character" w:customStyle="1" w:styleId="Ttulo2Char">
    <w:name w:val="Título 2 Char"/>
    <w:basedOn w:val="Fontepargpadro"/>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style>
  <w:style w:type="character" w:customStyle="1" w:styleId="TitulodeartculoCar">
    <w:name w:val="Titulo de artículo Car"/>
    <w:basedOn w:val="Fontepargpadro"/>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ontepargpadro"/>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ontepargpadro"/>
    <w:link w:val="TtuloResumen"/>
    <w:rsid w:val="00C43335"/>
    <w:rPr>
      <w:rFonts w:ascii="Times New Roman" w:eastAsia="Times New Roman" w:hAnsi="Times New Roman" w:cs="Times New Roman"/>
      <w:b/>
      <w:smallCaps/>
      <w:sz w:val="20"/>
      <w:szCs w:val="20"/>
      <w:lang w:val="pt-BR" w:eastAsia="es-ES_tradnl"/>
    </w:rPr>
  </w:style>
  <w:style w:type="character" w:styleId="MenoPendente">
    <w:name w:val="Unresolved Mention"/>
    <w:basedOn w:val="Fontepargpadro"/>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customStyle="1" w:styleId="TableNormal2">
    <w:name w:val="Table Normal"/>
    <w:rsid w:val="00A93146"/>
    <w:pPr>
      <w:pBdr>
        <w:top w:val="nil"/>
        <w:left w:val="nil"/>
        <w:bottom w:val="nil"/>
        <w:right w:val="nil"/>
        <w:between w:val="nil"/>
        <w:bar w:val="nil"/>
      </w:pBdr>
    </w:pPr>
    <w:rPr>
      <w:rFonts w:eastAsia="Arial Unicode MS"/>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78702D"/>
    <w:pPr>
      <w:outlineLvl w:val="2"/>
    </w:pPr>
    <w:rPr>
      <w:b w:val="0"/>
      <w:lang w:val="es-AR" w:eastAsia="en-US"/>
    </w:rPr>
  </w:style>
  <w:style w:type="character" w:customStyle="1" w:styleId="SubtituloInterno1Car">
    <w:name w:val="Subtitulo Interno 1 Car"/>
    <w:basedOn w:val="Fontepargpadro"/>
    <w:link w:val="SubtituloInterno1"/>
    <w:rsid w:val="0078702D"/>
    <w:rPr>
      <w:rFonts w:ascii="Times New Roman" w:eastAsia="Times New Roman" w:hAnsi="Times New Roman" w:cs="Times New Roman"/>
      <w:i/>
      <w:lang w:val="es-AR"/>
    </w:rPr>
  </w:style>
  <w:style w:type="table" w:customStyle="1" w:styleId="a">
    <w:basedOn w:val="TableNormal2"/>
    <w:rPr>
      <w:rFonts w:eastAsia="Times New Roman"/>
    </w:rPr>
    <w:tblPr>
      <w:tblStyleRowBandSize w:val="1"/>
      <w:tblStyleColBandSize w:val="1"/>
    </w:tblPr>
  </w:style>
  <w:style w:type="table" w:customStyle="1" w:styleId="a0">
    <w:basedOn w:val="TableNormal1"/>
    <w:tblPr>
      <w:tblStyleRowBandSize w:val="1"/>
      <w:tblStyleColBandSize w:val="1"/>
      <w:tblCellMar>
        <w:top w:w="15" w:type="dxa"/>
        <w:left w:w="15" w:type="dxa"/>
        <w:bottom w:w="15" w:type="dxa"/>
        <w:right w:w="15" w:type="dxa"/>
      </w:tblCellMar>
    </w:tblPr>
  </w:style>
  <w:style w:type="table" w:customStyle="1" w:styleId="a1">
    <w:basedOn w:val="TableNormal1"/>
    <w:tblPr>
      <w:tblStyleRowBandSize w:val="1"/>
      <w:tblStyleColBandSize w:val="1"/>
      <w:tblCellMar>
        <w:top w:w="15" w:type="dxa"/>
        <w:left w:w="15" w:type="dxa"/>
        <w:bottom w:w="15" w:type="dxa"/>
        <w:right w:w="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67XM72AIDQ1JO9IVUM+6OvxMA==">CgMxLjA4AHIhMXlwelV0TFJydEZaUnIxZGVGT2VqOWFWUXJKRzdLbUJB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5452</Words>
  <Characters>30914</Characters>
  <Application>Microsoft Office Word</Application>
  <DocSecurity>0</DocSecurity>
  <Lines>506</Lines>
  <Paragraphs>123</Paragraphs>
  <ScaleCrop>false</ScaleCrop>
  <Company/>
  <LinksUpToDate>false</LinksUpToDate>
  <CharactersWithSpaces>36243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Caio Arato</cp:lastModifiedBy>
  <cp:revision>2</cp:revision>
  <dcterms:created xsi:type="dcterms:W3CDTF">2020-09-09T19:59:00Z</dcterms:created>
  <dcterms:modified xsi:type="dcterms:W3CDTF">2026-01-06T12:24:00Z</dcterms:modified>
</cp:coreProperties>
</file>