
<file path=[Content_Types].xml><?xml version="1.0" encoding="utf-8"?>
<Types xmlns="http://schemas.openxmlformats.org/package/2006/content-types">
  <Default Extension="xml" ContentType="application/xml"/>
  <Default Extension="bin" ContentType="application/vnd.openxmlformats-officedocument.oleObject"/>
  <Default Extension="rels" ContentType="application/vnd.openxmlformats-package.relationships+xml"/>
  <Default Extension="wmf" ContentType="image/x-w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72E555" w14:textId="04FB9B00" w:rsidR="00F2113B" w:rsidRPr="00B33A7D" w:rsidRDefault="002452D8" w:rsidP="006C419A">
      <w:pPr>
        <w:spacing w:line="480" w:lineRule="auto"/>
        <w:jc w:val="center"/>
        <w:rPr>
          <w:b/>
          <w:lang w:val="en-US"/>
        </w:rPr>
      </w:pPr>
      <w:r w:rsidRPr="005C4FD9">
        <w:rPr>
          <w:b/>
          <w:highlight w:val="yellow"/>
          <w:lang w:val="en-US"/>
        </w:rPr>
        <w:t xml:space="preserve">BIOSOCIAL AND ACADEMIC CHARACTERISTICS THAT CONTRIBUTE TO BURNOUT OCCURRENCE IN NURSING STUDENTS </w:t>
      </w:r>
      <w:r w:rsidR="00F2113B" w:rsidRPr="005C4FD9">
        <w:rPr>
          <w:b/>
          <w:highlight w:val="yellow"/>
          <w:lang w:val="en-US"/>
        </w:rPr>
        <w:t xml:space="preserve">- </w:t>
      </w:r>
      <w:r w:rsidR="003F34F0" w:rsidRPr="005C4FD9">
        <w:rPr>
          <w:b/>
          <w:highlight w:val="yellow"/>
          <w:lang w:val="en-US"/>
        </w:rPr>
        <w:t>ANALYTIC</w:t>
      </w:r>
      <w:r w:rsidR="002C44AE" w:rsidRPr="005C4FD9">
        <w:rPr>
          <w:b/>
          <w:highlight w:val="yellow"/>
          <w:lang w:val="en-US"/>
        </w:rPr>
        <w:t xml:space="preserve"> </w:t>
      </w:r>
      <w:r w:rsidR="00F2113B" w:rsidRPr="005C4FD9">
        <w:rPr>
          <w:b/>
          <w:highlight w:val="yellow"/>
          <w:lang w:val="en-US"/>
        </w:rPr>
        <w:t>STUDY</w:t>
      </w:r>
    </w:p>
    <w:p w14:paraId="0AD4A614" w14:textId="77777777" w:rsidR="00100EFF" w:rsidRPr="00B33A7D" w:rsidRDefault="00100EFF" w:rsidP="006C419A">
      <w:pPr>
        <w:tabs>
          <w:tab w:val="left" w:pos="6885"/>
        </w:tabs>
        <w:spacing w:line="480" w:lineRule="auto"/>
        <w:rPr>
          <w:b/>
          <w:lang w:val="en-US"/>
        </w:rPr>
      </w:pPr>
    </w:p>
    <w:p w14:paraId="1AF40996" w14:textId="77777777" w:rsidR="00795137" w:rsidRPr="00B33A7D" w:rsidRDefault="00795137" w:rsidP="006C419A">
      <w:pPr>
        <w:tabs>
          <w:tab w:val="left" w:pos="6885"/>
        </w:tabs>
        <w:spacing w:line="480" w:lineRule="auto"/>
        <w:rPr>
          <w:b/>
          <w:lang w:val="en-US"/>
        </w:rPr>
      </w:pPr>
      <w:r w:rsidRPr="00B33A7D">
        <w:rPr>
          <w:b/>
          <w:lang w:val="en-US"/>
        </w:rPr>
        <w:t>ABSTRACT</w:t>
      </w:r>
    </w:p>
    <w:p w14:paraId="1F207B70" w14:textId="060F1EB1" w:rsidR="0086062A" w:rsidRPr="00B33A7D" w:rsidRDefault="00560A58" w:rsidP="006C419A">
      <w:pPr>
        <w:tabs>
          <w:tab w:val="left" w:pos="6885"/>
        </w:tabs>
        <w:spacing w:line="480" w:lineRule="auto"/>
        <w:jc w:val="both"/>
        <w:rPr>
          <w:lang w:val="en-US"/>
        </w:rPr>
      </w:pPr>
      <w:r w:rsidRPr="005C4FD9">
        <w:rPr>
          <w:highlight w:val="yellow"/>
          <w:lang w:val="en-US"/>
        </w:rPr>
        <w:t>We</w:t>
      </w:r>
      <w:r w:rsidR="0044682C" w:rsidRPr="005C4FD9">
        <w:rPr>
          <w:b/>
          <w:highlight w:val="yellow"/>
          <w:lang w:val="en-US"/>
        </w:rPr>
        <w:t xml:space="preserve"> </w:t>
      </w:r>
      <w:r w:rsidR="001D5FC4" w:rsidRPr="005C4FD9">
        <w:rPr>
          <w:highlight w:val="yellow"/>
          <w:lang w:val="en-US"/>
        </w:rPr>
        <w:t>verified the association of biosocial and academic variables to Burnout occurrence in nursing students</w:t>
      </w:r>
      <w:r w:rsidR="004B2D6B" w:rsidRPr="00B33A7D">
        <w:rPr>
          <w:b/>
          <w:lang w:val="en-US"/>
        </w:rPr>
        <w:t xml:space="preserve">. </w:t>
      </w:r>
      <w:r w:rsidR="00185102" w:rsidRPr="00B33A7D">
        <w:rPr>
          <w:lang w:val="en-US"/>
        </w:rPr>
        <w:t xml:space="preserve">It is a quantitative, analytical and cross-sectional study. </w:t>
      </w:r>
      <w:r w:rsidR="00033640" w:rsidRPr="00B33A7D">
        <w:rPr>
          <w:lang w:val="en-US"/>
        </w:rPr>
        <w:t>W</w:t>
      </w:r>
      <w:r w:rsidR="00185102" w:rsidRPr="00B33A7D">
        <w:rPr>
          <w:lang w:val="en-US"/>
        </w:rPr>
        <w:t xml:space="preserve">e applied a Form to </w:t>
      </w:r>
      <w:r w:rsidR="00BD409C">
        <w:rPr>
          <w:lang w:val="en-US"/>
        </w:rPr>
        <w:t>biosocial</w:t>
      </w:r>
      <w:r w:rsidR="00185102" w:rsidRPr="00B33A7D">
        <w:rPr>
          <w:lang w:val="en-US"/>
        </w:rPr>
        <w:t xml:space="preserve"> and academic characterization and the </w:t>
      </w:r>
      <w:proofErr w:type="spellStart"/>
      <w:r w:rsidR="00334D47" w:rsidRPr="00B33A7D">
        <w:rPr>
          <w:i/>
          <w:lang w:val="en-US"/>
        </w:rPr>
        <w:t>Maslach</w:t>
      </w:r>
      <w:proofErr w:type="spellEnd"/>
      <w:r w:rsidR="00334D47" w:rsidRPr="00B33A7D">
        <w:rPr>
          <w:i/>
          <w:lang w:val="en-US"/>
        </w:rPr>
        <w:t xml:space="preserve"> Burnout Inventory</w:t>
      </w:r>
      <w:r w:rsidR="00185102" w:rsidRPr="00B33A7D">
        <w:rPr>
          <w:lang w:val="en-US"/>
        </w:rPr>
        <w:t xml:space="preserve"> in 570 nursing students between April 2011 and March 2012.</w:t>
      </w:r>
      <w:r w:rsidR="0050729B" w:rsidRPr="00B33A7D">
        <w:rPr>
          <w:lang w:val="en-US"/>
        </w:rPr>
        <w:t xml:space="preserve"> </w:t>
      </w:r>
      <w:r w:rsidR="007E32BC" w:rsidRPr="00B33A7D">
        <w:rPr>
          <w:lang w:val="en-US"/>
        </w:rPr>
        <w:t xml:space="preserve">Burnout occurrence is higher among students enrolled in first semester, who attend 10 disciplines, without thoughts of leaving the course and who has no job activity. The high Emotional Exhaustion and low Professional Efficacy predominate among students without work </w:t>
      </w:r>
      <w:r w:rsidR="000F3134" w:rsidRPr="00B33A7D">
        <w:rPr>
          <w:lang w:val="en-US"/>
        </w:rPr>
        <w:t>activity</w:t>
      </w:r>
      <w:r w:rsidR="007E32BC" w:rsidRPr="00B33A7D">
        <w:rPr>
          <w:lang w:val="en-US"/>
        </w:rPr>
        <w:t xml:space="preserve"> and with</w:t>
      </w:r>
      <w:r w:rsidR="006657CE">
        <w:rPr>
          <w:lang w:val="en-US"/>
        </w:rPr>
        <w:t xml:space="preserve"> no</w:t>
      </w:r>
      <w:r w:rsidR="007E32BC" w:rsidRPr="00B33A7D">
        <w:rPr>
          <w:lang w:val="en-US"/>
        </w:rPr>
        <w:t xml:space="preserve"> thoughts of leaving t</w:t>
      </w:r>
      <w:r w:rsidR="00334D47" w:rsidRPr="00B33A7D">
        <w:rPr>
          <w:lang w:val="en-US"/>
        </w:rPr>
        <w:t>he course. The high Cynicism predominated among</w:t>
      </w:r>
      <w:r w:rsidR="007E32BC" w:rsidRPr="00B33A7D">
        <w:rPr>
          <w:lang w:val="en-US"/>
        </w:rPr>
        <w:t xml:space="preserve"> </w:t>
      </w:r>
      <w:r w:rsidR="006657CE" w:rsidRPr="00B33A7D">
        <w:rPr>
          <w:lang w:val="en-US"/>
        </w:rPr>
        <w:t xml:space="preserve">students </w:t>
      </w:r>
      <w:r w:rsidR="006657CE">
        <w:rPr>
          <w:lang w:val="en-US"/>
        </w:rPr>
        <w:t>aged 20-24 years</w:t>
      </w:r>
      <w:r w:rsidR="007E32BC" w:rsidRPr="00B33A7D">
        <w:rPr>
          <w:lang w:val="en-US"/>
        </w:rPr>
        <w:t>, enrolled in first semester</w:t>
      </w:r>
      <w:r w:rsidR="00C1603C" w:rsidRPr="00B33A7D">
        <w:rPr>
          <w:lang w:val="en-US"/>
        </w:rPr>
        <w:t xml:space="preserve">, who </w:t>
      </w:r>
      <w:r w:rsidR="00D25A14" w:rsidRPr="00B33A7D">
        <w:rPr>
          <w:lang w:val="en-US"/>
        </w:rPr>
        <w:t>does not</w:t>
      </w:r>
      <w:r w:rsidR="007E32BC" w:rsidRPr="00B33A7D">
        <w:rPr>
          <w:lang w:val="en-US"/>
        </w:rPr>
        <w:t xml:space="preserve"> </w:t>
      </w:r>
      <w:r w:rsidR="00C1603C" w:rsidRPr="00B33A7D">
        <w:rPr>
          <w:lang w:val="en-US"/>
        </w:rPr>
        <w:t xml:space="preserve">work </w:t>
      </w:r>
      <w:r w:rsidR="007E32BC" w:rsidRPr="00B33A7D">
        <w:rPr>
          <w:lang w:val="en-US"/>
        </w:rPr>
        <w:t xml:space="preserve">and </w:t>
      </w:r>
      <w:r w:rsidRPr="00B33A7D">
        <w:rPr>
          <w:lang w:val="en-US"/>
        </w:rPr>
        <w:t>without</w:t>
      </w:r>
      <w:r w:rsidR="00131AE7" w:rsidRPr="00B33A7D">
        <w:rPr>
          <w:lang w:val="en-US"/>
        </w:rPr>
        <w:t xml:space="preserve"> experience in healthcare</w:t>
      </w:r>
      <w:r w:rsidR="007E32BC" w:rsidRPr="00B33A7D">
        <w:rPr>
          <w:lang w:val="en-US"/>
        </w:rPr>
        <w:t xml:space="preserve">. </w:t>
      </w:r>
      <w:r w:rsidR="001F6823" w:rsidRPr="001F6823">
        <w:rPr>
          <w:highlight w:val="yellow"/>
          <w:lang w:val="en-US"/>
        </w:rPr>
        <w:t>Few b</w:t>
      </w:r>
      <w:r w:rsidR="002452D8" w:rsidRPr="001F6823">
        <w:rPr>
          <w:highlight w:val="yellow"/>
          <w:lang w:val="en-US"/>
        </w:rPr>
        <w:t>iosocial</w:t>
      </w:r>
      <w:r w:rsidR="00131AE7" w:rsidRPr="001F6823">
        <w:rPr>
          <w:highlight w:val="yellow"/>
          <w:lang w:val="en-US"/>
        </w:rPr>
        <w:t xml:space="preserve"> and academic characteristics c</w:t>
      </w:r>
      <w:r w:rsidR="00334D47" w:rsidRPr="001F6823">
        <w:rPr>
          <w:highlight w:val="yellow"/>
          <w:lang w:val="en-US"/>
        </w:rPr>
        <w:t>ontribute to Burnout occurrence</w:t>
      </w:r>
      <w:r w:rsidR="002452D8" w:rsidRPr="001F6823">
        <w:rPr>
          <w:highlight w:val="yellow"/>
          <w:lang w:val="en-US"/>
        </w:rPr>
        <w:t xml:space="preserve"> in nursing students</w:t>
      </w:r>
      <w:r w:rsidR="001F6823">
        <w:rPr>
          <w:highlight w:val="yellow"/>
          <w:lang w:val="en-US"/>
        </w:rPr>
        <w:t xml:space="preserve">, </w:t>
      </w:r>
      <w:r w:rsidR="001F6823" w:rsidRPr="001F6823">
        <w:rPr>
          <w:highlight w:val="yellow"/>
          <w:lang w:val="en-US"/>
        </w:rPr>
        <w:t>raising the need of interventions to relieve stress in this population.</w:t>
      </w:r>
      <w:r w:rsidR="00131AE7" w:rsidRPr="00B33A7D">
        <w:rPr>
          <w:lang w:val="en-US"/>
        </w:rPr>
        <w:t xml:space="preserve"> </w:t>
      </w:r>
      <w:r w:rsidR="005F7EF0" w:rsidRPr="00B33A7D">
        <w:rPr>
          <w:b/>
          <w:lang w:val="en-US"/>
        </w:rPr>
        <w:t>Keywords</w:t>
      </w:r>
      <w:r w:rsidR="00243282" w:rsidRPr="00B33A7D">
        <w:rPr>
          <w:b/>
          <w:lang w:val="en-US"/>
        </w:rPr>
        <w:t>:</w:t>
      </w:r>
      <w:r w:rsidR="0079336F" w:rsidRPr="00B33A7D">
        <w:rPr>
          <w:lang w:val="en-US"/>
        </w:rPr>
        <w:t xml:space="preserve"> </w:t>
      </w:r>
      <w:r w:rsidR="00B87A03" w:rsidRPr="00B33A7D">
        <w:rPr>
          <w:lang w:val="en-US"/>
        </w:rPr>
        <w:t xml:space="preserve">Nursing; Burnout, Professional; Stress, Psychological; </w:t>
      </w:r>
      <w:r w:rsidR="002F1206" w:rsidRPr="00B33A7D">
        <w:rPr>
          <w:lang w:val="en-US"/>
        </w:rPr>
        <w:t>Students, Nursing</w:t>
      </w:r>
      <w:r w:rsidR="00B87A03" w:rsidRPr="00B33A7D">
        <w:rPr>
          <w:lang w:val="en-US"/>
        </w:rPr>
        <w:t>; Analytic epidemiology.</w:t>
      </w:r>
    </w:p>
    <w:p w14:paraId="3C2C3727" w14:textId="77777777" w:rsidR="00D04EE1" w:rsidRPr="00B33A7D" w:rsidRDefault="00D04EE1" w:rsidP="006C419A">
      <w:pPr>
        <w:tabs>
          <w:tab w:val="left" w:pos="2166"/>
        </w:tabs>
        <w:spacing w:line="480" w:lineRule="auto"/>
        <w:rPr>
          <w:b/>
          <w:lang w:val="en-US"/>
        </w:rPr>
      </w:pPr>
    </w:p>
    <w:p w14:paraId="074CA73E" w14:textId="77777777" w:rsidR="006C419A" w:rsidRPr="00B33A7D" w:rsidRDefault="006C419A" w:rsidP="006C419A">
      <w:pPr>
        <w:tabs>
          <w:tab w:val="left" w:pos="2166"/>
        </w:tabs>
        <w:spacing w:line="480" w:lineRule="auto"/>
        <w:rPr>
          <w:b/>
          <w:lang w:val="en-US"/>
        </w:rPr>
      </w:pPr>
      <w:r w:rsidRPr="00B33A7D">
        <w:rPr>
          <w:b/>
          <w:lang w:val="en-US"/>
        </w:rPr>
        <w:t>RESUMO</w:t>
      </w:r>
    </w:p>
    <w:p w14:paraId="22B8A15C" w14:textId="4B8109EB" w:rsidR="006C419A" w:rsidRPr="006657CE" w:rsidRDefault="00421E3B" w:rsidP="006C419A">
      <w:pPr>
        <w:spacing w:line="480" w:lineRule="auto"/>
        <w:jc w:val="both"/>
      </w:pPr>
      <w:r w:rsidRPr="005C4FD9">
        <w:rPr>
          <w:highlight w:val="yellow"/>
        </w:rPr>
        <w:t>Analisou-se a</w:t>
      </w:r>
      <w:r w:rsidR="006C419A" w:rsidRPr="005C4FD9">
        <w:rPr>
          <w:highlight w:val="yellow"/>
        </w:rPr>
        <w:t xml:space="preserve"> </w:t>
      </w:r>
      <w:r w:rsidRPr="005C4FD9">
        <w:rPr>
          <w:highlight w:val="yellow"/>
        </w:rPr>
        <w:t xml:space="preserve">associação de características biossociais e acadêmicas à </w:t>
      </w:r>
      <w:r w:rsidR="006C419A" w:rsidRPr="005C4FD9">
        <w:rPr>
          <w:highlight w:val="yellow"/>
        </w:rPr>
        <w:t xml:space="preserve">ocorrência da Síndrome de </w:t>
      </w:r>
      <w:r w:rsidR="006C419A" w:rsidRPr="005C4FD9">
        <w:rPr>
          <w:i/>
          <w:highlight w:val="yellow"/>
        </w:rPr>
        <w:t>Burnout</w:t>
      </w:r>
      <w:r w:rsidR="006C419A" w:rsidRPr="005C4FD9">
        <w:rPr>
          <w:highlight w:val="yellow"/>
        </w:rPr>
        <w:t xml:space="preserve"> </w:t>
      </w:r>
      <w:r w:rsidRPr="005C4FD9">
        <w:rPr>
          <w:highlight w:val="yellow"/>
        </w:rPr>
        <w:t>em</w:t>
      </w:r>
      <w:r w:rsidR="006C419A" w:rsidRPr="005C4FD9">
        <w:rPr>
          <w:highlight w:val="yellow"/>
        </w:rPr>
        <w:t xml:space="preserve"> estudantes de enfermagem</w:t>
      </w:r>
      <w:r w:rsidR="006C419A" w:rsidRPr="00421E3B">
        <w:t>.</w:t>
      </w:r>
      <w:r w:rsidR="006C419A" w:rsidRPr="006657CE">
        <w:t xml:space="preserve"> </w:t>
      </w:r>
      <w:r w:rsidR="00334D47" w:rsidRPr="006657CE">
        <w:t>E</w:t>
      </w:r>
      <w:r w:rsidR="006C419A" w:rsidRPr="006657CE">
        <w:t>studo transversal, analítico e quantitativo.</w:t>
      </w:r>
      <w:r w:rsidR="00033640" w:rsidRPr="006657CE">
        <w:t xml:space="preserve"> A</w:t>
      </w:r>
      <w:r w:rsidR="006C419A" w:rsidRPr="006657CE">
        <w:t xml:space="preserve">plicaram-se um Formulário </w:t>
      </w:r>
      <w:r w:rsidR="00BD409C">
        <w:t>biossocial</w:t>
      </w:r>
      <w:r w:rsidR="006C419A" w:rsidRPr="006657CE">
        <w:t xml:space="preserve"> e acadêmic</w:t>
      </w:r>
      <w:r w:rsidR="00334D47" w:rsidRPr="006657CE">
        <w:t>o</w:t>
      </w:r>
      <w:r w:rsidR="006C419A" w:rsidRPr="006657CE">
        <w:t xml:space="preserve"> e o </w:t>
      </w:r>
      <w:proofErr w:type="spellStart"/>
      <w:r w:rsidR="00334D47" w:rsidRPr="006657CE">
        <w:rPr>
          <w:i/>
        </w:rPr>
        <w:t>Maslach</w:t>
      </w:r>
      <w:proofErr w:type="spellEnd"/>
      <w:r w:rsidR="00334D47" w:rsidRPr="006657CE">
        <w:rPr>
          <w:i/>
        </w:rPr>
        <w:t xml:space="preserve"> Burnout </w:t>
      </w:r>
      <w:proofErr w:type="spellStart"/>
      <w:r w:rsidR="00334D47" w:rsidRPr="006657CE">
        <w:rPr>
          <w:i/>
        </w:rPr>
        <w:t>Inventory</w:t>
      </w:r>
      <w:proofErr w:type="spellEnd"/>
      <w:r w:rsidR="00334D47" w:rsidRPr="006657CE">
        <w:rPr>
          <w:i/>
        </w:rPr>
        <w:t xml:space="preserve"> </w:t>
      </w:r>
      <w:r w:rsidR="006C419A" w:rsidRPr="006657CE">
        <w:t>em 570 discentes entre abril de 2011 e março de 2012</w:t>
      </w:r>
      <w:r w:rsidR="006C419A" w:rsidRPr="006657CE">
        <w:rPr>
          <w:color w:val="000000"/>
        </w:rPr>
        <w:t>.</w:t>
      </w:r>
      <w:r w:rsidR="006C419A" w:rsidRPr="006657CE">
        <w:rPr>
          <w:rFonts w:cs="Arial"/>
          <w:color w:val="000000"/>
        </w:rPr>
        <w:t xml:space="preserve"> </w:t>
      </w:r>
      <w:r w:rsidR="00334D47" w:rsidRPr="006657CE">
        <w:rPr>
          <w:rFonts w:cs="Arial"/>
          <w:color w:val="000000"/>
        </w:rPr>
        <w:t>A</w:t>
      </w:r>
      <w:r w:rsidR="006C419A" w:rsidRPr="006657CE">
        <w:rPr>
          <w:rFonts w:cs="Arial"/>
          <w:color w:val="000000"/>
        </w:rPr>
        <w:t xml:space="preserve"> ocorrência do </w:t>
      </w:r>
      <w:r w:rsidR="006C419A" w:rsidRPr="006657CE">
        <w:rPr>
          <w:rFonts w:cs="Arial"/>
          <w:i/>
          <w:color w:val="000000"/>
        </w:rPr>
        <w:t>Burnout</w:t>
      </w:r>
      <w:r w:rsidR="006C419A" w:rsidRPr="006657CE">
        <w:rPr>
          <w:rFonts w:cs="Arial"/>
          <w:color w:val="000000"/>
        </w:rPr>
        <w:t xml:space="preserve"> é maior entre os discentes </w:t>
      </w:r>
      <w:r w:rsidR="0024394C" w:rsidRPr="006657CE">
        <w:rPr>
          <w:rFonts w:cs="Arial"/>
          <w:color w:val="000000"/>
        </w:rPr>
        <w:t>do</w:t>
      </w:r>
      <w:r w:rsidR="006C419A" w:rsidRPr="006657CE">
        <w:rPr>
          <w:rFonts w:cs="Arial"/>
          <w:color w:val="000000"/>
        </w:rPr>
        <w:t xml:space="preserve"> primeiro semestre, </w:t>
      </w:r>
      <w:r w:rsidR="009C297A" w:rsidRPr="006657CE">
        <w:rPr>
          <w:rFonts w:cs="Arial"/>
          <w:color w:val="000000"/>
        </w:rPr>
        <w:t>cursando</w:t>
      </w:r>
      <w:r w:rsidR="006C419A" w:rsidRPr="006657CE">
        <w:rPr>
          <w:rFonts w:cs="Arial"/>
          <w:color w:val="000000"/>
        </w:rPr>
        <w:t xml:space="preserve"> 10 disciplinas, não pensaram em desistir do curso e não </w:t>
      </w:r>
      <w:r w:rsidR="0024394C" w:rsidRPr="006657CE">
        <w:rPr>
          <w:rFonts w:cs="Arial"/>
          <w:color w:val="000000"/>
        </w:rPr>
        <w:t>trabalham</w:t>
      </w:r>
      <w:r w:rsidR="006C419A" w:rsidRPr="006657CE">
        <w:rPr>
          <w:rFonts w:cs="Arial"/>
          <w:color w:val="000000"/>
        </w:rPr>
        <w:t>. A a</w:t>
      </w:r>
      <w:r w:rsidR="006C419A" w:rsidRPr="006657CE">
        <w:t xml:space="preserve">lta Exaustão Emocional e a baixa Eficácia Profissional predominam entre </w:t>
      </w:r>
      <w:r w:rsidR="009C297A" w:rsidRPr="006657CE">
        <w:t>aqueles</w:t>
      </w:r>
      <w:r w:rsidR="006C419A" w:rsidRPr="006657CE">
        <w:t xml:space="preserve"> sem atividade laboral e que não pensaram em desistir do curso. A alta Descrença </w:t>
      </w:r>
      <w:r w:rsidR="00334D47" w:rsidRPr="006657CE">
        <w:lastRenderedPageBreak/>
        <w:t xml:space="preserve">predominou </w:t>
      </w:r>
      <w:r w:rsidR="006C419A" w:rsidRPr="006657CE">
        <w:t xml:space="preserve">nos estudantes entre 20 e 24 anos, do primeiro semestre, que não trabalham e sem experiência na área da saúde. </w:t>
      </w:r>
      <w:r w:rsidR="006C419A" w:rsidRPr="001F6823">
        <w:rPr>
          <w:rFonts w:cs="Arial"/>
          <w:color w:val="000000"/>
          <w:highlight w:val="yellow"/>
        </w:rPr>
        <w:t>A</w:t>
      </w:r>
      <w:r w:rsidR="001F6823" w:rsidRPr="001F6823">
        <w:rPr>
          <w:rFonts w:cs="Arial"/>
          <w:color w:val="000000"/>
          <w:highlight w:val="yellow"/>
        </w:rPr>
        <w:t>lgumas</w:t>
      </w:r>
      <w:r w:rsidR="006C419A" w:rsidRPr="001F6823">
        <w:rPr>
          <w:rFonts w:cs="Arial"/>
          <w:color w:val="000000"/>
          <w:highlight w:val="yellow"/>
        </w:rPr>
        <w:t xml:space="preserve"> características </w:t>
      </w:r>
      <w:r w:rsidR="007E016A" w:rsidRPr="001F6823">
        <w:rPr>
          <w:rFonts w:cs="Arial"/>
          <w:color w:val="000000"/>
          <w:highlight w:val="yellow"/>
        </w:rPr>
        <w:t>biossociais</w:t>
      </w:r>
      <w:r w:rsidR="006C419A" w:rsidRPr="001F6823">
        <w:rPr>
          <w:rFonts w:cs="Arial"/>
          <w:color w:val="000000"/>
          <w:highlight w:val="yellow"/>
        </w:rPr>
        <w:t xml:space="preserve"> e acadêmicas contribuem para </w:t>
      </w:r>
      <w:r w:rsidR="001F6823" w:rsidRPr="001F6823">
        <w:rPr>
          <w:rFonts w:cs="Arial"/>
          <w:color w:val="000000"/>
          <w:highlight w:val="yellow"/>
        </w:rPr>
        <w:t>o</w:t>
      </w:r>
      <w:r w:rsidR="006C419A" w:rsidRPr="001F6823">
        <w:rPr>
          <w:rFonts w:cs="Arial"/>
          <w:color w:val="000000"/>
          <w:highlight w:val="yellow"/>
        </w:rPr>
        <w:t xml:space="preserve"> </w:t>
      </w:r>
      <w:r w:rsidR="006C419A" w:rsidRPr="001F6823">
        <w:rPr>
          <w:rFonts w:cs="Arial"/>
          <w:i/>
          <w:color w:val="000000"/>
          <w:highlight w:val="yellow"/>
        </w:rPr>
        <w:t>Burnout</w:t>
      </w:r>
      <w:r w:rsidR="002452D8" w:rsidRPr="001F6823">
        <w:rPr>
          <w:rFonts w:cs="Arial"/>
          <w:i/>
          <w:color w:val="000000"/>
          <w:highlight w:val="yellow"/>
        </w:rPr>
        <w:t xml:space="preserve"> </w:t>
      </w:r>
      <w:r w:rsidR="002452D8" w:rsidRPr="001F6823">
        <w:rPr>
          <w:rFonts w:cs="Arial"/>
          <w:color w:val="000000"/>
          <w:highlight w:val="yellow"/>
        </w:rPr>
        <w:t>em estudantes de enfermagem</w:t>
      </w:r>
      <w:r w:rsidR="001F6823" w:rsidRPr="001F6823">
        <w:rPr>
          <w:rFonts w:cs="Arial"/>
          <w:color w:val="000000"/>
          <w:highlight w:val="yellow"/>
        </w:rPr>
        <w:t>, sendo necessárias estratégias que minimizem o estresse nessa população</w:t>
      </w:r>
      <w:bookmarkStart w:id="0" w:name="_GoBack"/>
      <w:bookmarkEnd w:id="0"/>
      <w:r w:rsidR="001F6823">
        <w:rPr>
          <w:rFonts w:cs="Arial"/>
          <w:color w:val="000000"/>
        </w:rPr>
        <w:t>.</w:t>
      </w:r>
      <w:r w:rsidR="00334D47" w:rsidRPr="006657CE">
        <w:rPr>
          <w:rFonts w:cs="Arial"/>
          <w:i/>
          <w:color w:val="000000"/>
        </w:rPr>
        <w:t xml:space="preserve"> </w:t>
      </w:r>
      <w:r w:rsidR="005F7EF0" w:rsidRPr="006657CE">
        <w:rPr>
          <w:b/>
        </w:rPr>
        <w:t>Palavras-chave</w:t>
      </w:r>
      <w:r w:rsidR="006C419A" w:rsidRPr="006657CE">
        <w:rPr>
          <w:b/>
        </w:rPr>
        <w:t>:</w:t>
      </w:r>
      <w:r w:rsidR="006C419A" w:rsidRPr="006657CE">
        <w:t xml:space="preserve"> Enfermagem;</w:t>
      </w:r>
      <w:r w:rsidR="006C419A" w:rsidRPr="006657CE">
        <w:rPr>
          <w:rFonts w:ascii="Verdana" w:hAnsi="Verdana"/>
          <w:b/>
          <w:bCs/>
          <w:color w:val="000000"/>
          <w:sz w:val="15"/>
          <w:szCs w:val="15"/>
        </w:rPr>
        <w:t xml:space="preserve"> </w:t>
      </w:r>
      <w:r w:rsidR="006C419A" w:rsidRPr="006657CE">
        <w:rPr>
          <w:bCs/>
          <w:color w:val="000000"/>
        </w:rPr>
        <w:t>Esgotamento Profissional; Estresse Psicológico;</w:t>
      </w:r>
      <w:r w:rsidR="006C419A" w:rsidRPr="006657CE">
        <w:t xml:space="preserve"> Estudantes de Enfermagem; Epidemiologia Analítica.</w:t>
      </w:r>
    </w:p>
    <w:p w14:paraId="201303DE" w14:textId="77777777" w:rsidR="006C419A" w:rsidRPr="006657CE" w:rsidRDefault="006C419A" w:rsidP="006C419A">
      <w:pPr>
        <w:tabs>
          <w:tab w:val="left" w:pos="2166"/>
        </w:tabs>
        <w:spacing w:line="480" w:lineRule="auto"/>
        <w:rPr>
          <w:b/>
        </w:rPr>
      </w:pPr>
    </w:p>
    <w:p w14:paraId="14880D07" w14:textId="77777777" w:rsidR="00204AC3" w:rsidRPr="00B33A7D" w:rsidRDefault="003E5ABF" w:rsidP="006C419A">
      <w:pPr>
        <w:autoSpaceDE w:val="0"/>
        <w:autoSpaceDN w:val="0"/>
        <w:adjustRightInd w:val="0"/>
        <w:spacing w:line="480" w:lineRule="auto"/>
        <w:jc w:val="both"/>
        <w:rPr>
          <w:rFonts w:eastAsia="Calibri"/>
          <w:b/>
          <w:lang w:val="en-US" w:eastAsia="en-US"/>
        </w:rPr>
      </w:pPr>
      <w:r w:rsidRPr="00B33A7D">
        <w:rPr>
          <w:rFonts w:eastAsia="Calibri"/>
          <w:b/>
          <w:lang w:val="en-US" w:eastAsia="en-US"/>
        </w:rPr>
        <w:t>INTRODU</w:t>
      </w:r>
      <w:r w:rsidR="00CA6B57" w:rsidRPr="00B33A7D">
        <w:rPr>
          <w:rFonts w:eastAsia="Calibri"/>
          <w:b/>
          <w:lang w:val="en-US" w:eastAsia="en-US"/>
        </w:rPr>
        <w:t>CTION</w:t>
      </w:r>
    </w:p>
    <w:p w14:paraId="426893EB" w14:textId="77777777" w:rsidR="001D63E2" w:rsidRPr="00B33A7D" w:rsidRDefault="00D0200F" w:rsidP="006C419A">
      <w:pPr>
        <w:autoSpaceDE w:val="0"/>
        <w:autoSpaceDN w:val="0"/>
        <w:adjustRightInd w:val="0"/>
        <w:spacing w:line="480" w:lineRule="auto"/>
        <w:ind w:firstLine="708"/>
        <w:jc w:val="both"/>
        <w:rPr>
          <w:rFonts w:eastAsia="Calibri"/>
          <w:lang w:val="en-US" w:eastAsia="en-US"/>
        </w:rPr>
      </w:pPr>
      <w:r>
        <w:rPr>
          <w:rFonts w:eastAsia="Calibri"/>
          <w:lang w:val="en-US" w:eastAsia="en-US"/>
        </w:rPr>
        <w:t>After starting a</w:t>
      </w:r>
      <w:r w:rsidR="00543A75">
        <w:rPr>
          <w:rFonts w:eastAsia="Calibri"/>
          <w:lang w:val="en-US" w:eastAsia="en-US"/>
        </w:rPr>
        <w:t xml:space="preserve"> </w:t>
      </w:r>
      <w:r w:rsidR="00E97200" w:rsidRPr="00B33A7D">
        <w:rPr>
          <w:rFonts w:eastAsia="Calibri"/>
          <w:lang w:val="en-US" w:eastAsia="en-US"/>
        </w:rPr>
        <w:t>nursing degree</w:t>
      </w:r>
      <w:r>
        <w:rPr>
          <w:rFonts w:eastAsia="Calibri"/>
          <w:lang w:val="en-US" w:eastAsia="en-US"/>
        </w:rPr>
        <w:t xml:space="preserve">, </w:t>
      </w:r>
      <w:r w:rsidR="00560A58" w:rsidRPr="00B33A7D">
        <w:rPr>
          <w:rFonts w:eastAsia="Calibri"/>
          <w:lang w:val="en-US" w:eastAsia="en-US"/>
        </w:rPr>
        <w:t>student</w:t>
      </w:r>
      <w:r>
        <w:rPr>
          <w:rFonts w:eastAsia="Calibri"/>
          <w:lang w:val="en-US" w:eastAsia="en-US"/>
        </w:rPr>
        <w:t>s</w:t>
      </w:r>
      <w:r w:rsidR="00560A58" w:rsidRPr="00B33A7D">
        <w:rPr>
          <w:rFonts w:eastAsia="Calibri"/>
          <w:lang w:val="en-US" w:eastAsia="en-US"/>
        </w:rPr>
        <w:t xml:space="preserve"> </w:t>
      </w:r>
      <w:r>
        <w:rPr>
          <w:rFonts w:eastAsia="Calibri"/>
          <w:lang w:val="en-US" w:eastAsia="en-US"/>
        </w:rPr>
        <w:t xml:space="preserve">need to </w:t>
      </w:r>
      <w:r w:rsidR="00E97200" w:rsidRPr="00B33A7D">
        <w:rPr>
          <w:rFonts w:eastAsia="Calibri"/>
          <w:lang w:val="en-US" w:eastAsia="en-US"/>
        </w:rPr>
        <w:t xml:space="preserve">live with a different environment from that </w:t>
      </w:r>
      <w:r>
        <w:rPr>
          <w:rFonts w:eastAsia="Calibri"/>
          <w:lang w:val="en-US" w:eastAsia="en-US"/>
        </w:rPr>
        <w:t>they</w:t>
      </w:r>
      <w:r w:rsidR="00622DE3">
        <w:rPr>
          <w:rFonts w:eastAsia="Calibri"/>
          <w:lang w:val="en-US" w:eastAsia="en-US"/>
        </w:rPr>
        <w:t xml:space="preserve"> </w:t>
      </w:r>
      <w:r w:rsidR="00543A75">
        <w:rPr>
          <w:rFonts w:eastAsia="Calibri"/>
          <w:lang w:val="en-US" w:eastAsia="en-US"/>
        </w:rPr>
        <w:t xml:space="preserve">experienced </w:t>
      </w:r>
      <w:r w:rsidR="00622DE3">
        <w:rPr>
          <w:rFonts w:eastAsia="Calibri"/>
          <w:lang w:val="en-US" w:eastAsia="en-US"/>
        </w:rPr>
        <w:t>during</w:t>
      </w:r>
      <w:r w:rsidR="00E97200" w:rsidRPr="00B33A7D">
        <w:rPr>
          <w:rFonts w:eastAsia="Calibri"/>
          <w:lang w:val="en-US" w:eastAsia="en-US"/>
        </w:rPr>
        <w:t xml:space="preserve"> high school. </w:t>
      </w:r>
      <w:r w:rsidR="00F656AF" w:rsidRPr="00B33A7D">
        <w:rPr>
          <w:rFonts w:eastAsia="Calibri"/>
          <w:lang w:val="en-US" w:eastAsia="en-US"/>
        </w:rPr>
        <w:t>It happens because the autonomy in seek</w:t>
      </w:r>
      <w:r w:rsidR="00560A58" w:rsidRPr="00B33A7D">
        <w:rPr>
          <w:rFonts w:eastAsia="Calibri"/>
          <w:lang w:val="en-US" w:eastAsia="en-US"/>
        </w:rPr>
        <w:t>ing</w:t>
      </w:r>
      <w:r w:rsidR="00F656AF" w:rsidRPr="00B33A7D">
        <w:rPr>
          <w:rFonts w:eastAsia="Calibri"/>
          <w:lang w:val="en-US" w:eastAsia="en-US"/>
        </w:rPr>
        <w:t xml:space="preserve"> for knowledge is stimulated; and there is the need to perform different disciplines, especially in the first semester, which implies a considerable number of tests, exams and academic papers</w:t>
      </w:r>
      <w:r w:rsidR="001D3559" w:rsidRPr="00B33A7D">
        <w:rPr>
          <w:rFonts w:eastAsia="Calibri"/>
          <w:lang w:val="en-US" w:eastAsia="en-US"/>
        </w:rPr>
        <w:t xml:space="preserve"> </w:t>
      </w:r>
      <w:r w:rsidR="00A35343" w:rsidRPr="00B33A7D">
        <w:rPr>
          <w:rFonts w:eastAsia="Calibri"/>
          <w:lang w:val="en-US" w:eastAsia="en-US"/>
        </w:rPr>
        <w:t>(Costa, 2007;</w:t>
      </w:r>
      <w:r w:rsidR="00A35343" w:rsidRPr="00B33A7D">
        <w:rPr>
          <w:lang w:val="en-US"/>
        </w:rPr>
        <w:t xml:space="preserve"> </w:t>
      </w:r>
      <w:r w:rsidR="00A35343" w:rsidRPr="00B33A7D">
        <w:rPr>
          <w:rFonts w:eastAsia="Calibri"/>
          <w:lang w:val="en-US" w:eastAsia="en-US"/>
        </w:rPr>
        <w:t xml:space="preserve">Costa &amp; </w:t>
      </w:r>
      <w:proofErr w:type="spellStart"/>
      <w:r w:rsidR="00A35343" w:rsidRPr="00B33A7D">
        <w:rPr>
          <w:rFonts w:eastAsia="Calibri"/>
          <w:lang w:val="en-US" w:eastAsia="en-US"/>
        </w:rPr>
        <w:t>Polak</w:t>
      </w:r>
      <w:proofErr w:type="spellEnd"/>
      <w:r w:rsidR="00A35343" w:rsidRPr="00B33A7D">
        <w:rPr>
          <w:rFonts w:eastAsia="Calibri"/>
          <w:lang w:val="en-US" w:eastAsia="en-US"/>
        </w:rPr>
        <w:t xml:space="preserve">, 2009; </w:t>
      </w:r>
      <w:proofErr w:type="spellStart"/>
      <w:r w:rsidR="00A35343" w:rsidRPr="00B33A7D">
        <w:rPr>
          <w:rFonts w:eastAsia="Calibri"/>
          <w:lang w:val="en-US" w:eastAsia="en-US"/>
        </w:rPr>
        <w:t>Killam</w:t>
      </w:r>
      <w:proofErr w:type="spellEnd"/>
      <w:r w:rsidR="00A35343" w:rsidRPr="00B33A7D">
        <w:rPr>
          <w:rFonts w:eastAsia="Calibri"/>
          <w:lang w:val="en-US" w:eastAsia="en-US"/>
        </w:rPr>
        <w:t xml:space="preserve"> et al</w:t>
      </w:r>
      <w:r w:rsidR="004E701F" w:rsidRPr="00B33A7D">
        <w:rPr>
          <w:rFonts w:eastAsia="Calibri"/>
          <w:lang w:val="en-US" w:eastAsia="en-US"/>
        </w:rPr>
        <w:t>.</w:t>
      </w:r>
      <w:r w:rsidR="00A35343" w:rsidRPr="00B33A7D">
        <w:rPr>
          <w:rFonts w:eastAsia="Calibri"/>
          <w:lang w:val="en-US" w:eastAsia="en-US"/>
        </w:rPr>
        <w:t>, 2013).</w:t>
      </w:r>
      <w:r w:rsidR="0096370F" w:rsidRPr="00B33A7D">
        <w:rPr>
          <w:rFonts w:eastAsia="Calibri"/>
          <w:lang w:val="en-US" w:eastAsia="en-US"/>
        </w:rPr>
        <w:t xml:space="preserve">  </w:t>
      </w:r>
      <w:r w:rsidR="00F656AF" w:rsidRPr="00B33A7D">
        <w:rPr>
          <w:rFonts w:eastAsia="Calibri"/>
          <w:lang w:val="en-US" w:eastAsia="en-US"/>
        </w:rPr>
        <w:t>Consequently, there is a greater activities load and less time available for friends, family and leisure. So, the time management is necessary in order to a good performance and a satisfactory life quality</w:t>
      </w:r>
      <w:r w:rsidR="001D3559" w:rsidRPr="00B33A7D">
        <w:rPr>
          <w:rFonts w:eastAsia="Calibri"/>
          <w:lang w:val="en-US" w:eastAsia="en-US"/>
        </w:rPr>
        <w:t xml:space="preserve"> </w:t>
      </w:r>
      <w:r w:rsidR="00543A75">
        <w:rPr>
          <w:rFonts w:eastAsia="Calibri"/>
          <w:lang w:val="en-US" w:eastAsia="en-US"/>
        </w:rPr>
        <w:t>were achieved by student in</w:t>
      </w:r>
      <w:r w:rsidR="00543A75" w:rsidRPr="00B33A7D">
        <w:rPr>
          <w:rFonts w:eastAsia="Calibri"/>
          <w:lang w:val="en-US" w:eastAsia="en-US"/>
        </w:rPr>
        <w:t xml:space="preserve"> college</w:t>
      </w:r>
      <w:r w:rsidR="00543A75">
        <w:rPr>
          <w:rFonts w:eastAsia="Calibri"/>
          <w:lang w:val="en-US" w:eastAsia="en-US"/>
        </w:rPr>
        <w:t xml:space="preserve"> </w:t>
      </w:r>
      <w:r w:rsidR="004E701F" w:rsidRPr="00B33A7D">
        <w:rPr>
          <w:rFonts w:eastAsia="Calibri"/>
          <w:lang w:val="en-US" w:eastAsia="en-US"/>
        </w:rPr>
        <w:t>(</w:t>
      </w:r>
      <w:r w:rsidR="00A35343" w:rsidRPr="00B33A7D">
        <w:rPr>
          <w:rFonts w:eastAsia="Calibri"/>
          <w:lang w:val="en-US" w:eastAsia="en-US"/>
        </w:rPr>
        <w:t>Costa, 2007</w:t>
      </w:r>
      <w:r w:rsidR="001615A3" w:rsidRPr="00B33A7D">
        <w:rPr>
          <w:rFonts w:eastAsia="Calibri"/>
          <w:lang w:val="en-US" w:eastAsia="en-US"/>
        </w:rPr>
        <w:t>,</w:t>
      </w:r>
      <w:r w:rsidR="00A35343" w:rsidRPr="00B33A7D">
        <w:rPr>
          <w:rFonts w:eastAsia="Calibri"/>
          <w:lang w:val="en-US" w:eastAsia="en-US"/>
        </w:rPr>
        <w:t xml:space="preserve"> Gibbons, 2010;</w:t>
      </w:r>
      <w:r w:rsidR="004E701F" w:rsidRPr="00B33A7D">
        <w:rPr>
          <w:rFonts w:eastAsia="Calibri"/>
          <w:lang w:val="en-US" w:eastAsia="en-US"/>
        </w:rPr>
        <w:t xml:space="preserve"> Montgomery et al., 2013)</w:t>
      </w:r>
      <w:r w:rsidR="001615A3" w:rsidRPr="00B33A7D">
        <w:rPr>
          <w:rFonts w:eastAsia="Calibri"/>
          <w:lang w:val="en-US" w:eastAsia="en-US"/>
        </w:rPr>
        <w:t>.</w:t>
      </w:r>
      <w:r w:rsidR="00E62B93" w:rsidRPr="00B33A7D">
        <w:rPr>
          <w:rFonts w:eastAsia="Calibri"/>
          <w:lang w:val="en-US" w:eastAsia="en-US"/>
        </w:rPr>
        <w:t xml:space="preserve"> </w:t>
      </w:r>
      <w:r w:rsidR="00B65F5D" w:rsidRPr="00B33A7D">
        <w:rPr>
          <w:rFonts w:eastAsia="Calibri"/>
          <w:lang w:val="en-US" w:eastAsia="en-US"/>
        </w:rPr>
        <w:t xml:space="preserve">Also, nursing students live with </w:t>
      </w:r>
      <w:r w:rsidR="00543A75" w:rsidRPr="00B33A7D">
        <w:rPr>
          <w:rFonts w:eastAsia="Calibri"/>
          <w:lang w:val="en-US" w:eastAsia="en-US"/>
        </w:rPr>
        <w:t xml:space="preserve">patients </w:t>
      </w:r>
      <w:r w:rsidR="00B65F5D" w:rsidRPr="00B33A7D">
        <w:rPr>
          <w:rFonts w:eastAsia="Calibri"/>
          <w:lang w:val="en-US" w:eastAsia="en-US"/>
        </w:rPr>
        <w:t xml:space="preserve">seriously ill, with death and suffering of others; need to </w:t>
      </w:r>
      <w:r w:rsidR="00543A75">
        <w:rPr>
          <w:rFonts w:eastAsia="Calibri"/>
          <w:lang w:val="en-US" w:eastAsia="en-US"/>
        </w:rPr>
        <w:t xml:space="preserve">establish relationship </w:t>
      </w:r>
      <w:r w:rsidR="00B65F5D" w:rsidRPr="00B33A7D">
        <w:rPr>
          <w:rFonts w:eastAsia="Calibri"/>
          <w:lang w:val="en-US" w:eastAsia="en-US"/>
        </w:rPr>
        <w:t xml:space="preserve">with health professionals, colleagues and teachers; and they have to meet the technical and scientific requirements at each course stage and internship field </w:t>
      </w:r>
      <w:r w:rsidR="004E701F" w:rsidRPr="00B33A7D">
        <w:rPr>
          <w:rFonts w:eastAsia="Calibri"/>
          <w:lang w:val="en-US" w:eastAsia="en-US"/>
        </w:rPr>
        <w:t>(</w:t>
      </w:r>
      <w:r w:rsidR="00A35343" w:rsidRPr="00B33A7D">
        <w:rPr>
          <w:rFonts w:eastAsia="Calibri"/>
          <w:lang w:val="en-US" w:eastAsia="en-US"/>
        </w:rPr>
        <w:t>Costa, 2007</w:t>
      </w:r>
      <w:r w:rsidR="004E701F" w:rsidRPr="00B33A7D">
        <w:rPr>
          <w:rFonts w:eastAsia="Calibri"/>
          <w:lang w:val="en-US" w:eastAsia="en-US"/>
        </w:rPr>
        <w:t xml:space="preserve">; Costa &amp; </w:t>
      </w:r>
      <w:proofErr w:type="spellStart"/>
      <w:r w:rsidR="004E701F" w:rsidRPr="00B33A7D">
        <w:rPr>
          <w:rFonts w:eastAsia="Calibri"/>
          <w:lang w:val="en-US" w:eastAsia="en-US"/>
        </w:rPr>
        <w:t>Polak</w:t>
      </w:r>
      <w:proofErr w:type="spellEnd"/>
      <w:r w:rsidR="004E701F" w:rsidRPr="00B33A7D">
        <w:rPr>
          <w:rFonts w:eastAsia="Calibri"/>
          <w:lang w:val="en-US" w:eastAsia="en-US"/>
        </w:rPr>
        <w:t xml:space="preserve">, 2009; </w:t>
      </w:r>
      <w:r w:rsidR="00565EC4" w:rsidRPr="00B33A7D">
        <w:rPr>
          <w:rFonts w:eastAsia="Calibri"/>
          <w:lang w:val="en-US" w:eastAsia="en-US"/>
        </w:rPr>
        <w:t>Gibbons, 2010</w:t>
      </w:r>
      <w:r w:rsidR="00565EC4">
        <w:rPr>
          <w:rFonts w:eastAsia="Calibri"/>
          <w:lang w:val="en-US" w:eastAsia="en-US"/>
        </w:rPr>
        <w:t xml:space="preserve">; </w:t>
      </w:r>
      <w:proofErr w:type="spellStart"/>
      <w:r w:rsidR="004E701F" w:rsidRPr="00B33A7D">
        <w:rPr>
          <w:rFonts w:eastAsia="Calibri"/>
          <w:lang w:val="en-US" w:eastAsia="en-US"/>
        </w:rPr>
        <w:t>Killam</w:t>
      </w:r>
      <w:proofErr w:type="spellEnd"/>
      <w:r w:rsidR="004E701F" w:rsidRPr="00B33A7D">
        <w:rPr>
          <w:rFonts w:eastAsia="Calibri"/>
          <w:lang w:val="en-US" w:eastAsia="en-US"/>
        </w:rPr>
        <w:t xml:space="preserve"> et al., 2013; Montgomery et al., 2013)</w:t>
      </w:r>
      <w:r w:rsidR="00B65F5D" w:rsidRPr="00B33A7D">
        <w:rPr>
          <w:rFonts w:eastAsia="Calibri"/>
          <w:lang w:val="en-US" w:eastAsia="en-US"/>
        </w:rPr>
        <w:t xml:space="preserve">. Besides, students need to establish relations between the theoretical assumptions and professional practice during the course, which often raises uncertainty and doubt </w:t>
      </w:r>
      <w:r w:rsidR="004E701F" w:rsidRPr="00B33A7D">
        <w:rPr>
          <w:rFonts w:eastAsia="Calibri"/>
          <w:lang w:val="en-US" w:eastAsia="en-US"/>
        </w:rPr>
        <w:t>(</w:t>
      </w:r>
      <w:r w:rsidR="00A35343" w:rsidRPr="00B33A7D">
        <w:rPr>
          <w:rFonts w:eastAsia="Calibri"/>
          <w:lang w:val="en-US" w:eastAsia="en-US"/>
        </w:rPr>
        <w:t xml:space="preserve">Costa, 2007, </w:t>
      </w:r>
      <w:r w:rsidR="004E701F" w:rsidRPr="00B33A7D">
        <w:rPr>
          <w:rFonts w:eastAsia="Calibri"/>
          <w:lang w:val="en-US" w:eastAsia="en-US"/>
        </w:rPr>
        <w:t xml:space="preserve">Costa &amp; </w:t>
      </w:r>
      <w:proofErr w:type="spellStart"/>
      <w:r w:rsidR="004E701F" w:rsidRPr="00B33A7D">
        <w:rPr>
          <w:rFonts w:eastAsia="Calibri"/>
          <w:lang w:val="en-US" w:eastAsia="en-US"/>
        </w:rPr>
        <w:t>Polak</w:t>
      </w:r>
      <w:proofErr w:type="spellEnd"/>
      <w:r w:rsidR="004E701F" w:rsidRPr="00B33A7D">
        <w:rPr>
          <w:rFonts w:eastAsia="Calibri"/>
          <w:lang w:val="en-US" w:eastAsia="en-US"/>
        </w:rPr>
        <w:t xml:space="preserve">, 2009; </w:t>
      </w:r>
      <w:r w:rsidR="00565EC4" w:rsidRPr="00B33A7D">
        <w:rPr>
          <w:rFonts w:eastAsia="Calibri"/>
          <w:lang w:val="en-US" w:eastAsia="en-US"/>
        </w:rPr>
        <w:t>Gibbons, 2010</w:t>
      </w:r>
      <w:r w:rsidR="00565EC4">
        <w:rPr>
          <w:rFonts w:eastAsia="Calibri"/>
          <w:lang w:val="en-US" w:eastAsia="en-US"/>
        </w:rPr>
        <w:t xml:space="preserve">; </w:t>
      </w:r>
      <w:proofErr w:type="spellStart"/>
      <w:r w:rsidR="004E701F" w:rsidRPr="00B33A7D">
        <w:rPr>
          <w:rFonts w:eastAsia="Calibri"/>
          <w:lang w:val="en-US" w:eastAsia="en-US"/>
        </w:rPr>
        <w:t>Killam</w:t>
      </w:r>
      <w:proofErr w:type="spellEnd"/>
      <w:r w:rsidR="004E701F" w:rsidRPr="00B33A7D">
        <w:rPr>
          <w:rFonts w:eastAsia="Calibri"/>
          <w:lang w:val="en-US" w:eastAsia="en-US"/>
        </w:rPr>
        <w:t xml:space="preserve"> et al., 2013; Montgomery et al., 2013)</w:t>
      </w:r>
      <w:r w:rsidR="00712472" w:rsidRPr="00B33A7D">
        <w:rPr>
          <w:rFonts w:eastAsia="Calibri"/>
          <w:lang w:val="en-US" w:eastAsia="en-US"/>
        </w:rPr>
        <w:t>.</w:t>
      </w:r>
    </w:p>
    <w:p w14:paraId="40FF780F" w14:textId="77777777" w:rsidR="006D7E72" w:rsidRPr="00B33A7D" w:rsidRDefault="008221DF" w:rsidP="006D7E72">
      <w:pPr>
        <w:autoSpaceDE w:val="0"/>
        <w:autoSpaceDN w:val="0"/>
        <w:adjustRightInd w:val="0"/>
        <w:spacing w:line="480" w:lineRule="auto"/>
        <w:ind w:firstLine="708"/>
        <w:jc w:val="both"/>
        <w:rPr>
          <w:rFonts w:eastAsia="Calibri"/>
          <w:lang w:val="en-US" w:eastAsia="en-US"/>
        </w:rPr>
      </w:pPr>
      <w:r w:rsidRPr="00B33A7D">
        <w:rPr>
          <w:rFonts w:eastAsia="Calibri"/>
          <w:lang w:val="en-US" w:eastAsia="en-US"/>
        </w:rPr>
        <w:t>In this sense</w:t>
      </w:r>
      <w:r w:rsidR="009568C4" w:rsidRPr="00B33A7D">
        <w:rPr>
          <w:rFonts w:eastAsia="Calibri"/>
          <w:lang w:val="en-US" w:eastAsia="en-US"/>
        </w:rPr>
        <w:t xml:space="preserve">, </w:t>
      </w:r>
      <w:r w:rsidRPr="00B33A7D">
        <w:rPr>
          <w:rFonts w:eastAsia="Calibri"/>
          <w:lang w:val="en-US" w:eastAsia="en-US"/>
        </w:rPr>
        <w:t>the nursing education presents</w:t>
      </w:r>
      <w:r w:rsidR="00697F8B" w:rsidRPr="00B33A7D">
        <w:rPr>
          <w:rFonts w:eastAsia="Calibri"/>
          <w:lang w:val="en-US" w:eastAsia="en-US"/>
        </w:rPr>
        <w:t xml:space="preserve"> </w:t>
      </w:r>
      <w:r w:rsidRPr="00B33A7D">
        <w:rPr>
          <w:rFonts w:eastAsia="Calibri"/>
          <w:lang w:val="en-US" w:eastAsia="en-US"/>
        </w:rPr>
        <w:t>several situations which can be evaluated as stressful and lead the nursing students to stress</w:t>
      </w:r>
      <w:r w:rsidR="00697F8B" w:rsidRPr="00B33A7D">
        <w:rPr>
          <w:rFonts w:eastAsia="Calibri"/>
          <w:lang w:val="en-US" w:eastAsia="en-US"/>
        </w:rPr>
        <w:t xml:space="preserve">. </w:t>
      </w:r>
      <w:r w:rsidRPr="00B33A7D">
        <w:rPr>
          <w:rFonts w:eastAsia="Calibri"/>
          <w:lang w:val="en-US" w:eastAsia="en-US"/>
        </w:rPr>
        <w:t xml:space="preserve">This </w:t>
      </w:r>
      <w:r w:rsidR="00560A58" w:rsidRPr="00B33A7D">
        <w:rPr>
          <w:rFonts w:eastAsia="Calibri"/>
          <w:lang w:val="en-US" w:eastAsia="en-US"/>
        </w:rPr>
        <w:t>phenomenon</w:t>
      </w:r>
      <w:r w:rsidRPr="00B33A7D">
        <w:rPr>
          <w:rFonts w:eastAsia="Calibri"/>
          <w:lang w:val="en-US" w:eastAsia="en-US"/>
        </w:rPr>
        <w:t xml:space="preserve"> is defined, for the university environment, as a set of reactions that occurs when the curricular requirements </w:t>
      </w:r>
      <w:r w:rsidRPr="00B33A7D">
        <w:rPr>
          <w:rFonts w:eastAsia="Calibri"/>
          <w:lang w:val="en-US" w:eastAsia="en-US"/>
        </w:rPr>
        <w:lastRenderedPageBreak/>
        <w:t>exceed the capabilities or adaptive resources of the student</w:t>
      </w:r>
      <w:r w:rsidR="006D7E72" w:rsidRPr="00B33A7D">
        <w:rPr>
          <w:rFonts w:eastAsia="Calibri"/>
          <w:lang w:val="en-US" w:eastAsia="en-US"/>
        </w:rPr>
        <w:t xml:space="preserve"> (Basso </w:t>
      </w:r>
      <w:proofErr w:type="spellStart"/>
      <w:r w:rsidR="006D7E72" w:rsidRPr="00B33A7D">
        <w:rPr>
          <w:rFonts w:eastAsia="Calibri"/>
          <w:lang w:val="en-US" w:eastAsia="en-US"/>
        </w:rPr>
        <w:t>Musso</w:t>
      </w:r>
      <w:proofErr w:type="spellEnd"/>
      <w:r w:rsidR="006D7E72" w:rsidRPr="00B33A7D">
        <w:rPr>
          <w:rFonts w:eastAsia="Calibri"/>
          <w:lang w:val="en-US" w:eastAsia="en-US"/>
        </w:rPr>
        <w:t xml:space="preserve"> et al., 2008)</w:t>
      </w:r>
      <w:r w:rsidR="00885179" w:rsidRPr="00B33A7D">
        <w:rPr>
          <w:rFonts w:eastAsia="Calibri"/>
          <w:lang w:val="en-US" w:eastAsia="en-US"/>
        </w:rPr>
        <w:t>.</w:t>
      </w:r>
      <w:r w:rsidR="00414F93" w:rsidRPr="00B33A7D">
        <w:rPr>
          <w:rFonts w:eastAsia="Calibri"/>
          <w:lang w:val="en-US" w:eastAsia="en-US"/>
        </w:rPr>
        <w:t xml:space="preserve"> </w:t>
      </w:r>
      <w:r w:rsidR="008378C8" w:rsidRPr="00B33A7D">
        <w:rPr>
          <w:rFonts w:eastAsia="Calibri"/>
          <w:lang w:val="en-US" w:eastAsia="en-US"/>
        </w:rPr>
        <w:t xml:space="preserve">Moreover, the stress occurrence is secondary to cognitive assessment, </w:t>
      </w:r>
      <w:r w:rsidR="001D3559" w:rsidRPr="00B33A7D">
        <w:rPr>
          <w:rFonts w:eastAsia="Calibri"/>
          <w:lang w:val="en-US" w:eastAsia="en-US"/>
        </w:rPr>
        <w:t>i.e.</w:t>
      </w:r>
      <w:r w:rsidR="008378C8" w:rsidRPr="00B33A7D">
        <w:rPr>
          <w:rFonts w:eastAsia="Calibri"/>
          <w:lang w:val="en-US" w:eastAsia="en-US"/>
        </w:rPr>
        <w:t>, the individual</w:t>
      </w:r>
      <w:r w:rsidR="00543A75">
        <w:rPr>
          <w:rFonts w:eastAsia="Calibri"/>
          <w:lang w:val="en-US" w:eastAsia="en-US"/>
        </w:rPr>
        <w:t xml:space="preserve">s interpret </w:t>
      </w:r>
      <w:r w:rsidR="008378C8" w:rsidRPr="00B33A7D">
        <w:rPr>
          <w:rFonts w:eastAsia="Calibri"/>
          <w:lang w:val="en-US" w:eastAsia="en-US"/>
        </w:rPr>
        <w:t xml:space="preserve">the situations coming from the internal or external environment in </w:t>
      </w:r>
      <w:r w:rsidR="00285CD0" w:rsidRPr="00B33A7D">
        <w:rPr>
          <w:rFonts w:eastAsia="Calibri"/>
          <w:lang w:val="en-US" w:eastAsia="en-US"/>
        </w:rPr>
        <w:t>different</w:t>
      </w:r>
      <w:r w:rsidR="008378C8" w:rsidRPr="00B33A7D">
        <w:rPr>
          <w:rFonts w:eastAsia="Calibri"/>
          <w:lang w:val="en-US" w:eastAsia="en-US"/>
        </w:rPr>
        <w:t xml:space="preserve"> evaluative categories</w:t>
      </w:r>
      <w:r w:rsidR="00543A75">
        <w:rPr>
          <w:rFonts w:eastAsia="Calibri"/>
          <w:lang w:val="en-US" w:eastAsia="en-US"/>
        </w:rPr>
        <w:t xml:space="preserve">. So, they </w:t>
      </w:r>
      <w:r w:rsidR="008378C8" w:rsidRPr="00B33A7D">
        <w:rPr>
          <w:rFonts w:eastAsia="Calibri"/>
          <w:lang w:val="en-US" w:eastAsia="en-US"/>
        </w:rPr>
        <w:t>define them as a threat, a challenge or not releva</w:t>
      </w:r>
      <w:r w:rsidR="006D7E72" w:rsidRPr="00B33A7D">
        <w:rPr>
          <w:rFonts w:eastAsia="Calibri"/>
          <w:lang w:val="en-US" w:eastAsia="en-US"/>
        </w:rPr>
        <w:t xml:space="preserve">nt (Lazarus &amp; </w:t>
      </w:r>
      <w:proofErr w:type="spellStart"/>
      <w:r w:rsidR="006D7E72" w:rsidRPr="00B33A7D">
        <w:rPr>
          <w:rFonts w:eastAsia="Calibri"/>
          <w:lang w:val="en-US" w:eastAsia="en-US"/>
        </w:rPr>
        <w:t>Folkman</w:t>
      </w:r>
      <w:proofErr w:type="spellEnd"/>
      <w:r w:rsidR="006D7E72" w:rsidRPr="00B33A7D">
        <w:rPr>
          <w:rFonts w:eastAsia="Calibri"/>
          <w:lang w:val="en-US" w:eastAsia="en-US"/>
        </w:rPr>
        <w:t>, 1984).</w:t>
      </w:r>
      <w:r w:rsidR="00414F93" w:rsidRPr="00B33A7D">
        <w:rPr>
          <w:rFonts w:eastAsia="Calibri"/>
          <w:lang w:val="en-US" w:eastAsia="en-US"/>
        </w:rPr>
        <w:t xml:space="preserve"> </w:t>
      </w:r>
      <w:r w:rsidR="008378C8" w:rsidRPr="00B33A7D">
        <w:rPr>
          <w:rFonts w:eastAsia="Calibri"/>
          <w:lang w:val="en-US" w:eastAsia="en-US"/>
        </w:rPr>
        <w:t xml:space="preserve">When </w:t>
      </w:r>
      <w:r w:rsidR="00543A75">
        <w:rPr>
          <w:rFonts w:eastAsia="Calibri"/>
          <w:lang w:val="en-US" w:eastAsia="en-US"/>
        </w:rPr>
        <w:t>a situation is</w:t>
      </w:r>
      <w:r w:rsidR="008378C8" w:rsidRPr="00B33A7D">
        <w:rPr>
          <w:rFonts w:eastAsia="Calibri"/>
          <w:lang w:val="en-US" w:eastAsia="en-US"/>
        </w:rPr>
        <w:t xml:space="preserve"> defined as a threat or as a challenge, the stress and its consequences to life and health of the college students are possible.</w:t>
      </w:r>
      <w:r w:rsidR="006D7E72" w:rsidRPr="00B33A7D">
        <w:rPr>
          <w:rFonts w:eastAsia="Calibri"/>
          <w:lang w:val="en-US" w:eastAsia="en-US"/>
        </w:rPr>
        <w:t xml:space="preserve"> </w:t>
      </w:r>
    </w:p>
    <w:p w14:paraId="23ADC18D" w14:textId="77777777" w:rsidR="000F191F" w:rsidRPr="00B33A7D" w:rsidRDefault="00536526" w:rsidP="006C419A">
      <w:pPr>
        <w:autoSpaceDE w:val="0"/>
        <w:autoSpaceDN w:val="0"/>
        <w:adjustRightInd w:val="0"/>
        <w:spacing w:line="480" w:lineRule="auto"/>
        <w:ind w:firstLine="708"/>
        <w:jc w:val="both"/>
        <w:rPr>
          <w:rFonts w:eastAsia="Calibri"/>
          <w:lang w:val="en-US" w:eastAsia="en-US"/>
        </w:rPr>
      </w:pPr>
      <w:r w:rsidRPr="00B33A7D">
        <w:rPr>
          <w:rFonts w:eastAsia="Calibri"/>
          <w:lang w:val="en-US" w:eastAsia="en-US"/>
        </w:rPr>
        <w:t>Thus</w:t>
      </w:r>
      <w:r w:rsidR="007B4EC3" w:rsidRPr="00B33A7D">
        <w:rPr>
          <w:rFonts w:eastAsia="Calibri"/>
          <w:lang w:val="en-US" w:eastAsia="en-US"/>
        </w:rPr>
        <w:t xml:space="preserve">, </w:t>
      </w:r>
      <w:r w:rsidRPr="00B33A7D">
        <w:rPr>
          <w:rFonts w:eastAsia="Calibri"/>
          <w:lang w:val="en-US" w:eastAsia="en-US"/>
        </w:rPr>
        <w:t>as stress outcomes to health of the undergraduate and postgraduate students, we stand out:</w:t>
      </w:r>
      <w:r w:rsidR="000F191F" w:rsidRPr="00B33A7D">
        <w:rPr>
          <w:lang w:val="en-US"/>
        </w:rPr>
        <w:t xml:space="preserve"> </w:t>
      </w:r>
      <w:r w:rsidR="000F191F" w:rsidRPr="00B33A7D">
        <w:rPr>
          <w:rFonts w:eastAsia="Calibri"/>
          <w:lang w:val="en-US" w:eastAsia="en-US"/>
        </w:rPr>
        <w:t>the decrease</w:t>
      </w:r>
      <w:r w:rsidR="000C7962">
        <w:rPr>
          <w:rFonts w:eastAsia="Calibri"/>
          <w:lang w:val="en-US" w:eastAsia="en-US"/>
        </w:rPr>
        <w:t>d</w:t>
      </w:r>
      <w:r w:rsidR="000F191F" w:rsidRPr="00B33A7D">
        <w:rPr>
          <w:rFonts w:eastAsia="Calibri"/>
          <w:lang w:val="en-US" w:eastAsia="en-US"/>
        </w:rPr>
        <w:t xml:space="preserve"> academic performance and patient satisfaction</w:t>
      </w:r>
      <w:r w:rsidR="00550159" w:rsidRPr="00B33A7D">
        <w:rPr>
          <w:rFonts w:eastAsia="Calibri"/>
          <w:lang w:val="en-US" w:eastAsia="en-US"/>
        </w:rPr>
        <w:t xml:space="preserve"> </w:t>
      </w:r>
      <w:r w:rsidR="001B76E9" w:rsidRPr="00B33A7D">
        <w:rPr>
          <w:rFonts w:eastAsia="Calibri"/>
          <w:lang w:val="en-US" w:eastAsia="en-US"/>
        </w:rPr>
        <w:t>(</w:t>
      </w:r>
      <w:proofErr w:type="spellStart"/>
      <w:r w:rsidR="001B76E9" w:rsidRPr="00B33A7D">
        <w:rPr>
          <w:rFonts w:eastAsia="Calibri"/>
          <w:lang w:val="en-US" w:eastAsia="en-US"/>
        </w:rPr>
        <w:t>Divaris</w:t>
      </w:r>
      <w:proofErr w:type="spellEnd"/>
      <w:r w:rsidR="001B76E9" w:rsidRPr="00B33A7D">
        <w:rPr>
          <w:rFonts w:eastAsia="Calibri"/>
          <w:lang w:val="en-US" w:eastAsia="en-US"/>
        </w:rPr>
        <w:t xml:space="preserve"> et al., 2012)</w:t>
      </w:r>
      <w:r w:rsidR="000F191F" w:rsidRPr="00B33A7D">
        <w:rPr>
          <w:rFonts w:eastAsia="Calibri"/>
          <w:lang w:val="en-US" w:eastAsia="en-US"/>
        </w:rPr>
        <w:t>, increase</w:t>
      </w:r>
      <w:r w:rsidR="000C7962">
        <w:rPr>
          <w:rFonts w:eastAsia="Calibri"/>
          <w:lang w:val="en-US" w:eastAsia="en-US"/>
        </w:rPr>
        <w:t>d</w:t>
      </w:r>
      <w:r w:rsidR="000F191F" w:rsidRPr="00B33A7D">
        <w:rPr>
          <w:rFonts w:eastAsia="Calibri"/>
          <w:lang w:val="en-US" w:eastAsia="en-US"/>
        </w:rPr>
        <w:t xml:space="preserve"> Depressive Symptoms</w:t>
      </w:r>
      <w:r w:rsidR="00DB2A69" w:rsidRPr="00B33A7D">
        <w:rPr>
          <w:rFonts w:eastAsia="Calibri"/>
          <w:lang w:val="en-US" w:eastAsia="en-US"/>
        </w:rPr>
        <w:t xml:space="preserve"> (</w:t>
      </w:r>
      <w:proofErr w:type="spellStart"/>
      <w:r w:rsidR="001B76E9" w:rsidRPr="00B33A7D">
        <w:rPr>
          <w:rFonts w:eastAsia="Calibri"/>
          <w:lang w:val="en-US" w:eastAsia="en-US"/>
        </w:rPr>
        <w:t>Yusoff</w:t>
      </w:r>
      <w:proofErr w:type="spellEnd"/>
      <w:r w:rsidR="001B76E9" w:rsidRPr="00B33A7D">
        <w:rPr>
          <w:rFonts w:eastAsia="Calibri"/>
          <w:lang w:val="en-US" w:eastAsia="en-US"/>
        </w:rPr>
        <w:t xml:space="preserve"> et al., 2013; Moreira &amp; </w:t>
      </w:r>
      <w:proofErr w:type="spellStart"/>
      <w:r w:rsidR="001B76E9" w:rsidRPr="00B33A7D">
        <w:rPr>
          <w:rFonts w:eastAsia="Calibri"/>
          <w:lang w:val="en-US" w:eastAsia="en-US"/>
        </w:rPr>
        <w:t>Furegato</w:t>
      </w:r>
      <w:proofErr w:type="spellEnd"/>
      <w:r w:rsidR="001B76E9" w:rsidRPr="00B33A7D">
        <w:rPr>
          <w:rFonts w:eastAsia="Calibri"/>
          <w:lang w:val="en-US" w:eastAsia="en-US"/>
        </w:rPr>
        <w:t>, 2013</w:t>
      </w:r>
      <w:r w:rsidR="00DB2A69" w:rsidRPr="00B33A7D">
        <w:rPr>
          <w:rFonts w:eastAsia="Calibri"/>
          <w:lang w:val="en-US" w:eastAsia="en-US"/>
        </w:rPr>
        <w:t>)</w:t>
      </w:r>
      <w:r w:rsidR="000F191F" w:rsidRPr="00B33A7D">
        <w:rPr>
          <w:rFonts w:eastAsia="Calibri"/>
          <w:lang w:val="en-US" w:eastAsia="en-US"/>
        </w:rPr>
        <w:t>, and decre</w:t>
      </w:r>
      <w:r w:rsidR="00550159" w:rsidRPr="00B33A7D">
        <w:rPr>
          <w:rFonts w:eastAsia="Calibri"/>
          <w:lang w:val="en-US" w:eastAsia="en-US"/>
        </w:rPr>
        <w:t>a</w:t>
      </w:r>
      <w:r w:rsidR="000F191F" w:rsidRPr="00B33A7D">
        <w:rPr>
          <w:rFonts w:eastAsia="Calibri"/>
          <w:lang w:val="en-US" w:eastAsia="en-US"/>
        </w:rPr>
        <w:t>se</w:t>
      </w:r>
      <w:r w:rsidR="000C7962">
        <w:rPr>
          <w:rFonts w:eastAsia="Calibri"/>
          <w:lang w:val="en-US" w:eastAsia="en-US"/>
        </w:rPr>
        <w:t>d</w:t>
      </w:r>
      <w:r w:rsidR="000F191F" w:rsidRPr="00B33A7D">
        <w:rPr>
          <w:rFonts w:eastAsia="Calibri"/>
          <w:lang w:val="en-US" w:eastAsia="en-US"/>
        </w:rPr>
        <w:t xml:space="preserve"> self-esteem levels</w:t>
      </w:r>
      <w:r w:rsidR="00DB2A69" w:rsidRPr="00B33A7D">
        <w:rPr>
          <w:rFonts w:eastAsia="Calibri"/>
          <w:lang w:val="en-US" w:eastAsia="en-US"/>
        </w:rPr>
        <w:t xml:space="preserve"> (Lo, 2002; </w:t>
      </w:r>
      <w:proofErr w:type="spellStart"/>
      <w:r w:rsidR="001B76E9" w:rsidRPr="00B33A7D">
        <w:rPr>
          <w:rFonts w:eastAsia="Calibri"/>
          <w:lang w:val="en-US" w:eastAsia="en-US"/>
        </w:rPr>
        <w:t>Juth</w:t>
      </w:r>
      <w:proofErr w:type="spellEnd"/>
      <w:r w:rsidR="001B76E9" w:rsidRPr="00B33A7D">
        <w:rPr>
          <w:rFonts w:eastAsia="Calibri"/>
          <w:lang w:val="en-US" w:eastAsia="en-US"/>
        </w:rPr>
        <w:t xml:space="preserve"> et al.</w:t>
      </w:r>
      <w:r w:rsidR="00DB2A69" w:rsidRPr="00B33A7D">
        <w:rPr>
          <w:rFonts w:eastAsia="Calibri"/>
          <w:lang w:val="en-US" w:eastAsia="en-US"/>
        </w:rPr>
        <w:t xml:space="preserve">, </w:t>
      </w:r>
      <w:r w:rsidR="001B76E9" w:rsidRPr="00B33A7D">
        <w:rPr>
          <w:rFonts w:eastAsia="Calibri"/>
          <w:lang w:val="en-US" w:eastAsia="en-US"/>
        </w:rPr>
        <w:t>2011)</w:t>
      </w:r>
      <w:r w:rsidR="000F191F" w:rsidRPr="00B33A7D">
        <w:rPr>
          <w:rFonts w:eastAsia="Calibri"/>
          <w:lang w:val="en-US" w:eastAsia="en-US"/>
        </w:rPr>
        <w:t>. Moreover, international studies have been found a significant r</w:t>
      </w:r>
      <w:r w:rsidR="0060279E" w:rsidRPr="00B33A7D">
        <w:rPr>
          <w:rFonts w:eastAsia="Calibri"/>
          <w:lang w:val="en-US" w:eastAsia="en-US"/>
        </w:rPr>
        <w:t xml:space="preserve">elationship between stress and Burnout Syndrome </w:t>
      </w:r>
      <w:r w:rsidR="000F191F" w:rsidRPr="00B33A7D">
        <w:rPr>
          <w:rFonts w:eastAsia="Calibri"/>
          <w:lang w:val="en-US" w:eastAsia="en-US"/>
        </w:rPr>
        <w:t xml:space="preserve">(BS) occurrence among college students </w:t>
      </w:r>
      <w:r w:rsidR="00DB2A69" w:rsidRPr="00B33A7D">
        <w:rPr>
          <w:rFonts w:eastAsia="Calibri"/>
          <w:lang w:val="en-US" w:eastAsia="en-US"/>
        </w:rPr>
        <w:t xml:space="preserve">(Watson et al., 2008; </w:t>
      </w:r>
      <w:proofErr w:type="spellStart"/>
      <w:r w:rsidR="00DB2A69" w:rsidRPr="00B33A7D">
        <w:rPr>
          <w:rFonts w:eastAsia="Calibri"/>
          <w:lang w:val="en-US" w:eastAsia="en-US"/>
        </w:rPr>
        <w:t>Divaris</w:t>
      </w:r>
      <w:proofErr w:type="spellEnd"/>
      <w:r w:rsidR="00DB2A69" w:rsidRPr="00B33A7D">
        <w:rPr>
          <w:rFonts w:eastAsia="Calibri"/>
          <w:lang w:val="en-US" w:eastAsia="en-US"/>
        </w:rPr>
        <w:t xml:space="preserve"> et al., 2012)</w:t>
      </w:r>
      <w:r w:rsidR="0060279E" w:rsidRPr="00B33A7D">
        <w:rPr>
          <w:rFonts w:eastAsia="Calibri"/>
          <w:lang w:val="en-US" w:eastAsia="en-US"/>
        </w:rPr>
        <w:t>.</w:t>
      </w:r>
    </w:p>
    <w:p w14:paraId="5BE6F97D" w14:textId="77777777" w:rsidR="00716275" w:rsidRPr="00B33A7D" w:rsidRDefault="007B4EC3" w:rsidP="006C419A">
      <w:pPr>
        <w:autoSpaceDE w:val="0"/>
        <w:autoSpaceDN w:val="0"/>
        <w:adjustRightInd w:val="0"/>
        <w:spacing w:line="480" w:lineRule="auto"/>
        <w:ind w:firstLine="708"/>
        <w:jc w:val="both"/>
        <w:rPr>
          <w:rFonts w:eastAsia="Calibri"/>
          <w:lang w:val="en-US" w:eastAsia="en-US"/>
        </w:rPr>
      </w:pPr>
      <w:r w:rsidRPr="00B33A7D">
        <w:rPr>
          <w:rFonts w:eastAsia="Calibri"/>
          <w:lang w:val="en-US" w:eastAsia="en-US"/>
        </w:rPr>
        <w:t xml:space="preserve"> </w:t>
      </w:r>
      <w:r w:rsidR="0060279E" w:rsidRPr="00B33A7D">
        <w:rPr>
          <w:rFonts w:eastAsia="Calibri"/>
          <w:lang w:val="en-US" w:eastAsia="en-US"/>
        </w:rPr>
        <w:t>Concerning this Syndrome</w:t>
      </w:r>
      <w:r w:rsidR="00FD5724" w:rsidRPr="00B33A7D">
        <w:rPr>
          <w:rFonts w:eastAsia="Calibri"/>
          <w:lang w:val="en-US" w:eastAsia="en-US"/>
        </w:rPr>
        <w:t xml:space="preserve">, </w:t>
      </w:r>
      <w:r w:rsidR="0060279E" w:rsidRPr="00B33A7D">
        <w:rPr>
          <w:rFonts w:eastAsia="Calibri"/>
          <w:lang w:val="en-US" w:eastAsia="en-US"/>
        </w:rPr>
        <w:t>it occurs when the individual use strategies to cope with the stressor and they are not effective for this aim</w:t>
      </w:r>
      <w:r w:rsidR="00C22893" w:rsidRPr="00B33A7D">
        <w:rPr>
          <w:rFonts w:eastAsia="Calibri"/>
          <w:lang w:val="en-US" w:eastAsia="en-US"/>
        </w:rPr>
        <w:t xml:space="preserve">. </w:t>
      </w:r>
      <w:r w:rsidR="0060279E" w:rsidRPr="00B33A7D">
        <w:rPr>
          <w:rFonts w:eastAsia="Calibri"/>
          <w:lang w:val="en-US" w:eastAsia="en-US"/>
        </w:rPr>
        <w:t>Thus</w:t>
      </w:r>
      <w:r w:rsidR="00C22893" w:rsidRPr="00B33A7D">
        <w:rPr>
          <w:rFonts w:eastAsia="Calibri"/>
          <w:lang w:val="en-US" w:eastAsia="en-US"/>
        </w:rPr>
        <w:t xml:space="preserve">, </w:t>
      </w:r>
      <w:r w:rsidR="0060279E" w:rsidRPr="00B33A7D">
        <w:rPr>
          <w:rFonts w:eastAsia="Calibri"/>
          <w:lang w:val="en-US" w:eastAsia="en-US"/>
        </w:rPr>
        <w:t>the stressor remains</w:t>
      </w:r>
      <w:r w:rsidR="00C22893" w:rsidRPr="00B33A7D">
        <w:rPr>
          <w:rFonts w:eastAsia="Calibri"/>
          <w:lang w:val="en-US" w:eastAsia="en-US"/>
        </w:rPr>
        <w:t xml:space="preserve">, </w:t>
      </w:r>
      <w:r w:rsidR="0060279E" w:rsidRPr="00B33A7D">
        <w:rPr>
          <w:rFonts w:eastAsia="Calibri"/>
          <w:lang w:val="en-US" w:eastAsia="en-US"/>
        </w:rPr>
        <w:t>lead</w:t>
      </w:r>
      <w:r w:rsidR="00560A58" w:rsidRPr="00B33A7D">
        <w:rPr>
          <w:rFonts w:eastAsia="Calibri"/>
          <w:lang w:val="en-US" w:eastAsia="en-US"/>
        </w:rPr>
        <w:t>ing</w:t>
      </w:r>
      <w:r w:rsidR="0060279E" w:rsidRPr="00B33A7D">
        <w:rPr>
          <w:rFonts w:eastAsia="Calibri"/>
          <w:lang w:val="en-US" w:eastAsia="en-US"/>
        </w:rPr>
        <w:t xml:space="preserve"> to chroni</w:t>
      </w:r>
      <w:r w:rsidR="00716275" w:rsidRPr="00B33A7D">
        <w:rPr>
          <w:rFonts w:eastAsia="Calibri"/>
          <w:lang w:val="en-US" w:eastAsia="en-US"/>
        </w:rPr>
        <w:t>c stress</w:t>
      </w:r>
      <w:r w:rsidR="0060279E" w:rsidRPr="00B33A7D">
        <w:rPr>
          <w:rFonts w:eastAsia="Calibri"/>
          <w:lang w:val="en-US" w:eastAsia="en-US"/>
        </w:rPr>
        <w:t xml:space="preserve"> and</w:t>
      </w:r>
      <w:r w:rsidR="00C22893" w:rsidRPr="00B33A7D">
        <w:rPr>
          <w:rFonts w:eastAsia="Calibri"/>
          <w:lang w:val="en-US" w:eastAsia="en-US"/>
        </w:rPr>
        <w:t xml:space="preserve">, </w:t>
      </w:r>
      <w:r w:rsidR="0060279E" w:rsidRPr="00B33A7D">
        <w:rPr>
          <w:rFonts w:eastAsia="Calibri"/>
          <w:lang w:val="en-US" w:eastAsia="en-US"/>
        </w:rPr>
        <w:t>consequently</w:t>
      </w:r>
      <w:r w:rsidR="00C22893" w:rsidRPr="00B33A7D">
        <w:rPr>
          <w:rFonts w:eastAsia="Calibri"/>
          <w:lang w:val="en-US" w:eastAsia="en-US"/>
        </w:rPr>
        <w:t xml:space="preserve">, </w:t>
      </w:r>
      <w:r w:rsidR="0060279E" w:rsidRPr="00B33A7D">
        <w:rPr>
          <w:rFonts w:eastAsia="Calibri"/>
          <w:lang w:val="en-US" w:eastAsia="en-US"/>
        </w:rPr>
        <w:t>to</w:t>
      </w:r>
      <w:r w:rsidR="00C22893" w:rsidRPr="00B33A7D">
        <w:rPr>
          <w:rFonts w:eastAsia="Calibri"/>
          <w:lang w:val="en-US" w:eastAsia="en-US"/>
        </w:rPr>
        <w:t xml:space="preserve"> </w:t>
      </w:r>
      <w:r w:rsidR="00C22893" w:rsidRPr="00B33A7D">
        <w:rPr>
          <w:rFonts w:eastAsia="Calibri"/>
          <w:i/>
          <w:lang w:val="en-US" w:eastAsia="en-US"/>
        </w:rPr>
        <w:t>Burnout</w:t>
      </w:r>
      <w:r w:rsidR="00560A58" w:rsidRPr="00B33A7D">
        <w:rPr>
          <w:rFonts w:eastAsia="Calibri"/>
          <w:i/>
          <w:lang w:val="en-US" w:eastAsia="en-US"/>
        </w:rPr>
        <w:t xml:space="preserve"> </w:t>
      </w:r>
      <w:r w:rsidR="009D77C8" w:rsidRPr="00B33A7D">
        <w:rPr>
          <w:rFonts w:eastAsia="Calibri"/>
          <w:lang w:val="en-US" w:eastAsia="en-US"/>
        </w:rPr>
        <w:t>(</w:t>
      </w:r>
      <w:proofErr w:type="spellStart"/>
      <w:r w:rsidR="009D77C8" w:rsidRPr="00B33A7D">
        <w:rPr>
          <w:rFonts w:eastAsia="Calibri"/>
          <w:lang w:val="en-US" w:eastAsia="en-US"/>
        </w:rPr>
        <w:t>Carlotto</w:t>
      </w:r>
      <w:proofErr w:type="spellEnd"/>
      <w:r w:rsidR="009D77C8" w:rsidRPr="00B33A7D">
        <w:rPr>
          <w:rFonts w:eastAsia="Calibri"/>
          <w:lang w:val="en-US" w:eastAsia="en-US"/>
        </w:rPr>
        <w:t xml:space="preserve"> et al., 2006)</w:t>
      </w:r>
      <w:r w:rsidR="00550159" w:rsidRPr="00B33A7D">
        <w:rPr>
          <w:rFonts w:eastAsia="Calibri"/>
          <w:lang w:val="en-US" w:eastAsia="en-US"/>
        </w:rPr>
        <w:t>.</w:t>
      </w:r>
      <w:r w:rsidR="00C22893" w:rsidRPr="00B33A7D">
        <w:rPr>
          <w:rFonts w:eastAsia="Calibri"/>
          <w:lang w:val="en-US" w:eastAsia="en-US"/>
        </w:rPr>
        <w:t xml:space="preserve"> </w:t>
      </w:r>
      <w:r w:rsidR="0060279E" w:rsidRPr="00B33A7D">
        <w:rPr>
          <w:rFonts w:eastAsia="Calibri"/>
          <w:lang w:val="en-US" w:eastAsia="en-US"/>
        </w:rPr>
        <w:t>The BS features are</w:t>
      </w:r>
      <w:r w:rsidR="00716275" w:rsidRPr="00B33A7D">
        <w:rPr>
          <w:rFonts w:eastAsia="Calibri"/>
          <w:lang w:val="en-US" w:eastAsia="en-US"/>
        </w:rPr>
        <w:t>:</w:t>
      </w:r>
      <w:r w:rsidR="00716275" w:rsidRPr="00B33A7D">
        <w:rPr>
          <w:lang w:val="en-US"/>
        </w:rPr>
        <w:t xml:space="preserve"> Emotional Exhaustion, characterized by feelings of being exhausted due to study requirements</w:t>
      </w:r>
      <w:r w:rsidR="00716275" w:rsidRPr="00B33A7D">
        <w:rPr>
          <w:rFonts w:eastAsia="Calibri"/>
          <w:lang w:val="en-US" w:eastAsia="en-US"/>
        </w:rPr>
        <w:t>; Cynicism, understood as cynical and detached attitude regarding to study; and Professional Inefficacy that is marked by the perception of incompetency as student</w:t>
      </w:r>
      <w:r w:rsidR="00550159" w:rsidRPr="00B33A7D">
        <w:rPr>
          <w:rFonts w:eastAsia="Calibri"/>
          <w:lang w:val="en-US" w:eastAsia="en-US"/>
        </w:rPr>
        <w:t xml:space="preserve"> </w:t>
      </w:r>
      <w:r w:rsidR="009D77C8" w:rsidRPr="00B33A7D">
        <w:rPr>
          <w:rFonts w:eastAsia="Calibri"/>
          <w:lang w:val="en-US" w:eastAsia="en-US"/>
        </w:rPr>
        <w:t>(</w:t>
      </w:r>
      <w:proofErr w:type="spellStart"/>
      <w:r w:rsidR="009D77C8" w:rsidRPr="00B33A7D">
        <w:rPr>
          <w:rFonts w:eastAsia="Calibri"/>
          <w:lang w:val="en-US" w:eastAsia="en-US"/>
        </w:rPr>
        <w:t>Carlotto</w:t>
      </w:r>
      <w:proofErr w:type="spellEnd"/>
      <w:r w:rsidR="009D77C8" w:rsidRPr="00B33A7D">
        <w:rPr>
          <w:rFonts w:eastAsia="Calibri"/>
          <w:lang w:val="en-US" w:eastAsia="en-US"/>
        </w:rPr>
        <w:t xml:space="preserve"> et al., 2006)</w:t>
      </w:r>
      <w:r w:rsidR="00550159" w:rsidRPr="00B33A7D">
        <w:rPr>
          <w:rFonts w:eastAsia="Calibri"/>
          <w:lang w:val="en-US" w:eastAsia="en-US"/>
        </w:rPr>
        <w:t>.</w:t>
      </w:r>
      <w:r w:rsidR="00C22893" w:rsidRPr="00B33A7D">
        <w:rPr>
          <w:rFonts w:eastAsia="Calibri"/>
          <w:lang w:val="en-US" w:eastAsia="en-US"/>
        </w:rPr>
        <w:t xml:space="preserve"> </w:t>
      </w:r>
      <w:r w:rsidR="00716275" w:rsidRPr="00B33A7D">
        <w:rPr>
          <w:rFonts w:eastAsia="Calibri"/>
          <w:lang w:val="en-US" w:eastAsia="en-US"/>
        </w:rPr>
        <w:t>In this context</w:t>
      </w:r>
      <w:r w:rsidR="00C22893" w:rsidRPr="00B33A7D">
        <w:rPr>
          <w:rFonts w:eastAsia="Calibri"/>
          <w:lang w:val="en-US" w:eastAsia="en-US"/>
        </w:rPr>
        <w:t xml:space="preserve">, </w:t>
      </w:r>
      <w:r w:rsidR="00716275" w:rsidRPr="00B33A7D">
        <w:rPr>
          <w:rFonts w:eastAsia="Calibri"/>
          <w:lang w:val="en-US" w:eastAsia="en-US"/>
        </w:rPr>
        <w:t>researchers have found 48.6% of medicine students from Washington</w:t>
      </w:r>
      <w:r w:rsidR="00550159" w:rsidRPr="00B33A7D">
        <w:rPr>
          <w:rFonts w:eastAsia="Calibri"/>
          <w:lang w:val="en-US" w:eastAsia="en-US"/>
        </w:rPr>
        <w:t xml:space="preserve"> </w:t>
      </w:r>
      <w:r w:rsidR="009D77C8" w:rsidRPr="00B33A7D">
        <w:rPr>
          <w:rFonts w:eastAsia="Calibri"/>
          <w:lang w:val="en-US" w:eastAsia="en-US"/>
        </w:rPr>
        <w:t>(</w:t>
      </w:r>
      <w:proofErr w:type="spellStart"/>
      <w:r w:rsidR="009D77C8" w:rsidRPr="00B33A7D">
        <w:rPr>
          <w:rFonts w:eastAsia="Calibri"/>
          <w:lang w:val="en-US" w:eastAsia="en-US"/>
        </w:rPr>
        <w:t>Dyrbye</w:t>
      </w:r>
      <w:proofErr w:type="spellEnd"/>
      <w:r w:rsidR="009D77C8" w:rsidRPr="00B33A7D">
        <w:rPr>
          <w:rFonts w:eastAsia="Calibri"/>
          <w:lang w:val="en-US" w:eastAsia="en-US"/>
        </w:rPr>
        <w:t xml:space="preserve"> et al., 2008)</w:t>
      </w:r>
      <w:r w:rsidR="00716275" w:rsidRPr="00B33A7D">
        <w:rPr>
          <w:rFonts w:eastAsia="Calibri"/>
          <w:lang w:val="en-US" w:eastAsia="en-US"/>
        </w:rPr>
        <w:t xml:space="preserve"> and 17% of </w:t>
      </w:r>
      <w:r w:rsidR="009465D2" w:rsidRPr="00B33A7D">
        <w:rPr>
          <w:rFonts w:eastAsia="Calibri"/>
          <w:lang w:val="en-US" w:eastAsia="en-US"/>
        </w:rPr>
        <w:t>dental students</w:t>
      </w:r>
      <w:r w:rsidR="00550159" w:rsidRPr="00B33A7D">
        <w:rPr>
          <w:rFonts w:eastAsia="Calibri"/>
          <w:lang w:val="en-US" w:eastAsia="en-US"/>
        </w:rPr>
        <w:t xml:space="preserve"> </w:t>
      </w:r>
      <w:r w:rsidR="009D77C8" w:rsidRPr="00B33A7D">
        <w:rPr>
          <w:rFonts w:eastAsia="Calibri"/>
          <w:lang w:val="en-US" w:eastAsia="en-US"/>
        </w:rPr>
        <w:t>(Campos et al., 2012)</w:t>
      </w:r>
      <w:r w:rsidR="00716275" w:rsidRPr="00B33A7D">
        <w:rPr>
          <w:rFonts w:eastAsia="Calibri"/>
          <w:lang w:val="en-US" w:eastAsia="en-US"/>
        </w:rPr>
        <w:t xml:space="preserve"> from São Paulo with Burnout. It confirms the</w:t>
      </w:r>
      <w:r w:rsidR="00543A75">
        <w:rPr>
          <w:rFonts w:eastAsia="Calibri"/>
          <w:lang w:val="en-US" w:eastAsia="en-US"/>
        </w:rPr>
        <w:t xml:space="preserve"> occurrence of</w:t>
      </w:r>
      <w:r w:rsidR="00716275" w:rsidRPr="00B33A7D">
        <w:rPr>
          <w:rFonts w:eastAsia="Calibri"/>
          <w:lang w:val="en-US" w:eastAsia="en-US"/>
        </w:rPr>
        <w:t xml:space="preserve"> </w:t>
      </w:r>
      <w:r w:rsidR="009465D2" w:rsidRPr="00B33A7D">
        <w:rPr>
          <w:rFonts w:eastAsia="Calibri"/>
          <w:lang w:val="en-US" w:eastAsia="en-US"/>
        </w:rPr>
        <w:t xml:space="preserve">Burnout Syndrome </w:t>
      </w:r>
      <w:r w:rsidR="00716275" w:rsidRPr="00B33A7D">
        <w:rPr>
          <w:rFonts w:eastAsia="Calibri"/>
          <w:lang w:val="en-US" w:eastAsia="en-US"/>
        </w:rPr>
        <w:t>among college students.</w:t>
      </w:r>
    </w:p>
    <w:p w14:paraId="516D4244" w14:textId="6793FDDF" w:rsidR="008055FD" w:rsidRDefault="00FC5910" w:rsidP="008055FD">
      <w:pPr>
        <w:autoSpaceDE w:val="0"/>
        <w:autoSpaceDN w:val="0"/>
        <w:adjustRightInd w:val="0"/>
        <w:spacing w:line="480" w:lineRule="auto"/>
        <w:ind w:firstLine="708"/>
        <w:jc w:val="both"/>
        <w:rPr>
          <w:rFonts w:eastAsia="Calibri"/>
          <w:lang w:val="en-US" w:eastAsia="en-US"/>
        </w:rPr>
      </w:pPr>
      <w:r>
        <w:rPr>
          <w:rFonts w:eastAsia="Calibri"/>
          <w:lang w:val="en-US" w:eastAsia="en-US"/>
        </w:rPr>
        <w:t>Few</w:t>
      </w:r>
      <w:r w:rsidR="00543A75">
        <w:rPr>
          <w:rFonts w:eastAsia="Calibri"/>
          <w:lang w:val="en-US" w:eastAsia="en-US"/>
        </w:rPr>
        <w:t xml:space="preserve"> </w:t>
      </w:r>
      <w:r w:rsidR="00F90558">
        <w:rPr>
          <w:rFonts w:eastAsia="Calibri"/>
          <w:lang w:val="en-US" w:eastAsia="en-US"/>
        </w:rPr>
        <w:t>features</w:t>
      </w:r>
      <w:r>
        <w:rPr>
          <w:rFonts w:eastAsia="Calibri"/>
          <w:lang w:val="en-US" w:eastAsia="en-US"/>
        </w:rPr>
        <w:t>-</w:t>
      </w:r>
      <w:r w:rsidR="00F90558">
        <w:rPr>
          <w:rFonts w:eastAsia="Calibri"/>
          <w:lang w:val="en-US" w:eastAsia="en-US"/>
        </w:rPr>
        <w:t xml:space="preserve"> like academic </w:t>
      </w:r>
      <w:r w:rsidR="009465D2" w:rsidRPr="00B33A7D">
        <w:rPr>
          <w:rFonts w:eastAsia="Calibri"/>
          <w:lang w:val="en-US" w:eastAsia="en-US"/>
        </w:rPr>
        <w:t>overload</w:t>
      </w:r>
      <w:r>
        <w:rPr>
          <w:rFonts w:eastAsia="Calibri"/>
          <w:lang w:val="en-US" w:eastAsia="en-US"/>
        </w:rPr>
        <w:t>,</w:t>
      </w:r>
      <w:r w:rsidR="009465D2" w:rsidRPr="00B33A7D">
        <w:rPr>
          <w:rFonts w:eastAsia="Calibri"/>
          <w:lang w:val="en-US" w:eastAsia="en-US"/>
        </w:rPr>
        <w:t xml:space="preserve"> </w:t>
      </w:r>
      <w:r w:rsidR="00F90558">
        <w:rPr>
          <w:rFonts w:eastAsia="Calibri"/>
          <w:lang w:val="en-US" w:eastAsia="en-US"/>
        </w:rPr>
        <w:t>sedentary lifestyle</w:t>
      </w:r>
      <w:r>
        <w:rPr>
          <w:rFonts w:eastAsia="Calibri"/>
          <w:lang w:val="en-US" w:eastAsia="en-US"/>
        </w:rPr>
        <w:t xml:space="preserve">, </w:t>
      </w:r>
      <w:r w:rsidR="00F90558">
        <w:rPr>
          <w:rFonts w:eastAsia="Calibri"/>
          <w:lang w:val="en-US" w:eastAsia="en-US"/>
        </w:rPr>
        <w:t xml:space="preserve">lack of time for </w:t>
      </w:r>
      <w:r w:rsidR="009465D2" w:rsidRPr="00B33A7D">
        <w:rPr>
          <w:rFonts w:eastAsia="Calibri"/>
          <w:lang w:val="en-US" w:eastAsia="en-US"/>
        </w:rPr>
        <w:t>leisure activities</w:t>
      </w:r>
      <w:r>
        <w:rPr>
          <w:rFonts w:eastAsia="Calibri"/>
          <w:lang w:val="en-US" w:eastAsia="en-US"/>
        </w:rPr>
        <w:t>,</w:t>
      </w:r>
      <w:r w:rsidR="009465D2" w:rsidRPr="00B33A7D">
        <w:rPr>
          <w:rFonts w:eastAsia="Calibri"/>
          <w:lang w:val="en-US" w:eastAsia="en-US"/>
        </w:rPr>
        <w:t xml:space="preserve"> t</w:t>
      </w:r>
      <w:r w:rsidR="00543A75">
        <w:rPr>
          <w:rFonts w:eastAsia="Calibri"/>
          <w:lang w:val="en-US" w:eastAsia="en-US"/>
        </w:rPr>
        <w:t xml:space="preserve">ime spent </w:t>
      </w:r>
      <w:r>
        <w:rPr>
          <w:rFonts w:eastAsia="Calibri"/>
          <w:lang w:val="en-US" w:eastAsia="en-US"/>
        </w:rPr>
        <w:t>with transportation,</w:t>
      </w:r>
      <w:r w:rsidR="009465D2" w:rsidRPr="00B33A7D">
        <w:rPr>
          <w:rFonts w:eastAsia="Calibri"/>
          <w:lang w:val="en-US" w:eastAsia="en-US"/>
        </w:rPr>
        <w:t xml:space="preserve"> </w:t>
      </w:r>
      <w:r w:rsidR="00F90558">
        <w:rPr>
          <w:rFonts w:eastAsia="Calibri"/>
          <w:lang w:val="en-US" w:eastAsia="en-US"/>
        </w:rPr>
        <w:t xml:space="preserve">having </w:t>
      </w:r>
      <w:r>
        <w:rPr>
          <w:rFonts w:eastAsia="Calibri"/>
          <w:lang w:val="en-US" w:eastAsia="en-US"/>
        </w:rPr>
        <w:t xml:space="preserve">a job and work experience- </w:t>
      </w:r>
      <w:r w:rsidR="009465D2" w:rsidRPr="00B33A7D">
        <w:rPr>
          <w:rFonts w:eastAsia="Calibri"/>
          <w:lang w:val="en-US" w:eastAsia="en-US"/>
        </w:rPr>
        <w:t>may contribute to the Burnout occurrence.</w:t>
      </w:r>
      <w:r w:rsidR="00436585" w:rsidRPr="00B33A7D">
        <w:rPr>
          <w:rFonts w:eastAsia="Calibri"/>
          <w:lang w:val="en-US" w:eastAsia="en-US"/>
        </w:rPr>
        <w:t xml:space="preserve"> </w:t>
      </w:r>
      <w:r w:rsidR="009465D2" w:rsidRPr="00B33A7D">
        <w:rPr>
          <w:rFonts w:eastAsia="Calibri"/>
          <w:lang w:val="en-US" w:eastAsia="en-US"/>
        </w:rPr>
        <w:t>Thus</w:t>
      </w:r>
      <w:r w:rsidR="00436585" w:rsidRPr="00B33A7D">
        <w:rPr>
          <w:rFonts w:eastAsia="Calibri"/>
          <w:lang w:val="en-US" w:eastAsia="en-US"/>
        </w:rPr>
        <w:t xml:space="preserve">, </w:t>
      </w:r>
      <w:r w:rsidR="009465D2" w:rsidRPr="00B33A7D">
        <w:rPr>
          <w:rFonts w:eastAsia="Calibri"/>
          <w:lang w:val="en-US" w:eastAsia="en-US"/>
        </w:rPr>
        <w:t>investigations have been analyzed the associa</w:t>
      </w:r>
      <w:r w:rsidR="007E016A">
        <w:rPr>
          <w:rFonts w:eastAsia="Calibri"/>
          <w:lang w:val="en-US" w:eastAsia="en-US"/>
        </w:rPr>
        <w:t>tions between biosocial</w:t>
      </w:r>
      <w:r w:rsidR="009465D2" w:rsidRPr="00B33A7D">
        <w:rPr>
          <w:rFonts w:eastAsia="Calibri"/>
          <w:lang w:val="en-US" w:eastAsia="en-US"/>
        </w:rPr>
        <w:t xml:space="preserve"> and academic characteristics and the Burnout Syndrome in </w:t>
      </w:r>
      <w:r w:rsidR="00E26716">
        <w:rPr>
          <w:rFonts w:eastAsia="Calibri"/>
          <w:lang w:val="en-US" w:eastAsia="en-US"/>
        </w:rPr>
        <w:t xml:space="preserve">several </w:t>
      </w:r>
      <w:r w:rsidR="009465D2" w:rsidRPr="00B33A7D">
        <w:rPr>
          <w:rFonts w:eastAsia="Calibri"/>
          <w:lang w:val="en-US" w:eastAsia="en-US"/>
        </w:rPr>
        <w:t>countries</w:t>
      </w:r>
      <w:r w:rsidR="00550159" w:rsidRPr="00B33A7D">
        <w:rPr>
          <w:rFonts w:eastAsia="Calibri"/>
          <w:lang w:val="en-US" w:eastAsia="en-US"/>
        </w:rPr>
        <w:t xml:space="preserve"> </w:t>
      </w:r>
      <w:r w:rsidR="00DB2DB1" w:rsidRPr="00B33A7D">
        <w:rPr>
          <w:rFonts w:eastAsia="Calibri"/>
          <w:lang w:val="en-US" w:eastAsia="en-US"/>
        </w:rPr>
        <w:lastRenderedPageBreak/>
        <w:t>(</w:t>
      </w:r>
      <w:proofErr w:type="spellStart"/>
      <w:r w:rsidR="00DB2DB1" w:rsidRPr="00B33A7D">
        <w:rPr>
          <w:rFonts w:eastAsia="Calibri"/>
          <w:lang w:val="en-US" w:eastAsia="en-US"/>
        </w:rPr>
        <w:t>Carlotto</w:t>
      </w:r>
      <w:proofErr w:type="spellEnd"/>
      <w:r w:rsidR="00DB2DB1" w:rsidRPr="00B33A7D">
        <w:rPr>
          <w:rFonts w:eastAsia="Calibri"/>
          <w:lang w:val="en-US" w:eastAsia="en-US"/>
        </w:rPr>
        <w:t xml:space="preserve"> &amp; </w:t>
      </w:r>
      <w:proofErr w:type="spellStart"/>
      <w:r w:rsidR="00DB2DB1" w:rsidRPr="00B33A7D">
        <w:rPr>
          <w:rFonts w:eastAsia="Calibri"/>
          <w:lang w:val="en-US" w:eastAsia="en-US"/>
        </w:rPr>
        <w:t>Câmara</w:t>
      </w:r>
      <w:proofErr w:type="spellEnd"/>
      <w:r w:rsidR="00DB2DB1" w:rsidRPr="00B33A7D">
        <w:rPr>
          <w:rFonts w:eastAsia="Calibri"/>
          <w:lang w:val="en-US" w:eastAsia="en-US"/>
        </w:rPr>
        <w:t>, 2008)</w:t>
      </w:r>
      <w:r w:rsidR="00436585" w:rsidRPr="00B33A7D">
        <w:rPr>
          <w:rFonts w:eastAsia="Calibri"/>
          <w:lang w:val="en-US" w:eastAsia="en-US"/>
        </w:rPr>
        <w:t>.</w:t>
      </w:r>
      <w:r w:rsidR="004405FD">
        <w:rPr>
          <w:rFonts w:eastAsia="Calibri"/>
          <w:lang w:val="en-US" w:eastAsia="en-US"/>
        </w:rPr>
        <w:t xml:space="preserve"> </w:t>
      </w:r>
      <w:r w:rsidR="004405FD" w:rsidRPr="005C4FD9">
        <w:rPr>
          <w:rFonts w:eastAsia="Calibri"/>
          <w:highlight w:val="yellow"/>
          <w:lang w:val="en-US" w:eastAsia="en-US"/>
        </w:rPr>
        <w:t>However,</w:t>
      </w:r>
      <w:r w:rsidR="00436585" w:rsidRPr="005C4FD9">
        <w:rPr>
          <w:rFonts w:eastAsia="Calibri"/>
          <w:highlight w:val="yellow"/>
          <w:lang w:val="en-US" w:eastAsia="en-US"/>
        </w:rPr>
        <w:t xml:space="preserve"> </w:t>
      </w:r>
      <w:r w:rsidR="004405FD" w:rsidRPr="005C4FD9">
        <w:rPr>
          <w:rFonts w:eastAsia="Calibri"/>
          <w:highlight w:val="yellow"/>
          <w:lang w:val="en-US" w:eastAsia="en-US"/>
        </w:rPr>
        <w:t>i</w:t>
      </w:r>
      <w:r w:rsidR="009465D2" w:rsidRPr="005C4FD9">
        <w:rPr>
          <w:rFonts w:eastAsia="Calibri"/>
          <w:highlight w:val="yellow"/>
          <w:lang w:val="en-US" w:eastAsia="en-US"/>
        </w:rPr>
        <w:t>n Brazil</w:t>
      </w:r>
      <w:r w:rsidR="003A602F" w:rsidRPr="005C4FD9">
        <w:rPr>
          <w:rFonts w:eastAsia="Calibri"/>
          <w:highlight w:val="yellow"/>
          <w:lang w:val="en-US" w:eastAsia="en-US"/>
        </w:rPr>
        <w:t xml:space="preserve">, </w:t>
      </w:r>
      <w:r w:rsidR="009465D2" w:rsidRPr="005C4FD9">
        <w:rPr>
          <w:rFonts w:eastAsia="Calibri"/>
          <w:highlight w:val="yellow"/>
          <w:lang w:val="en-US" w:eastAsia="en-US"/>
        </w:rPr>
        <w:t>according to researchers</w:t>
      </w:r>
      <w:r w:rsidR="003A602F" w:rsidRPr="005C4FD9">
        <w:rPr>
          <w:rFonts w:eastAsia="Calibri"/>
          <w:highlight w:val="yellow"/>
          <w:lang w:val="en-US" w:eastAsia="en-US"/>
        </w:rPr>
        <w:t xml:space="preserve">, </w:t>
      </w:r>
      <w:r w:rsidR="00695215" w:rsidRPr="005C4FD9">
        <w:rPr>
          <w:rFonts w:eastAsia="Calibri"/>
          <w:highlight w:val="yellow"/>
          <w:lang w:val="en-US" w:eastAsia="en-US"/>
        </w:rPr>
        <w:t>few studies analyze the linkages betwe</w:t>
      </w:r>
      <w:r w:rsidR="00DB2DB1" w:rsidRPr="005C4FD9">
        <w:rPr>
          <w:rFonts w:eastAsia="Calibri"/>
          <w:highlight w:val="yellow"/>
          <w:lang w:val="en-US" w:eastAsia="en-US"/>
        </w:rPr>
        <w:t xml:space="preserve">en characteristics and Burnout and </w:t>
      </w:r>
      <w:r w:rsidR="00E26716" w:rsidRPr="005C4FD9">
        <w:rPr>
          <w:rFonts w:eastAsia="Calibri"/>
          <w:highlight w:val="yellow"/>
          <w:lang w:val="en-US" w:eastAsia="en-US"/>
        </w:rPr>
        <w:t>no one study was</w:t>
      </w:r>
      <w:r w:rsidR="00695215" w:rsidRPr="005C4FD9">
        <w:rPr>
          <w:rFonts w:eastAsia="Calibri"/>
          <w:highlight w:val="yellow"/>
          <w:lang w:val="en-US" w:eastAsia="en-US"/>
        </w:rPr>
        <w:t xml:space="preserve"> developed among nursing students</w:t>
      </w:r>
      <w:r w:rsidR="00E26716" w:rsidRPr="005C4FD9">
        <w:rPr>
          <w:rFonts w:eastAsia="Calibri"/>
          <w:highlight w:val="yellow"/>
          <w:lang w:val="en-US" w:eastAsia="en-US"/>
        </w:rPr>
        <w:t xml:space="preserve"> </w:t>
      </w:r>
      <w:r w:rsidR="00DB2DB1" w:rsidRPr="005C4FD9">
        <w:rPr>
          <w:rFonts w:eastAsia="Calibri"/>
          <w:highlight w:val="yellow"/>
          <w:lang w:val="en-US" w:eastAsia="en-US"/>
        </w:rPr>
        <w:t>(</w:t>
      </w:r>
      <w:proofErr w:type="spellStart"/>
      <w:r w:rsidR="00DB2DB1" w:rsidRPr="005C4FD9">
        <w:rPr>
          <w:rFonts w:eastAsia="Calibri"/>
          <w:highlight w:val="yellow"/>
          <w:lang w:val="en-US" w:eastAsia="en-US"/>
        </w:rPr>
        <w:t>Carlotto</w:t>
      </w:r>
      <w:proofErr w:type="spellEnd"/>
      <w:r w:rsidR="00DB2DB1" w:rsidRPr="005C4FD9">
        <w:rPr>
          <w:rFonts w:eastAsia="Calibri"/>
          <w:highlight w:val="yellow"/>
          <w:lang w:val="en-US" w:eastAsia="en-US"/>
        </w:rPr>
        <w:t xml:space="preserve"> &amp; </w:t>
      </w:r>
      <w:proofErr w:type="spellStart"/>
      <w:r w:rsidR="00DB2DB1" w:rsidRPr="005C4FD9">
        <w:rPr>
          <w:rFonts w:eastAsia="Calibri"/>
          <w:highlight w:val="yellow"/>
          <w:lang w:val="en-US" w:eastAsia="en-US"/>
        </w:rPr>
        <w:t>Câmara</w:t>
      </w:r>
      <w:proofErr w:type="spellEnd"/>
      <w:r w:rsidR="00DB2DB1" w:rsidRPr="005C4FD9">
        <w:rPr>
          <w:rFonts w:eastAsia="Calibri"/>
          <w:highlight w:val="yellow"/>
          <w:lang w:val="en-US" w:eastAsia="en-US"/>
        </w:rPr>
        <w:t>, 2008)</w:t>
      </w:r>
      <w:r w:rsidR="00550159" w:rsidRPr="005C4FD9">
        <w:rPr>
          <w:rFonts w:eastAsia="Calibri"/>
          <w:highlight w:val="yellow"/>
          <w:lang w:val="en-US" w:eastAsia="en-US"/>
        </w:rPr>
        <w:t>.</w:t>
      </w:r>
      <w:r w:rsidR="00825A89" w:rsidRPr="005C4FD9">
        <w:rPr>
          <w:rFonts w:eastAsia="Calibri"/>
          <w:highlight w:val="yellow"/>
          <w:lang w:val="en-US" w:eastAsia="en-US"/>
        </w:rPr>
        <w:t xml:space="preserve"> </w:t>
      </w:r>
      <w:r w:rsidR="004405FD" w:rsidRPr="005C4FD9">
        <w:rPr>
          <w:highlight w:val="yellow"/>
          <w:lang w:val="en-US"/>
        </w:rPr>
        <w:t xml:space="preserve">So, we verified the </w:t>
      </w:r>
      <w:r w:rsidR="004405FD" w:rsidRPr="005C4FD9">
        <w:rPr>
          <w:color w:val="000000"/>
          <w:highlight w:val="yellow"/>
          <w:lang w:val="en-US"/>
        </w:rPr>
        <w:t>association of biosocial and academic variables to Burnout occurrence</w:t>
      </w:r>
      <w:r w:rsidR="004405FD" w:rsidRPr="005C4FD9">
        <w:rPr>
          <w:highlight w:val="yellow"/>
          <w:lang w:val="en-US"/>
        </w:rPr>
        <w:t xml:space="preserve"> in nursing students.</w:t>
      </w:r>
    </w:p>
    <w:p w14:paraId="1EC17E0C" w14:textId="0DCD2529" w:rsidR="00E43165" w:rsidRPr="00B33A7D" w:rsidRDefault="004405FD" w:rsidP="006C419A">
      <w:pPr>
        <w:autoSpaceDE w:val="0"/>
        <w:autoSpaceDN w:val="0"/>
        <w:adjustRightInd w:val="0"/>
        <w:spacing w:line="480" w:lineRule="auto"/>
        <w:ind w:firstLine="708"/>
        <w:jc w:val="both"/>
        <w:rPr>
          <w:lang w:val="en-US"/>
        </w:rPr>
      </w:pPr>
      <w:r w:rsidRPr="005C4FD9">
        <w:rPr>
          <w:rFonts w:eastAsia="Calibri"/>
          <w:highlight w:val="yellow"/>
          <w:lang w:val="en-US" w:eastAsia="en-US"/>
        </w:rPr>
        <w:t xml:space="preserve">Once stressful situations lived for students </w:t>
      </w:r>
      <w:r w:rsidR="008055FD" w:rsidRPr="005C4FD9">
        <w:rPr>
          <w:rFonts w:eastAsia="Calibri"/>
          <w:highlight w:val="yellow"/>
          <w:lang w:val="en-US" w:eastAsia="en-US"/>
        </w:rPr>
        <w:t>during the</w:t>
      </w:r>
      <w:r w:rsidR="00E26716" w:rsidRPr="005C4FD9">
        <w:rPr>
          <w:highlight w:val="yellow"/>
          <w:lang w:val="en-US"/>
        </w:rPr>
        <w:t xml:space="preserve"> </w:t>
      </w:r>
      <w:r w:rsidRPr="005C4FD9">
        <w:rPr>
          <w:highlight w:val="yellow"/>
          <w:lang w:val="en-US"/>
        </w:rPr>
        <w:t>nursing</w:t>
      </w:r>
      <w:r w:rsidR="008055FD" w:rsidRPr="005C4FD9">
        <w:rPr>
          <w:highlight w:val="yellow"/>
          <w:lang w:val="en-US"/>
        </w:rPr>
        <w:t xml:space="preserve"> degree- including biosocial and academic issues- </w:t>
      </w:r>
      <w:r w:rsidRPr="005C4FD9">
        <w:rPr>
          <w:highlight w:val="yellow"/>
          <w:lang w:val="en-US"/>
        </w:rPr>
        <w:t>may increase the</w:t>
      </w:r>
      <w:r w:rsidR="008055FD" w:rsidRPr="005C4FD9">
        <w:rPr>
          <w:highlight w:val="yellow"/>
          <w:lang w:val="en-US"/>
        </w:rPr>
        <w:t>ir</w:t>
      </w:r>
      <w:r w:rsidRPr="005C4FD9">
        <w:rPr>
          <w:highlight w:val="yellow"/>
          <w:lang w:val="en-US"/>
        </w:rPr>
        <w:t xml:space="preserve"> </w:t>
      </w:r>
      <w:r w:rsidR="008055FD" w:rsidRPr="005C4FD9">
        <w:rPr>
          <w:highlight w:val="yellow"/>
          <w:lang w:val="en-US"/>
        </w:rPr>
        <w:t>levels of stress and, so,</w:t>
      </w:r>
      <w:r w:rsidR="0053478C" w:rsidRPr="005C4FD9">
        <w:rPr>
          <w:highlight w:val="yellow"/>
          <w:lang w:val="en-US"/>
        </w:rPr>
        <w:t xml:space="preserve"> </w:t>
      </w:r>
      <w:r w:rsidR="008055FD" w:rsidRPr="005C4FD9">
        <w:rPr>
          <w:highlight w:val="yellow"/>
          <w:lang w:val="en-US"/>
        </w:rPr>
        <w:t>cause</w:t>
      </w:r>
      <w:r w:rsidR="00DF2BD2" w:rsidRPr="005C4FD9">
        <w:rPr>
          <w:highlight w:val="yellow"/>
          <w:lang w:val="en-US"/>
        </w:rPr>
        <w:t xml:space="preserve"> </w:t>
      </w:r>
      <w:r w:rsidR="006B30E7" w:rsidRPr="005C4FD9">
        <w:rPr>
          <w:i/>
          <w:highlight w:val="yellow"/>
          <w:lang w:val="en-US"/>
        </w:rPr>
        <w:t>Burnout</w:t>
      </w:r>
      <w:r w:rsidR="005A4470" w:rsidRPr="005C4FD9">
        <w:rPr>
          <w:highlight w:val="yellow"/>
          <w:lang w:val="en-US"/>
        </w:rPr>
        <w:t xml:space="preserve">, </w:t>
      </w:r>
      <w:r w:rsidR="00DF2BD2" w:rsidRPr="005C4FD9">
        <w:rPr>
          <w:highlight w:val="yellow"/>
          <w:lang w:val="en-US"/>
        </w:rPr>
        <w:t xml:space="preserve">we defend </w:t>
      </w:r>
      <w:r w:rsidRPr="005C4FD9">
        <w:rPr>
          <w:highlight w:val="yellow"/>
          <w:lang w:val="en-US"/>
        </w:rPr>
        <w:t>that</w:t>
      </w:r>
      <w:r w:rsidR="00DF2BD2" w:rsidRPr="005C4FD9">
        <w:rPr>
          <w:highlight w:val="yellow"/>
          <w:lang w:val="en-US"/>
        </w:rPr>
        <w:t xml:space="preserve">: the </w:t>
      </w:r>
      <w:r w:rsidR="00F35739" w:rsidRPr="005C4FD9">
        <w:rPr>
          <w:highlight w:val="yellow"/>
          <w:lang w:val="en-US"/>
        </w:rPr>
        <w:t xml:space="preserve">biosocial </w:t>
      </w:r>
      <w:r w:rsidR="00DF2BD2" w:rsidRPr="005C4FD9">
        <w:rPr>
          <w:highlight w:val="yellow"/>
          <w:lang w:val="en-US"/>
        </w:rPr>
        <w:t xml:space="preserve">and academic characteristics </w:t>
      </w:r>
      <w:r w:rsidR="00F35739" w:rsidRPr="005C4FD9">
        <w:rPr>
          <w:highlight w:val="yellow"/>
          <w:lang w:val="en-US"/>
        </w:rPr>
        <w:t xml:space="preserve">are associated </w:t>
      </w:r>
      <w:r w:rsidR="00DF2BD2" w:rsidRPr="005C4FD9">
        <w:rPr>
          <w:highlight w:val="yellow"/>
          <w:lang w:val="en-US"/>
        </w:rPr>
        <w:t>to the Burnout Syndrome occurrence in nursing students.</w:t>
      </w:r>
      <w:r w:rsidR="00DF2BD2" w:rsidRPr="007C3A70">
        <w:rPr>
          <w:lang w:val="en-US"/>
        </w:rPr>
        <w:t xml:space="preserve"> </w:t>
      </w:r>
    </w:p>
    <w:p w14:paraId="000D6130" w14:textId="77777777" w:rsidR="00DF2BD2" w:rsidRPr="00B33A7D" w:rsidRDefault="00DF2BD2" w:rsidP="006C419A">
      <w:pPr>
        <w:autoSpaceDE w:val="0"/>
        <w:autoSpaceDN w:val="0"/>
        <w:adjustRightInd w:val="0"/>
        <w:spacing w:line="480" w:lineRule="auto"/>
        <w:ind w:firstLine="708"/>
        <w:jc w:val="both"/>
        <w:rPr>
          <w:lang w:val="en-US"/>
        </w:rPr>
      </w:pPr>
    </w:p>
    <w:p w14:paraId="2FDE59FE" w14:textId="4BEE70A8" w:rsidR="0044682C" w:rsidRPr="00B33A7D" w:rsidRDefault="0044682C" w:rsidP="006C419A">
      <w:pPr>
        <w:spacing w:line="480" w:lineRule="auto"/>
        <w:rPr>
          <w:rFonts w:eastAsia="Calibri"/>
          <w:b/>
          <w:lang w:val="en-US" w:eastAsia="en-US"/>
        </w:rPr>
      </w:pPr>
      <w:r w:rsidRPr="00B33A7D">
        <w:rPr>
          <w:rFonts w:eastAsia="Calibri"/>
          <w:b/>
          <w:lang w:val="en-US" w:eastAsia="en-US"/>
        </w:rPr>
        <w:t>MATERIALS AND METHODS</w:t>
      </w:r>
    </w:p>
    <w:p w14:paraId="002F306E" w14:textId="77777777" w:rsidR="00B93776" w:rsidRPr="00B33A7D" w:rsidRDefault="00B93776" w:rsidP="006C419A">
      <w:pPr>
        <w:autoSpaceDE w:val="0"/>
        <w:autoSpaceDN w:val="0"/>
        <w:adjustRightInd w:val="0"/>
        <w:spacing w:line="480" w:lineRule="auto"/>
        <w:ind w:firstLine="708"/>
        <w:jc w:val="both"/>
        <w:rPr>
          <w:rFonts w:eastAsia="Calibri"/>
          <w:b/>
          <w:lang w:val="en-US" w:eastAsia="en-US"/>
        </w:rPr>
      </w:pPr>
      <w:r w:rsidRPr="00B33A7D">
        <w:rPr>
          <w:color w:val="000000"/>
          <w:lang w:val="en-US"/>
        </w:rPr>
        <w:t>This is an analytical, cross-sectional and quantitative study</w:t>
      </w:r>
      <w:r w:rsidR="00E1184E" w:rsidRPr="00B33A7D">
        <w:rPr>
          <w:lang w:val="en-US"/>
        </w:rPr>
        <w:t>, conducte</w:t>
      </w:r>
      <w:r w:rsidRPr="00B33A7D">
        <w:rPr>
          <w:lang w:val="en-US"/>
        </w:rPr>
        <w:t>d in three Brazilian Higher Education Institutions (HEIs).</w:t>
      </w:r>
    </w:p>
    <w:p w14:paraId="2D61A68E" w14:textId="77777777" w:rsidR="00B93776" w:rsidRPr="00B33A7D" w:rsidRDefault="00B93776" w:rsidP="006C419A">
      <w:pPr>
        <w:spacing w:line="480" w:lineRule="auto"/>
        <w:ind w:firstLine="708"/>
        <w:jc w:val="both"/>
        <w:rPr>
          <w:color w:val="000000"/>
          <w:lang w:val="en-US"/>
        </w:rPr>
      </w:pPr>
      <w:r w:rsidRPr="00B33A7D">
        <w:rPr>
          <w:color w:val="000000"/>
          <w:lang w:val="en-US"/>
        </w:rPr>
        <w:t>We included students of nursing undergraduate programs of the three HEIs, correctly enrolled from 1st to 8th semester of respective courses, aged over 18 years. We excluded students not enrolled in vocational disciplines cycle, which during data collection period would not conclude the curriculum for exceeding time limit of each school, who were not present on data collection day and who were in exchange.</w:t>
      </w:r>
    </w:p>
    <w:p w14:paraId="163F7114" w14:textId="77777777" w:rsidR="00B93776" w:rsidRPr="00B33A7D" w:rsidRDefault="00B93776" w:rsidP="006C419A">
      <w:pPr>
        <w:spacing w:line="480" w:lineRule="auto"/>
        <w:ind w:firstLine="708"/>
        <w:jc w:val="both"/>
        <w:rPr>
          <w:color w:val="000000"/>
          <w:lang w:val="en-US"/>
        </w:rPr>
      </w:pPr>
      <w:r w:rsidRPr="00B33A7D">
        <w:rPr>
          <w:color w:val="000000"/>
          <w:lang w:val="en-US"/>
        </w:rPr>
        <w:t>Data were collected between April 2011 and March 2012. Students were approached in classroom, after a previous scheduling with the teacher of each discipline, through meetings or, when necessary, individually.</w:t>
      </w:r>
    </w:p>
    <w:p w14:paraId="1AE1C5D0" w14:textId="77777777" w:rsidR="00A06278" w:rsidRPr="00B33A7D" w:rsidRDefault="00A06278" w:rsidP="006C419A">
      <w:pPr>
        <w:autoSpaceDE w:val="0"/>
        <w:autoSpaceDN w:val="0"/>
        <w:adjustRightInd w:val="0"/>
        <w:spacing w:line="480" w:lineRule="auto"/>
        <w:ind w:firstLine="708"/>
        <w:jc w:val="both"/>
        <w:rPr>
          <w:lang w:val="en-US"/>
        </w:rPr>
      </w:pPr>
      <w:r w:rsidRPr="00B33A7D">
        <w:rPr>
          <w:lang w:val="en-US"/>
        </w:rPr>
        <w:t xml:space="preserve">Initially, there were 732 nursing students enrolled in these nursing schools. However, 14 students were not enrolled in vocational disciplines cycle, three would not conclude  curriculum for exceeding the time limit of these institutions, 91 did not attend the meetings, three were in exchange, four had aged  under 18 years, 34 did not return research instruments and four participated in project as researchers, which totaled 153 students excluded. In </w:t>
      </w:r>
      <w:r w:rsidRPr="00B33A7D">
        <w:rPr>
          <w:lang w:val="en-US"/>
        </w:rPr>
        <w:lastRenderedPageBreak/>
        <w:t>addition, eight students refused to participate and one did not responded more than 90% of instruments items. Therefore, the access population of this study was composed by 570 nursing students according to the inclusion and exclusion criteria defined.</w:t>
      </w:r>
    </w:p>
    <w:p w14:paraId="626E8338" w14:textId="288417D7" w:rsidR="003632A8" w:rsidRPr="00B33A7D" w:rsidRDefault="003632A8" w:rsidP="006C419A">
      <w:pPr>
        <w:spacing w:line="480" w:lineRule="auto"/>
        <w:jc w:val="both"/>
        <w:outlineLvl w:val="0"/>
        <w:rPr>
          <w:color w:val="000000"/>
          <w:lang w:val="en-US"/>
        </w:rPr>
      </w:pPr>
      <w:r w:rsidRPr="00B33A7D">
        <w:rPr>
          <w:color w:val="000000"/>
          <w:lang w:val="en-US"/>
        </w:rPr>
        <w:tab/>
      </w:r>
      <w:r w:rsidR="00A06278" w:rsidRPr="00B33A7D">
        <w:rPr>
          <w:color w:val="000000"/>
          <w:lang w:val="en-US"/>
        </w:rPr>
        <w:t xml:space="preserve">Data were collected through the following self-applied instruments: Form to </w:t>
      </w:r>
      <w:r w:rsidR="007E016A">
        <w:rPr>
          <w:color w:val="000000"/>
          <w:lang w:val="en-US"/>
        </w:rPr>
        <w:t>biosocial and academic</w:t>
      </w:r>
      <w:r w:rsidR="00A06278" w:rsidRPr="00B33A7D">
        <w:rPr>
          <w:color w:val="000000"/>
          <w:lang w:val="en-US"/>
        </w:rPr>
        <w:t xml:space="preserve"> characterization of students and </w:t>
      </w:r>
      <w:proofErr w:type="spellStart"/>
      <w:r w:rsidR="00A06278" w:rsidRPr="00B33A7D">
        <w:rPr>
          <w:color w:val="000000"/>
          <w:lang w:val="en-US"/>
        </w:rPr>
        <w:t>Maslach</w:t>
      </w:r>
      <w:proofErr w:type="spellEnd"/>
      <w:r w:rsidR="00A06278" w:rsidRPr="00B33A7D">
        <w:rPr>
          <w:color w:val="000000"/>
          <w:lang w:val="en-US"/>
        </w:rPr>
        <w:t xml:space="preserve"> Burnout Inventory-Student Survey (MBI-SS). These instruments were applied to the participants who voluntarily agreed to participate in the study after signature of Free and Informed Consent Form.</w:t>
      </w:r>
    </w:p>
    <w:p w14:paraId="44ACE033" w14:textId="47E55002" w:rsidR="00120FF6" w:rsidRPr="00B33A7D" w:rsidRDefault="00120FF6" w:rsidP="006C419A">
      <w:pPr>
        <w:spacing w:line="480" w:lineRule="auto"/>
        <w:ind w:firstLine="708"/>
        <w:jc w:val="both"/>
        <w:outlineLvl w:val="0"/>
        <w:rPr>
          <w:lang w:val="en-US"/>
        </w:rPr>
      </w:pPr>
      <w:r w:rsidRPr="00B33A7D">
        <w:rPr>
          <w:color w:val="000000"/>
          <w:lang w:val="en-US"/>
        </w:rPr>
        <w:t xml:space="preserve">In the Form to </w:t>
      </w:r>
      <w:r w:rsidR="00BD409C">
        <w:rPr>
          <w:color w:val="000000"/>
          <w:lang w:val="en-US"/>
        </w:rPr>
        <w:t xml:space="preserve">biosocial </w:t>
      </w:r>
      <w:r w:rsidRPr="00B33A7D">
        <w:rPr>
          <w:color w:val="000000"/>
          <w:lang w:val="en-US"/>
        </w:rPr>
        <w:t>characterization, the following</w:t>
      </w:r>
      <w:r w:rsidR="00DF6E23" w:rsidRPr="00B33A7D">
        <w:rPr>
          <w:color w:val="000000"/>
          <w:lang w:val="en-US"/>
        </w:rPr>
        <w:t xml:space="preserve"> quantitative</w:t>
      </w:r>
      <w:r w:rsidRPr="00B33A7D">
        <w:rPr>
          <w:color w:val="000000"/>
          <w:lang w:val="en-US"/>
        </w:rPr>
        <w:t xml:space="preserve"> variables were collected</w:t>
      </w:r>
      <w:r w:rsidRPr="00B33A7D">
        <w:rPr>
          <w:lang w:val="en-US"/>
        </w:rPr>
        <w:t>: date of birth, number of children,</w:t>
      </w:r>
      <w:r w:rsidR="00DF6E23" w:rsidRPr="00B33A7D">
        <w:rPr>
          <w:lang w:val="en-US"/>
        </w:rPr>
        <w:t xml:space="preserve"> time spent to get i</w:t>
      </w:r>
      <w:r w:rsidR="00FC1BC5" w:rsidRPr="00B33A7D">
        <w:rPr>
          <w:lang w:val="en-US"/>
        </w:rPr>
        <w:t>n college</w:t>
      </w:r>
      <w:r w:rsidR="00DF6E23" w:rsidRPr="00B33A7D">
        <w:rPr>
          <w:lang w:val="en-US"/>
        </w:rPr>
        <w:t>, number of disciplines in the current semester, daily study time</w:t>
      </w:r>
      <w:r w:rsidR="00FC1BC5" w:rsidRPr="00B33A7D">
        <w:rPr>
          <w:lang w:val="en-US"/>
        </w:rPr>
        <w:t>, semester credit hours and</w:t>
      </w:r>
      <w:r w:rsidR="00DF6E23" w:rsidRPr="00B33A7D">
        <w:rPr>
          <w:lang w:val="en-US"/>
        </w:rPr>
        <w:t xml:space="preserve"> time devoted to study /research group. As qualitative variables, we inquired:</w:t>
      </w:r>
      <w:r w:rsidR="00FC1BC5" w:rsidRPr="00B33A7D">
        <w:rPr>
          <w:lang w:val="en-US"/>
        </w:rPr>
        <w:t xml:space="preserve"> sex, marital status, who students</w:t>
      </w:r>
      <w:r w:rsidR="00DF6E23" w:rsidRPr="00B33A7D">
        <w:rPr>
          <w:lang w:val="en-US"/>
        </w:rPr>
        <w:t xml:space="preserve"> live with, participation in sport</w:t>
      </w:r>
      <w:r w:rsidR="00FC1BC5" w:rsidRPr="00B33A7D">
        <w:rPr>
          <w:lang w:val="en-US"/>
        </w:rPr>
        <w:t>s</w:t>
      </w:r>
      <w:r w:rsidR="00DF6E23" w:rsidRPr="00B33A7D">
        <w:rPr>
          <w:lang w:val="en-US"/>
        </w:rPr>
        <w:t xml:space="preserve">, </w:t>
      </w:r>
      <w:r w:rsidR="00FC1BC5" w:rsidRPr="00B33A7D">
        <w:rPr>
          <w:lang w:val="en-US"/>
        </w:rPr>
        <w:t>participation in leisure activities</w:t>
      </w:r>
      <w:r w:rsidR="00DF6E23" w:rsidRPr="00B33A7D">
        <w:rPr>
          <w:lang w:val="en-US"/>
        </w:rPr>
        <w:t>, semester, year of</w:t>
      </w:r>
      <w:r w:rsidR="00FC1BC5" w:rsidRPr="00B33A7D">
        <w:rPr>
          <w:lang w:val="en-US"/>
        </w:rPr>
        <w:t xml:space="preserve"> course commencement, </w:t>
      </w:r>
      <w:r w:rsidR="00DF6E23" w:rsidRPr="00B33A7D">
        <w:rPr>
          <w:lang w:val="en-US"/>
        </w:rPr>
        <w:t>participation in research</w:t>
      </w:r>
      <w:r w:rsidR="00FC1BC5" w:rsidRPr="00B33A7D">
        <w:rPr>
          <w:lang w:val="en-US"/>
        </w:rPr>
        <w:t>/study groups</w:t>
      </w:r>
      <w:r w:rsidR="00DF6E23" w:rsidRPr="00B33A7D">
        <w:rPr>
          <w:lang w:val="en-US"/>
        </w:rPr>
        <w:t>, scientific initiation scholarship, satisfaction with the course, professional experience in health</w:t>
      </w:r>
      <w:r w:rsidR="00FC1BC5" w:rsidRPr="00B33A7D">
        <w:rPr>
          <w:lang w:val="en-US"/>
        </w:rPr>
        <w:t xml:space="preserve"> area</w:t>
      </w:r>
      <w:r w:rsidR="00DF6E23" w:rsidRPr="00B33A7D">
        <w:rPr>
          <w:lang w:val="en-US"/>
        </w:rPr>
        <w:t>, anoth</w:t>
      </w:r>
      <w:r w:rsidR="001C4EC3" w:rsidRPr="00B33A7D">
        <w:rPr>
          <w:lang w:val="en-US"/>
        </w:rPr>
        <w:t xml:space="preserve">er college degree, interest of dropping </w:t>
      </w:r>
      <w:r w:rsidR="00DF6E23" w:rsidRPr="00B33A7D">
        <w:rPr>
          <w:lang w:val="en-US"/>
        </w:rPr>
        <w:t xml:space="preserve">the course and </w:t>
      </w:r>
      <w:r w:rsidR="00FC1BC5" w:rsidRPr="00B33A7D">
        <w:rPr>
          <w:lang w:val="en-US"/>
        </w:rPr>
        <w:t xml:space="preserve">if students </w:t>
      </w:r>
      <w:r w:rsidR="00DF6E23" w:rsidRPr="00B33A7D">
        <w:rPr>
          <w:lang w:val="en-US"/>
        </w:rPr>
        <w:t>ha</w:t>
      </w:r>
      <w:r w:rsidR="00FC1BC5" w:rsidRPr="00B33A7D">
        <w:rPr>
          <w:lang w:val="en-US"/>
        </w:rPr>
        <w:t>ve</w:t>
      </w:r>
      <w:r w:rsidR="00DF6E23" w:rsidRPr="00B33A7D">
        <w:rPr>
          <w:lang w:val="en-US"/>
        </w:rPr>
        <w:t xml:space="preserve"> </w:t>
      </w:r>
      <w:r w:rsidR="00FC1BC5" w:rsidRPr="00B33A7D">
        <w:rPr>
          <w:lang w:val="en-US"/>
        </w:rPr>
        <w:t xml:space="preserve">an </w:t>
      </w:r>
      <w:r w:rsidR="00DF6E23" w:rsidRPr="00B33A7D">
        <w:rPr>
          <w:lang w:val="en-US"/>
        </w:rPr>
        <w:t>employment</w:t>
      </w:r>
      <w:r w:rsidR="00FC1BC5" w:rsidRPr="00B33A7D">
        <w:rPr>
          <w:lang w:val="en-US"/>
        </w:rPr>
        <w:t xml:space="preserve"> or not.</w:t>
      </w:r>
    </w:p>
    <w:p w14:paraId="3721CABC" w14:textId="77777777" w:rsidR="003C1441" w:rsidRPr="00B33A7D" w:rsidRDefault="003C1441" w:rsidP="006C419A">
      <w:pPr>
        <w:spacing w:line="480" w:lineRule="auto"/>
        <w:ind w:firstLine="708"/>
        <w:jc w:val="both"/>
        <w:rPr>
          <w:rFonts w:cs="Arial"/>
          <w:lang w:val="en-US"/>
        </w:rPr>
      </w:pPr>
      <w:r w:rsidRPr="00B33A7D">
        <w:rPr>
          <w:lang w:val="en-US"/>
        </w:rPr>
        <w:t>The MBI-SS was translated and adapted to Brazilian culture in 2006</w:t>
      </w:r>
      <w:r w:rsidR="00550159" w:rsidRPr="00B33A7D">
        <w:rPr>
          <w:lang w:val="en-US"/>
        </w:rPr>
        <w:t xml:space="preserve"> </w:t>
      </w:r>
      <w:r w:rsidR="00DB2DB1" w:rsidRPr="00B33A7D">
        <w:rPr>
          <w:rFonts w:eastAsia="Calibri"/>
          <w:lang w:val="en-US" w:eastAsia="en-US"/>
        </w:rPr>
        <w:t>(</w:t>
      </w:r>
      <w:proofErr w:type="spellStart"/>
      <w:r w:rsidR="00DB2DB1" w:rsidRPr="00B33A7D">
        <w:rPr>
          <w:rFonts w:eastAsia="Calibri"/>
          <w:lang w:val="en-US" w:eastAsia="en-US"/>
        </w:rPr>
        <w:t>Carlotto</w:t>
      </w:r>
      <w:proofErr w:type="spellEnd"/>
      <w:r w:rsidR="00DB2DB1" w:rsidRPr="00B33A7D">
        <w:rPr>
          <w:rFonts w:eastAsia="Calibri"/>
          <w:lang w:val="en-US" w:eastAsia="en-US"/>
        </w:rPr>
        <w:t xml:space="preserve"> &amp; </w:t>
      </w:r>
      <w:proofErr w:type="spellStart"/>
      <w:r w:rsidR="00DB2DB1" w:rsidRPr="00B33A7D">
        <w:rPr>
          <w:rFonts w:eastAsia="Calibri"/>
          <w:lang w:val="en-US" w:eastAsia="en-US"/>
        </w:rPr>
        <w:t>Câmara</w:t>
      </w:r>
      <w:proofErr w:type="spellEnd"/>
      <w:r w:rsidR="00DB2DB1" w:rsidRPr="00B33A7D">
        <w:rPr>
          <w:rFonts w:eastAsia="Calibri"/>
          <w:lang w:val="en-US" w:eastAsia="en-US"/>
        </w:rPr>
        <w:t>, 2006)</w:t>
      </w:r>
      <w:r w:rsidR="00550159" w:rsidRPr="00B33A7D">
        <w:rPr>
          <w:rFonts w:eastAsia="Calibri"/>
          <w:lang w:val="en-US" w:eastAsia="en-US"/>
        </w:rPr>
        <w:t>.</w:t>
      </w:r>
      <w:r w:rsidRPr="00B33A7D">
        <w:rPr>
          <w:rFonts w:cs="Arial"/>
          <w:lang w:val="en-US"/>
        </w:rPr>
        <w:t xml:space="preserve"> </w:t>
      </w:r>
      <w:r w:rsidRPr="00B33A7D">
        <w:rPr>
          <w:lang w:val="en-US"/>
        </w:rPr>
        <w:t>This instrument was made to assess Burnout Syndrome in students, i.e., how they experience their training according to three conceptual subscales: Emotional Exhaustion (EE), Cynicism</w:t>
      </w:r>
      <w:r w:rsidR="00550159" w:rsidRPr="00B33A7D">
        <w:rPr>
          <w:lang w:val="en-US"/>
        </w:rPr>
        <w:t xml:space="preserve"> </w:t>
      </w:r>
      <w:r w:rsidRPr="00B33A7D">
        <w:rPr>
          <w:lang w:val="en-US"/>
        </w:rPr>
        <w:t>(CY) and Professional Efficacy</w:t>
      </w:r>
      <w:r w:rsidR="00560A58" w:rsidRPr="00B33A7D">
        <w:rPr>
          <w:lang w:val="en-US"/>
        </w:rPr>
        <w:t xml:space="preserve"> </w:t>
      </w:r>
      <w:r w:rsidRPr="00B33A7D">
        <w:rPr>
          <w:lang w:val="en-US"/>
        </w:rPr>
        <w:t>(PE)</w:t>
      </w:r>
      <w:r w:rsidR="00DB2DB1" w:rsidRPr="00B33A7D">
        <w:rPr>
          <w:lang w:val="en-US"/>
        </w:rPr>
        <w:t xml:space="preserve"> (</w:t>
      </w:r>
      <w:proofErr w:type="spellStart"/>
      <w:r w:rsidR="00DB2DB1" w:rsidRPr="00B33A7D">
        <w:rPr>
          <w:rFonts w:eastAsia="Calibri"/>
          <w:lang w:val="en-US" w:eastAsia="en-US"/>
        </w:rPr>
        <w:t>Carlotto</w:t>
      </w:r>
      <w:proofErr w:type="spellEnd"/>
      <w:r w:rsidR="00DB2DB1" w:rsidRPr="00B33A7D">
        <w:rPr>
          <w:rFonts w:eastAsia="Calibri"/>
          <w:lang w:val="en-US" w:eastAsia="en-US"/>
        </w:rPr>
        <w:t xml:space="preserve"> &amp; </w:t>
      </w:r>
      <w:proofErr w:type="spellStart"/>
      <w:r w:rsidR="00DB2DB1" w:rsidRPr="00B33A7D">
        <w:rPr>
          <w:rFonts w:eastAsia="Calibri"/>
          <w:lang w:val="en-US" w:eastAsia="en-US"/>
        </w:rPr>
        <w:t>Câmara</w:t>
      </w:r>
      <w:proofErr w:type="spellEnd"/>
      <w:r w:rsidR="00DB2DB1" w:rsidRPr="00B33A7D">
        <w:rPr>
          <w:rFonts w:eastAsia="Calibri"/>
          <w:lang w:val="en-US" w:eastAsia="en-US"/>
        </w:rPr>
        <w:t>, 2006).</w:t>
      </w:r>
      <w:r w:rsidR="00DB2DB1" w:rsidRPr="00B33A7D">
        <w:rPr>
          <w:rFonts w:cs="Arial"/>
          <w:lang w:val="en-US"/>
        </w:rPr>
        <w:t xml:space="preserve"> </w:t>
      </w:r>
      <w:r w:rsidRPr="00B33A7D">
        <w:rPr>
          <w:lang w:val="en-US"/>
        </w:rPr>
        <w:t>It is a self-applied questionnaire, composed by 15 items in seven-point Likert scale, ranging from: zero –“never”, one – “at least one time a year”,  two – “a few times a month or less”, three – “a few times a month”,  four – “once a week, five- “a few times a week”, six-“Everyday”. The items are allocated among subscales as follows: Emotional Exhaustion (Items 1, 4, 6, 8, 12), Cynicism (items: 2, 9, 10, 14) and Professional Efficacy (Items 3, 5, 7, 11, 13, 15)</w:t>
      </w:r>
      <w:r w:rsidR="00550159" w:rsidRPr="00B33A7D">
        <w:rPr>
          <w:rFonts w:eastAsia="Calibri"/>
          <w:lang w:val="en-US" w:eastAsia="en-US"/>
        </w:rPr>
        <w:t xml:space="preserve"> </w:t>
      </w:r>
      <w:r w:rsidR="00DB2DB1" w:rsidRPr="00B33A7D">
        <w:rPr>
          <w:rFonts w:eastAsia="Calibri"/>
          <w:lang w:val="en-US" w:eastAsia="en-US"/>
        </w:rPr>
        <w:t>(</w:t>
      </w:r>
      <w:proofErr w:type="spellStart"/>
      <w:r w:rsidR="00DB2DB1" w:rsidRPr="00B33A7D">
        <w:rPr>
          <w:rFonts w:eastAsia="Calibri"/>
          <w:lang w:val="en-US" w:eastAsia="en-US"/>
        </w:rPr>
        <w:t>Carlotto</w:t>
      </w:r>
      <w:proofErr w:type="spellEnd"/>
      <w:r w:rsidR="00DB2DB1" w:rsidRPr="00B33A7D">
        <w:rPr>
          <w:rFonts w:eastAsia="Calibri"/>
          <w:lang w:val="en-US" w:eastAsia="en-US"/>
        </w:rPr>
        <w:t xml:space="preserve"> &amp; </w:t>
      </w:r>
      <w:proofErr w:type="spellStart"/>
      <w:r w:rsidR="00DB2DB1" w:rsidRPr="00B33A7D">
        <w:rPr>
          <w:rFonts w:eastAsia="Calibri"/>
          <w:lang w:val="en-US" w:eastAsia="en-US"/>
        </w:rPr>
        <w:t>Câmara</w:t>
      </w:r>
      <w:proofErr w:type="spellEnd"/>
      <w:r w:rsidR="00DB2DB1" w:rsidRPr="00B33A7D">
        <w:rPr>
          <w:rFonts w:eastAsia="Calibri"/>
          <w:lang w:val="en-US" w:eastAsia="en-US"/>
        </w:rPr>
        <w:t>, 2006).</w:t>
      </w:r>
    </w:p>
    <w:p w14:paraId="266B6FB5" w14:textId="77777777" w:rsidR="003632A8" w:rsidRPr="00B33A7D" w:rsidRDefault="003C1441" w:rsidP="006C419A">
      <w:pPr>
        <w:spacing w:line="480" w:lineRule="auto"/>
        <w:ind w:firstLine="708"/>
        <w:jc w:val="both"/>
        <w:rPr>
          <w:lang w:val="en-US"/>
        </w:rPr>
      </w:pPr>
      <w:r w:rsidRPr="00B33A7D">
        <w:rPr>
          <w:lang w:val="en-US"/>
        </w:rPr>
        <w:lastRenderedPageBreak/>
        <w:t xml:space="preserve">For MBI analysis, we identified the levels of Emotional Exhaustion, of Cynicism and of Professional Efficacy presented by students through a standardized score. </w:t>
      </w:r>
      <w:r w:rsidR="00DF6E23" w:rsidRPr="00B33A7D">
        <w:rPr>
          <w:lang w:val="en-US"/>
        </w:rPr>
        <w:t>Thus score</w:t>
      </w:r>
      <w:r w:rsidRPr="00B33A7D">
        <w:rPr>
          <w:lang w:val="en-US"/>
        </w:rPr>
        <w:t xml:space="preserve"> was calculated by each MBI subscale</w:t>
      </w:r>
      <w:r w:rsidR="0016479C" w:rsidRPr="00B33A7D">
        <w:rPr>
          <w:lang w:val="en-US"/>
        </w:rPr>
        <w:t xml:space="preserve"> through </w:t>
      </w:r>
      <w:r w:rsidRPr="00B33A7D">
        <w:rPr>
          <w:lang w:val="en-US"/>
        </w:rPr>
        <w:t>the sum of ​​</w:t>
      </w:r>
      <w:r w:rsidR="0016479C" w:rsidRPr="00B33A7D">
        <w:rPr>
          <w:lang w:val="en-US"/>
        </w:rPr>
        <w:t xml:space="preserve"> values</w:t>
      </w:r>
      <w:r w:rsidR="004C475A" w:rsidRPr="00B33A7D">
        <w:rPr>
          <w:lang w:val="en-US"/>
        </w:rPr>
        <w:t xml:space="preserve"> answered</w:t>
      </w:r>
      <w:r w:rsidR="0016479C" w:rsidRPr="00B33A7D">
        <w:rPr>
          <w:lang w:val="en-US"/>
        </w:rPr>
        <w:t>, excluding zeros</w:t>
      </w:r>
      <w:r w:rsidRPr="00B33A7D">
        <w:rPr>
          <w:lang w:val="en-US"/>
        </w:rPr>
        <w:t xml:space="preserve"> and</w:t>
      </w:r>
      <w:r w:rsidR="0016479C" w:rsidRPr="00B33A7D">
        <w:rPr>
          <w:lang w:val="en-US"/>
        </w:rPr>
        <w:t>,</w:t>
      </w:r>
      <w:r w:rsidRPr="00B33A7D">
        <w:rPr>
          <w:lang w:val="en-US"/>
        </w:rPr>
        <w:t xml:space="preserve"> </w:t>
      </w:r>
      <w:r w:rsidR="0016479C" w:rsidRPr="00B33A7D">
        <w:rPr>
          <w:lang w:val="en-US"/>
        </w:rPr>
        <w:t>from this resultant value, we</w:t>
      </w:r>
      <w:r w:rsidRPr="00B33A7D">
        <w:rPr>
          <w:lang w:val="en-US"/>
        </w:rPr>
        <w:t xml:space="preserve"> subtracted the sum of possible minimum values for each subscale / domain. Subsequently, this result was divided by difference between sum of maximum values ​​and sum of possible minimum values ​​for each subscale/domain.</w:t>
      </w:r>
      <w:r w:rsidR="0016479C" w:rsidRPr="00B33A7D">
        <w:rPr>
          <w:lang w:val="en-US"/>
        </w:rPr>
        <w:t xml:space="preserve"> This calculus followed the formula bellow (Figure</w:t>
      </w:r>
      <w:r w:rsidR="00C46F01" w:rsidRPr="00B33A7D">
        <w:rPr>
          <w:lang w:val="en-US"/>
        </w:rPr>
        <w:t xml:space="preserve"> 1)</w:t>
      </w:r>
      <w:r w:rsidR="003632A8" w:rsidRPr="00B33A7D">
        <w:rPr>
          <w:lang w:val="en-US"/>
        </w:rPr>
        <w:t>:</w:t>
      </w:r>
    </w:p>
    <w:p w14:paraId="02A92B54" w14:textId="77777777" w:rsidR="005535D4" w:rsidRPr="00B33A7D" w:rsidRDefault="005535D4" w:rsidP="006C419A">
      <w:pPr>
        <w:spacing w:line="480" w:lineRule="auto"/>
        <w:ind w:firstLine="708"/>
        <w:jc w:val="both"/>
        <w:rPr>
          <w:lang w:val="en-US"/>
        </w:rPr>
      </w:pPr>
    </w:p>
    <w:p w14:paraId="2EEFEE50" w14:textId="77777777" w:rsidR="003632A8" w:rsidRPr="00B33A7D" w:rsidRDefault="004C475A" w:rsidP="006C419A">
      <w:pPr>
        <w:spacing w:line="480" w:lineRule="auto"/>
        <w:ind w:firstLine="708"/>
        <w:jc w:val="center"/>
        <w:outlineLvl w:val="0"/>
        <w:rPr>
          <w:color w:val="000000"/>
          <w:lang w:val="en-US"/>
        </w:rPr>
      </w:pPr>
      <w:r w:rsidRPr="00B33A7D">
        <w:rPr>
          <w:position w:val="-34"/>
          <w:lang w:val="en-US"/>
        </w:rPr>
        <w:object w:dxaOrig="6580" w:dyaOrig="800" w14:anchorId="1C5548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8.6pt;height:39.85pt" o:ole="">
            <v:imagedata r:id="rId9" o:title=""/>
          </v:shape>
          <o:OLEObject Type="Embed" ProgID="Equation.3" ShapeID="_x0000_i1025" DrawAspect="Content" ObjectID="_1402566874" r:id="rId10"/>
        </w:object>
      </w:r>
    </w:p>
    <w:p w14:paraId="459640C4" w14:textId="77777777" w:rsidR="003632A8" w:rsidRPr="00B33A7D" w:rsidRDefault="00C46F01" w:rsidP="006C419A">
      <w:pPr>
        <w:spacing w:line="480" w:lineRule="auto"/>
        <w:jc w:val="both"/>
        <w:outlineLvl w:val="0"/>
        <w:rPr>
          <w:color w:val="000000"/>
          <w:lang w:val="en-US"/>
        </w:rPr>
      </w:pPr>
      <w:r w:rsidRPr="00B33A7D">
        <w:rPr>
          <w:color w:val="000000"/>
          <w:lang w:val="en-US"/>
        </w:rPr>
        <w:t>Figur</w:t>
      </w:r>
      <w:r w:rsidR="00FC1BC5" w:rsidRPr="00B33A7D">
        <w:rPr>
          <w:color w:val="000000"/>
          <w:lang w:val="en-US"/>
        </w:rPr>
        <w:t>e</w:t>
      </w:r>
      <w:r w:rsidRPr="00B33A7D">
        <w:rPr>
          <w:color w:val="000000"/>
          <w:lang w:val="en-US"/>
        </w:rPr>
        <w:t xml:space="preserve"> 1- </w:t>
      </w:r>
      <w:r w:rsidR="00FC1BC5" w:rsidRPr="00B33A7D">
        <w:rPr>
          <w:color w:val="000000"/>
          <w:lang w:val="en-US"/>
        </w:rPr>
        <w:t>Formula for standardizing the scores of the MBI's subscales and of its 15 items.</w:t>
      </w:r>
    </w:p>
    <w:p w14:paraId="303F778B" w14:textId="77777777" w:rsidR="008D0DFC" w:rsidRPr="00B33A7D" w:rsidRDefault="008D0DFC" w:rsidP="006C419A">
      <w:pPr>
        <w:spacing w:line="480" w:lineRule="auto"/>
        <w:ind w:firstLine="708"/>
        <w:jc w:val="both"/>
        <w:outlineLvl w:val="0"/>
        <w:rPr>
          <w:lang w:val="en-US"/>
        </w:rPr>
      </w:pPr>
    </w:p>
    <w:p w14:paraId="0DD9EF42" w14:textId="77777777" w:rsidR="00837840" w:rsidRPr="00B33A7D" w:rsidRDefault="00837840" w:rsidP="006C419A">
      <w:pPr>
        <w:spacing w:line="480" w:lineRule="auto"/>
        <w:ind w:firstLine="708"/>
        <w:jc w:val="both"/>
        <w:outlineLvl w:val="0"/>
        <w:rPr>
          <w:lang w:val="en-US"/>
        </w:rPr>
      </w:pPr>
      <w:r w:rsidRPr="00B33A7D">
        <w:rPr>
          <w:lang w:val="en-US"/>
        </w:rPr>
        <w:t>In this formula, ‘</w:t>
      </w:r>
      <w:proofErr w:type="spellStart"/>
      <w:r w:rsidRPr="00B33A7D">
        <w:rPr>
          <w:lang w:val="en-US"/>
        </w:rPr>
        <w:t>i</w:t>
      </w:r>
      <w:proofErr w:type="spellEnd"/>
      <w:r w:rsidRPr="00B33A7D">
        <w:rPr>
          <w:lang w:val="en-US"/>
        </w:rPr>
        <w:t>” indicates the number of the subscale whose standardized</w:t>
      </w:r>
      <w:r w:rsidR="007A6707" w:rsidRPr="00B33A7D">
        <w:rPr>
          <w:lang w:val="en-US"/>
        </w:rPr>
        <w:t xml:space="preserve"> score (</w:t>
      </w:r>
      <w:proofErr w:type="spellStart"/>
      <w:r w:rsidR="007A6707" w:rsidRPr="00B33A7D">
        <w:rPr>
          <w:lang w:val="en-US"/>
        </w:rPr>
        <w:t>Spi</w:t>
      </w:r>
      <w:proofErr w:type="spellEnd"/>
      <w:r w:rsidRPr="00B33A7D">
        <w:rPr>
          <w:lang w:val="en-US"/>
        </w:rPr>
        <w:t>) was calculated, which allows the replication of the formula in</w:t>
      </w:r>
      <w:r w:rsidR="007A6707" w:rsidRPr="00B33A7D">
        <w:rPr>
          <w:lang w:val="en-US"/>
        </w:rPr>
        <w:t xml:space="preserve"> the three MBI subscales</w:t>
      </w:r>
      <w:r w:rsidRPr="00B33A7D">
        <w:rPr>
          <w:lang w:val="en-US"/>
        </w:rPr>
        <w:t>. So Sp1 refers to the score of “</w:t>
      </w:r>
      <w:r w:rsidR="007A6707" w:rsidRPr="00B33A7D">
        <w:rPr>
          <w:lang w:val="en-US"/>
        </w:rPr>
        <w:t>Emotional Exhaustion</w:t>
      </w:r>
      <w:r w:rsidRPr="00B33A7D">
        <w:rPr>
          <w:lang w:val="en-US"/>
        </w:rPr>
        <w:t>,”</w:t>
      </w:r>
      <w:r w:rsidR="007A6707" w:rsidRPr="00B33A7D">
        <w:rPr>
          <w:lang w:val="en-US"/>
        </w:rPr>
        <w:t xml:space="preserve"> </w:t>
      </w:r>
      <w:r w:rsidRPr="00B33A7D">
        <w:rPr>
          <w:lang w:val="en-US"/>
        </w:rPr>
        <w:t>Sp2</w:t>
      </w:r>
      <w:r w:rsidR="007A6707" w:rsidRPr="00B33A7D">
        <w:rPr>
          <w:lang w:val="en-US"/>
        </w:rPr>
        <w:t>-</w:t>
      </w:r>
      <w:r w:rsidRPr="00B33A7D">
        <w:rPr>
          <w:lang w:val="en-US"/>
        </w:rPr>
        <w:t>“</w:t>
      </w:r>
      <w:r w:rsidR="007A6707" w:rsidRPr="00B33A7D">
        <w:rPr>
          <w:lang w:val="en-US"/>
        </w:rPr>
        <w:t>Cynicism</w:t>
      </w:r>
      <w:r w:rsidRPr="00B33A7D">
        <w:rPr>
          <w:lang w:val="en-US"/>
        </w:rPr>
        <w:t>,” Sp3</w:t>
      </w:r>
      <w:r w:rsidR="007A6707" w:rsidRPr="00B33A7D">
        <w:rPr>
          <w:lang w:val="en-US"/>
        </w:rPr>
        <w:t>-</w:t>
      </w:r>
      <w:r w:rsidRPr="00B33A7D">
        <w:rPr>
          <w:lang w:val="en-US"/>
        </w:rPr>
        <w:t>“</w:t>
      </w:r>
      <w:r w:rsidR="007A6707" w:rsidRPr="00B33A7D">
        <w:rPr>
          <w:lang w:val="en-US"/>
        </w:rPr>
        <w:t xml:space="preserve"> Professional Efficacy”.</w:t>
      </w:r>
    </w:p>
    <w:p w14:paraId="7CBC6FB2" w14:textId="77777777" w:rsidR="00DF6E23" w:rsidRPr="00B33A7D" w:rsidRDefault="00C943A2" w:rsidP="006C419A">
      <w:pPr>
        <w:spacing w:line="480" w:lineRule="auto"/>
        <w:ind w:firstLine="708"/>
        <w:jc w:val="both"/>
        <w:rPr>
          <w:color w:val="000000"/>
          <w:lang w:val="en-US"/>
        </w:rPr>
      </w:pPr>
      <w:r w:rsidRPr="00B33A7D">
        <w:rPr>
          <w:bCs/>
          <w:lang w:val="en-US"/>
        </w:rPr>
        <w:t>Based on final score, we identified the level of Emotional Exhaustion, Cynicism and Professional Efficacy of students, as follows: students with scores under or equal to 50% were considered with low level in respective subscale. Those individuals with scores above 50</w:t>
      </w:r>
      <w:proofErr w:type="gramStart"/>
      <w:r w:rsidRPr="00B33A7D">
        <w:rPr>
          <w:bCs/>
          <w:lang w:val="en-US"/>
        </w:rPr>
        <w:t>%,</w:t>
      </w:r>
      <w:proofErr w:type="gramEnd"/>
      <w:r w:rsidRPr="00B33A7D">
        <w:rPr>
          <w:bCs/>
          <w:lang w:val="en-US"/>
        </w:rPr>
        <w:t xml:space="preserve"> were considered with high level on analyzed subscale.</w:t>
      </w:r>
      <w:r w:rsidRPr="00B33A7D">
        <w:rPr>
          <w:color w:val="000000"/>
          <w:lang w:val="en-US"/>
        </w:rPr>
        <w:t xml:space="preserve"> Thus, when this association was high level of Emotional Exhaustion, high level of Cynicism and low level of Professional Efficacy, the student was considered to be experiencing Burnout Syndrome</w:t>
      </w:r>
      <w:r w:rsidR="00550159" w:rsidRPr="00B33A7D">
        <w:rPr>
          <w:color w:val="000000"/>
          <w:lang w:val="en-US"/>
        </w:rPr>
        <w:t xml:space="preserve"> </w:t>
      </w:r>
      <w:r w:rsidR="00DB2DB1" w:rsidRPr="00B33A7D">
        <w:rPr>
          <w:rFonts w:eastAsia="Calibri"/>
          <w:lang w:val="en-US" w:eastAsia="en-US"/>
        </w:rPr>
        <w:t>(</w:t>
      </w:r>
      <w:proofErr w:type="spellStart"/>
      <w:r w:rsidR="00DB2DB1" w:rsidRPr="00B33A7D">
        <w:rPr>
          <w:rFonts w:eastAsia="Calibri"/>
          <w:lang w:val="en-US" w:eastAsia="en-US"/>
        </w:rPr>
        <w:t>Carlotto</w:t>
      </w:r>
      <w:proofErr w:type="spellEnd"/>
      <w:r w:rsidR="00DB2DB1" w:rsidRPr="00B33A7D">
        <w:rPr>
          <w:rFonts w:eastAsia="Calibri"/>
          <w:lang w:val="en-US" w:eastAsia="en-US"/>
        </w:rPr>
        <w:t xml:space="preserve"> &amp; </w:t>
      </w:r>
      <w:proofErr w:type="spellStart"/>
      <w:r w:rsidR="00DB2DB1" w:rsidRPr="00B33A7D">
        <w:rPr>
          <w:rFonts w:eastAsia="Calibri"/>
          <w:lang w:val="en-US" w:eastAsia="en-US"/>
        </w:rPr>
        <w:t>Câmara</w:t>
      </w:r>
      <w:proofErr w:type="spellEnd"/>
      <w:r w:rsidR="00DB2DB1" w:rsidRPr="00B33A7D">
        <w:rPr>
          <w:rFonts w:eastAsia="Calibri"/>
          <w:lang w:val="en-US" w:eastAsia="en-US"/>
        </w:rPr>
        <w:t>, 2006).</w:t>
      </w:r>
      <w:r w:rsidR="00550159" w:rsidRPr="00B33A7D">
        <w:rPr>
          <w:rFonts w:eastAsia="Calibri"/>
          <w:lang w:val="en-US" w:eastAsia="en-US"/>
        </w:rPr>
        <w:t xml:space="preserve"> </w:t>
      </w:r>
      <w:r w:rsidR="00D13A65" w:rsidRPr="00B33A7D">
        <w:rPr>
          <w:rFonts w:cs="Arial"/>
          <w:lang w:val="en-US"/>
        </w:rPr>
        <w:t>We stand out that the Professional Efficacy’s items present an inverse scale. So, higher values ​​assigned to items result in lower feeling of Professional Effectiveness</w:t>
      </w:r>
      <w:r w:rsidR="00550159" w:rsidRPr="00B33A7D">
        <w:rPr>
          <w:rFonts w:cs="Arial"/>
          <w:lang w:val="en-US"/>
        </w:rPr>
        <w:t xml:space="preserve"> </w:t>
      </w:r>
      <w:r w:rsidR="00DB2DB1" w:rsidRPr="00B33A7D">
        <w:rPr>
          <w:rFonts w:cs="Arial"/>
          <w:lang w:val="en-US"/>
        </w:rPr>
        <w:t>(</w:t>
      </w:r>
      <w:proofErr w:type="spellStart"/>
      <w:r w:rsidR="00DB2DB1" w:rsidRPr="00B33A7D">
        <w:rPr>
          <w:rFonts w:eastAsia="Calibri"/>
          <w:lang w:val="en-US" w:eastAsia="en-US"/>
        </w:rPr>
        <w:t>Carlotto</w:t>
      </w:r>
      <w:proofErr w:type="spellEnd"/>
      <w:r w:rsidR="00DB2DB1" w:rsidRPr="00B33A7D">
        <w:rPr>
          <w:rFonts w:eastAsia="Calibri"/>
          <w:lang w:val="en-US" w:eastAsia="en-US"/>
        </w:rPr>
        <w:t xml:space="preserve"> &amp; </w:t>
      </w:r>
      <w:proofErr w:type="spellStart"/>
      <w:r w:rsidR="00DB2DB1" w:rsidRPr="00B33A7D">
        <w:rPr>
          <w:rFonts w:eastAsia="Calibri"/>
          <w:lang w:val="en-US" w:eastAsia="en-US"/>
        </w:rPr>
        <w:t>Câmara</w:t>
      </w:r>
      <w:proofErr w:type="spellEnd"/>
      <w:r w:rsidR="00DB2DB1" w:rsidRPr="00B33A7D">
        <w:rPr>
          <w:rFonts w:eastAsia="Calibri"/>
          <w:lang w:val="en-US" w:eastAsia="en-US"/>
        </w:rPr>
        <w:t>, 2006).</w:t>
      </w:r>
    </w:p>
    <w:p w14:paraId="6415ECC2" w14:textId="77777777" w:rsidR="00837840" w:rsidRPr="00B33A7D" w:rsidRDefault="00837840" w:rsidP="006C419A">
      <w:pPr>
        <w:autoSpaceDE w:val="0"/>
        <w:autoSpaceDN w:val="0"/>
        <w:adjustRightInd w:val="0"/>
        <w:spacing w:line="480" w:lineRule="auto"/>
        <w:ind w:firstLine="708"/>
        <w:jc w:val="both"/>
        <w:rPr>
          <w:rFonts w:cs="Verdana"/>
          <w:color w:val="000000"/>
          <w:lang w:val="en-US"/>
        </w:rPr>
      </w:pPr>
      <w:r w:rsidRPr="00B33A7D">
        <w:rPr>
          <w:rFonts w:cs="Verdana"/>
          <w:color w:val="000000"/>
          <w:lang w:val="en-US"/>
        </w:rPr>
        <w:lastRenderedPageBreak/>
        <w:t xml:space="preserve">We created a database in Excel (Office 2007) for data organization and we used the Statistical Analysis System (SAS) (Version 9.01) and the </w:t>
      </w:r>
      <w:proofErr w:type="spellStart"/>
      <w:r w:rsidRPr="00B33A7D">
        <w:rPr>
          <w:rFonts w:cs="Verdana"/>
          <w:color w:val="000000"/>
          <w:lang w:val="en-US"/>
        </w:rPr>
        <w:t>Statistica</w:t>
      </w:r>
      <w:proofErr w:type="spellEnd"/>
      <w:r w:rsidRPr="00B33A7D">
        <w:rPr>
          <w:rFonts w:cs="Verdana"/>
          <w:color w:val="000000"/>
          <w:lang w:val="en-US"/>
        </w:rPr>
        <w:t xml:space="preserve"> (Version 9.01) for data analysis. The qualitative variables were presented in absolute (n) and relative (%) values and the quantitative variables in descriptive measures such as minimum and maximum values, average and standard deviation. </w:t>
      </w:r>
    </w:p>
    <w:p w14:paraId="3828BA4D" w14:textId="26A569C6" w:rsidR="00C943A2" w:rsidRPr="00A7453A" w:rsidRDefault="00A7453A" w:rsidP="00A7453A">
      <w:pPr>
        <w:spacing w:line="480" w:lineRule="auto"/>
        <w:ind w:firstLine="708"/>
        <w:jc w:val="both"/>
        <w:outlineLvl w:val="0"/>
        <w:rPr>
          <w:color w:val="000000"/>
          <w:highlight w:val="green"/>
          <w:lang w:val="en-US"/>
        </w:rPr>
      </w:pPr>
      <w:r w:rsidRPr="00A7453A">
        <w:rPr>
          <w:color w:val="000000"/>
          <w:lang w:val="en-US"/>
        </w:rPr>
        <w:t>We used the Qui-Square test and the Fisher exact test (Tables 2 x 2</w:t>
      </w:r>
      <w:proofErr w:type="gramStart"/>
      <w:r w:rsidRPr="00A7453A">
        <w:rPr>
          <w:color w:val="000000"/>
          <w:lang w:val="en-US"/>
        </w:rPr>
        <w:t>)  t</w:t>
      </w:r>
      <w:r w:rsidR="00C943A2" w:rsidRPr="00A7453A">
        <w:rPr>
          <w:color w:val="000000"/>
          <w:lang w:val="en-US"/>
        </w:rPr>
        <w:t>o</w:t>
      </w:r>
      <w:proofErr w:type="gramEnd"/>
      <w:r w:rsidR="00C943A2" w:rsidRPr="00A7453A">
        <w:rPr>
          <w:color w:val="000000"/>
          <w:lang w:val="en-US"/>
        </w:rPr>
        <w:t xml:space="preserve"> </w:t>
      </w:r>
      <w:r w:rsidRPr="00A7453A">
        <w:rPr>
          <w:color w:val="000000"/>
          <w:lang w:val="en-US"/>
        </w:rPr>
        <w:t xml:space="preserve">assess the association of biosocial and academic variables to </w:t>
      </w:r>
      <w:r w:rsidR="00C943A2" w:rsidRPr="00A7453A">
        <w:rPr>
          <w:color w:val="000000"/>
          <w:lang w:val="en-US"/>
        </w:rPr>
        <w:t>Burnout</w:t>
      </w:r>
      <w:r w:rsidRPr="00A7453A">
        <w:rPr>
          <w:color w:val="000000"/>
          <w:lang w:val="en-US"/>
        </w:rPr>
        <w:t xml:space="preserve"> occurrence. </w:t>
      </w:r>
      <w:r w:rsidR="00C943A2" w:rsidRPr="00A7453A">
        <w:rPr>
          <w:color w:val="000000"/>
          <w:lang w:val="en-US"/>
        </w:rPr>
        <w:t>P&lt;0.05 was</w:t>
      </w:r>
      <w:r w:rsidR="00C943A2" w:rsidRPr="00B33A7D">
        <w:rPr>
          <w:color w:val="000000"/>
          <w:lang w:val="en-US"/>
        </w:rPr>
        <w:t xml:space="preserve"> considered statistically significant with a Confidence Interval of 95%. </w:t>
      </w:r>
      <w:proofErr w:type="spellStart"/>
      <w:r w:rsidR="00C943A2" w:rsidRPr="00B33A7D">
        <w:rPr>
          <w:color w:val="000000"/>
          <w:lang w:val="en-US"/>
        </w:rPr>
        <w:t>Cronbach’s</w:t>
      </w:r>
      <w:proofErr w:type="spellEnd"/>
      <w:r w:rsidR="00C943A2" w:rsidRPr="00B33A7D">
        <w:rPr>
          <w:color w:val="000000"/>
          <w:lang w:val="en-US"/>
        </w:rPr>
        <w:t xml:space="preserve"> Alpha coefficient was used to analyze instruments’ internal consistency.</w:t>
      </w:r>
    </w:p>
    <w:p w14:paraId="0D7FDE10" w14:textId="77777777" w:rsidR="00101B82" w:rsidRPr="00B33A7D" w:rsidRDefault="00101B82" w:rsidP="006C419A">
      <w:pPr>
        <w:autoSpaceDE w:val="0"/>
        <w:autoSpaceDN w:val="0"/>
        <w:adjustRightInd w:val="0"/>
        <w:spacing w:line="480" w:lineRule="auto"/>
        <w:ind w:firstLine="708"/>
        <w:jc w:val="both"/>
        <w:rPr>
          <w:rFonts w:cs="Arial"/>
          <w:color w:val="000000"/>
          <w:lang w:val="en-US"/>
        </w:rPr>
      </w:pPr>
      <w:r w:rsidRPr="00B33A7D">
        <w:rPr>
          <w:rFonts w:cs="Arial"/>
          <w:color w:val="000000"/>
          <w:lang w:val="en-US"/>
        </w:rPr>
        <w:t>This study is part of the project named Stress, Coping, Burnout, Depressive Symptoms and Hardiness in students and Teachers of nursing, approved by the Ethics Research Committee at the University placed on South of Brazil (protocol No. 0380.0.243.000-10). Besides, an amendment to expand data collection for other schools was also requested and we obtained approval from Committee of the institution above.</w:t>
      </w:r>
    </w:p>
    <w:p w14:paraId="7D76C73A" w14:textId="77777777" w:rsidR="0029744A" w:rsidRPr="00B33A7D" w:rsidRDefault="00101B82" w:rsidP="006C419A">
      <w:pPr>
        <w:autoSpaceDE w:val="0"/>
        <w:autoSpaceDN w:val="0"/>
        <w:adjustRightInd w:val="0"/>
        <w:spacing w:line="480" w:lineRule="auto"/>
        <w:ind w:firstLine="708"/>
        <w:jc w:val="both"/>
        <w:rPr>
          <w:rFonts w:cs="Arial"/>
          <w:color w:val="000000"/>
          <w:lang w:val="en-US"/>
        </w:rPr>
      </w:pPr>
      <w:r w:rsidRPr="00B33A7D">
        <w:rPr>
          <w:rFonts w:cs="Arial"/>
          <w:color w:val="000000"/>
          <w:lang w:val="en-US"/>
        </w:rPr>
        <w:t xml:space="preserve">In order to meet the Brazilian National Health Council’s guidelines, as established for studies involving human </w:t>
      </w:r>
      <w:r w:rsidR="00EC2F1F" w:rsidRPr="00B33A7D">
        <w:rPr>
          <w:rFonts w:cs="Arial"/>
          <w:color w:val="000000"/>
          <w:lang w:val="en-US"/>
        </w:rPr>
        <w:t>individual</w:t>
      </w:r>
      <w:r w:rsidRPr="00B33A7D">
        <w:rPr>
          <w:rFonts w:cs="Arial"/>
          <w:color w:val="000000"/>
          <w:lang w:val="en-US"/>
        </w:rPr>
        <w:t>s, the participants voluntarily consented to participate in the study by signing two copies of free and informed consent forms (one for the participant and another for the researcher), after being informed of the study’s objectives.</w:t>
      </w:r>
    </w:p>
    <w:p w14:paraId="50C5FDD8" w14:textId="77777777" w:rsidR="00101B82" w:rsidRPr="00B33A7D" w:rsidRDefault="00101B82" w:rsidP="006C419A">
      <w:pPr>
        <w:autoSpaceDE w:val="0"/>
        <w:autoSpaceDN w:val="0"/>
        <w:adjustRightInd w:val="0"/>
        <w:spacing w:line="480" w:lineRule="auto"/>
        <w:ind w:firstLine="708"/>
        <w:jc w:val="both"/>
        <w:rPr>
          <w:rFonts w:cs="Arial"/>
          <w:color w:val="000000"/>
          <w:lang w:val="en-US"/>
        </w:rPr>
      </w:pPr>
    </w:p>
    <w:p w14:paraId="56A83862" w14:textId="77777777" w:rsidR="00F65F6F" w:rsidRPr="00B33A7D" w:rsidRDefault="00F65F6F" w:rsidP="006C419A">
      <w:pPr>
        <w:autoSpaceDE w:val="0"/>
        <w:autoSpaceDN w:val="0"/>
        <w:adjustRightInd w:val="0"/>
        <w:spacing w:line="480" w:lineRule="auto"/>
        <w:jc w:val="both"/>
        <w:rPr>
          <w:rFonts w:cs="Arial"/>
          <w:b/>
          <w:color w:val="000000"/>
          <w:lang w:val="en-US"/>
        </w:rPr>
      </w:pPr>
      <w:r w:rsidRPr="00B33A7D">
        <w:rPr>
          <w:rFonts w:cs="Arial"/>
          <w:b/>
          <w:color w:val="000000"/>
          <w:lang w:val="en-US"/>
        </w:rPr>
        <w:t>R</w:t>
      </w:r>
      <w:r w:rsidR="00D26867" w:rsidRPr="00B33A7D">
        <w:rPr>
          <w:rFonts w:cs="Arial"/>
          <w:b/>
          <w:color w:val="000000"/>
          <w:lang w:val="en-US"/>
        </w:rPr>
        <w:t>ESULTS</w:t>
      </w:r>
    </w:p>
    <w:p w14:paraId="0E87FD8B" w14:textId="77777777" w:rsidR="00B75422" w:rsidRPr="00B33A7D" w:rsidRDefault="00B75422" w:rsidP="006C419A">
      <w:pPr>
        <w:autoSpaceDE w:val="0"/>
        <w:autoSpaceDN w:val="0"/>
        <w:adjustRightInd w:val="0"/>
        <w:spacing w:line="480" w:lineRule="auto"/>
        <w:jc w:val="both"/>
        <w:rPr>
          <w:rFonts w:cs="Arial"/>
          <w:b/>
          <w:color w:val="000000"/>
          <w:lang w:val="en-US"/>
        </w:rPr>
      </w:pPr>
    </w:p>
    <w:p w14:paraId="12166D3B" w14:textId="24906DB1" w:rsidR="003632A8" w:rsidRPr="00B33A7D" w:rsidRDefault="00B75422" w:rsidP="006C419A">
      <w:pPr>
        <w:autoSpaceDE w:val="0"/>
        <w:autoSpaceDN w:val="0"/>
        <w:adjustRightInd w:val="0"/>
        <w:spacing w:line="480" w:lineRule="auto"/>
        <w:ind w:firstLine="708"/>
        <w:jc w:val="both"/>
        <w:rPr>
          <w:rFonts w:cs="Arial"/>
          <w:color w:val="000000"/>
          <w:lang w:val="en-US"/>
        </w:rPr>
      </w:pPr>
      <w:r w:rsidRPr="00B33A7D">
        <w:rPr>
          <w:rFonts w:cs="Arial"/>
          <w:color w:val="000000"/>
          <w:lang w:val="en-US"/>
        </w:rPr>
        <w:t xml:space="preserve">In the analysis of internal consistency of the 15 items that compose the </w:t>
      </w:r>
      <w:proofErr w:type="spellStart"/>
      <w:r w:rsidRPr="00B33A7D">
        <w:rPr>
          <w:rFonts w:cs="Arial"/>
          <w:color w:val="000000"/>
          <w:lang w:val="en-US"/>
        </w:rPr>
        <w:t>Maslach</w:t>
      </w:r>
      <w:proofErr w:type="spellEnd"/>
      <w:r w:rsidRPr="00B33A7D">
        <w:rPr>
          <w:rFonts w:cs="Arial"/>
          <w:color w:val="000000"/>
          <w:lang w:val="en-US"/>
        </w:rPr>
        <w:t xml:space="preserve"> Burnout Inventory-Students Survey, we verified a </w:t>
      </w:r>
      <w:proofErr w:type="spellStart"/>
      <w:r w:rsidRPr="00B33A7D">
        <w:rPr>
          <w:rFonts w:cs="Arial"/>
          <w:color w:val="000000"/>
          <w:lang w:val="en-US"/>
        </w:rPr>
        <w:t>Cronbach’s</w:t>
      </w:r>
      <w:proofErr w:type="spellEnd"/>
      <w:r w:rsidRPr="00B33A7D">
        <w:rPr>
          <w:rFonts w:cs="Arial"/>
          <w:color w:val="000000"/>
          <w:lang w:val="en-US"/>
        </w:rPr>
        <w:t xml:space="preserve"> alpha of 0,596. Concerning to MBI-SS subscales, this coefficient was 0,769 for Emotional Exhaustion and 0,623 for Cynicism and 0,612 for Professional Efficacy.  These values are sufficient to attest to the </w:t>
      </w:r>
      <w:r w:rsidRPr="00B33A7D">
        <w:rPr>
          <w:rFonts w:cs="Arial"/>
          <w:color w:val="000000"/>
          <w:lang w:val="en-US"/>
        </w:rPr>
        <w:lastRenderedPageBreak/>
        <w:t>instrument’s satisfactory internal reliability for the population of this study</w:t>
      </w:r>
      <w:r w:rsidR="00550159" w:rsidRPr="00B33A7D">
        <w:rPr>
          <w:rFonts w:cs="Arial"/>
          <w:color w:val="000000"/>
          <w:lang w:val="en-US"/>
        </w:rPr>
        <w:t xml:space="preserve"> </w:t>
      </w:r>
      <w:r w:rsidR="00B33A7D" w:rsidRPr="00B33A7D">
        <w:rPr>
          <w:rFonts w:eastAsia="Calibri"/>
          <w:lang w:val="en-US" w:eastAsia="en-US"/>
        </w:rPr>
        <w:t>(</w:t>
      </w:r>
      <w:proofErr w:type="spellStart"/>
      <w:r w:rsidR="00B33A7D" w:rsidRPr="00B33A7D">
        <w:rPr>
          <w:lang w:val="en-US"/>
        </w:rPr>
        <w:t>Bailar</w:t>
      </w:r>
      <w:proofErr w:type="spellEnd"/>
      <w:r w:rsidR="00B33A7D" w:rsidRPr="00B33A7D">
        <w:rPr>
          <w:lang w:val="en-US"/>
        </w:rPr>
        <w:t xml:space="preserve"> </w:t>
      </w:r>
      <w:r w:rsidR="00B33A7D" w:rsidRPr="00B33A7D">
        <w:rPr>
          <w:rFonts w:eastAsia="Calibri"/>
          <w:lang w:val="en-US" w:eastAsia="en-US"/>
        </w:rPr>
        <w:t xml:space="preserve">&amp; </w:t>
      </w:r>
      <w:proofErr w:type="spellStart"/>
      <w:r w:rsidR="00B33A7D" w:rsidRPr="00B33A7D">
        <w:rPr>
          <w:lang w:val="en-US"/>
        </w:rPr>
        <w:t>Mosteller</w:t>
      </w:r>
      <w:proofErr w:type="spellEnd"/>
      <w:r w:rsidR="00B33A7D" w:rsidRPr="00B33A7D">
        <w:rPr>
          <w:lang w:val="en-US"/>
        </w:rPr>
        <w:t>, 1992).</w:t>
      </w:r>
      <w:r w:rsidR="005C4FD9" w:rsidRPr="005C4FD9">
        <w:t xml:space="preserve"> </w:t>
      </w:r>
    </w:p>
    <w:p w14:paraId="01691899" w14:textId="373AF7B7" w:rsidR="008E3552" w:rsidRPr="00B33A7D" w:rsidRDefault="007E016A" w:rsidP="006C419A">
      <w:pPr>
        <w:autoSpaceDE w:val="0"/>
        <w:autoSpaceDN w:val="0"/>
        <w:adjustRightInd w:val="0"/>
        <w:spacing w:line="480" w:lineRule="auto"/>
        <w:ind w:firstLine="708"/>
        <w:jc w:val="both"/>
        <w:rPr>
          <w:rFonts w:cs="Arial"/>
          <w:color w:val="000000"/>
          <w:lang w:val="en-US"/>
        </w:rPr>
      </w:pPr>
      <w:r>
        <w:rPr>
          <w:rFonts w:cs="Arial"/>
          <w:color w:val="000000"/>
          <w:lang w:val="en-US"/>
        </w:rPr>
        <w:t>T</w:t>
      </w:r>
      <w:r w:rsidR="00B75422" w:rsidRPr="00B33A7D">
        <w:rPr>
          <w:rFonts w:cs="Arial"/>
          <w:color w:val="000000"/>
          <w:lang w:val="en-US"/>
        </w:rPr>
        <w:t xml:space="preserve">here was a predominance of female students (84, 21%), aged between 20 and 24 years (47, 37%), single (74,39%), without children (81,05%) and living with </w:t>
      </w:r>
      <w:r w:rsidR="00B33A7D">
        <w:rPr>
          <w:rFonts w:cs="Arial"/>
          <w:color w:val="000000"/>
          <w:lang w:val="en-US"/>
        </w:rPr>
        <w:t xml:space="preserve">their </w:t>
      </w:r>
      <w:r w:rsidR="00B75422" w:rsidRPr="00B33A7D">
        <w:rPr>
          <w:rFonts w:cs="Arial"/>
          <w:color w:val="000000"/>
          <w:lang w:val="en-US"/>
        </w:rPr>
        <w:t xml:space="preserve">family (75,57%). </w:t>
      </w:r>
      <w:r w:rsidR="00B75422" w:rsidRPr="00B33A7D">
        <w:rPr>
          <w:lang w:val="en-US"/>
        </w:rPr>
        <w:t>Descriptive measures for MBI-SS among nursing students are presented on Table 1</w:t>
      </w:r>
    </w:p>
    <w:p w14:paraId="37E166D8" w14:textId="77777777" w:rsidR="00B75422" w:rsidRPr="00B33A7D" w:rsidRDefault="00B75422" w:rsidP="006C419A">
      <w:pPr>
        <w:autoSpaceDE w:val="0"/>
        <w:autoSpaceDN w:val="0"/>
        <w:adjustRightInd w:val="0"/>
        <w:spacing w:line="480" w:lineRule="auto"/>
        <w:ind w:firstLine="708"/>
        <w:jc w:val="both"/>
        <w:rPr>
          <w:rFonts w:cs="Arial"/>
          <w:color w:val="000000"/>
          <w:lang w:val="en-US"/>
        </w:rPr>
      </w:pPr>
    </w:p>
    <w:p w14:paraId="5D334E53" w14:textId="77777777" w:rsidR="008E3552" w:rsidRPr="00B33A7D" w:rsidRDefault="009C7899" w:rsidP="006C419A">
      <w:pPr>
        <w:autoSpaceDE w:val="0"/>
        <w:autoSpaceDN w:val="0"/>
        <w:adjustRightInd w:val="0"/>
        <w:spacing w:line="480" w:lineRule="auto"/>
        <w:jc w:val="both"/>
        <w:rPr>
          <w:rFonts w:cs="Arial"/>
          <w:color w:val="000000"/>
          <w:lang w:val="en-US"/>
        </w:rPr>
      </w:pPr>
      <w:r w:rsidRPr="00B33A7D">
        <w:rPr>
          <w:rFonts w:cs="Arial"/>
          <w:b/>
          <w:color w:val="000000"/>
          <w:lang w:val="en-US"/>
        </w:rPr>
        <w:t>Tab</w:t>
      </w:r>
      <w:r w:rsidR="00F57DF3" w:rsidRPr="00B33A7D">
        <w:rPr>
          <w:rFonts w:cs="Arial"/>
          <w:b/>
          <w:color w:val="000000"/>
          <w:lang w:val="en-US"/>
        </w:rPr>
        <w:t>le</w:t>
      </w:r>
      <w:r w:rsidRPr="00B33A7D">
        <w:rPr>
          <w:rFonts w:cs="Arial"/>
          <w:b/>
          <w:color w:val="000000"/>
          <w:lang w:val="en-US"/>
        </w:rPr>
        <w:t xml:space="preserve"> 1</w:t>
      </w:r>
      <w:r w:rsidRPr="00B33A7D">
        <w:rPr>
          <w:rFonts w:cs="Arial"/>
          <w:color w:val="000000"/>
          <w:lang w:val="en-US"/>
        </w:rPr>
        <w:t xml:space="preserve">- </w:t>
      </w:r>
      <w:r w:rsidR="00D554A8" w:rsidRPr="00B33A7D">
        <w:rPr>
          <w:rFonts w:cs="Arial"/>
          <w:color w:val="000000"/>
          <w:lang w:val="en-US"/>
        </w:rPr>
        <w:t>Descriptive measures for MBI-SS and EH among nursing students.</w:t>
      </w:r>
      <w:r w:rsidR="00116D2E" w:rsidRPr="00B33A7D">
        <w:rPr>
          <w:rFonts w:cs="Arial"/>
          <w:color w:val="000000"/>
          <w:lang w:val="en-US"/>
        </w:rPr>
        <w:t xml:space="preserve"> </w:t>
      </w:r>
      <w:r w:rsidR="006F74B8" w:rsidRPr="00B33A7D">
        <w:rPr>
          <w:rFonts w:cs="Arial"/>
          <w:color w:val="000000"/>
          <w:lang w:val="en-US"/>
        </w:rPr>
        <w:t xml:space="preserve">Rio Grande do </w:t>
      </w:r>
      <w:proofErr w:type="spellStart"/>
      <w:r w:rsidR="006F74B8" w:rsidRPr="00B33A7D">
        <w:rPr>
          <w:rFonts w:cs="Arial"/>
          <w:color w:val="000000"/>
          <w:lang w:val="en-US"/>
        </w:rPr>
        <w:t>Sul</w:t>
      </w:r>
      <w:proofErr w:type="spellEnd"/>
      <w:r w:rsidR="006F74B8" w:rsidRPr="00B33A7D">
        <w:rPr>
          <w:rFonts w:cs="Arial"/>
          <w:color w:val="000000"/>
          <w:lang w:val="en-US"/>
        </w:rPr>
        <w:t>, Bra</w:t>
      </w:r>
      <w:r w:rsidR="00D554A8" w:rsidRPr="00B33A7D">
        <w:rPr>
          <w:rFonts w:cs="Arial"/>
          <w:color w:val="000000"/>
          <w:lang w:val="en-US"/>
        </w:rPr>
        <w:t>z</w:t>
      </w:r>
      <w:r w:rsidR="006F74B8" w:rsidRPr="00B33A7D">
        <w:rPr>
          <w:rFonts w:cs="Arial"/>
          <w:color w:val="000000"/>
          <w:lang w:val="en-US"/>
        </w:rPr>
        <w:t>il, 2013</w:t>
      </w:r>
      <w:r w:rsidR="00116D2E" w:rsidRPr="00B33A7D">
        <w:rPr>
          <w:rFonts w:cs="Arial"/>
          <w:color w:val="000000"/>
          <w:lang w:val="en-US"/>
        </w:rPr>
        <w:t>.</w:t>
      </w:r>
    </w:p>
    <w:tbl>
      <w:tblPr>
        <w:tblW w:w="7474" w:type="dxa"/>
        <w:jc w:val="center"/>
        <w:tblLook w:val="04A0" w:firstRow="1" w:lastRow="0" w:firstColumn="1" w:lastColumn="0" w:noHBand="0" w:noVBand="1"/>
      </w:tblPr>
      <w:tblGrid>
        <w:gridCol w:w="2509"/>
        <w:gridCol w:w="803"/>
        <w:gridCol w:w="1636"/>
        <w:gridCol w:w="1243"/>
        <w:gridCol w:w="1283"/>
      </w:tblGrid>
      <w:tr w:rsidR="00D554A8" w:rsidRPr="00B33A7D" w14:paraId="20CA6353" w14:textId="77777777" w:rsidTr="00D554A8">
        <w:trPr>
          <w:trHeight w:val="461"/>
          <w:jc w:val="center"/>
        </w:trPr>
        <w:tc>
          <w:tcPr>
            <w:tcW w:w="2509" w:type="dxa"/>
            <w:tcBorders>
              <w:top w:val="single" w:sz="4" w:space="0" w:color="auto"/>
              <w:bottom w:val="single" w:sz="4" w:space="0" w:color="auto"/>
            </w:tcBorders>
            <w:shd w:val="clear" w:color="auto" w:fill="auto"/>
          </w:tcPr>
          <w:p w14:paraId="1450B400" w14:textId="77777777" w:rsidR="00D554A8" w:rsidRPr="00B33A7D" w:rsidRDefault="00D554A8" w:rsidP="006C419A">
            <w:pPr>
              <w:spacing w:line="480" w:lineRule="auto"/>
              <w:jc w:val="center"/>
              <w:rPr>
                <w:b/>
                <w:lang w:val="en-US"/>
              </w:rPr>
            </w:pPr>
            <w:r w:rsidRPr="00B33A7D">
              <w:rPr>
                <w:b/>
                <w:lang w:val="en-US"/>
              </w:rPr>
              <w:t>Instrument</w:t>
            </w:r>
          </w:p>
        </w:tc>
        <w:tc>
          <w:tcPr>
            <w:tcW w:w="803" w:type="dxa"/>
            <w:tcBorders>
              <w:top w:val="single" w:sz="4" w:space="0" w:color="auto"/>
              <w:bottom w:val="single" w:sz="4" w:space="0" w:color="auto"/>
            </w:tcBorders>
            <w:shd w:val="clear" w:color="auto" w:fill="auto"/>
          </w:tcPr>
          <w:p w14:paraId="7716226A" w14:textId="77777777" w:rsidR="00D554A8" w:rsidRPr="00B33A7D" w:rsidRDefault="00D554A8" w:rsidP="006C419A">
            <w:pPr>
              <w:spacing w:line="480" w:lineRule="auto"/>
              <w:jc w:val="center"/>
              <w:rPr>
                <w:b/>
                <w:lang w:val="en-US"/>
              </w:rPr>
            </w:pPr>
            <w:r w:rsidRPr="00B33A7D">
              <w:rPr>
                <w:b/>
                <w:lang w:val="en-US"/>
              </w:rPr>
              <w:t>Mean</w:t>
            </w:r>
          </w:p>
        </w:tc>
        <w:tc>
          <w:tcPr>
            <w:tcW w:w="1636" w:type="dxa"/>
            <w:tcBorders>
              <w:top w:val="single" w:sz="4" w:space="0" w:color="auto"/>
              <w:bottom w:val="single" w:sz="4" w:space="0" w:color="auto"/>
            </w:tcBorders>
            <w:shd w:val="clear" w:color="auto" w:fill="auto"/>
          </w:tcPr>
          <w:p w14:paraId="2733221D" w14:textId="77777777" w:rsidR="00D554A8" w:rsidRPr="00B33A7D" w:rsidRDefault="00D554A8" w:rsidP="006C419A">
            <w:pPr>
              <w:spacing w:line="480" w:lineRule="auto"/>
              <w:jc w:val="center"/>
              <w:rPr>
                <w:b/>
                <w:lang w:val="en-US"/>
              </w:rPr>
            </w:pPr>
            <w:r w:rsidRPr="00B33A7D">
              <w:rPr>
                <w:b/>
                <w:lang w:val="en-US"/>
              </w:rPr>
              <w:t>SD*</w:t>
            </w:r>
          </w:p>
        </w:tc>
        <w:tc>
          <w:tcPr>
            <w:tcW w:w="1243" w:type="dxa"/>
            <w:tcBorders>
              <w:top w:val="single" w:sz="4" w:space="0" w:color="auto"/>
              <w:bottom w:val="single" w:sz="4" w:space="0" w:color="auto"/>
            </w:tcBorders>
            <w:shd w:val="clear" w:color="auto" w:fill="auto"/>
          </w:tcPr>
          <w:p w14:paraId="6FB071B2" w14:textId="77777777" w:rsidR="00D554A8" w:rsidRPr="00B33A7D" w:rsidRDefault="00D554A8" w:rsidP="006C419A">
            <w:pPr>
              <w:spacing w:line="480" w:lineRule="auto"/>
              <w:jc w:val="center"/>
              <w:rPr>
                <w:b/>
                <w:lang w:val="en-US"/>
              </w:rPr>
            </w:pPr>
            <w:r w:rsidRPr="00B33A7D">
              <w:rPr>
                <w:b/>
                <w:lang w:val="en-US"/>
              </w:rPr>
              <w:t>Minimum</w:t>
            </w:r>
          </w:p>
        </w:tc>
        <w:tc>
          <w:tcPr>
            <w:tcW w:w="1283" w:type="dxa"/>
            <w:tcBorders>
              <w:top w:val="single" w:sz="4" w:space="0" w:color="auto"/>
              <w:bottom w:val="single" w:sz="4" w:space="0" w:color="auto"/>
            </w:tcBorders>
            <w:shd w:val="clear" w:color="auto" w:fill="auto"/>
          </w:tcPr>
          <w:p w14:paraId="5F06BE96" w14:textId="77777777" w:rsidR="00D554A8" w:rsidRPr="00B33A7D" w:rsidRDefault="00D554A8" w:rsidP="006C419A">
            <w:pPr>
              <w:spacing w:line="480" w:lineRule="auto"/>
              <w:jc w:val="center"/>
              <w:rPr>
                <w:b/>
                <w:lang w:val="en-US"/>
              </w:rPr>
            </w:pPr>
            <w:r w:rsidRPr="00B33A7D">
              <w:rPr>
                <w:b/>
                <w:lang w:val="en-US"/>
              </w:rPr>
              <w:t>Maximum</w:t>
            </w:r>
          </w:p>
        </w:tc>
      </w:tr>
      <w:tr w:rsidR="00B50B45" w:rsidRPr="00B33A7D" w14:paraId="24DDFD15" w14:textId="77777777" w:rsidTr="00D554A8">
        <w:trPr>
          <w:trHeight w:val="387"/>
          <w:jc w:val="center"/>
        </w:trPr>
        <w:tc>
          <w:tcPr>
            <w:tcW w:w="2509" w:type="dxa"/>
            <w:tcBorders>
              <w:top w:val="single" w:sz="4" w:space="0" w:color="auto"/>
              <w:bottom w:val="single" w:sz="4" w:space="0" w:color="auto"/>
            </w:tcBorders>
            <w:shd w:val="clear" w:color="auto" w:fill="auto"/>
          </w:tcPr>
          <w:p w14:paraId="0F513109" w14:textId="77777777" w:rsidR="00B50B45" w:rsidRPr="00B33A7D" w:rsidRDefault="00D554A8" w:rsidP="006C419A">
            <w:pPr>
              <w:autoSpaceDE w:val="0"/>
              <w:autoSpaceDN w:val="0"/>
              <w:adjustRightInd w:val="0"/>
              <w:spacing w:line="480" w:lineRule="auto"/>
              <w:jc w:val="both"/>
              <w:rPr>
                <w:rFonts w:cs="Arial"/>
                <w:b/>
                <w:color w:val="000000"/>
                <w:lang w:val="en-US"/>
              </w:rPr>
            </w:pPr>
            <w:r w:rsidRPr="00B33A7D">
              <w:rPr>
                <w:rFonts w:cs="Arial"/>
                <w:b/>
                <w:color w:val="000000"/>
                <w:lang w:val="en-US"/>
              </w:rPr>
              <w:t>MBI-</w:t>
            </w:r>
            <w:r w:rsidR="00B50B45" w:rsidRPr="00B33A7D">
              <w:rPr>
                <w:rFonts w:cs="Arial"/>
                <w:b/>
                <w:color w:val="000000"/>
                <w:lang w:val="en-US"/>
              </w:rPr>
              <w:t>SS</w:t>
            </w:r>
          </w:p>
        </w:tc>
        <w:tc>
          <w:tcPr>
            <w:tcW w:w="803" w:type="dxa"/>
            <w:tcBorders>
              <w:top w:val="single" w:sz="4" w:space="0" w:color="auto"/>
              <w:bottom w:val="single" w:sz="4" w:space="0" w:color="auto"/>
            </w:tcBorders>
            <w:shd w:val="clear" w:color="auto" w:fill="auto"/>
          </w:tcPr>
          <w:p w14:paraId="38D2DD7E" w14:textId="77777777" w:rsidR="00B50B45" w:rsidRPr="00B33A7D" w:rsidRDefault="00B50B45" w:rsidP="006C419A">
            <w:pPr>
              <w:autoSpaceDE w:val="0"/>
              <w:autoSpaceDN w:val="0"/>
              <w:adjustRightInd w:val="0"/>
              <w:spacing w:line="480" w:lineRule="auto"/>
              <w:jc w:val="both"/>
              <w:rPr>
                <w:rFonts w:cs="Arial"/>
                <w:color w:val="000000"/>
                <w:lang w:val="en-US"/>
              </w:rPr>
            </w:pPr>
          </w:p>
        </w:tc>
        <w:tc>
          <w:tcPr>
            <w:tcW w:w="1636" w:type="dxa"/>
            <w:tcBorders>
              <w:top w:val="single" w:sz="4" w:space="0" w:color="auto"/>
              <w:bottom w:val="single" w:sz="4" w:space="0" w:color="auto"/>
            </w:tcBorders>
            <w:shd w:val="clear" w:color="auto" w:fill="auto"/>
          </w:tcPr>
          <w:p w14:paraId="0C87FF99" w14:textId="77777777" w:rsidR="00B50B45" w:rsidRPr="00B33A7D" w:rsidRDefault="00B50B45" w:rsidP="006C419A">
            <w:pPr>
              <w:autoSpaceDE w:val="0"/>
              <w:autoSpaceDN w:val="0"/>
              <w:adjustRightInd w:val="0"/>
              <w:spacing w:line="480" w:lineRule="auto"/>
              <w:jc w:val="both"/>
              <w:rPr>
                <w:rFonts w:cs="Arial"/>
                <w:color w:val="000000"/>
                <w:lang w:val="en-US"/>
              </w:rPr>
            </w:pPr>
          </w:p>
        </w:tc>
        <w:tc>
          <w:tcPr>
            <w:tcW w:w="1243" w:type="dxa"/>
            <w:tcBorders>
              <w:top w:val="single" w:sz="4" w:space="0" w:color="auto"/>
              <w:bottom w:val="single" w:sz="4" w:space="0" w:color="auto"/>
            </w:tcBorders>
            <w:shd w:val="clear" w:color="auto" w:fill="auto"/>
          </w:tcPr>
          <w:p w14:paraId="5865355F" w14:textId="77777777" w:rsidR="00B50B45" w:rsidRPr="00B33A7D" w:rsidRDefault="00B50B45" w:rsidP="006C419A">
            <w:pPr>
              <w:autoSpaceDE w:val="0"/>
              <w:autoSpaceDN w:val="0"/>
              <w:adjustRightInd w:val="0"/>
              <w:spacing w:line="480" w:lineRule="auto"/>
              <w:jc w:val="both"/>
              <w:rPr>
                <w:rFonts w:cs="Arial"/>
                <w:color w:val="000000"/>
                <w:lang w:val="en-US"/>
              </w:rPr>
            </w:pPr>
          </w:p>
        </w:tc>
        <w:tc>
          <w:tcPr>
            <w:tcW w:w="1283" w:type="dxa"/>
            <w:tcBorders>
              <w:top w:val="single" w:sz="4" w:space="0" w:color="auto"/>
              <w:bottom w:val="single" w:sz="4" w:space="0" w:color="auto"/>
            </w:tcBorders>
            <w:shd w:val="clear" w:color="auto" w:fill="auto"/>
          </w:tcPr>
          <w:p w14:paraId="3DBD5E78" w14:textId="77777777" w:rsidR="00B50B45" w:rsidRPr="00B33A7D" w:rsidRDefault="00B50B45" w:rsidP="006C419A">
            <w:pPr>
              <w:autoSpaceDE w:val="0"/>
              <w:autoSpaceDN w:val="0"/>
              <w:adjustRightInd w:val="0"/>
              <w:spacing w:line="480" w:lineRule="auto"/>
              <w:jc w:val="both"/>
              <w:rPr>
                <w:rFonts w:cs="Arial"/>
                <w:color w:val="000000"/>
                <w:lang w:val="en-US"/>
              </w:rPr>
            </w:pPr>
          </w:p>
        </w:tc>
      </w:tr>
      <w:tr w:rsidR="00D554A8" w:rsidRPr="00B33A7D" w14:paraId="4D8A99B0" w14:textId="77777777" w:rsidTr="00D554A8">
        <w:trPr>
          <w:trHeight w:val="365"/>
          <w:jc w:val="center"/>
        </w:trPr>
        <w:tc>
          <w:tcPr>
            <w:tcW w:w="2509" w:type="dxa"/>
            <w:tcBorders>
              <w:top w:val="single" w:sz="4" w:space="0" w:color="auto"/>
            </w:tcBorders>
            <w:shd w:val="clear" w:color="auto" w:fill="auto"/>
          </w:tcPr>
          <w:p w14:paraId="7342E026" w14:textId="77777777" w:rsidR="00D554A8" w:rsidRPr="00B33A7D" w:rsidRDefault="00D554A8" w:rsidP="006C419A">
            <w:pPr>
              <w:autoSpaceDE w:val="0"/>
              <w:autoSpaceDN w:val="0"/>
              <w:adjustRightInd w:val="0"/>
              <w:spacing w:line="480" w:lineRule="auto"/>
              <w:rPr>
                <w:lang w:val="en-US"/>
              </w:rPr>
            </w:pPr>
            <w:r w:rsidRPr="00B33A7D">
              <w:rPr>
                <w:lang w:val="en-US"/>
              </w:rPr>
              <w:t>15 items</w:t>
            </w:r>
          </w:p>
        </w:tc>
        <w:tc>
          <w:tcPr>
            <w:tcW w:w="803" w:type="dxa"/>
            <w:tcBorders>
              <w:top w:val="single" w:sz="4" w:space="0" w:color="auto"/>
            </w:tcBorders>
            <w:shd w:val="clear" w:color="auto" w:fill="auto"/>
          </w:tcPr>
          <w:p w14:paraId="679E039E" w14:textId="77777777" w:rsidR="00D554A8" w:rsidRPr="00B33A7D" w:rsidRDefault="00D554A8" w:rsidP="006C419A">
            <w:pPr>
              <w:autoSpaceDE w:val="0"/>
              <w:autoSpaceDN w:val="0"/>
              <w:adjustRightInd w:val="0"/>
              <w:spacing w:line="480" w:lineRule="auto"/>
              <w:jc w:val="center"/>
              <w:rPr>
                <w:lang w:val="en-US"/>
              </w:rPr>
            </w:pPr>
            <w:r w:rsidRPr="00B33A7D">
              <w:rPr>
                <w:lang w:val="en-US"/>
              </w:rPr>
              <w:t>2,51</w:t>
            </w:r>
          </w:p>
        </w:tc>
        <w:tc>
          <w:tcPr>
            <w:tcW w:w="1636" w:type="dxa"/>
            <w:tcBorders>
              <w:top w:val="single" w:sz="4" w:space="0" w:color="auto"/>
            </w:tcBorders>
            <w:shd w:val="clear" w:color="auto" w:fill="auto"/>
          </w:tcPr>
          <w:p w14:paraId="33FDC14E" w14:textId="77777777" w:rsidR="00D554A8" w:rsidRPr="00B33A7D" w:rsidRDefault="00D554A8" w:rsidP="006C419A">
            <w:pPr>
              <w:autoSpaceDE w:val="0"/>
              <w:autoSpaceDN w:val="0"/>
              <w:adjustRightInd w:val="0"/>
              <w:spacing w:line="480" w:lineRule="auto"/>
              <w:jc w:val="center"/>
              <w:rPr>
                <w:lang w:val="en-US"/>
              </w:rPr>
            </w:pPr>
            <w:r w:rsidRPr="00B33A7D">
              <w:rPr>
                <w:szCs w:val="22"/>
                <w:lang w:val="en-US"/>
              </w:rPr>
              <w:t>0,79</w:t>
            </w:r>
          </w:p>
        </w:tc>
        <w:tc>
          <w:tcPr>
            <w:tcW w:w="1243" w:type="dxa"/>
            <w:tcBorders>
              <w:top w:val="single" w:sz="4" w:space="0" w:color="auto"/>
            </w:tcBorders>
            <w:shd w:val="clear" w:color="auto" w:fill="auto"/>
          </w:tcPr>
          <w:p w14:paraId="28ED9F4F" w14:textId="77777777" w:rsidR="00D554A8" w:rsidRPr="00B33A7D" w:rsidRDefault="00D554A8" w:rsidP="006C419A">
            <w:pPr>
              <w:autoSpaceDE w:val="0"/>
              <w:autoSpaceDN w:val="0"/>
              <w:adjustRightInd w:val="0"/>
              <w:spacing w:line="480" w:lineRule="auto"/>
              <w:jc w:val="center"/>
              <w:rPr>
                <w:lang w:val="en-US"/>
              </w:rPr>
            </w:pPr>
            <w:r w:rsidRPr="00B33A7D">
              <w:rPr>
                <w:lang w:val="en-US"/>
              </w:rPr>
              <w:t>0,40</w:t>
            </w:r>
          </w:p>
        </w:tc>
        <w:tc>
          <w:tcPr>
            <w:tcW w:w="1283" w:type="dxa"/>
            <w:tcBorders>
              <w:top w:val="single" w:sz="4" w:space="0" w:color="auto"/>
            </w:tcBorders>
            <w:shd w:val="clear" w:color="auto" w:fill="auto"/>
          </w:tcPr>
          <w:p w14:paraId="3F056899" w14:textId="77777777" w:rsidR="00D554A8" w:rsidRPr="00B33A7D" w:rsidRDefault="00D554A8" w:rsidP="006C419A">
            <w:pPr>
              <w:autoSpaceDE w:val="0"/>
              <w:autoSpaceDN w:val="0"/>
              <w:adjustRightInd w:val="0"/>
              <w:spacing w:line="480" w:lineRule="auto"/>
              <w:jc w:val="center"/>
              <w:rPr>
                <w:lang w:val="en-US"/>
              </w:rPr>
            </w:pPr>
            <w:r w:rsidRPr="00B33A7D">
              <w:rPr>
                <w:lang w:val="en-US"/>
              </w:rPr>
              <w:t>4,87</w:t>
            </w:r>
          </w:p>
        </w:tc>
      </w:tr>
      <w:tr w:rsidR="00D554A8" w:rsidRPr="00B33A7D" w14:paraId="44199F07" w14:textId="77777777" w:rsidTr="00D554A8">
        <w:trPr>
          <w:trHeight w:val="369"/>
          <w:jc w:val="center"/>
        </w:trPr>
        <w:tc>
          <w:tcPr>
            <w:tcW w:w="2509" w:type="dxa"/>
            <w:shd w:val="clear" w:color="auto" w:fill="auto"/>
          </w:tcPr>
          <w:p w14:paraId="5936C230" w14:textId="77777777" w:rsidR="00D554A8" w:rsidRPr="00B33A7D" w:rsidRDefault="00D554A8" w:rsidP="006C419A">
            <w:pPr>
              <w:autoSpaceDE w:val="0"/>
              <w:autoSpaceDN w:val="0"/>
              <w:adjustRightInd w:val="0"/>
              <w:spacing w:line="480" w:lineRule="auto"/>
              <w:jc w:val="both"/>
              <w:rPr>
                <w:lang w:val="en-US"/>
              </w:rPr>
            </w:pPr>
            <w:r w:rsidRPr="00B33A7D">
              <w:rPr>
                <w:lang w:val="en-US"/>
              </w:rPr>
              <w:t>Emotional Exhaustion</w:t>
            </w:r>
          </w:p>
        </w:tc>
        <w:tc>
          <w:tcPr>
            <w:tcW w:w="803" w:type="dxa"/>
            <w:shd w:val="clear" w:color="auto" w:fill="auto"/>
          </w:tcPr>
          <w:p w14:paraId="24C48FB2" w14:textId="77777777" w:rsidR="00D554A8" w:rsidRPr="00B33A7D" w:rsidRDefault="00D554A8" w:rsidP="006C419A">
            <w:pPr>
              <w:autoSpaceDE w:val="0"/>
              <w:autoSpaceDN w:val="0"/>
              <w:adjustRightInd w:val="0"/>
              <w:spacing w:line="480" w:lineRule="auto"/>
              <w:jc w:val="center"/>
              <w:rPr>
                <w:b/>
                <w:lang w:val="en-US"/>
              </w:rPr>
            </w:pPr>
            <w:r w:rsidRPr="00B33A7D">
              <w:rPr>
                <w:b/>
                <w:lang w:val="en-US"/>
              </w:rPr>
              <w:t>3,57</w:t>
            </w:r>
          </w:p>
        </w:tc>
        <w:tc>
          <w:tcPr>
            <w:tcW w:w="1636" w:type="dxa"/>
            <w:shd w:val="clear" w:color="auto" w:fill="auto"/>
          </w:tcPr>
          <w:p w14:paraId="23C9547E" w14:textId="77777777" w:rsidR="00D554A8" w:rsidRPr="00B33A7D" w:rsidRDefault="00D554A8" w:rsidP="006C419A">
            <w:pPr>
              <w:autoSpaceDE w:val="0"/>
              <w:autoSpaceDN w:val="0"/>
              <w:adjustRightInd w:val="0"/>
              <w:spacing w:line="480" w:lineRule="auto"/>
              <w:jc w:val="center"/>
              <w:rPr>
                <w:lang w:val="en-US"/>
              </w:rPr>
            </w:pPr>
            <w:r w:rsidRPr="00B33A7D">
              <w:rPr>
                <w:szCs w:val="22"/>
                <w:lang w:val="en-US"/>
              </w:rPr>
              <w:t>1,31</w:t>
            </w:r>
          </w:p>
        </w:tc>
        <w:tc>
          <w:tcPr>
            <w:tcW w:w="1243" w:type="dxa"/>
            <w:shd w:val="clear" w:color="auto" w:fill="auto"/>
          </w:tcPr>
          <w:p w14:paraId="7DBB1B6B" w14:textId="77777777" w:rsidR="00D554A8" w:rsidRPr="00B33A7D" w:rsidRDefault="00D554A8" w:rsidP="006C419A">
            <w:pPr>
              <w:autoSpaceDE w:val="0"/>
              <w:autoSpaceDN w:val="0"/>
              <w:adjustRightInd w:val="0"/>
              <w:spacing w:line="480" w:lineRule="auto"/>
              <w:jc w:val="center"/>
              <w:rPr>
                <w:lang w:val="en-US"/>
              </w:rPr>
            </w:pPr>
            <w:r w:rsidRPr="00B33A7D">
              <w:rPr>
                <w:lang w:val="en-US"/>
              </w:rPr>
              <w:t>0,00</w:t>
            </w:r>
          </w:p>
        </w:tc>
        <w:tc>
          <w:tcPr>
            <w:tcW w:w="1283" w:type="dxa"/>
            <w:shd w:val="clear" w:color="auto" w:fill="auto"/>
          </w:tcPr>
          <w:p w14:paraId="0E17DA2D" w14:textId="77777777" w:rsidR="00D554A8" w:rsidRPr="00B33A7D" w:rsidRDefault="00D554A8" w:rsidP="006C419A">
            <w:pPr>
              <w:autoSpaceDE w:val="0"/>
              <w:autoSpaceDN w:val="0"/>
              <w:adjustRightInd w:val="0"/>
              <w:spacing w:line="480" w:lineRule="auto"/>
              <w:jc w:val="center"/>
              <w:rPr>
                <w:lang w:val="en-US"/>
              </w:rPr>
            </w:pPr>
            <w:r w:rsidRPr="00B33A7D">
              <w:rPr>
                <w:lang w:val="en-US"/>
              </w:rPr>
              <w:t>6,00</w:t>
            </w:r>
          </w:p>
        </w:tc>
      </w:tr>
      <w:tr w:rsidR="00D554A8" w:rsidRPr="00B33A7D" w14:paraId="22DE6DF8" w14:textId="77777777" w:rsidTr="00D554A8">
        <w:trPr>
          <w:trHeight w:val="249"/>
          <w:jc w:val="center"/>
        </w:trPr>
        <w:tc>
          <w:tcPr>
            <w:tcW w:w="2509" w:type="dxa"/>
            <w:shd w:val="clear" w:color="auto" w:fill="auto"/>
          </w:tcPr>
          <w:p w14:paraId="25F6AF9A" w14:textId="77777777" w:rsidR="00D554A8" w:rsidRPr="00B33A7D" w:rsidRDefault="00D554A8" w:rsidP="006C419A">
            <w:pPr>
              <w:autoSpaceDE w:val="0"/>
              <w:autoSpaceDN w:val="0"/>
              <w:adjustRightInd w:val="0"/>
              <w:spacing w:line="480" w:lineRule="auto"/>
              <w:jc w:val="both"/>
              <w:rPr>
                <w:lang w:val="en-US"/>
              </w:rPr>
            </w:pPr>
            <w:r w:rsidRPr="00B33A7D">
              <w:rPr>
                <w:lang w:val="en-US"/>
              </w:rPr>
              <w:t>Cynicism</w:t>
            </w:r>
          </w:p>
        </w:tc>
        <w:tc>
          <w:tcPr>
            <w:tcW w:w="803" w:type="dxa"/>
            <w:shd w:val="clear" w:color="auto" w:fill="auto"/>
          </w:tcPr>
          <w:p w14:paraId="03BB7B8B" w14:textId="77777777" w:rsidR="00D554A8" w:rsidRPr="00B33A7D" w:rsidRDefault="00D554A8" w:rsidP="006C419A">
            <w:pPr>
              <w:autoSpaceDE w:val="0"/>
              <w:autoSpaceDN w:val="0"/>
              <w:adjustRightInd w:val="0"/>
              <w:spacing w:line="480" w:lineRule="auto"/>
              <w:jc w:val="center"/>
              <w:rPr>
                <w:lang w:val="en-US"/>
              </w:rPr>
            </w:pPr>
            <w:r w:rsidRPr="00B33A7D">
              <w:rPr>
                <w:lang w:val="en-US"/>
              </w:rPr>
              <w:t>1,78</w:t>
            </w:r>
          </w:p>
        </w:tc>
        <w:tc>
          <w:tcPr>
            <w:tcW w:w="1636" w:type="dxa"/>
            <w:shd w:val="clear" w:color="auto" w:fill="auto"/>
          </w:tcPr>
          <w:p w14:paraId="4A7F39BE" w14:textId="77777777" w:rsidR="00D554A8" w:rsidRPr="00B33A7D" w:rsidRDefault="00D554A8" w:rsidP="006C419A">
            <w:pPr>
              <w:autoSpaceDE w:val="0"/>
              <w:autoSpaceDN w:val="0"/>
              <w:adjustRightInd w:val="0"/>
              <w:spacing w:line="480" w:lineRule="auto"/>
              <w:jc w:val="center"/>
              <w:rPr>
                <w:lang w:val="en-US"/>
              </w:rPr>
            </w:pPr>
            <w:r w:rsidRPr="00B33A7D">
              <w:rPr>
                <w:szCs w:val="22"/>
                <w:lang w:val="en-US"/>
              </w:rPr>
              <w:t>1,29</w:t>
            </w:r>
          </w:p>
        </w:tc>
        <w:tc>
          <w:tcPr>
            <w:tcW w:w="1243" w:type="dxa"/>
            <w:shd w:val="clear" w:color="auto" w:fill="auto"/>
          </w:tcPr>
          <w:p w14:paraId="0DD71B59" w14:textId="77777777" w:rsidR="00D554A8" w:rsidRPr="00B33A7D" w:rsidRDefault="00D554A8" w:rsidP="006C419A">
            <w:pPr>
              <w:autoSpaceDE w:val="0"/>
              <w:autoSpaceDN w:val="0"/>
              <w:adjustRightInd w:val="0"/>
              <w:spacing w:line="480" w:lineRule="auto"/>
              <w:jc w:val="center"/>
              <w:rPr>
                <w:lang w:val="en-US"/>
              </w:rPr>
            </w:pPr>
            <w:r w:rsidRPr="00B33A7D">
              <w:rPr>
                <w:lang w:val="en-US"/>
              </w:rPr>
              <w:t>0,00</w:t>
            </w:r>
          </w:p>
        </w:tc>
        <w:tc>
          <w:tcPr>
            <w:tcW w:w="1283" w:type="dxa"/>
            <w:shd w:val="clear" w:color="auto" w:fill="auto"/>
          </w:tcPr>
          <w:p w14:paraId="1040D956" w14:textId="77777777" w:rsidR="00D554A8" w:rsidRPr="00B33A7D" w:rsidRDefault="00D554A8" w:rsidP="006C419A">
            <w:pPr>
              <w:autoSpaceDE w:val="0"/>
              <w:autoSpaceDN w:val="0"/>
              <w:adjustRightInd w:val="0"/>
              <w:spacing w:line="480" w:lineRule="auto"/>
              <w:jc w:val="center"/>
              <w:rPr>
                <w:lang w:val="en-US"/>
              </w:rPr>
            </w:pPr>
            <w:r w:rsidRPr="00B33A7D">
              <w:rPr>
                <w:lang w:val="en-US"/>
              </w:rPr>
              <w:t>5,75</w:t>
            </w:r>
          </w:p>
        </w:tc>
      </w:tr>
      <w:tr w:rsidR="00D554A8" w:rsidRPr="00B33A7D" w14:paraId="4E1791D9" w14:textId="77777777" w:rsidTr="00D554A8">
        <w:trPr>
          <w:trHeight w:val="399"/>
          <w:jc w:val="center"/>
        </w:trPr>
        <w:tc>
          <w:tcPr>
            <w:tcW w:w="2509" w:type="dxa"/>
            <w:tcBorders>
              <w:bottom w:val="single" w:sz="4" w:space="0" w:color="auto"/>
            </w:tcBorders>
            <w:shd w:val="clear" w:color="auto" w:fill="auto"/>
          </w:tcPr>
          <w:p w14:paraId="4A2D7FA3" w14:textId="77777777" w:rsidR="00D554A8" w:rsidRPr="00B33A7D" w:rsidRDefault="00D554A8" w:rsidP="006C419A">
            <w:pPr>
              <w:autoSpaceDE w:val="0"/>
              <w:autoSpaceDN w:val="0"/>
              <w:adjustRightInd w:val="0"/>
              <w:spacing w:line="480" w:lineRule="auto"/>
              <w:jc w:val="both"/>
              <w:rPr>
                <w:lang w:val="en-US"/>
              </w:rPr>
            </w:pPr>
            <w:r w:rsidRPr="00B33A7D">
              <w:rPr>
                <w:lang w:val="en-US"/>
              </w:rPr>
              <w:t>Professional Efficacy</w:t>
            </w:r>
          </w:p>
        </w:tc>
        <w:tc>
          <w:tcPr>
            <w:tcW w:w="803" w:type="dxa"/>
            <w:tcBorders>
              <w:bottom w:val="single" w:sz="4" w:space="0" w:color="auto"/>
            </w:tcBorders>
            <w:shd w:val="clear" w:color="auto" w:fill="auto"/>
          </w:tcPr>
          <w:p w14:paraId="4E866110" w14:textId="77777777" w:rsidR="00D554A8" w:rsidRPr="00B33A7D" w:rsidRDefault="00D554A8" w:rsidP="006C419A">
            <w:pPr>
              <w:autoSpaceDE w:val="0"/>
              <w:autoSpaceDN w:val="0"/>
              <w:adjustRightInd w:val="0"/>
              <w:spacing w:line="480" w:lineRule="auto"/>
              <w:jc w:val="center"/>
              <w:rPr>
                <w:lang w:val="en-US"/>
              </w:rPr>
            </w:pPr>
            <w:r w:rsidRPr="00B33A7D">
              <w:rPr>
                <w:lang w:val="en-US"/>
              </w:rPr>
              <w:t>2,12</w:t>
            </w:r>
          </w:p>
        </w:tc>
        <w:tc>
          <w:tcPr>
            <w:tcW w:w="1636" w:type="dxa"/>
            <w:tcBorders>
              <w:bottom w:val="single" w:sz="4" w:space="0" w:color="auto"/>
            </w:tcBorders>
            <w:shd w:val="clear" w:color="auto" w:fill="auto"/>
          </w:tcPr>
          <w:p w14:paraId="14467C48" w14:textId="77777777" w:rsidR="00D554A8" w:rsidRPr="00B33A7D" w:rsidRDefault="00D554A8" w:rsidP="006C419A">
            <w:pPr>
              <w:autoSpaceDE w:val="0"/>
              <w:autoSpaceDN w:val="0"/>
              <w:adjustRightInd w:val="0"/>
              <w:spacing w:line="480" w:lineRule="auto"/>
              <w:jc w:val="center"/>
              <w:rPr>
                <w:lang w:val="en-US"/>
              </w:rPr>
            </w:pPr>
            <w:r w:rsidRPr="00B33A7D">
              <w:rPr>
                <w:szCs w:val="22"/>
                <w:lang w:val="en-US"/>
              </w:rPr>
              <w:t>0,82</w:t>
            </w:r>
          </w:p>
        </w:tc>
        <w:tc>
          <w:tcPr>
            <w:tcW w:w="1243" w:type="dxa"/>
            <w:tcBorders>
              <w:bottom w:val="single" w:sz="4" w:space="0" w:color="auto"/>
            </w:tcBorders>
            <w:shd w:val="clear" w:color="auto" w:fill="auto"/>
          </w:tcPr>
          <w:p w14:paraId="6F1A84FC" w14:textId="77777777" w:rsidR="00D554A8" w:rsidRPr="00B33A7D" w:rsidRDefault="00D554A8" w:rsidP="006C419A">
            <w:pPr>
              <w:autoSpaceDE w:val="0"/>
              <w:autoSpaceDN w:val="0"/>
              <w:adjustRightInd w:val="0"/>
              <w:spacing w:line="480" w:lineRule="auto"/>
              <w:jc w:val="center"/>
              <w:rPr>
                <w:lang w:val="en-US"/>
              </w:rPr>
            </w:pPr>
            <w:r w:rsidRPr="00B33A7D">
              <w:rPr>
                <w:lang w:val="en-US"/>
              </w:rPr>
              <w:t>0,83</w:t>
            </w:r>
          </w:p>
        </w:tc>
        <w:tc>
          <w:tcPr>
            <w:tcW w:w="1283" w:type="dxa"/>
            <w:tcBorders>
              <w:bottom w:val="single" w:sz="4" w:space="0" w:color="auto"/>
            </w:tcBorders>
            <w:shd w:val="clear" w:color="auto" w:fill="auto"/>
          </w:tcPr>
          <w:p w14:paraId="676CA58A" w14:textId="77777777" w:rsidR="00D554A8" w:rsidRPr="00B33A7D" w:rsidRDefault="00D554A8" w:rsidP="006C419A">
            <w:pPr>
              <w:autoSpaceDE w:val="0"/>
              <w:autoSpaceDN w:val="0"/>
              <w:adjustRightInd w:val="0"/>
              <w:spacing w:line="480" w:lineRule="auto"/>
              <w:jc w:val="center"/>
              <w:rPr>
                <w:lang w:val="en-US"/>
              </w:rPr>
            </w:pPr>
            <w:r w:rsidRPr="00B33A7D">
              <w:rPr>
                <w:lang w:val="en-US"/>
              </w:rPr>
              <w:t>5,67</w:t>
            </w:r>
          </w:p>
        </w:tc>
      </w:tr>
    </w:tbl>
    <w:p w14:paraId="79430F31" w14:textId="77777777" w:rsidR="005C6D0E" w:rsidRPr="00B33A7D" w:rsidRDefault="00C925CF" w:rsidP="006C419A">
      <w:pPr>
        <w:autoSpaceDE w:val="0"/>
        <w:autoSpaceDN w:val="0"/>
        <w:adjustRightInd w:val="0"/>
        <w:spacing w:line="480" w:lineRule="auto"/>
        <w:jc w:val="both"/>
        <w:rPr>
          <w:rFonts w:cs="Arial"/>
          <w:color w:val="000000"/>
          <w:lang w:val="en-US"/>
        </w:rPr>
      </w:pPr>
      <w:r w:rsidRPr="00B33A7D">
        <w:rPr>
          <w:rFonts w:cs="Arial"/>
          <w:color w:val="000000"/>
          <w:lang w:val="en-US"/>
        </w:rPr>
        <w:t xml:space="preserve">     </w:t>
      </w:r>
    </w:p>
    <w:p w14:paraId="1CAAB115" w14:textId="31C80ECC" w:rsidR="00461F5C" w:rsidRPr="00B33A7D" w:rsidRDefault="00B10437" w:rsidP="006C419A">
      <w:pPr>
        <w:autoSpaceDE w:val="0"/>
        <w:autoSpaceDN w:val="0"/>
        <w:adjustRightInd w:val="0"/>
        <w:spacing w:line="480" w:lineRule="auto"/>
        <w:jc w:val="both"/>
        <w:rPr>
          <w:rFonts w:cs="Arial"/>
          <w:color w:val="000000"/>
          <w:lang w:val="en-US"/>
        </w:rPr>
      </w:pPr>
      <w:r w:rsidRPr="00B33A7D">
        <w:rPr>
          <w:rFonts w:cs="Arial"/>
          <w:color w:val="000000"/>
          <w:lang w:val="en-US"/>
        </w:rPr>
        <w:tab/>
      </w:r>
      <w:r w:rsidR="00B5673B" w:rsidRPr="005C4FD9">
        <w:rPr>
          <w:highlight w:val="yellow"/>
          <w:lang w:val="en-US"/>
        </w:rPr>
        <w:t>About the</w:t>
      </w:r>
      <w:r w:rsidR="002769F8" w:rsidRPr="005C4FD9">
        <w:rPr>
          <w:highlight w:val="yellow"/>
          <w:lang w:val="en-US"/>
        </w:rPr>
        <w:t xml:space="preserve"> </w:t>
      </w:r>
      <w:r w:rsidR="005C4FD9" w:rsidRPr="005C4FD9">
        <w:rPr>
          <w:highlight w:val="yellow"/>
          <w:lang w:val="en-US"/>
        </w:rPr>
        <w:t>relations</w:t>
      </w:r>
      <w:r w:rsidR="002769F8" w:rsidRPr="005C4FD9">
        <w:rPr>
          <w:highlight w:val="yellow"/>
          <w:lang w:val="en-US"/>
        </w:rPr>
        <w:t xml:space="preserve"> between BS occurrence and </w:t>
      </w:r>
      <w:r w:rsidR="007E016A" w:rsidRPr="005C4FD9">
        <w:rPr>
          <w:highlight w:val="yellow"/>
          <w:lang w:val="en-US"/>
        </w:rPr>
        <w:t>biosocial</w:t>
      </w:r>
      <w:r w:rsidR="002769F8" w:rsidRPr="005C4FD9">
        <w:rPr>
          <w:highlight w:val="yellow"/>
          <w:lang w:val="en-US"/>
        </w:rPr>
        <w:t xml:space="preserve"> and academic variables</w:t>
      </w:r>
      <w:r w:rsidR="00100D72" w:rsidRPr="005C4FD9">
        <w:rPr>
          <w:highlight w:val="yellow"/>
          <w:lang w:val="en-US"/>
        </w:rPr>
        <w:t xml:space="preserve">, </w:t>
      </w:r>
      <w:r w:rsidR="005C4FD9" w:rsidRPr="005C4FD9">
        <w:rPr>
          <w:highlight w:val="yellow"/>
          <w:lang w:val="en-US"/>
        </w:rPr>
        <w:t>only the significant results (p&lt;0,05) were presented in</w:t>
      </w:r>
      <w:r w:rsidR="002769F8" w:rsidRPr="005C4FD9">
        <w:rPr>
          <w:highlight w:val="yellow"/>
          <w:lang w:val="en-US"/>
        </w:rPr>
        <w:t xml:space="preserve"> this investigation</w:t>
      </w:r>
      <w:r w:rsidR="00100D72" w:rsidRPr="00B33A7D">
        <w:rPr>
          <w:lang w:val="en-US"/>
        </w:rPr>
        <w:t>.</w:t>
      </w:r>
      <w:r w:rsidR="002769F8" w:rsidRPr="00B33A7D">
        <w:rPr>
          <w:lang w:val="en-US"/>
        </w:rPr>
        <w:t xml:space="preserve"> Thus,</w:t>
      </w:r>
      <w:r w:rsidR="00100D72" w:rsidRPr="00B33A7D">
        <w:rPr>
          <w:lang w:val="en-US"/>
        </w:rPr>
        <w:t xml:space="preserve"> </w:t>
      </w:r>
      <w:r w:rsidR="002769F8" w:rsidRPr="00B33A7D">
        <w:rPr>
          <w:lang w:val="en-US"/>
        </w:rPr>
        <w:t>we verify that</w:t>
      </w:r>
      <w:r w:rsidR="00D26867" w:rsidRPr="00B33A7D">
        <w:rPr>
          <w:rFonts w:cs="Arial"/>
          <w:lang w:val="en-US"/>
        </w:rPr>
        <w:t>,</w:t>
      </w:r>
      <w:r w:rsidRPr="00B33A7D">
        <w:rPr>
          <w:rFonts w:cs="Arial"/>
          <w:lang w:val="en-US"/>
        </w:rPr>
        <w:t xml:space="preserve"> </w:t>
      </w:r>
      <w:r w:rsidR="002769F8" w:rsidRPr="00B33A7D">
        <w:rPr>
          <w:rFonts w:cs="Arial"/>
          <w:lang w:val="en-US"/>
        </w:rPr>
        <w:t xml:space="preserve">among students with Burnout Syndrome, predominate those enrolled in the first semester </w:t>
      </w:r>
      <w:r w:rsidRPr="00B33A7D">
        <w:rPr>
          <w:rFonts w:cs="Arial"/>
          <w:lang w:val="en-US"/>
        </w:rPr>
        <w:t>(</w:t>
      </w:r>
      <w:r w:rsidR="00D416AD" w:rsidRPr="00B33A7D">
        <w:rPr>
          <w:rFonts w:cs="Arial"/>
          <w:lang w:val="en-US"/>
        </w:rPr>
        <w:t>7,37</w:t>
      </w:r>
      <w:r w:rsidR="00BE5BA9" w:rsidRPr="00B33A7D">
        <w:rPr>
          <w:rFonts w:cs="Arial"/>
          <w:lang w:val="en-US"/>
        </w:rPr>
        <w:t xml:space="preserve">%; </w:t>
      </w:r>
      <w:r w:rsidRPr="00B33A7D">
        <w:rPr>
          <w:rFonts w:cs="Arial"/>
          <w:lang w:val="en-US"/>
        </w:rPr>
        <w:t xml:space="preserve">p= </w:t>
      </w:r>
      <w:r w:rsidR="00BE5BA9" w:rsidRPr="00B33A7D">
        <w:rPr>
          <w:rFonts w:cs="Arial"/>
          <w:lang w:val="en-US"/>
        </w:rPr>
        <w:t>0,0</w:t>
      </w:r>
      <w:r w:rsidR="002769F8" w:rsidRPr="00B33A7D">
        <w:rPr>
          <w:rFonts w:cs="Arial"/>
          <w:lang w:val="en-US"/>
        </w:rPr>
        <w:t>1) and who perform 10 disciplines</w:t>
      </w:r>
      <w:r w:rsidR="0002422A" w:rsidRPr="00B33A7D">
        <w:rPr>
          <w:rFonts w:cs="Arial"/>
          <w:lang w:val="en-US"/>
        </w:rPr>
        <w:t xml:space="preserve"> </w:t>
      </w:r>
      <w:r w:rsidRPr="00B33A7D">
        <w:rPr>
          <w:rFonts w:cs="Arial"/>
          <w:lang w:val="en-US"/>
        </w:rPr>
        <w:t>(</w:t>
      </w:r>
      <w:r w:rsidR="00D416AD" w:rsidRPr="00B33A7D">
        <w:rPr>
          <w:rFonts w:cs="Arial"/>
          <w:lang w:val="en-US"/>
        </w:rPr>
        <w:t>11,40</w:t>
      </w:r>
      <w:r w:rsidR="00BE5BA9" w:rsidRPr="00B33A7D">
        <w:rPr>
          <w:rFonts w:cs="Arial"/>
          <w:lang w:val="en-US"/>
        </w:rPr>
        <w:t xml:space="preserve">%; </w:t>
      </w:r>
      <w:r w:rsidRPr="00B33A7D">
        <w:rPr>
          <w:rFonts w:cs="Arial"/>
          <w:lang w:val="en-US"/>
        </w:rPr>
        <w:t xml:space="preserve">p= </w:t>
      </w:r>
      <w:r w:rsidR="00BE5BA9" w:rsidRPr="00B33A7D">
        <w:rPr>
          <w:rFonts w:cs="Arial"/>
          <w:lang w:val="en-US"/>
        </w:rPr>
        <w:t>0,025</w:t>
      </w:r>
      <w:r w:rsidRPr="00B33A7D">
        <w:rPr>
          <w:rFonts w:cs="Arial"/>
          <w:lang w:val="en-US"/>
        </w:rPr>
        <w:t xml:space="preserve">). </w:t>
      </w:r>
      <w:r w:rsidR="00335D08" w:rsidRPr="00B33A7D">
        <w:rPr>
          <w:rFonts w:cs="Arial"/>
          <w:lang w:val="en-US"/>
        </w:rPr>
        <w:t xml:space="preserve">The results of </w:t>
      </w:r>
      <w:r w:rsidR="005C4FD9">
        <w:rPr>
          <w:rFonts w:cs="Arial"/>
          <w:lang w:val="en-US"/>
        </w:rPr>
        <w:t>a</w:t>
      </w:r>
      <w:r w:rsidR="005C4FD9" w:rsidRPr="005C4FD9">
        <w:rPr>
          <w:rFonts w:cs="Arial"/>
          <w:lang w:val="en-US"/>
        </w:rPr>
        <w:t>ssociation of Burnout Syndrome occurrence and the variables “Work Activity” and “Interest of dropping the course</w:t>
      </w:r>
      <w:r w:rsidR="005C4FD9">
        <w:rPr>
          <w:rFonts w:cs="Arial"/>
          <w:lang w:val="en-US"/>
        </w:rPr>
        <w:t>”</w:t>
      </w:r>
      <w:r w:rsidR="005C4FD9" w:rsidRPr="005C4FD9">
        <w:rPr>
          <w:rFonts w:cs="Arial"/>
          <w:lang w:val="en-US"/>
        </w:rPr>
        <w:t xml:space="preserve"> </w:t>
      </w:r>
      <w:r w:rsidR="00335D08" w:rsidRPr="00B33A7D">
        <w:rPr>
          <w:rFonts w:cs="Arial"/>
          <w:lang w:val="en-US"/>
        </w:rPr>
        <w:t>are showed on Table 2.</w:t>
      </w:r>
    </w:p>
    <w:p w14:paraId="5B5823DB" w14:textId="77777777" w:rsidR="00100D72" w:rsidRPr="00B33A7D" w:rsidRDefault="00100D72" w:rsidP="006C419A">
      <w:pPr>
        <w:autoSpaceDE w:val="0"/>
        <w:autoSpaceDN w:val="0"/>
        <w:adjustRightInd w:val="0"/>
        <w:spacing w:line="480" w:lineRule="auto"/>
        <w:jc w:val="both"/>
        <w:rPr>
          <w:rFonts w:cs="Arial"/>
          <w:color w:val="000000"/>
          <w:lang w:val="en-US"/>
        </w:rPr>
      </w:pPr>
    </w:p>
    <w:p w14:paraId="5F646F5C" w14:textId="1BA210FA" w:rsidR="002F22B1" w:rsidRPr="00B33A7D" w:rsidRDefault="009B1A7F" w:rsidP="006C419A">
      <w:pPr>
        <w:autoSpaceDE w:val="0"/>
        <w:autoSpaceDN w:val="0"/>
        <w:adjustRightInd w:val="0"/>
        <w:spacing w:line="480" w:lineRule="auto"/>
        <w:jc w:val="both"/>
        <w:rPr>
          <w:rFonts w:cs="Arial"/>
          <w:color w:val="000000"/>
          <w:lang w:val="en-US"/>
        </w:rPr>
      </w:pPr>
      <w:r w:rsidRPr="005C4FD9">
        <w:rPr>
          <w:rFonts w:cs="Arial"/>
          <w:b/>
          <w:color w:val="000000"/>
          <w:highlight w:val="yellow"/>
          <w:lang w:val="en-US"/>
        </w:rPr>
        <w:t>Table</w:t>
      </w:r>
      <w:r w:rsidR="00D87FA4" w:rsidRPr="005C4FD9">
        <w:rPr>
          <w:rFonts w:cs="Arial"/>
          <w:b/>
          <w:color w:val="000000"/>
          <w:highlight w:val="yellow"/>
          <w:lang w:val="en-US"/>
        </w:rPr>
        <w:t xml:space="preserve"> 2</w:t>
      </w:r>
      <w:r w:rsidR="00D87FA4" w:rsidRPr="005C4FD9">
        <w:rPr>
          <w:rFonts w:cs="Arial"/>
          <w:color w:val="000000"/>
          <w:highlight w:val="yellow"/>
          <w:lang w:val="en-US"/>
        </w:rPr>
        <w:t xml:space="preserve">- </w:t>
      </w:r>
      <w:r w:rsidR="003F34F0" w:rsidRPr="005C4FD9">
        <w:rPr>
          <w:rFonts w:cs="Arial"/>
          <w:color w:val="000000"/>
          <w:highlight w:val="yellow"/>
          <w:lang w:val="en-US"/>
        </w:rPr>
        <w:t xml:space="preserve">Association of </w:t>
      </w:r>
      <w:r w:rsidRPr="005C4FD9">
        <w:rPr>
          <w:szCs w:val="16"/>
          <w:highlight w:val="yellow"/>
          <w:lang w:val="en-US"/>
        </w:rPr>
        <w:t>Burnout Syndrome</w:t>
      </w:r>
      <w:r w:rsidRPr="005C4FD9">
        <w:rPr>
          <w:b/>
          <w:szCs w:val="16"/>
          <w:highlight w:val="yellow"/>
          <w:lang w:val="en-US"/>
        </w:rPr>
        <w:t xml:space="preserve"> </w:t>
      </w:r>
      <w:r w:rsidRPr="005C4FD9">
        <w:rPr>
          <w:szCs w:val="16"/>
          <w:highlight w:val="yellow"/>
          <w:lang w:val="en-US"/>
        </w:rPr>
        <w:t>occurrence and the variables</w:t>
      </w:r>
      <w:r w:rsidR="00E12F04" w:rsidRPr="005C4FD9">
        <w:rPr>
          <w:rFonts w:cs="Arial"/>
          <w:color w:val="000000"/>
          <w:highlight w:val="yellow"/>
          <w:lang w:val="en-US"/>
        </w:rPr>
        <w:t xml:space="preserve"> </w:t>
      </w:r>
      <w:r w:rsidR="00B5673B" w:rsidRPr="005C4FD9">
        <w:rPr>
          <w:rFonts w:cs="Arial"/>
          <w:color w:val="000000"/>
          <w:highlight w:val="yellow"/>
          <w:lang w:val="en-US"/>
        </w:rPr>
        <w:t>“</w:t>
      </w:r>
      <w:r w:rsidRPr="005C4FD9">
        <w:rPr>
          <w:rFonts w:cs="Arial"/>
          <w:color w:val="000000"/>
          <w:highlight w:val="yellow"/>
          <w:lang w:val="en-US"/>
        </w:rPr>
        <w:t>Work Activity</w:t>
      </w:r>
      <w:r w:rsidR="00B5673B" w:rsidRPr="005C4FD9">
        <w:rPr>
          <w:rFonts w:cs="Arial"/>
          <w:color w:val="000000"/>
          <w:highlight w:val="yellow"/>
          <w:lang w:val="en-US"/>
        </w:rPr>
        <w:t>”</w:t>
      </w:r>
      <w:r w:rsidRPr="005C4FD9">
        <w:rPr>
          <w:rFonts w:cs="Arial"/>
          <w:color w:val="000000"/>
          <w:highlight w:val="yellow"/>
          <w:lang w:val="en-US"/>
        </w:rPr>
        <w:t xml:space="preserve"> and </w:t>
      </w:r>
      <w:r w:rsidR="00B5673B" w:rsidRPr="005C4FD9">
        <w:rPr>
          <w:rFonts w:cs="Arial"/>
          <w:color w:val="000000"/>
          <w:highlight w:val="yellow"/>
          <w:lang w:val="en-US"/>
        </w:rPr>
        <w:t>“</w:t>
      </w:r>
      <w:r w:rsidRPr="005C4FD9">
        <w:rPr>
          <w:rFonts w:cs="Arial"/>
          <w:color w:val="000000"/>
          <w:highlight w:val="yellow"/>
          <w:lang w:val="en-US"/>
        </w:rPr>
        <w:t>Interest of dropping the course</w:t>
      </w:r>
      <w:r w:rsidR="00B5673B" w:rsidRPr="005C4FD9">
        <w:rPr>
          <w:rFonts w:cs="Arial"/>
          <w:color w:val="000000"/>
          <w:highlight w:val="yellow"/>
          <w:lang w:val="en-US"/>
        </w:rPr>
        <w:t>”</w:t>
      </w:r>
      <w:r w:rsidR="00E12F04" w:rsidRPr="005C4FD9">
        <w:rPr>
          <w:rFonts w:cs="Arial"/>
          <w:i/>
          <w:color w:val="000000"/>
          <w:highlight w:val="yellow"/>
          <w:lang w:val="en-US"/>
        </w:rPr>
        <w:t xml:space="preserve">. </w:t>
      </w:r>
      <w:r w:rsidRPr="005C4FD9">
        <w:rPr>
          <w:rFonts w:cs="Arial"/>
          <w:color w:val="000000"/>
          <w:highlight w:val="yellow"/>
          <w:lang w:val="en-US"/>
        </w:rPr>
        <w:t xml:space="preserve">Rio Grande do </w:t>
      </w:r>
      <w:proofErr w:type="spellStart"/>
      <w:r w:rsidRPr="005C4FD9">
        <w:rPr>
          <w:rFonts w:cs="Arial"/>
          <w:color w:val="000000"/>
          <w:highlight w:val="yellow"/>
          <w:lang w:val="en-US"/>
        </w:rPr>
        <w:t>Sul</w:t>
      </w:r>
      <w:proofErr w:type="spellEnd"/>
      <w:r w:rsidRPr="005C4FD9">
        <w:rPr>
          <w:rFonts w:cs="Arial"/>
          <w:color w:val="000000"/>
          <w:highlight w:val="yellow"/>
          <w:lang w:val="en-US"/>
        </w:rPr>
        <w:t>, Braz</w:t>
      </w:r>
      <w:r w:rsidR="00E12F04" w:rsidRPr="005C4FD9">
        <w:rPr>
          <w:rFonts w:cs="Arial"/>
          <w:color w:val="000000"/>
          <w:highlight w:val="yellow"/>
          <w:lang w:val="en-US"/>
        </w:rPr>
        <w:t>il, 2013</w:t>
      </w:r>
      <w:r w:rsidR="006F74B8" w:rsidRPr="005C4FD9">
        <w:rPr>
          <w:rFonts w:cs="Arial"/>
          <w:color w:val="000000"/>
          <w:highlight w:val="yellow"/>
          <w:lang w:val="en-US"/>
        </w:rPr>
        <w:t>.</w:t>
      </w:r>
    </w:p>
    <w:tbl>
      <w:tblPr>
        <w:tblW w:w="0" w:type="auto"/>
        <w:jc w:val="center"/>
        <w:tblLook w:val="04A0" w:firstRow="1" w:lastRow="0" w:firstColumn="1" w:lastColumn="0" w:noHBand="0" w:noVBand="1"/>
      </w:tblPr>
      <w:tblGrid>
        <w:gridCol w:w="3907"/>
        <w:gridCol w:w="951"/>
        <w:gridCol w:w="1476"/>
        <w:gridCol w:w="1476"/>
        <w:gridCol w:w="1476"/>
      </w:tblGrid>
      <w:tr w:rsidR="00E12F04" w:rsidRPr="00B33A7D" w14:paraId="3CA70AAC" w14:textId="77777777" w:rsidTr="001C4EC3">
        <w:trPr>
          <w:trHeight w:val="334"/>
          <w:jc w:val="center"/>
        </w:trPr>
        <w:tc>
          <w:tcPr>
            <w:tcW w:w="4088" w:type="dxa"/>
            <w:vMerge w:val="restart"/>
            <w:tcBorders>
              <w:top w:val="single" w:sz="4" w:space="0" w:color="auto"/>
            </w:tcBorders>
            <w:shd w:val="clear" w:color="auto" w:fill="auto"/>
          </w:tcPr>
          <w:p w14:paraId="2B10FE5B" w14:textId="46C99A7F" w:rsidR="00E12F04" w:rsidRPr="00B33A7D" w:rsidRDefault="007E016A" w:rsidP="006C419A">
            <w:pPr>
              <w:autoSpaceDE w:val="0"/>
              <w:autoSpaceDN w:val="0"/>
              <w:adjustRightInd w:val="0"/>
              <w:spacing w:line="480" w:lineRule="auto"/>
              <w:jc w:val="center"/>
              <w:rPr>
                <w:b/>
                <w:szCs w:val="16"/>
                <w:lang w:val="en-US"/>
              </w:rPr>
            </w:pPr>
            <w:r>
              <w:rPr>
                <w:b/>
                <w:szCs w:val="16"/>
                <w:lang w:val="en-US"/>
              </w:rPr>
              <w:t>Biosocial</w:t>
            </w:r>
            <w:r w:rsidR="001C4EC3" w:rsidRPr="00B33A7D">
              <w:rPr>
                <w:b/>
                <w:szCs w:val="16"/>
                <w:lang w:val="en-US"/>
              </w:rPr>
              <w:t xml:space="preserve"> and academic variables</w:t>
            </w:r>
          </w:p>
        </w:tc>
        <w:tc>
          <w:tcPr>
            <w:tcW w:w="4792" w:type="dxa"/>
            <w:gridSpan w:val="4"/>
            <w:tcBorders>
              <w:top w:val="single" w:sz="4" w:space="0" w:color="auto"/>
            </w:tcBorders>
            <w:shd w:val="clear" w:color="auto" w:fill="auto"/>
          </w:tcPr>
          <w:p w14:paraId="45FAAC0B" w14:textId="77777777" w:rsidR="00E12F04" w:rsidRPr="00B33A7D" w:rsidRDefault="00E12F04" w:rsidP="006C419A">
            <w:pPr>
              <w:autoSpaceDE w:val="0"/>
              <w:autoSpaceDN w:val="0"/>
              <w:adjustRightInd w:val="0"/>
              <w:spacing w:line="480" w:lineRule="auto"/>
              <w:jc w:val="center"/>
              <w:rPr>
                <w:b/>
                <w:szCs w:val="16"/>
                <w:lang w:val="en-US"/>
              </w:rPr>
            </w:pPr>
            <w:r w:rsidRPr="00B33A7D">
              <w:rPr>
                <w:b/>
                <w:szCs w:val="16"/>
                <w:lang w:val="en-US"/>
              </w:rPr>
              <w:t>Burnout</w:t>
            </w:r>
            <w:r w:rsidR="001C4EC3" w:rsidRPr="00B33A7D">
              <w:rPr>
                <w:b/>
                <w:szCs w:val="16"/>
                <w:lang w:val="en-US"/>
              </w:rPr>
              <w:t xml:space="preserve"> Syndrome</w:t>
            </w:r>
          </w:p>
        </w:tc>
      </w:tr>
      <w:tr w:rsidR="00E12F04" w:rsidRPr="00B33A7D" w14:paraId="0F31B4E4" w14:textId="77777777" w:rsidTr="001C4EC3">
        <w:trPr>
          <w:trHeight w:val="574"/>
          <w:jc w:val="center"/>
        </w:trPr>
        <w:tc>
          <w:tcPr>
            <w:tcW w:w="4088" w:type="dxa"/>
            <w:vMerge/>
            <w:tcBorders>
              <w:bottom w:val="single" w:sz="4" w:space="0" w:color="auto"/>
            </w:tcBorders>
            <w:shd w:val="clear" w:color="auto" w:fill="auto"/>
          </w:tcPr>
          <w:p w14:paraId="6F5138CE" w14:textId="77777777" w:rsidR="00E12F04" w:rsidRPr="00B33A7D" w:rsidRDefault="00E12F04" w:rsidP="006C419A">
            <w:pPr>
              <w:autoSpaceDE w:val="0"/>
              <w:autoSpaceDN w:val="0"/>
              <w:adjustRightInd w:val="0"/>
              <w:spacing w:line="480" w:lineRule="auto"/>
              <w:rPr>
                <w:szCs w:val="16"/>
                <w:lang w:val="en-US"/>
              </w:rPr>
            </w:pPr>
          </w:p>
        </w:tc>
        <w:tc>
          <w:tcPr>
            <w:tcW w:w="964" w:type="dxa"/>
            <w:tcBorders>
              <w:top w:val="single" w:sz="4" w:space="0" w:color="auto"/>
              <w:bottom w:val="single" w:sz="4" w:space="0" w:color="auto"/>
            </w:tcBorders>
            <w:shd w:val="clear" w:color="auto" w:fill="auto"/>
          </w:tcPr>
          <w:p w14:paraId="19FD2C40" w14:textId="77777777" w:rsidR="00E12F04" w:rsidRPr="00B33A7D" w:rsidRDefault="00E12F04" w:rsidP="006C419A">
            <w:pPr>
              <w:autoSpaceDE w:val="0"/>
              <w:autoSpaceDN w:val="0"/>
              <w:adjustRightInd w:val="0"/>
              <w:spacing w:line="480" w:lineRule="auto"/>
              <w:jc w:val="center"/>
              <w:rPr>
                <w:szCs w:val="16"/>
                <w:lang w:val="en-US"/>
              </w:rPr>
            </w:pPr>
          </w:p>
        </w:tc>
        <w:tc>
          <w:tcPr>
            <w:tcW w:w="1476" w:type="dxa"/>
            <w:tcBorders>
              <w:top w:val="single" w:sz="4" w:space="0" w:color="auto"/>
              <w:bottom w:val="single" w:sz="4" w:space="0" w:color="auto"/>
            </w:tcBorders>
            <w:shd w:val="clear" w:color="auto" w:fill="auto"/>
          </w:tcPr>
          <w:p w14:paraId="20975F01" w14:textId="77777777" w:rsidR="00E12F04" w:rsidRPr="00B33A7D" w:rsidRDefault="001C4EC3" w:rsidP="006C419A">
            <w:pPr>
              <w:autoSpaceDE w:val="0"/>
              <w:autoSpaceDN w:val="0"/>
              <w:adjustRightInd w:val="0"/>
              <w:spacing w:line="480" w:lineRule="auto"/>
              <w:jc w:val="center"/>
              <w:rPr>
                <w:b/>
                <w:szCs w:val="16"/>
                <w:lang w:val="en-US"/>
              </w:rPr>
            </w:pPr>
            <w:r w:rsidRPr="00B33A7D">
              <w:rPr>
                <w:b/>
                <w:szCs w:val="16"/>
                <w:lang w:val="en-US"/>
              </w:rPr>
              <w:t>Yes</w:t>
            </w:r>
            <w:r w:rsidR="00E12F04" w:rsidRPr="00B33A7D">
              <w:rPr>
                <w:b/>
                <w:szCs w:val="16"/>
                <w:lang w:val="en-US"/>
              </w:rPr>
              <w:t xml:space="preserve"> </w:t>
            </w:r>
          </w:p>
          <w:p w14:paraId="6A247557" w14:textId="77777777" w:rsidR="00E12F04" w:rsidRPr="00B33A7D" w:rsidRDefault="00E12F04" w:rsidP="006C419A">
            <w:pPr>
              <w:autoSpaceDE w:val="0"/>
              <w:autoSpaceDN w:val="0"/>
              <w:adjustRightInd w:val="0"/>
              <w:spacing w:line="480" w:lineRule="auto"/>
              <w:jc w:val="center"/>
              <w:rPr>
                <w:b/>
                <w:szCs w:val="16"/>
                <w:lang w:val="en-US"/>
              </w:rPr>
            </w:pPr>
            <w:proofErr w:type="gramStart"/>
            <w:r w:rsidRPr="00B33A7D">
              <w:rPr>
                <w:b/>
                <w:szCs w:val="16"/>
                <w:lang w:val="en-US"/>
              </w:rPr>
              <w:t>N(</w:t>
            </w:r>
            <w:proofErr w:type="gramEnd"/>
            <w:r w:rsidRPr="00B33A7D">
              <w:rPr>
                <w:b/>
                <w:szCs w:val="16"/>
                <w:lang w:val="en-US"/>
              </w:rPr>
              <w:t>%)</w:t>
            </w:r>
          </w:p>
        </w:tc>
        <w:tc>
          <w:tcPr>
            <w:tcW w:w="1476" w:type="dxa"/>
            <w:tcBorders>
              <w:top w:val="single" w:sz="4" w:space="0" w:color="auto"/>
              <w:bottom w:val="single" w:sz="4" w:space="0" w:color="auto"/>
            </w:tcBorders>
            <w:shd w:val="clear" w:color="auto" w:fill="auto"/>
          </w:tcPr>
          <w:p w14:paraId="13B66B7E" w14:textId="77777777" w:rsidR="00E12F04" w:rsidRPr="00B33A7D" w:rsidRDefault="001C4EC3" w:rsidP="006C419A">
            <w:pPr>
              <w:autoSpaceDE w:val="0"/>
              <w:autoSpaceDN w:val="0"/>
              <w:adjustRightInd w:val="0"/>
              <w:spacing w:line="480" w:lineRule="auto"/>
              <w:jc w:val="center"/>
              <w:rPr>
                <w:b/>
                <w:szCs w:val="16"/>
                <w:lang w:val="en-US"/>
              </w:rPr>
            </w:pPr>
            <w:r w:rsidRPr="00B33A7D">
              <w:rPr>
                <w:b/>
                <w:szCs w:val="16"/>
                <w:lang w:val="en-US"/>
              </w:rPr>
              <w:t>No</w:t>
            </w:r>
            <w:r w:rsidR="00E12F04" w:rsidRPr="00B33A7D">
              <w:rPr>
                <w:b/>
                <w:szCs w:val="16"/>
                <w:lang w:val="en-US"/>
              </w:rPr>
              <w:t xml:space="preserve"> </w:t>
            </w:r>
          </w:p>
          <w:p w14:paraId="58466EEE" w14:textId="77777777" w:rsidR="00E12F04" w:rsidRPr="00B33A7D" w:rsidRDefault="00E12F04" w:rsidP="006C419A">
            <w:pPr>
              <w:autoSpaceDE w:val="0"/>
              <w:autoSpaceDN w:val="0"/>
              <w:adjustRightInd w:val="0"/>
              <w:spacing w:line="480" w:lineRule="auto"/>
              <w:jc w:val="center"/>
              <w:rPr>
                <w:b/>
                <w:szCs w:val="16"/>
                <w:lang w:val="en-US"/>
              </w:rPr>
            </w:pPr>
            <w:proofErr w:type="gramStart"/>
            <w:r w:rsidRPr="00B33A7D">
              <w:rPr>
                <w:b/>
                <w:szCs w:val="16"/>
                <w:lang w:val="en-US"/>
              </w:rPr>
              <w:t>N(</w:t>
            </w:r>
            <w:proofErr w:type="gramEnd"/>
            <w:r w:rsidRPr="00B33A7D">
              <w:rPr>
                <w:b/>
                <w:szCs w:val="16"/>
                <w:lang w:val="en-US"/>
              </w:rPr>
              <w:t>%)</w:t>
            </w:r>
          </w:p>
        </w:tc>
        <w:tc>
          <w:tcPr>
            <w:tcW w:w="876" w:type="dxa"/>
            <w:tcBorders>
              <w:top w:val="single" w:sz="4" w:space="0" w:color="auto"/>
              <w:bottom w:val="single" w:sz="4" w:space="0" w:color="auto"/>
            </w:tcBorders>
            <w:shd w:val="clear" w:color="auto" w:fill="auto"/>
          </w:tcPr>
          <w:p w14:paraId="211A761B" w14:textId="77777777" w:rsidR="00E12F04" w:rsidRPr="00B33A7D" w:rsidRDefault="00E12F04" w:rsidP="006C419A">
            <w:pPr>
              <w:autoSpaceDE w:val="0"/>
              <w:autoSpaceDN w:val="0"/>
              <w:adjustRightInd w:val="0"/>
              <w:spacing w:line="480" w:lineRule="auto"/>
              <w:jc w:val="center"/>
              <w:rPr>
                <w:b/>
                <w:szCs w:val="16"/>
                <w:lang w:val="en-US"/>
              </w:rPr>
            </w:pPr>
            <w:r w:rsidRPr="00B33A7D">
              <w:rPr>
                <w:b/>
                <w:szCs w:val="16"/>
                <w:lang w:val="en-US"/>
              </w:rPr>
              <w:t>Total</w:t>
            </w:r>
          </w:p>
        </w:tc>
      </w:tr>
      <w:tr w:rsidR="00E12F04" w:rsidRPr="00B33A7D" w14:paraId="3501854E" w14:textId="77777777" w:rsidTr="001C4EC3">
        <w:trPr>
          <w:trHeight w:val="408"/>
          <w:jc w:val="center"/>
        </w:trPr>
        <w:tc>
          <w:tcPr>
            <w:tcW w:w="4088" w:type="dxa"/>
            <w:vMerge w:val="restart"/>
            <w:tcBorders>
              <w:top w:val="single" w:sz="4" w:space="0" w:color="auto"/>
            </w:tcBorders>
            <w:shd w:val="clear" w:color="auto" w:fill="auto"/>
          </w:tcPr>
          <w:p w14:paraId="00F54275" w14:textId="77777777" w:rsidR="00E12F04" w:rsidRPr="00B33A7D" w:rsidRDefault="001C4EC3" w:rsidP="006C419A">
            <w:pPr>
              <w:autoSpaceDE w:val="0"/>
              <w:autoSpaceDN w:val="0"/>
              <w:adjustRightInd w:val="0"/>
              <w:spacing w:line="480" w:lineRule="auto"/>
              <w:jc w:val="center"/>
              <w:rPr>
                <w:b/>
                <w:szCs w:val="16"/>
                <w:vertAlign w:val="superscript"/>
                <w:lang w:val="en-US"/>
              </w:rPr>
            </w:pPr>
            <w:r w:rsidRPr="00B33A7D">
              <w:rPr>
                <w:b/>
                <w:szCs w:val="16"/>
                <w:lang w:val="en-US"/>
              </w:rPr>
              <w:t>Work Activity</w:t>
            </w:r>
            <w:r w:rsidR="007675A2" w:rsidRPr="00B33A7D">
              <w:rPr>
                <w:b/>
                <w:szCs w:val="16"/>
                <w:lang w:val="en-US"/>
              </w:rPr>
              <w:t>*</w:t>
            </w:r>
          </w:p>
        </w:tc>
        <w:tc>
          <w:tcPr>
            <w:tcW w:w="964" w:type="dxa"/>
            <w:tcBorders>
              <w:top w:val="single" w:sz="4" w:space="0" w:color="auto"/>
            </w:tcBorders>
            <w:shd w:val="clear" w:color="auto" w:fill="auto"/>
          </w:tcPr>
          <w:p w14:paraId="5C033BBF" w14:textId="77777777" w:rsidR="00E12F04" w:rsidRPr="00B33A7D" w:rsidRDefault="001C4EC3" w:rsidP="006C419A">
            <w:pPr>
              <w:autoSpaceDE w:val="0"/>
              <w:autoSpaceDN w:val="0"/>
              <w:adjustRightInd w:val="0"/>
              <w:spacing w:line="480" w:lineRule="auto"/>
              <w:jc w:val="center"/>
              <w:rPr>
                <w:b/>
                <w:szCs w:val="16"/>
                <w:lang w:val="en-US"/>
              </w:rPr>
            </w:pPr>
            <w:r w:rsidRPr="00B33A7D">
              <w:rPr>
                <w:b/>
                <w:szCs w:val="16"/>
                <w:lang w:val="en-US"/>
              </w:rPr>
              <w:t>Yes</w:t>
            </w:r>
          </w:p>
        </w:tc>
        <w:tc>
          <w:tcPr>
            <w:tcW w:w="1476" w:type="dxa"/>
            <w:tcBorders>
              <w:top w:val="single" w:sz="4" w:space="0" w:color="auto"/>
            </w:tcBorders>
            <w:shd w:val="clear" w:color="auto" w:fill="auto"/>
          </w:tcPr>
          <w:p w14:paraId="031805E7" w14:textId="77777777" w:rsidR="00E12F04" w:rsidRPr="00B33A7D" w:rsidRDefault="00E12F04" w:rsidP="006C419A">
            <w:pPr>
              <w:autoSpaceDE w:val="0"/>
              <w:autoSpaceDN w:val="0"/>
              <w:adjustRightInd w:val="0"/>
              <w:spacing w:line="480" w:lineRule="auto"/>
              <w:jc w:val="center"/>
              <w:rPr>
                <w:szCs w:val="16"/>
                <w:lang w:val="en-US"/>
              </w:rPr>
            </w:pPr>
            <w:r w:rsidRPr="00B33A7D">
              <w:rPr>
                <w:szCs w:val="16"/>
                <w:lang w:val="en-US"/>
              </w:rPr>
              <w:t>35(</w:t>
            </w:r>
            <w:r w:rsidR="007675A2" w:rsidRPr="00B33A7D">
              <w:rPr>
                <w:szCs w:val="16"/>
                <w:lang w:val="en-US"/>
              </w:rPr>
              <w:t>6,15%</w:t>
            </w:r>
            <w:r w:rsidRPr="00B33A7D">
              <w:rPr>
                <w:szCs w:val="16"/>
                <w:lang w:val="en-US"/>
              </w:rPr>
              <w:t>)</w:t>
            </w:r>
          </w:p>
        </w:tc>
        <w:tc>
          <w:tcPr>
            <w:tcW w:w="1476" w:type="dxa"/>
            <w:tcBorders>
              <w:top w:val="single" w:sz="4" w:space="0" w:color="auto"/>
            </w:tcBorders>
            <w:shd w:val="clear" w:color="auto" w:fill="auto"/>
          </w:tcPr>
          <w:p w14:paraId="4BA722FE" w14:textId="77777777" w:rsidR="00E12F04" w:rsidRPr="00B33A7D" w:rsidRDefault="007675A2" w:rsidP="006C419A">
            <w:pPr>
              <w:autoSpaceDE w:val="0"/>
              <w:autoSpaceDN w:val="0"/>
              <w:adjustRightInd w:val="0"/>
              <w:spacing w:line="480" w:lineRule="auto"/>
              <w:jc w:val="center"/>
              <w:rPr>
                <w:szCs w:val="16"/>
                <w:lang w:val="en-US"/>
              </w:rPr>
            </w:pPr>
            <w:r w:rsidRPr="00B33A7D">
              <w:rPr>
                <w:szCs w:val="16"/>
                <w:lang w:val="en-US"/>
              </w:rPr>
              <w:t>130(22,85</w:t>
            </w:r>
            <w:r w:rsidR="00E12F04" w:rsidRPr="00B33A7D">
              <w:rPr>
                <w:szCs w:val="16"/>
                <w:lang w:val="en-US"/>
              </w:rPr>
              <w:t>%)</w:t>
            </w:r>
          </w:p>
        </w:tc>
        <w:tc>
          <w:tcPr>
            <w:tcW w:w="876" w:type="dxa"/>
            <w:tcBorders>
              <w:top w:val="single" w:sz="4" w:space="0" w:color="auto"/>
            </w:tcBorders>
            <w:shd w:val="clear" w:color="auto" w:fill="auto"/>
          </w:tcPr>
          <w:p w14:paraId="65F64D54" w14:textId="77777777" w:rsidR="00E12F04" w:rsidRPr="00B33A7D" w:rsidRDefault="00E12F04" w:rsidP="006C419A">
            <w:pPr>
              <w:spacing w:line="480" w:lineRule="auto"/>
              <w:jc w:val="center"/>
              <w:rPr>
                <w:lang w:val="en-US"/>
              </w:rPr>
            </w:pPr>
            <w:r w:rsidRPr="00B33A7D">
              <w:rPr>
                <w:lang w:val="en-US"/>
              </w:rPr>
              <w:t>165</w:t>
            </w:r>
            <w:r w:rsidR="007675A2" w:rsidRPr="00B33A7D">
              <w:rPr>
                <w:lang w:val="en-US"/>
              </w:rPr>
              <w:t>(29</w:t>
            </w:r>
            <w:r w:rsidR="00D416AD" w:rsidRPr="00B33A7D">
              <w:rPr>
                <w:lang w:val="en-US"/>
              </w:rPr>
              <w:t>,00</w:t>
            </w:r>
            <w:r w:rsidR="007675A2" w:rsidRPr="00B33A7D">
              <w:rPr>
                <w:lang w:val="en-US"/>
              </w:rPr>
              <w:t>%)</w:t>
            </w:r>
          </w:p>
        </w:tc>
      </w:tr>
      <w:tr w:rsidR="00E12F04" w:rsidRPr="00B33A7D" w14:paraId="14133BC0" w14:textId="77777777" w:rsidTr="008259CB">
        <w:trPr>
          <w:trHeight w:val="418"/>
          <w:jc w:val="center"/>
        </w:trPr>
        <w:tc>
          <w:tcPr>
            <w:tcW w:w="4088" w:type="dxa"/>
            <w:vMerge/>
            <w:shd w:val="clear" w:color="auto" w:fill="auto"/>
          </w:tcPr>
          <w:p w14:paraId="1663C97F" w14:textId="77777777" w:rsidR="00E12F04" w:rsidRPr="00B33A7D" w:rsidRDefault="00E12F04" w:rsidP="006C419A">
            <w:pPr>
              <w:autoSpaceDE w:val="0"/>
              <w:autoSpaceDN w:val="0"/>
              <w:adjustRightInd w:val="0"/>
              <w:spacing w:line="480" w:lineRule="auto"/>
              <w:jc w:val="center"/>
              <w:rPr>
                <w:szCs w:val="16"/>
                <w:lang w:val="en-US"/>
              </w:rPr>
            </w:pPr>
          </w:p>
        </w:tc>
        <w:tc>
          <w:tcPr>
            <w:tcW w:w="964" w:type="dxa"/>
            <w:shd w:val="clear" w:color="auto" w:fill="auto"/>
          </w:tcPr>
          <w:p w14:paraId="0D35BD8B" w14:textId="77777777" w:rsidR="00E12F04" w:rsidRPr="00B33A7D" w:rsidRDefault="001C4EC3" w:rsidP="006C419A">
            <w:pPr>
              <w:autoSpaceDE w:val="0"/>
              <w:autoSpaceDN w:val="0"/>
              <w:adjustRightInd w:val="0"/>
              <w:spacing w:line="480" w:lineRule="auto"/>
              <w:jc w:val="center"/>
              <w:rPr>
                <w:b/>
                <w:szCs w:val="16"/>
                <w:lang w:val="en-US"/>
              </w:rPr>
            </w:pPr>
            <w:r w:rsidRPr="00B33A7D">
              <w:rPr>
                <w:b/>
                <w:szCs w:val="16"/>
                <w:lang w:val="en-US"/>
              </w:rPr>
              <w:t>No</w:t>
            </w:r>
          </w:p>
        </w:tc>
        <w:tc>
          <w:tcPr>
            <w:tcW w:w="1476" w:type="dxa"/>
            <w:shd w:val="clear" w:color="auto" w:fill="auto"/>
          </w:tcPr>
          <w:p w14:paraId="61B53E02" w14:textId="77777777" w:rsidR="00E12F04" w:rsidRPr="00B33A7D" w:rsidRDefault="00E12F04" w:rsidP="006C419A">
            <w:pPr>
              <w:spacing w:line="480" w:lineRule="auto"/>
              <w:jc w:val="center"/>
              <w:rPr>
                <w:lang w:val="en-US"/>
              </w:rPr>
            </w:pPr>
            <w:r w:rsidRPr="00B33A7D">
              <w:rPr>
                <w:lang w:val="en-US"/>
              </w:rPr>
              <w:t>106(18</w:t>
            </w:r>
            <w:r w:rsidR="007675A2" w:rsidRPr="00B33A7D">
              <w:rPr>
                <w:lang w:val="en-US"/>
              </w:rPr>
              <w:t>,63</w:t>
            </w:r>
            <w:r w:rsidRPr="00B33A7D">
              <w:rPr>
                <w:lang w:val="en-US"/>
              </w:rPr>
              <w:t>%)</w:t>
            </w:r>
          </w:p>
        </w:tc>
        <w:tc>
          <w:tcPr>
            <w:tcW w:w="1476" w:type="dxa"/>
            <w:shd w:val="clear" w:color="auto" w:fill="auto"/>
          </w:tcPr>
          <w:p w14:paraId="0118BBA1" w14:textId="77777777" w:rsidR="00E12F04" w:rsidRPr="00B33A7D" w:rsidRDefault="00E12F04" w:rsidP="006C419A">
            <w:pPr>
              <w:spacing w:line="480" w:lineRule="auto"/>
              <w:jc w:val="center"/>
              <w:rPr>
                <w:lang w:val="en-US"/>
              </w:rPr>
            </w:pPr>
            <w:r w:rsidRPr="00B33A7D">
              <w:rPr>
                <w:lang w:val="en-US"/>
              </w:rPr>
              <w:t>298(</w:t>
            </w:r>
            <w:r w:rsidR="007675A2" w:rsidRPr="00B33A7D">
              <w:rPr>
                <w:lang w:val="en-US"/>
              </w:rPr>
              <w:t>52,37</w:t>
            </w:r>
            <w:r w:rsidRPr="00B33A7D">
              <w:rPr>
                <w:lang w:val="en-US"/>
              </w:rPr>
              <w:t>%)</w:t>
            </w:r>
          </w:p>
        </w:tc>
        <w:tc>
          <w:tcPr>
            <w:tcW w:w="876" w:type="dxa"/>
            <w:shd w:val="clear" w:color="auto" w:fill="auto"/>
          </w:tcPr>
          <w:p w14:paraId="2CE2CE5B" w14:textId="77777777" w:rsidR="00E12F04" w:rsidRPr="00B33A7D" w:rsidRDefault="00E12F04" w:rsidP="006C419A">
            <w:pPr>
              <w:autoSpaceDE w:val="0"/>
              <w:autoSpaceDN w:val="0"/>
              <w:adjustRightInd w:val="0"/>
              <w:spacing w:line="480" w:lineRule="auto"/>
              <w:jc w:val="center"/>
              <w:rPr>
                <w:szCs w:val="16"/>
                <w:lang w:val="en-US"/>
              </w:rPr>
            </w:pPr>
            <w:r w:rsidRPr="00B33A7D">
              <w:rPr>
                <w:szCs w:val="16"/>
                <w:lang w:val="en-US"/>
              </w:rPr>
              <w:t>404</w:t>
            </w:r>
            <w:r w:rsidR="007675A2" w:rsidRPr="00B33A7D">
              <w:rPr>
                <w:szCs w:val="16"/>
                <w:lang w:val="en-US"/>
              </w:rPr>
              <w:t>(71</w:t>
            </w:r>
            <w:r w:rsidR="00D416AD" w:rsidRPr="00B33A7D">
              <w:rPr>
                <w:szCs w:val="16"/>
                <w:lang w:val="en-US"/>
              </w:rPr>
              <w:t>,00</w:t>
            </w:r>
            <w:r w:rsidR="007675A2" w:rsidRPr="00B33A7D">
              <w:rPr>
                <w:szCs w:val="16"/>
                <w:lang w:val="en-US"/>
              </w:rPr>
              <w:t>%)</w:t>
            </w:r>
          </w:p>
        </w:tc>
      </w:tr>
      <w:tr w:rsidR="00E12F04" w:rsidRPr="00B33A7D" w14:paraId="462E0704" w14:textId="77777777" w:rsidTr="001C4EC3">
        <w:trPr>
          <w:trHeight w:val="329"/>
          <w:jc w:val="center"/>
        </w:trPr>
        <w:tc>
          <w:tcPr>
            <w:tcW w:w="4088" w:type="dxa"/>
            <w:vMerge/>
            <w:tcBorders>
              <w:bottom w:val="single" w:sz="4" w:space="0" w:color="auto"/>
            </w:tcBorders>
            <w:shd w:val="clear" w:color="auto" w:fill="auto"/>
          </w:tcPr>
          <w:p w14:paraId="40E7E6B1" w14:textId="77777777" w:rsidR="00E12F04" w:rsidRPr="00B33A7D" w:rsidRDefault="00E12F04" w:rsidP="006C419A">
            <w:pPr>
              <w:autoSpaceDE w:val="0"/>
              <w:autoSpaceDN w:val="0"/>
              <w:adjustRightInd w:val="0"/>
              <w:spacing w:line="480" w:lineRule="auto"/>
              <w:jc w:val="center"/>
              <w:rPr>
                <w:szCs w:val="16"/>
                <w:lang w:val="en-US"/>
              </w:rPr>
            </w:pPr>
          </w:p>
        </w:tc>
        <w:tc>
          <w:tcPr>
            <w:tcW w:w="964" w:type="dxa"/>
            <w:tcBorders>
              <w:bottom w:val="single" w:sz="4" w:space="0" w:color="auto"/>
            </w:tcBorders>
            <w:shd w:val="clear" w:color="auto" w:fill="auto"/>
          </w:tcPr>
          <w:p w14:paraId="1B89DD65" w14:textId="77777777" w:rsidR="00E12F04" w:rsidRPr="00B33A7D" w:rsidRDefault="00E12F04" w:rsidP="006C419A">
            <w:pPr>
              <w:autoSpaceDE w:val="0"/>
              <w:autoSpaceDN w:val="0"/>
              <w:adjustRightInd w:val="0"/>
              <w:spacing w:line="480" w:lineRule="auto"/>
              <w:jc w:val="center"/>
              <w:rPr>
                <w:b/>
                <w:szCs w:val="16"/>
                <w:lang w:val="en-US"/>
              </w:rPr>
            </w:pPr>
            <w:r w:rsidRPr="00B33A7D">
              <w:rPr>
                <w:b/>
                <w:szCs w:val="16"/>
                <w:lang w:val="en-US"/>
              </w:rPr>
              <w:t>Total</w:t>
            </w:r>
          </w:p>
        </w:tc>
        <w:tc>
          <w:tcPr>
            <w:tcW w:w="1476" w:type="dxa"/>
            <w:tcBorders>
              <w:bottom w:val="single" w:sz="4" w:space="0" w:color="auto"/>
            </w:tcBorders>
            <w:shd w:val="clear" w:color="auto" w:fill="auto"/>
          </w:tcPr>
          <w:p w14:paraId="12FF399F" w14:textId="77777777" w:rsidR="00E12F04" w:rsidRPr="00B33A7D" w:rsidRDefault="007675A2" w:rsidP="006C419A">
            <w:pPr>
              <w:autoSpaceDE w:val="0"/>
              <w:autoSpaceDN w:val="0"/>
              <w:adjustRightInd w:val="0"/>
              <w:spacing w:line="480" w:lineRule="auto"/>
              <w:jc w:val="center"/>
              <w:rPr>
                <w:szCs w:val="16"/>
                <w:lang w:val="en-US"/>
              </w:rPr>
            </w:pPr>
            <w:r w:rsidRPr="00B33A7D">
              <w:rPr>
                <w:szCs w:val="16"/>
                <w:lang w:val="en-US"/>
              </w:rPr>
              <w:t>141(24,78</w:t>
            </w:r>
            <w:r w:rsidR="00E12F04" w:rsidRPr="00B33A7D">
              <w:rPr>
                <w:szCs w:val="16"/>
                <w:lang w:val="en-US"/>
              </w:rPr>
              <w:t>%)</w:t>
            </w:r>
          </w:p>
        </w:tc>
        <w:tc>
          <w:tcPr>
            <w:tcW w:w="1476" w:type="dxa"/>
            <w:tcBorders>
              <w:bottom w:val="single" w:sz="4" w:space="0" w:color="auto"/>
            </w:tcBorders>
            <w:shd w:val="clear" w:color="auto" w:fill="auto"/>
          </w:tcPr>
          <w:p w14:paraId="645238A4" w14:textId="77777777" w:rsidR="00E12F04" w:rsidRPr="00B33A7D" w:rsidRDefault="007675A2" w:rsidP="006C419A">
            <w:pPr>
              <w:autoSpaceDE w:val="0"/>
              <w:autoSpaceDN w:val="0"/>
              <w:adjustRightInd w:val="0"/>
              <w:spacing w:line="480" w:lineRule="auto"/>
              <w:jc w:val="center"/>
              <w:rPr>
                <w:szCs w:val="16"/>
                <w:lang w:val="en-US"/>
              </w:rPr>
            </w:pPr>
            <w:r w:rsidRPr="00B33A7D">
              <w:rPr>
                <w:szCs w:val="16"/>
                <w:lang w:val="en-US"/>
              </w:rPr>
              <w:t>428(75,22</w:t>
            </w:r>
            <w:r w:rsidR="00E12F04" w:rsidRPr="00B33A7D">
              <w:rPr>
                <w:szCs w:val="16"/>
                <w:lang w:val="en-US"/>
              </w:rPr>
              <w:t>%)</w:t>
            </w:r>
          </w:p>
        </w:tc>
        <w:tc>
          <w:tcPr>
            <w:tcW w:w="876" w:type="dxa"/>
            <w:shd w:val="clear" w:color="auto" w:fill="auto"/>
          </w:tcPr>
          <w:p w14:paraId="4153C80A" w14:textId="77777777" w:rsidR="00E12F04" w:rsidRPr="00B33A7D" w:rsidRDefault="00E12F04" w:rsidP="006C419A">
            <w:pPr>
              <w:autoSpaceDE w:val="0"/>
              <w:autoSpaceDN w:val="0"/>
              <w:adjustRightInd w:val="0"/>
              <w:spacing w:line="480" w:lineRule="auto"/>
              <w:jc w:val="center"/>
              <w:rPr>
                <w:szCs w:val="16"/>
                <w:lang w:val="en-US"/>
              </w:rPr>
            </w:pPr>
            <w:r w:rsidRPr="00B33A7D">
              <w:rPr>
                <w:szCs w:val="16"/>
                <w:lang w:val="en-US"/>
              </w:rPr>
              <w:t>569</w:t>
            </w:r>
            <w:r w:rsidR="007675A2" w:rsidRPr="00B33A7D">
              <w:rPr>
                <w:szCs w:val="16"/>
                <w:lang w:val="en-US"/>
              </w:rPr>
              <w:t>(100%)</w:t>
            </w:r>
          </w:p>
        </w:tc>
      </w:tr>
      <w:tr w:rsidR="00E12F04" w:rsidRPr="00B33A7D" w14:paraId="341BEF24" w14:textId="77777777" w:rsidTr="001C4EC3">
        <w:trPr>
          <w:trHeight w:val="275"/>
          <w:jc w:val="center"/>
        </w:trPr>
        <w:tc>
          <w:tcPr>
            <w:tcW w:w="4088" w:type="dxa"/>
            <w:tcBorders>
              <w:top w:val="single" w:sz="4" w:space="0" w:color="auto"/>
              <w:bottom w:val="single" w:sz="4" w:space="0" w:color="auto"/>
            </w:tcBorders>
            <w:shd w:val="clear" w:color="auto" w:fill="auto"/>
          </w:tcPr>
          <w:p w14:paraId="6ED0070E" w14:textId="77777777" w:rsidR="00E12F04" w:rsidRPr="00B33A7D" w:rsidRDefault="001C4EC3" w:rsidP="006C419A">
            <w:pPr>
              <w:autoSpaceDE w:val="0"/>
              <w:autoSpaceDN w:val="0"/>
              <w:adjustRightInd w:val="0"/>
              <w:spacing w:line="480" w:lineRule="auto"/>
              <w:jc w:val="center"/>
              <w:rPr>
                <w:szCs w:val="16"/>
                <w:lang w:val="en-US"/>
              </w:rPr>
            </w:pPr>
            <w:r w:rsidRPr="00B33A7D">
              <w:rPr>
                <w:szCs w:val="16"/>
                <w:lang w:val="en-US"/>
              </w:rPr>
              <w:t xml:space="preserve">P value </w:t>
            </w:r>
            <w:r w:rsidR="00E12F04" w:rsidRPr="00B33A7D">
              <w:rPr>
                <w:szCs w:val="16"/>
                <w:lang w:val="en-US"/>
              </w:rPr>
              <w:t>**</w:t>
            </w:r>
          </w:p>
        </w:tc>
        <w:tc>
          <w:tcPr>
            <w:tcW w:w="964" w:type="dxa"/>
            <w:tcBorders>
              <w:top w:val="single" w:sz="4" w:space="0" w:color="auto"/>
              <w:bottom w:val="single" w:sz="4" w:space="0" w:color="auto"/>
            </w:tcBorders>
            <w:shd w:val="clear" w:color="auto" w:fill="auto"/>
          </w:tcPr>
          <w:p w14:paraId="3DABA5CA" w14:textId="77777777" w:rsidR="00E12F04" w:rsidRPr="00B33A7D" w:rsidRDefault="00E12F04" w:rsidP="006C419A">
            <w:pPr>
              <w:autoSpaceDE w:val="0"/>
              <w:autoSpaceDN w:val="0"/>
              <w:adjustRightInd w:val="0"/>
              <w:spacing w:line="480" w:lineRule="auto"/>
              <w:jc w:val="center"/>
              <w:rPr>
                <w:szCs w:val="16"/>
                <w:lang w:val="en-US"/>
              </w:rPr>
            </w:pPr>
          </w:p>
        </w:tc>
        <w:tc>
          <w:tcPr>
            <w:tcW w:w="2952" w:type="dxa"/>
            <w:gridSpan w:val="2"/>
            <w:tcBorders>
              <w:top w:val="single" w:sz="4" w:space="0" w:color="auto"/>
              <w:bottom w:val="single" w:sz="4" w:space="0" w:color="auto"/>
            </w:tcBorders>
            <w:shd w:val="clear" w:color="auto" w:fill="auto"/>
          </w:tcPr>
          <w:p w14:paraId="7D03FA0A" w14:textId="77777777" w:rsidR="00E12F04" w:rsidRPr="00B33A7D" w:rsidRDefault="00E12F04" w:rsidP="006C419A">
            <w:pPr>
              <w:autoSpaceDE w:val="0"/>
              <w:autoSpaceDN w:val="0"/>
              <w:adjustRightInd w:val="0"/>
              <w:spacing w:line="480" w:lineRule="auto"/>
              <w:jc w:val="center"/>
              <w:rPr>
                <w:szCs w:val="16"/>
                <w:lang w:val="en-US"/>
              </w:rPr>
            </w:pPr>
            <w:r w:rsidRPr="00B33A7D">
              <w:rPr>
                <w:b/>
                <w:szCs w:val="16"/>
                <w:lang w:val="en-US"/>
              </w:rPr>
              <w:t>0,039</w:t>
            </w:r>
          </w:p>
        </w:tc>
        <w:tc>
          <w:tcPr>
            <w:tcW w:w="876" w:type="dxa"/>
            <w:tcBorders>
              <w:top w:val="single" w:sz="4" w:space="0" w:color="auto"/>
            </w:tcBorders>
            <w:shd w:val="clear" w:color="auto" w:fill="auto"/>
          </w:tcPr>
          <w:p w14:paraId="1C9C52A9" w14:textId="77777777" w:rsidR="00E12F04" w:rsidRPr="00B33A7D" w:rsidRDefault="00E12F04" w:rsidP="006C419A">
            <w:pPr>
              <w:autoSpaceDE w:val="0"/>
              <w:autoSpaceDN w:val="0"/>
              <w:adjustRightInd w:val="0"/>
              <w:spacing w:line="480" w:lineRule="auto"/>
              <w:jc w:val="center"/>
              <w:rPr>
                <w:b/>
                <w:szCs w:val="16"/>
                <w:lang w:val="en-US"/>
              </w:rPr>
            </w:pPr>
          </w:p>
        </w:tc>
      </w:tr>
      <w:tr w:rsidR="00E12F04" w:rsidRPr="00B33A7D" w14:paraId="5291A8A3" w14:textId="77777777" w:rsidTr="001C4EC3">
        <w:trPr>
          <w:trHeight w:val="403"/>
          <w:jc w:val="center"/>
        </w:trPr>
        <w:tc>
          <w:tcPr>
            <w:tcW w:w="4088" w:type="dxa"/>
            <w:vMerge w:val="restart"/>
            <w:tcBorders>
              <w:top w:val="single" w:sz="4" w:space="0" w:color="auto"/>
            </w:tcBorders>
            <w:shd w:val="clear" w:color="auto" w:fill="auto"/>
          </w:tcPr>
          <w:p w14:paraId="2EB21870" w14:textId="77777777" w:rsidR="00E12F04" w:rsidRPr="00B33A7D" w:rsidRDefault="001C4EC3" w:rsidP="006C419A">
            <w:pPr>
              <w:autoSpaceDE w:val="0"/>
              <w:autoSpaceDN w:val="0"/>
              <w:adjustRightInd w:val="0"/>
              <w:spacing w:line="480" w:lineRule="auto"/>
              <w:jc w:val="center"/>
              <w:rPr>
                <w:b/>
                <w:szCs w:val="16"/>
                <w:lang w:val="en-US"/>
              </w:rPr>
            </w:pPr>
            <w:r w:rsidRPr="00B33A7D">
              <w:rPr>
                <w:b/>
                <w:szCs w:val="16"/>
                <w:lang w:val="en-US"/>
              </w:rPr>
              <w:t xml:space="preserve">Interest of dropping the course </w:t>
            </w:r>
            <w:r w:rsidR="00E12F04" w:rsidRPr="00B33A7D">
              <w:rPr>
                <w:b/>
                <w:szCs w:val="16"/>
                <w:lang w:val="en-US"/>
              </w:rPr>
              <w:t>*</w:t>
            </w:r>
          </w:p>
        </w:tc>
        <w:tc>
          <w:tcPr>
            <w:tcW w:w="964" w:type="dxa"/>
            <w:tcBorders>
              <w:top w:val="single" w:sz="4" w:space="0" w:color="auto"/>
            </w:tcBorders>
            <w:shd w:val="clear" w:color="auto" w:fill="auto"/>
          </w:tcPr>
          <w:p w14:paraId="01604ACC" w14:textId="77777777" w:rsidR="00E12F04" w:rsidRPr="00B33A7D" w:rsidRDefault="001C4EC3" w:rsidP="006C419A">
            <w:pPr>
              <w:autoSpaceDE w:val="0"/>
              <w:autoSpaceDN w:val="0"/>
              <w:adjustRightInd w:val="0"/>
              <w:spacing w:line="480" w:lineRule="auto"/>
              <w:jc w:val="center"/>
              <w:rPr>
                <w:b/>
                <w:szCs w:val="16"/>
                <w:lang w:val="en-US"/>
              </w:rPr>
            </w:pPr>
            <w:r w:rsidRPr="00B33A7D">
              <w:rPr>
                <w:b/>
                <w:szCs w:val="16"/>
                <w:lang w:val="en-US"/>
              </w:rPr>
              <w:t>Yes</w:t>
            </w:r>
          </w:p>
        </w:tc>
        <w:tc>
          <w:tcPr>
            <w:tcW w:w="1476" w:type="dxa"/>
            <w:tcBorders>
              <w:top w:val="single" w:sz="4" w:space="0" w:color="auto"/>
            </w:tcBorders>
            <w:shd w:val="clear" w:color="auto" w:fill="auto"/>
          </w:tcPr>
          <w:p w14:paraId="662219DF" w14:textId="77777777" w:rsidR="00E12F04" w:rsidRPr="00B33A7D" w:rsidRDefault="007675A2" w:rsidP="006C419A">
            <w:pPr>
              <w:autoSpaceDE w:val="0"/>
              <w:autoSpaceDN w:val="0"/>
              <w:adjustRightInd w:val="0"/>
              <w:spacing w:line="480" w:lineRule="auto"/>
              <w:jc w:val="center"/>
              <w:rPr>
                <w:szCs w:val="16"/>
                <w:lang w:val="en-US"/>
              </w:rPr>
            </w:pPr>
            <w:r w:rsidRPr="00B33A7D">
              <w:rPr>
                <w:szCs w:val="16"/>
                <w:lang w:val="en-US"/>
              </w:rPr>
              <w:t>52(9,14</w:t>
            </w:r>
            <w:r w:rsidR="00E12F04" w:rsidRPr="00B33A7D">
              <w:rPr>
                <w:szCs w:val="16"/>
                <w:lang w:val="en-US"/>
              </w:rPr>
              <w:t>%)</w:t>
            </w:r>
          </w:p>
        </w:tc>
        <w:tc>
          <w:tcPr>
            <w:tcW w:w="1476" w:type="dxa"/>
            <w:tcBorders>
              <w:top w:val="single" w:sz="4" w:space="0" w:color="auto"/>
            </w:tcBorders>
            <w:shd w:val="clear" w:color="auto" w:fill="auto"/>
          </w:tcPr>
          <w:p w14:paraId="45476ED5" w14:textId="77777777" w:rsidR="00E12F04" w:rsidRPr="00B33A7D" w:rsidRDefault="007675A2" w:rsidP="006C419A">
            <w:pPr>
              <w:autoSpaceDE w:val="0"/>
              <w:autoSpaceDN w:val="0"/>
              <w:adjustRightInd w:val="0"/>
              <w:spacing w:line="480" w:lineRule="auto"/>
              <w:jc w:val="center"/>
              <w:rPr>
                <w:szCs w:val="16"/>
                <w:lang w:val="en-US"/>
              </w:rPr>
            </w:pPr>
            <w:r w:rsidRPr="00B33A7D">
              <w:rPr>
                <w:szCs w:val="16"/>
                <w:lang w:val="en-US"/>
              </w:rPr>
              <w:t>129(22,67</w:t>
            </w:r>
            <w:r w:rsidR="00E12F04" w:rsidRPr="00B33A7D">
              <w:rPr>
                <w:szCs w:val="16"/>
                <w:lang w:val="en-US"/>
              </w:rPr>
              <w:t>%)</w:t>
            </w:r>
          </w:p>
        </w:tc>
        <w:tc>
          <w:tcPr>
            <w:tcW w:w="876" w:type="dxa"/>
            <w:shd w:val="clear" w:color="auto" w:fill="auto"/>
          </w:tcPr>
          <w:p w14:paraId="6073B91E" w14:textId="77777777" w:rsidR="00E12F04" w:rsidRPr="00B33A7D" w:rsidRDefault="00E12F04" w:rsidP="006C419A">
            <w:pPr>
              <w:autoSpaceDE w:val="0"/>
              <w:autoSpaceDN w:val="0"/>
              <w:adjustRightInd w:val="0"/>
              <w:spacing w:line="480" w:lineRule="auto"/>
              <w:jc w:val="center"/>
              <w:rPr>
                <w:szCs w:val="16"/>
                <w:lang w:val="en-US"/>
              </w:rPr>
            </w:pPr>
            <w:r w:rsidRPr="00B33A7D">
              <w:rPr>
                <w:szCs w:val="16"/>
                <w:lang w:val="en-US"/>
              </w:rPr>
              <w:t>181</w:t>
            </w:r>
            <w:r w:rsidR="007675A2" w:rsidRPr="00B33A7D">
              <w:rPr>
                <w:szCs w:val="16"/>
                <w:lang w:val="en-US"/>
              </w:rPr>
              <w:t>(31,81%)</w:t>
            </w:r>
          </w:p>
        </w:tc>
      </w:tr>
      <w:tr w:rsidR="00E12F04" w:rsidRPr="00B33A7D" w14:paraId="5883A6E5" w14:textId="77777777" w:rsidTr="008259CB">
        <w:trPr>
          <w:trHeight w:val="460"/>
          <w:jc w:val="center"/>
        </w:trPr>
        <w:tc>
          <w:tcPr>
            <w:tcW w:w="4088" w:type="dxa"/>
            <w:vMerge/>
            <w:shd w:val="clear" w:color="auto" w:fill="auto"/>
          </w:tcPr>
          <w:p w14:paraId="38FF4EE8" w14:textId="77777777" w:rsidR="00E12F04" w:rsidRPr="00B33A7D" w:rsidRDefault="00E12F04" w:rsidP="006C419A">
            <w:pPr>
              <w:autoSpaceDE w:val="0"/>
              <w:autoSpaceDN w:val="0"/>
              <w:adjustRightInd w:val="0"/>
              <w:spacing w:line="480" w:lineRule="auto"/>
              <w:jc w:val="center"/>
              <w:rPr>
                <w:b/>
                <w:szCs w:val="16"/>
                <w:lang w:val="en-US"/>
              </w:rPr>
            </w:pPr>
          </w:p>
        </w:tc>
        <w:tc>
          <w:tcPr>
            <w:tcW w:w="964" w:type="dxa"/>
            <w:shd w:val="clear" w:color="auto" w:fill="auto"/>
          </w:tcPr>
          <w:p w14:paraId="3582DE04" w14:textId="77777777" w:rsidR="00E12F04" w:rsidRPr="00B33A7D" w:rsidRDefault="001C4EC3" w:rsidP="006C419A">
            <w:pPr>
              <w:autoSpaceDE w:val="0"/>
              <w:autoSpaceDN w:val="0"/>
              <w:adjustRightInd w:val="0"/>
              <w:spacing w:line="480" w:lineRule="auto"/>
              <w:jc w:val="center"/>
              <w:rPr>
                <w:b/>
                <w:szCs w:val="16"/>
                <w:lang w:val="en-US"/>
              </w:rPr>
            </w:pPr>
            <w:r w:rsidRPr="00B33A7D">
              <w:rPr>
                <w:b/>
                <w:szCs w:val="16"/>
                <w:lang w:val="en-US"/>
              </w:rPr>
              <w:t>No</w:t>
            </w:r>
          </w:p>
        </w:tc>
        <w:tc>
          <w:tcPr>
            <w:tcW w:w="1476" w:type="dxa"/>
            <w:shd w:val="clear" w:color="auto" w:fill="auto"/>
          </w:tcPr>
          <w:p w14:paraId="788C2115" w14:textId="77777777" w:rsidR="00E12F04" w:rsidRPr="00B33A7D" w:rsidRDefault="007675A2" w:rsidP="006C419A">
            <w:pPr>
              <w:autoSpaceDE w:val="0"/>
              <w:autoSpaceDN w:val="0"/>
              <w:adjustRightInd w:val="0"/>
              <w:spacing w:line="480" w:lineRule="auto"/>
              <w:jc w:val="center"/>
              <w:rPr>
                <w:szCs w:val="16"/>
                <w:lang w:val="en-US"/>
              </w:rPr>
            </w:pPr>
            <w:r w:rsidRPr="00B33A7D">
              <w:rPr>
                <w:szCs w:val="16"/>
                <w:lang w:val="en-US"/>
              </w:rPr>
              <w:t>89(15,64</w:t>
            </w:r>
            <w:r w:rsidR="00E12F04" w:rsidRPr="00B33A7D">
              <w:rPr>
                <w:szCs w:val="16"/>
                <w:lang w:val="en-US"/>
              </w:rPr>
              <w:t>%)</w:t>
            </w:r>
          </w:p>
        </w:tc>
        <w:tc>
          <w:tcPr>
            <w:tcW w:w="1476" w:type="dxa"/>
            <w:shd w:val="clear" w:color="auto" w:fill="auto"/>
          </w:tcPr>
          <w:p w14:paraId="32DE1678" w14:textId="77777777" w:rsidR="00E12F04" w:rsidRPr="00B33A7D" w:rsidRDefault="00E12F04" w:rsidP="006C419A">
            <w:pPr>
              <w:autoSpaceDE w:val="0"/>
              <w:autoSpaceDN w:val="0"/>
              <w:adjustRightInd w:val="0"/>
              <w:spacing w:line="480" w:lineRule="auto"/>
              <w:jc w:val="center"/>
              <w:rPr>
                <w:szCs w:val="16"/>
                <w:lang w:val="en-US"/>
              </w:rPr>
            </w:pPr>
            <w:r w:rsidRPr="00B33A7D">
              <w:rPr>
                <w:szCs w:val="16"/>
                <w:lang w:val="en-US"/>
              </w:rPr>
              <w:t>299(</w:t>
            </w:r>
            <w:r w:rsidR="007675A2" w:rsidRPr="00B33A7D">
              <w:rPr>
                <w:szCs w:val="16"/>
                <w:lang w:val="en-US"/>
              </w:rPr>
              <w:t>52,55</w:t>
            </w:r>
            <w:r w:rsidRPr="00B33A7D">
              <w:rPr>
                <w:szCs w:val="16"/>
                <w:lang w:val="en-US"/>
              </w:rPr>
              <w:t>%)</w:t>
            </w:r>
          </w:p>
        </w:tc>
        <w:tc>
          <w:tcPr>
            <w:tcW w:w="876" w:type="dxa"/>
            <w:shd w:val="clear" w:color="auto" w:fill="auto"/>
          </w:tcPr>
          <w:p w14:paraId="0D10CC8B" w14:textId="77777777" w:rsidR="00E12F04" w:rsidRPr="00B33A7D" w:rsidRDefault="00E12F04" w:rsidP="006C419A">
            <w:pPr>
              <w:autoSpaceDE w:val="0"/>
              <w:autoSpaceDN w:val="0"/>
              <w:adjustRightInd w:val="0"/>
              <w:spacing w:line="480" w:lineRule="auto"/>
              <w:jc w:val="center"/>
              <w:rPr>
                <w:szCs w:val="16"/>
                <w:lang w:val="en-US"/>
              </w:rPr>
            </w:pPr>
            <w:r w:rsidRPr="00B33A7D">
              <w:rPr>
                <w:szCs w:val="16"/>
                <w:lang w:val="en-US"/>
              </w:rPr>
              <w:t>38</w:t>
            </w:r>
            <w:r w:rsidR="007675A2" w:rsidRPr="00B33A7D">
              <w:rPr>
                <w:szCs w:val="16"/>
                <w:lang w:val="en-US"/>
              </w:rPr>
              <w:t>8(68,19%)</w:t>
            </w:r>
          </w:p>
        </w:tc>
      </w:tr>
      <w:tr w:rsidR="00E12F04" w:rsidRPr="00B33A7D" w14:paraId="226EA197" w14:textId="77777777" w:rsidTr="001C4EC3">
        <w:trPr>
          <w:trHeight w:val="404"/>
          <w:jc w:val="center"/>
        </w:trPr>
        <w:tc>
          <w:tcPr>
            <w:tcW w:w="4088" w:type="dxa"/>
            <w:vMerge/>
            <w:tcBorders>
              <w:bottom w:val="single" w:sz="4" w:space="0" w:color="auto"/>
            </w:tcBorders>
            <w:shd w:val="clear" w:color="auto" w:fill="auto"/>
          </w:tcPr>
          <w:p w14:paraId="4DA67416" w14:textId="77777777" w:rsidR="00E12F04" w:rsidRPr="00B33A7D" w:rsidRDefault="00E12F04" w:rsidP="006C419A">
            <w:pPr>
              <w:autoSpaceDE w:val="0"/>
              <w:autoSpaceDN w:val="0"/>
              <w:adjustRightInd w:val="0"/>
              <w:spacing w:line="480" w:lineRule="auto"/>
              <w:jc w:val="center"/>
              <w:rPr>
                <w:b/>
                <w:szCs w:val="16"/>
                <w:lang w:val="en-US"/>
              </w:rPr>
            </w:pPr>
          </w:p>
        </w:tc>
        <w:tc>
          <w:tcPr>
            <w:tcW w:w="964" w:type="dxa"/>
            <w:tcBorders>
              <w:bottom w:val="single" w:sz="4" w:space="0" w:color="auto"/>
            </w:tcBorders>
            <w:shd w:val="clear" w:color="auto" w:fill="auto"/>
          </w:tcPr>
          <w:p w14:paraId="05C0421E" w14:textId="77777777" w:rsidR="00E12F04" w:rsidRPr="00B33A7D" w:rsidRDefault="00E12F04" w:rsidP="006C419A">
            <w:pPr>
              <w:autoSpaceDE w:val="0"/>
              <w:autoSpaceDN w:val="0"/>
              <w:adjustRightInd w:val="0"/>
              <w:spacing w:line="480" w:lineRule="auto"/>
              <w:jc w:val="center"/>
              <w:rPr>
                <w:b/>
                <w:szCs w:val="16"/>
                <w:lang w:val="en-US"/>
              </w:rPr>
            </w:pPr>
            <w:r w:rsidRPr="00B33A7D">
              <w:rPr>
                <w:b/>
                <w:szCs w:val="16"/>
                <w:lang w:val="en-US"/>
              </w:rPr>
              <w:t>Total</w:t>
            </w:r>
          </w:p>
        </w:tc>
        <w:tc>
          <w:tcPr>
            <w:tcW w:w="1476" w:type="dxa"/>
            <w:tcBorders>
              <w:bottom w:val="single" w:sz="4" w:space="0" w:color="auto"/>
            </w:tcBorders>
            <w:shd w:val="clear" w:color="auto" w:fill="auto"/>
          </w:tcPr>
          <w:p w14:paraId="3BB52F5F" w14:textId="77777777" w:rsidR="00E12F04" w:rsidRPr="00B33A7D" w:rsidRDefault="007675A2" w:rsidP="006C419A">
            <w:pPr>
              <w:autoSpaceDE w:val="0"/>
              <w:autoSpaceDN w:val="0"/>
              <w:adjustRightInd w:val="0"/>
              <w:spacing w:line="480" w:lineRule="auto"/>
              <w:jc w:val="center"/>
              <w:rPr>
                <w:szCs w:val="16"/>
                <w:lang w:val="en-US"/>
              </w:rPr>
            </w:pPr>
            <w:r w:rsidRPr="00B33A7D">
              <w:rPr>
                <w:szCs w:val="16"/>
                <w:lang w:val="en-US"/>
              </w:rPr>
              <w:t>141(24,78</w:t>
            </w:r>
            <w:r w:rsidR="00E12F04" w:rsidRPr="00B33A7D">
              <w:rPr>
                <w:szCs w:val="16"/>
                <w:lang w:val="en-US"/>
              </w:rPr>
              <w:t>%)</w:t>
            </w:r>
          </w:p>
        </w:tc>
        <w:tc>
          <w:tcPr>
            <w:tcW w:w="1476" w:type="dxa"/>
            <w:tcBorders>
              <w:bottom w:val="single" w:sz="4" w:space="0" w:color="auto"/>
            </w:tcBorders>
            <w:shd w:val="clear" w:color="auto" w:fill="auto"/>
          </w:tcPr>
          <w:p w14:paraId="30E72B60" w14:textId="77777777" w:rsidR="00E12F04" w:rsidRPr="00B33A7D" w:rsidRDefault="00E12F04" w:rsidP="006C419A">
            <w:pPr>
              <w:autoSpaceDE w:val="0"/>
              <w:autoSpaceDN w:val="0"/>
              <w:adjustRightInd w:val="0"/>
              <w:spacing w:line="480" w:lineRule="auto"/>
              <w:jc w:val="center"/>
              <w:rPr>
                <w:szCs w:val="16"/>
                <w:lang w:val="en-US"/>
              </w:rPr>
            </w:pPr>
            <w:r w:rsidRPr="00B33A7D">
              <w:rPr>
                <w:szCs w:val="16"/>
                <w:lang w:val="en-US"/>
              </w:rPr>
              <w:t>428(</w:t>
            </w:r>
            <w:r w:rsidR="007675A2" w:rsidRPr="00B33A7D">
              <w:rPr>
                <w:szCs w:val="16"/>
                <w:lang w:val="en-US"/>
              </w:rPr>
              <w:t>75,22</w:t>
            </w:r>
            <w:r w:rsidRPr="00B33A7D">
              <w:rPr>
                <w:szCs w:val="16"/>
                <w:lang w:val="en-US"/>
              </w:rPr>
              <w:t>%)</w:t>
            </w:r>
          </w:p>
        </w:tc>
        <w:tc>
          <w:tcPr>
            <w:tcW w:w="876" w:type="dxa"/>
            <w:tcBorders>
              <w:bottom w:val="single" w:sz="4" w:space="0" w:color="auto"/>
            </w:tcBorders>
            <w:shd w:val="clear" w:color="auto" w:fill="auto"/>
          </w:tcPr>
          <w:p w14:paraId="2F77CFE0" w14:textId="77777777" w:rsidR="00E12F04" w:rsidRPr="00B33A7D" w:rsidRDefault="00E12F04" w:rsidP="006C419A">
            <w:pPr>
              <w:autoSpaceDE w:val="0"/>
              <w:autoSpaceDN w:val="0"/>
              <w:adjustRightInd w:val="0"/>
              <w:spacing w:line="480" w:lineRule="auto"/>
              <w:jc w:val="center"/>
              <w:rPr>
                <w:szCs w:val="16"/>
                <w:lang w:val="en-US"/>
              </w:rPr>
            </w:pPr>
            <w:r w:rsidRPr="00B33A7D">
              <w:rPr>
                <w:szCs w:val="16"/>
                <w:lang w:val="en-US"/>
              </w:rPr>
              <w:t>569</w:t>
            </w:r>
            <w:r w:rsidR="007675A2" w:rsidRPr="00B33A7D">
              <w:rPr>
                <w:szCs w:val="16"/>
                <w:lang w:val="en-US"/>
              </w:rPr>
              <w:t>(100%)</w:t>
            </w:r>
          </w:p>
        </w:tc>
      </w:tr>
      <w:tr w:rsidR="00E12F04" w:rsidRPr="00B33A7D" w14:paraId="345094B7" w14:textId="77777777" w:rsidTr="001C4EC3">
        <w:trPr>
          <w:trHeight w:val="377"/>
          <w:jc w:val="center"/>
        </w:trPr>
        <w:tc>
          <w:tcPr>
            <w:tcW w:w="4088" w:type="dxa"/>
            <w:tcBorders>
              <w:top w:val="single" w:sz="4" w:space="0" w:color="auto"/>
              <w:bottom w:val="single" w:sz="4" w:space="0" w:color="auto"/>
            </w:tcBorders>
            <w:shd w:val="clear" w:color="auto" w:fill="auto"/>
          </w:tcPr>
          <w:p w14:paraId="0939CFD6" w14:textId="77777777" w:rsidR="00E12F04" w:rsidRPr="00B33A7D" w:rsidRDefault="001C4EC3" w:rsidP="006C419A">
            <w:pPr>
              <w:autoSpaceDE w:val="0"/>
              <w:autoSpaceDN w:val="0"/>
              <w:adjustRightInd w:val="0"/>
              <w:spacing w:line="480" w:lineRule="auto"/>
              <w:jc w:val="center"/>
              <w:rPr>
                <w:b/>
                <w:szCs w:val="16"/>
                <w:lang w:val="en-US"/>
              </w:rPr>
            </w:pPr>
            <w:r w:rsidRPr="00B33A7D">
              <w:rPr>
                <w:szCs w:val="16"/>
                <w:lang w:val="en-US"/>
              </w:rPr>
              <w:t>P value</w:t>
            </w:r>
            <w:r w:rsidR="00E12F04" w:rsidRPr="00B33A7D">
              <w:rPr>
                <w:szCs w:val="16"/>
                <w:lang w:val="en-US"/>
              </w:rPr>
              <w:t>**</w:t>
            </w:r>
          </w:p>
        </w:tc>
        <w:tc>
          <w:tcPr>
            <w:tcW w:w="964" w:type="dxa"/>
            <w:tcBorders>
              <w:top w:val="single" w:sz="4" w:space="0" w:color="auto"/>
              <w:bottom w:val="single" w:sz="4" w:space="0" w:color="auto"/>
            </w:tcBorders>
            <w:shd w:val="clear" w:color="auto" w:fill="auto"/>
          </w:tcPr>
          <w:p w14:paraId="09E6FE24" w14:textId="77777777" w:rsidR="00E12F04" w:rsidRPr="00B33A7D" w:rsidRDefault="00E12F04" w:rsidP="006C419A">
            <w:pPr>
              <w:autoSpaceDE w:val="0"/>
              <w:autoSpaceDN w:val="0"/>
              <w:adjustRightInd w:val="0"/>
              <w:spacing w:line="480" w:lineRule="auto"/>
              <w:jc w:val="center"/>
              <w:rPr>
                <w:szCs w:val="16"/>
                <w:lang w:val="en-US"/>
              </w:rPr>
            </w:pPr>
          </w:p>
        </w:tc>
        <w:tc>
          <w:tcPr>
            <w:tcW w:w="2952" w:type="dxa"/>
            <w:gridSpan w:val="2"/>
            <w:tcBorders>
              <w:top w:val="single" w:sz="4" w:space="0" w:color="auto"/>
              <w:bottom w:val="single" w:sz="4" w:space="0" w:color="auto"/>
            </w:tcBorders>
            <w:shd w:val="clear" w:color="auto" w:fill="auto"/>
          </w:tcPr>
          <w:p w14:paraId="7DB063CC" w14:textId="77777777" w:rsidR="00E12F04" w:rsidRPr="00B33A7D" w:rsidRDefault="00E12F04" w:rsidP="006C419A">
            <w:pPr>
              <w:autoSpaceDE w:val="0"/>
              <w:autoSpaceDN w:val="0"/>
              <w:adjustRightInd w:val="0"/>
              <w:spacing w:line="480" w:lineRule="auto"/>
              <w:jc w:val="center"/>
              <w:rPr>
                <w:szCs w:val="16"/>
                <w:lang w:val="en-US"/>
              </w:rPr>
            </w:pPr>
            <w:r w:rsidRPr="00B33A7D">
              <w:rPr>
                <w:b/>
                <w:szCs w:val="16"/>
                <w:lang w:val="en-US"/>
              </w:rPr>
              <w:t>0,027</w:t>
            </w:r>
          </w:p>
        </w:tc>
        <w:tc>
          <w:tcPr>
            <w:tcW w:w="876" w:type="dxa"/>
            <w:tcBorders>
              <w:top w:val="single" w:sz="4" w:space="0" w:color="auto"/>
              <w:bottom w:val="single" w:sz="4" w:space="0" w:color="auto"/>
            </w:tcBorders>
            <w:shd w:val="clear" w:color="auto" w:fill="auto"/>
          </w:tcPr>
          <w:p w14:paraId="72F17634" w14:textId="77777777" w:rsidR="00E12F04" w:rsidRPr="00B33A7D" w:rsidRDefault="00E12F04" w:rsidP="006C419A">
            <w:pPr>
              <w:autoSpaceDE w:val="0"/>
              <w:autoSpaceDN w:val="0"/>
              <w:adjustRightInd w:val="0"/>
              <w:spacing w:line="480" w:lineRule="auto"/>
              <w:jc w:val="center"/>
              <w:rPr>
                <w:b/>
                <w:szCs w:val="16"/>
                <w:lang w:val="en-US"/>
              </w:rPr>
            </w:pPr>
          </w:p>
        </w:tc>
      </w:tr>
    </w:tbl>
    <w:p w14:paraId="1265F2A5" w14:textId="77777777" w:rsidR="00083107" w:rsidRPr="00B33A7D" w:rsidRDefault="00083107" w:rsidP="006C419A">
      <w:pPr>
        <w:autoSpaceDE w:val="0"/>
        <w:autoSpaceDN w:val="0"/>
        <w:adjustRightInd w:val="0"/>
        <w:spacing w:line="480" w:lineRule="auto"/>
        <w:rPr>
          <w:szCs w:val="16"/>
          <w:lang w:val="en-US"/>
        </w:rPr>
      </w:pPr>
      <w:r w:rsidRPr="00B33A7D">
        <w:rPr>
          <w:szCs w:val="16"/>
          <w:lang w:val="en-US"/>
        </w:rPr>
        <w:t>*</w:t>
      </w:r>
      <w:r w:rsidR="001C4EC3" w:rsidRPr="00B33A7D">
        <w:rPr>
          <w:szCs w:val="16"/>
          <w:lang w:val="en-US"/>
        </w:rPr>
        <w:t xml:space="preserve">One student did not </w:t>
      </w:r>
      <w:proofErr w:type="gramStart"/>
      <w:r w:rsidR="001C4EC3" w:rsidRPr="00B33A7D">
        <w:rPr>
          <w:szCs w:val="16"/>
          <w:lang w:val="en-US"/>
        </w:rPr>
        <w:t>answered</w:t>
      </w:r>
      <w:proofErr w:type="gramEnd"/>
      <w:r w:rsidR="001C4EC3" w:rsidRPr="00B33A7D">
        <w:rPr>
          <w:szCs w:val="16"/>
          <w:lang w:val="en-US"/>
        </w:rPr>
        <w:t xml:space="preserve"> the item</w:t>
      </w:r>
      <w:r w:rsidR="008803E4" w:rsidRPr="00B33A7D">
        <w:rPr>
          <w:szCs w:val="16"/>
          <w:lang w:val="en-US"/>
        </w:rPr>
        <w:t>.</w:t>
      </w:r>
    </w:p>
    <w:p w14:paraId="6C1A6653" w14:textId="77777777" w:rsidR="00A33074" w:rsidRPr="00B33A7D" w:rsidRDefault="00A33074" w:rsidP="006C419A">
      <w:pPr>
        <w:autoSpaceDE w:val="0"/>
        <w:autoSpaceDN w:val="0"/>
        <w:adjustRightInd w:val="0"/>
        <w:spacing w:line="480" w:lineRule="auto"/>
        <w:rPr>
          <w:szCs w:val="16"/>
          <w:lang w:val="en-US"/>
        </w:rPr>
      </w:pPr>
      <w:r w:rsidRPr="00B33A7D">
        <w:rPr>
          <w:szCs w:val="16"/>
          <w:lang w:val="en-US"/>
        </w:rPr>
        <w:t>**</w:t>
      </w:r>
      <w:r w:rsidR="00F12722" w:rsidRPr="00B33A7D">
        <w:rPr>
          <w:szCs w:val="16"/>
          <w:lang w:val="en-US"/>
        </w:rPr>
        <w:t>S</w:t>
      </w:r>
      <w:r w:rsidR="001C4EC3" w:rsidRPr="00B33A7D">
        <w:rPr>
          <w:szCs w:val="16"/>
          <w:lang w:val="en-US"/>
        </w:rPr>
        <w:t>tatistically significant</w:t>
      </w:r>
      <w:r w:rsidR="00F12722" w:rsidRPr="00B33A7D">
        <w:rPr>
          <w:szCs w:val="16"/>
          <w:lang w:val="en-US"/>
        </w:rPr>
        <w:t xml:space="preserve"> difference</w:t>
      </w:r>
      <w:r w:rsidR="00E12F04" w:rsidRPr="00B33A7D">
        <w:rPr>
          <w:szCs w:val="16"/>
          <w:lang w:val="en-US"/>
        </w:rPr>
        <w:t xml:space="preserve"> (</w:t>
      </w:r>
      <w:r w:rsidR="007F640C" w:rsidRPr="00B33A7D">
        <w:rPr>
          <w:szCs w:val="16"/>
          <w:lang w:val="en-US"/>
        </w:rPr>
        <w:t>Fischer</w:t>
      </w:r>
      <w:r w:rsidR="001C4EC3" w:rsidRPr="00B33A7D">
        <w:rPr>
          <w:szCs w:val="16"/>
          <w:lang w:val="en-US"/>
        </w:rPr>
        <w:t xml:space="preserve"> exact test</w:t>
      </w:r>
      <w:r w:rsidR="007F640C" w:rsidRPr="00B33A7D">
        <w:rPr>
          <w:szCs w:val="16"/>
          <w:lang w:val="en-US"/>
        </w:rPr>
        <w:t>)</w:t>
      </w:r>
      <w:r w:rsidR="00377D86" w:rsidRPr="00B33A7D">
        <w:rPr>
          <w:szCs w:val="16"/>
          <w:lang w:val="en-US"/>
        </w:rPr>
        <w:t>.</w:t>
      </w:r>
    </w:p>
    <w:p w14:paraId="4BD47BCF" w14:textId="77777777" w:rsidR="009F429C" w:rsidRPr="00B33A7D" w:rsidRDefault="009F429C" w:rsidP="006C419A">
      <w:pPr>
        <w:autoSpaceDE w:val="0"/>
        <w:autoSpaceDN w:val="0"/>
        <w:adjustRightInd w:val="0"/>
        <w:spacing w:line="480" w:lineRule="auto"/>
        <w:rPr>
          <w:rFonts w:ascii="Courier New" w:hAnsi="Courier New" w:cs="Courier New"/>
          <w:sz w:val="16"/>
          <w:szCs w:val="16"/>
          <w:lang w:val="en-US"/>
        </w:rPr>
      </w:pPr>
    </w:p>
    <w:p w14:paraId="319E7F34" w14:textId="62EC6E17" w:rsidR="00877FF5" w:rsidRPr="00B33A7D" w:rsidRDefault="007E016A" w:rsidP="006C419A">
      <w:pPr>
        <w:autoSpaceDE w:val="0"/>
        <w:autoSpaceDN w:val="0"/>
        <w:adjustRightInd w:val="0"/>
        <w:spacing w:line="480" w:lineRule="auto"/>
        <w:ind w:firstLine="709"/>
        <w:jc w:val="both"/>
        <w:rPr>
          <w:rFonts w:cs="Arial"/>
          <w:color w:val="000000"/>
          <w:lang w:val="en-US"/>
        </w:rPr>
      </w:pPr>
      <w:r>
        <w:rPr>
          <w:lang w:val="en-US"/>
        </w:rPr>
        <w:t>W</w:t>
      </w:r>
      <w:r w:rsidR="00154A49" w:rsidRPr="00B33A7D">
        <w:rPr>
          <w:lang w:val="en-US"/>
        </w:rPr>
        <w:t>e verify that high Cynicism prevails in students a</w:t>
      </w:r>
      <w:r w:rsidR="00D215FC" w:rsidRPr="00B33A7D">
        <w:rPr>
          <w:lang w:val="en-US"/>
        </w:rPr>
        <w:t>ged between 20 and 24 years (16,93%, p = 0,</w:t>
      </w:r>
      <w:r w:rsidR="00154A49" w:rsidRPr="00B33A7D">
        <w:rPr>
          <w:lang w:val="en-US"/>
        </w:rPr>
        <w:t>047), who are enr</w:t>
      </w:r>
      <w:r w:rsidR="00D215FC" w:rsidRPr="00B33A7D">
        <w:rPr>
          <w:lang w:val="en-US"/>
        </w:rPr>
        <w:t>olled in the first semester (12,45%, p &lt;0,</w:t>
      </w:r>
      <w:r w:rsidR="00154A49" w:rsidRPr="00B33A7D">
        <w:rPr>
          <w:lang w:val="en-US"/>
        </w:rPr>
        <w:t xml:space="preserve">0001) and </w:t>
      </w:r>
      <w:r w:rsidR="00B5673B">
        <w:rPr>
          <w:lang w:val="en-US"/>
        </w:rPr>
        <w:t>without</w:t>
      </w:r>
      <w:r w:rsidR="00154A49" w:rsidRPr="00B33A7D">
        <w:rPr>
          <w:lang w:val="en-US"/>
        </w:rPr>
        <w:t xml:space="preserve"> experience </w:t>
      </w:r>
      <w:r w:rsidR="00D215FC" w:rsidRPr="00B33A7D">
        <w:rPr>
          <w:lang w:val="en-US"/>
        </w:rPr>
        <w:t>in healthcare (23,74%, p = 0,</w:t>
      </w:r>
      <w:r w:rsidR="00154A49" w:rsidRPr="00B33A7D">
        <w:rPr>
          <w:lang w:val="en-US"/>
        </w:rPr>
        <w:t>023)</w:t>
      </w:r>
      <w:r w:rsidR="00DE2C01" w:rsidRPr="00B33A7D">
        <w:rPr>
          <w:lang w:val="en-US"/>
        </w:rPr>
        <w:t>.</w:t>
      </w:r>
      <w:r w:rsidR="00551142" w:rsidRPr="00B33A7D">
        <w:rPr>
          <w:lang w:val="en-US"/>
        </w:rPr>
        <w:t xml:space="preserve"> </w:t>
      </w:r>
      <w:r w:rsidR="00D215FC" w:rsidRPr="00B33A7D">
        <w:rPr>
          <w:lang w:val="en-US"/>
        </w:rPr>
        <w:t>The results of analysis between BS’ features and the variables work activity and interest of dropping the course are presented on Table 3.</w:t>
      </w:r>
    </w:p>
    <w:p w14:paraId="2882C0EA" w14:textId="77777777" w:rsidR="00D04EE1" w:rsidRPr="00B33A7D" w:rsidRDefault="00D04EE1" w:rsidP="006C419A">
      <w:pPr>
        <w:autoSpaceDE w:val="0"/>
        <w:autoSpaceDN w:val="0"/>
        <w:adjustRightInd w:val="0"/>
        <w:spacing w:line="480" w:lineRule="auto"/>
        <w:jc w:val="both"/>
        <w:rPr>
          <w:rFonts w:cs="Arial"/>
          <w:b/>
          <w:color w:val="000000"/>
          <w:lang w:val="en-US"/>
        </w:rPr>
      </w:pPr>
    </w:p>
    <w:p w14:paraId="3B2F8E60" w14:textId="25AFCDF8" w:rsidR="00877FF5" w:rsidRPr="00B33A7D" w:rsidRDefault="00877FF5" w:rsidP="006C419A">
      <w:pPr>
        <w:autoSpaceDE w:val="0"/>
        <w:autoSpaceDN w:val="0"/>
        <w:adjustRightInd w:val="0"/>
        <w:spacing w:line="480" w:lineRule="auto"/>
        <w:jc w:val="both"/>
        <w:rPr>
          <w:rFonts w:cs="Arial"/>
          <w:color w:val="000000"/>
          <w:lang w:val="en-US"/>
        </w:rPr>
      </w:pPr>
      <w:r w:rsidRPr="00B33A7D">
        <w:rPr>
          <w:rFonts w:cs="Arial"/>
          <w:b/>
          <w:color w:val="000000"/>
          <w:lang w:val="en-US"/>
        </w:rPr>
        <w:t>Ta</w:t>
      </w:r>
      <w:r w:rsidR="00F656AF" w:rsidRPr="00B33A7D">
        <w:rPr>
          <w:rFonts w:cs="Arial"/>
          <w:b/>
          <w:color w:val="000000"/>
          <w:lang w:val="en-US"/>
        </w:rPr>
        <w:t>ble</w:t>
      </w:r>
      <w:r w:rsidRPr="00B33A7D">
        <w:rPr>
          <w:rFonts w:cs="Arial"/>
          <w:b/>
          <w:color w:val="000000"/>
          <w:lang w:val="en-US"/>
        </w:rPr>
        <w:t xml:space="preserve"> 3</w:t>
      </w:r>
      <w:r w:rsidRPr="00B33A7D">
        <w:rPr>
          <w:rFonts w:cs="Arial"/>
          <w:color w:val="000000"/>
          <w:lang w:val="en-US"/>
        </w:rPr>
        <w:t xml:space="preserve">- </w:t>
      </w:r>
      <w:r w:rsidR="00BD409C">
        <w:rPr>
          <w:rFonts w:cs="Arial"/>
          <w:color w:val="000000"/>
          <w:lang w:val="en-US"/>
        </w:rPr>
        <w:t>Association of</w:t>
      </w:r>
      <w:r w:rsidR="00D215FC" w:rsidRPr="00B33A7D">
        <w:rPr>
          <w:rFonts w:cs="Arial"/>
          <w:color w:val="000000"/>
          <w:lang w:val="en-US"/>
        </w:rPr>
        <w:t xml:space="preserve"> </w:t>
      </w:r>
      <w:r w:rsidR="00BD409C" w:rsidRPr="00B33A7D">
        <w:rPr>
          <w:lang w:val="en-US"/>
        </w:rPr>
        <w:t>work activity and interest of dropping the course</w:t>
      </w:r>
      <w:r w:rsidR="00BD409C">
        <w:rPr>
          <w:lang w:val="en-US"/>
        </w:rPr>
        <w:t xml:space="preserve"> </w:t>
      </w:r>
      <w:r w:rsidR="00BD409C">
        <w:rPr>
          <w:rFonts w:cs="Arial"/>
          <w:color w:val="000000"/>
          <w:lang w:val="en-US"/>
        </w:rPr>
        <w:t>to students’ rating</w:t>
      </w:r>
      <w:r w:rsidR="00421E3B">
        <w:rPr>
          <w:rFonts w:cs="Arial"/>
          <w:color w:val="000000"/>
          <w:lang w:val="en-US"/>
        </w:rPr>
        <w:t xml:space="preserve"> in MBI subscales</w:t>
      </w:r>
      <w:r w:rsidRPr="00B33A7D">
        <w:rPr>
          <w:rFonts w:cs="Arial"/>
          <w:i/>
          <w:color w:val="000000"/>
          <w:lang w:val="en-US"/>
        </w:rPr>
        <w:t xml:space="preserve">. </w:t>
      </w:r>
      <w:r w:rsidRPr="00B33A7D">
        <w:rPr>
          <w:rFonts w:cs="Arial"/>
          <w:color w:val="000000"/>
          <w:lang w:val="en-US"/>
        </w:rPr>
        <w:t xml:space="preserve">Rio Grande do </w:t>
      </w:r>
      <w:proofErr w:type="spellStart"/>
      <w:r w:rsidRPr="00B33A7D">
        <w:rPr>
          <w:rFonts w:cs="Arial"/>
          <w:color w:val="000000"/>
          <w:lang w:val="en-US"/>
        </w:rPr>
        <w:t>Sul</w:t>
      </w:r>
      <w:proofErr w:type="spellEnd"/>
      <w:r w:rsidRPr="00B33A7D">
        <w:rPr>
          <w:rFonts w:cs="Arial"/>
          <w:color w:val="000000"/>
          <w:lang w:val="en-US"/>
        </w:rPr>
        <w:t>,</w:t>
      </w:r>
      <w:r w:rsidR="00D215FC" w:rsidRPr="00B33A7D">
        <w:rPr>
          <w:rFonts w:cs="Arial"/>
          <w:color w:val="000000"/>
          <w:lang w:val="en-US"/>
        </w:rPr>
        <w:t xml:space="preserve"> Braz</w:t>
      </w:r>
      <w:r w:rsidRPr="00B33A7D">
        <w:rPr>
          <w:rFonts w:cs="Arial"/>
          <w:color w:val="000000"/>
          <w:lang w:val="en-US"/>
        </w:rPr>
        <w:t>il, 2013.</w:t>
      </w:r>
    </w:p>
    <w:tbl>
      <w:tblPr>
        <w:tblW w:w="10495" w:type="dxa"/>
        <w:jc w:val="center"/>
        <w:tblLook w:val="04A0" w:firstRow="1" w:lastRow="0" w:firstColumn="1" w:lastColumn="0" w:noHBand="0" w:noVBand="1"/>
      </w:tblPr>
      <w:tblGrid>
        <w:gridCol w:w="1794"/>
        <w:gridCol w:w="672"/>
        <w:gridCol w:w="862"/>
        <w:gridCol w:w="862"/>
        <w:gridCol w:w="962"/>
        <w:gridCol w:w="862"/>
        <w:gridCol w:w="862"/>
        <w:gridCol w:w="962"/>
        <w:gridCol w:w="833"/>
        <w:gridCol w:w="862"/>
        <w:gridCol w:w="962"/>
      </w:tblGrid>
      <w:tr w:rsidR="00E12F04" w:rsidRPr="00B33A7D" w14:paraId="6AA72B73" w14:textId="77777777" w:rsidTr="001B76DC">
        <w:trPr>
          <w:trHeight w:val="381"/>
          <w:jc w:val="center"/>
        </w:trPr>
        <w:tc>
          <w:tcPr>
            <w:tcW w:w="1794" w:type="dxa"/>
            <w:vMerge w:val="restart"/>
            <w:tcBorders>
              <w:top w:val="single" w:sz="4" w:space="0" w:color="auto"/>
              <w:bottom w:val="single" w:sz="4" w:space="0" w:color="auto"/>
            </w:tcBorders>
            <w:shd w:val="clear" w:color="auto" w:fill="auto"/>
          </w:tcPr>
          <w:p w14:paraId="2A75C9A6" w14:textId="52C9F62A" w:rsidR="00E12F04" w:rsidRPr="00B33A7D" w:rsidRDefault="00421E3B" w:rsidP="006C419A">
            <w:pPr>
              <w:autoSpaceDE w:val="0"/>
              <w:autoSpaceDN w:val="0"/>
              <w:adjustRightInd w:val="0"/>
              <w:spacing w:line="480" w:lineRule="auto"/>
              <w:jc w:val="center"/>
              <w:rPr>
                <w:b/>
                <w:sz w:val="20"/>
                <w:szCs w:val="20"/>
                <w:lang w:val="en-US"/>
              </w:rPr>
            </w:pPr>
            <w:proofErr w:type="spellStart"/>
            <w:r>
              <w:rPr>
                <w:b/>
                <w:sz w:val="20"/>
                <w:szCs w:val="20"/>
                <w:lang w:val="en-US"/>
              </w:rPr>
              <w:t>Biossocial</w:t>
            </w:r>
            <w:proofErr w:type="spellEnd"/>
            <w:r w:rsidR="00D215FC" w:rsidRPr="00B33A7D">
              <w:rPr>
                <w:b/>
                <w:sz w:val="20"/>
                <w:szCs w:val="20"/>
                <w:lang w:val="en-US"/>
              </w:rPr>
              <w:t xml:space="preserve"> and academic variables</w:t>
            </w:r>
          </w:p>
        </w:tc>
        <w:tc>
          <w:tcPr>
            <w:tcW w:w="672" w:type="dxa"/>
            <w:tcBorders>
              <w:top w:val="single" w:sz="4" w:space="0" w:color="auto"/>
              <w:bottom w:val="single" w:sz="4" w:space="0" w:color="auto"/>
            </w:tcBorders>
            <w:shd w:val="clear" w:color="auto" w:fill="auto"/>
          </w:tcPr>
          <w:p w14:paraId="03C5B7CE" w14:textId="77777777" w:rsidR="00E12F04" w:rsidRPr="00B33A7D" w:rsidRDefault="00E12F04" w:rsidP="006C419A">
            <w:pPr>
              <w:autoSpaceDE w:val="0"/>
              <w:autoSpaceDN w:val="0"/>
              <w:adjustRightInd w:val="0"/>
              <w:spacing w:line="480" w:lineRule="auto"/>
              <w:jc w:val="center"/>
              <w:rPr>
                <w:b/>
                <w:sz w:val="20"/>
                <w:szCs w:val="20"/>
                <w:lang w:val="en-US"/>
              </w:rPr>
            </w:pPr>
          </w:p>
        </w:tc>
        <w:tc>
          <w:tcPr>
            <w:tcW w:w="7067" w:type="dxa"/>
            <w:gridSpan w:val="8"/>
            <w:tcBorders>
              <w:top w:val="single" w:sz="4" w:space="0" w:color="auto"/>
              <w:bottom w:val="single" w:sz="4" w:space="0" w:color="auto"/>
            </w:tcBorders>
          </w:tcPr>
          <w:p w14:paraId="53290CC9" w14:textId="77777777" w:rsidR="00E12F04" w:rsidRPr="00B33A7D" w:rsidRDefault="00E12F04" w:rsidP="006C419A">
            <w:pPr>
              <w:autoSpaceDE w:val="0"/>
              <w:autoSpaceDN w:val="0"/>
              <w:adjustRightInd w:val="0"/>
              <w:spacing w:line="480" w:lineRule="auto"/>
              <w:jc w:val="center"/>
              <w:rPr>
                <w:b/>
                <w:sz w:val="20"/>
                <w:szCs w:val="20"/>
                <w:lang w:val="en-US"/>
              </w:rPr>
            </w:pPr>
            <w:r w:rsidRPr="00B33A7D">
              <w:rPr>
                <w:b/>
                <w:sz w:val="20"/>
                <w:szCs w:val="20"/>
                <w:lang w:val="en-US"/>
              </w:rPr>
              <w:t>MBI-SS</w:t>
            </w:r>
            <w:r w:rsidR="00D215FC" w:rsidRPr="00B33A7D">
              <w:rPr>
                <w:b/>
                <w:sz w:val="20"/>
                <w:szCs w:val="20"/>
                <w:lang w:val="en-US"/>
              </w:rPr>
              <w:t>’ Subscales</w:t>
            </w:r>
          </w:p>
        </w:tc>
        <w:tc>
          <w:tcPr>
            <w:tcW w:w="962" w:type="dxa"/>
            <w:tcBorders>
              <w:top w:val="single" w:sz="4" w:space="0" w:color="auto"/>
              <w:bottom w:val="single" w:sz="4" w:space="0" w:color="auto"/>
            </w:tcBorders>
            <w:shd w:val="clear" w:color="auto" w:fill="auto"/>
          </w:tcPr>
          <w:p w14:paraId="68DC68A3" w14:textId="77777777" w:rsidR="00E12F04" w:rsidRPr="00B33A7D" w:rsidRDefault="00E12F04" w:rsidP="006C419A">
            <w:pPr>
              <w:autoSpaceDE w:val="0"/>
              <w:autoSpaceDN w:val="0"/>
              <w:adjustRightInd w:val="0"/>
              <w:spacing w:line="480" w:lineRule="auto"/>
              <w:jc w:val="center"/>
              <w:rPr>
                <w:b/>
                <w:sz w:val="20"/>
                <w:szCs w:val="20"/>
                <w:lang w:val="en-US"/>
              </w:rPr>
            </w:pPr>
          </w:p>
        </w:tc>
      </w:tr>
      <w:tr w:rsidR="008C4DFA" w:rsidRPr="00B33A7D" w14:paraId="637BAB7F" w14:textId="77777777" w:rsidTr="001E7F10">
        <w:trPr>
          <w:trHeight w:val="547"/>
          <w:jc w:val="center"/>
        </w:trPr>
        <w:tc>
          <w:tcPr>
            <w:tcW w:w="1794" w:type="dxa"/>
            <w:vMerge/>
            <w:tcBorders>
              <w:top w:val="single" w:sz="4" w:space="0" w:color="auto"/>
            </w:tcBorders>
            <w:shd w:val="clear" w:color="auto" w:fill="auto"/>
          </w:tcPr>
          <w:p w14:paraId="2A3ACCBF" w14:textId="77777777" w:rsidR="00E12F04" w:rsidRPr="00B33A7D" w:rsidRDefault="00E12F04" w:rsidP="006C419A">
            <w:pPr>
              <w:autoSpaceDE w:val="0"/>
              <w:autoSpaceDN w:val="0"/>
              <w:adjustRightInd w:val="0"/>
              <w:spacing w:line="480" w:lineRule="auto"/>
              <w:rPr>
                <w:sz w:val="20"/>
                <w:szCs w:val="20"/>
                <w:lang w:val="en-US"/>
              </w:rPr>
            </w:pPr>
          </w:p>
        </w:tc>
        <w:tc>
          <w:tcPr>
            <w:tcW w:w="672" w:type="dxa"/>
            <w:vMerge w:val="restart"/>
            <w:tcBorders>
              <w:top w:val="single" w:sz="4" w:space="0" w:color="auto"/>
            </w:tcBorders>
            <w:shd w:val="clear" w:color="auto" w:fill="auto"/>
          </w:tcPr>
          <w:p w14:paraId="2CCD796E" w14:textId="77777777" w:rsidR="00E12F04" w:rsidRPr="00B33A7D" w:rsidRDefault="00E12F04" w:rsidP="006C419A">
            <w:pPr>
              <w:autoSpaceDE w:val="0"/>
              <w:autoSpaceDN w:val="0"/>
              <w:adjustRightInd w:val="0"/>
              <w:spacing w:line="480" w:lineRule="auto"/>
              <w:jc w:val="center"/>
              <w:rPr>
                <w:sz w:val="20"/>
                <w:szCs w:val="20"/>
                <w:lang w:val="en-US"/>
              </w:rPr>
            </w:pPr>
          </w:p>
        </w:tc>
        <w:tc>
          <w:tcPr>
            <w:tcW w:w="2686" w:type="dxa"/>
            <w:gridSpan w:val="3"/>
            <w:tcBorders>
              <w:top w:val="single" w:sz="4" w:space="0" w:color="auto"/>
              <w:bottom w:val="single" w:sz="4" w:space="0" w:color="auto"/>
            </w:tcBorders>
            <w:shd w:val="clear" w:color="auto" w:fill="auto"/>
          </w:tcPr>
          <w:p w14:paraId="61B833B8" w14:textId="77777777" w:rsidR="00E12F04" w:rsidRPr="00B33A7D" w:rsidRDefault="00D215FC" w:rsidP="006C419A">
            <w:pPr>
              <w:autoSpaceDE w:val="0"/>
              <w:autoSpaceDN w:val="0"/>
              <w:adjustRightInd w:val="0"/>
              <w:spacing w:line="480" w:lineRule="auto"/>
              <w:jc w:val="center"/>
              <w:rPr>
                <w:b/>
                <w:sz w:val="20"/>
                <w:szCs w:val="20"/>
                <w:lang w:val="en-US"/>
              </w:rPr>
            </w:pPr>
            <w:r w:rsidRPr="00B33A7D">
              <w:rPr>
                <w:b/>
                <w:sz w:val="20"/>
                <w:szCs w:val="20"/>
                <w:lang w:val="en-US"/>
              </w:rPr>
              <w:t>Emotional Exhaustion</w:t>
            </w:r>
          </w:p>
        </w:tc>
        <w:tc>
          <w:tcPr>
            <w:tcW w:w="2686" w:type="dxa"/>
            <w:gridSpan w:val="3"/>
            <w:tcBorders>
              <w:top w:val="single" w:sz="4" w:space="0" w:color="auto"/>
              <w:bottom w:val="single" w:sz="4" w:space="0" w:color="auto"/>
            </w:tcBorders>
            <w:shd w:val="clear" w:color="auto" w:fill="auto"/>
          </w:tcPr>
          <w:p w14:paraId="72A513F9" w14:textId="77777777" w:rsidR="00E12F04" w:rsidRPr="00B33A7D" w:rsidRDefault="00D215FC" w:rsidP="006C419A">
            <w:pPr>
              <w:autoSpaceDE w:val="0"/>
              <w:autoSpaceDN w:val="0"/>
              <w:adjustRightInd w:val="0"/>
              <w:spacing w:line="480" w:lineRule="auto"/>
              <w:jc w:val="center"/>
              <w:rPr>
                <w:b/>
                <w:sz w:val="20"/>
                <w:szCs w:val="20"/>
                <w:lang w:val="en-US"/>
              </w:rPr>
            </w:pPr>
            <w:r w:rsidRPr="00B33A7D">
              <w:rPr>
                <w:rFonts w:cs="Arial"/>
                <w:b/>
                <w:color w:val="000000"/>
                <w:sz w:val="20"/>
                <w:szCs w:val="20"/>
                <w:lang w:val="en-US"/>
              </w:rPr>
              <w:t xml:space="preserve">Cynicism </w:t>
            </w:r>
          </w:p>
        </w:tc>
        <w:tc>
          <w:tcPr>
            <w:tcW w:w="1695" w:type="dxa"/>
            <w:gridSpan w:val="2"/>
            <w:tcBorders>
              <w:top w:val="single" w:sz="4" w:space="0" w:color="auto"/>
              <w:bottom w:val="single" w:sz="4" w:space="0" w:color="auto"/>
            </w:tcBorders>
            <w:shd w:val="clear" w:color="auto" w:fill="auto"/>
          </w:tcPr>
          <w:p w14:paraId="41FC3A82" w14:textId="77777777" w:rsidR="00E12F04" w:rsidRPr="00B33A7D" w:rsidRDefault="00D215FC" w:rsidP="006C419A">
            <w:pPr>
              <w:autoSpaceDE w:val="0"/>
              <w:autoSpaceDN w:val="0"/>
              <w:adjustRightInd w:val="0"/>
              <w:spacing w:line="480" w:lineRule="auto"/>
              <w:jc w:val="center"/>
              <w:rPr>
                <w:b/>
                <w:sz w:val="20"/>
                <w:szCs w:val="20"/>
                <w:lang w:val="en-US"/>
              </w:rPr>
            </w:pPr>
            <w:r w:rsidRPr="00B33A7D">
              <w:rPr>
                <w:b/>
                <w:sz w:val="20"/>
                <w:szCs w:val="20"/>
                <w:lang w:val="en-US"/>
              </w:rPr>
              <w:t>Professional Efficacy</w:t>
            </w:r>
          </w:p>
        </w:tc>
        <w:tc>
          <w:tcPr>
            <w:tcW w:w="962" w:type="dxa"/>
            <w:tcBorders>
              <w:top w:val="single" w:sz="4" w:space="0" w:color="auto"/>
              <w:bottom w:val="single" w:sz="4" w:space="0" w:color="auto"/>
            </w:tcBorders>
          </w:tcPr>
          <w:p w14:paraId="045D5B3B" w14:textId="77777777" w:rsidR="00E12F04" w:rsidRPr="00B33A7D" w:rsidRDefault="00E12F04" w:rsidP="006C419A">
            <w:pPr>
              <w:autoSpaceDE w:val="0"/>
              <w:autoSpaceDN w:val="0"/>
              <w:adjustRightInd w:val="0"/>
              <w:spacing w:line="480" w:lineRule="auto"/>
              <w:jc w:val="center"/>
              <w:rPr>
                <w:b/>
                <w:sz w:val="20"/>
                <w:szCs w:val="20"/>
                <w:lang w:val="en-US"/>
              </w:rPr>
            </w:pPr>
          </w:p>
          <w:p w14:paraId="0C819D49" w14:textId="77777777" w:rsidR="00E12F04" w:rsidRPr="00B33A7D" w:rsidRDefault="00E12F04" w:rsidP="006C419A">
            <w:pPr>
              <w:autoSpaceDE w:val="0"/>
              <w:autoSpaceDN w:val="0"/>
              <w:adjustRightInd w:val="0"/>
              <w:spacing w:line="480" w:lineRule="auto"/>
              <w:jc w:val="center"/>
              <w:rPr>
                <w:b/>
                <w:sz w:val="20"/>
                <w:szCs w:val="20"/>
                <w:lang w:val="en-US"/>
              </w:rPr>
            </w:pPr>
          </w:p>
        </w:tc>
      </w:tr>
      <w:tr w:rsidR="00D215FC" w:rsidRPr="00B33A7D" w14:paraId="47696A59" w14:textId="77777777" w:rsidTr="001E7F10">
        <w:trPr>
          <w:trHeight w:val="373"/>
          <w:jc w:val="center"/>
        </w:trPr>
        <w:tc>
          <w:tcPr>
            <w:tcW w:w="1794" w:type="dxa"/>
            <w:vMerge/>
            <w:tcBorders>
              <w:bottom w:val="single" w:sz="4" w:space="0" w:color="auto"/>
            </w:tcBorders>
            <w:shd w:val="clear" w:color="auto" w:fill="auto"/>
          </w:tcPr>
          <w:p w14:paraId="1A6F06E6" w14:textId="77777777" w:rsidR="00D215FC" w:rsidRPr="00B33A7D" w:rsidRDefault="00D215FC" w:rsidP="006C419A">
            <w:pPr>
              <w:autoSpaceDE w:val="0"/>
              <w:autoSpaceDN w:val="0"/>
              <w:adjustRightInd w:val="0"/>
              <w:spacing w:line="480" w:lineRule="auto"/>
              <w:rPr>
                <w:sz w:val="20"/>
                <w:szCs w:val="20"/>
                <w:lang w:val="en-US"/>
              </w:rPr>
            </w:pPr>
          </w:p>
        </w:tc>
        <w:tc>
          <w:tcPr>
            <w:tcW w:w="672" w:type="dxa"/>
            <w:vMerge/>
            <w:tcBorders>
              <w:bottom w:val="single" w:sz="4" w:space="0" w:color="auto"/>
            </w:tcBorders>
            <w:shd w:val="clear" w:color="auto" w:fill="auto"/>
          </w:tcPr>
          <w:p w14:paraId="30685E47" w14:textId="77777777" w:rsidR="00D215FC" w:rsidRPr="00B33A7D" w:rsidRDefault="00D215FC" w:rsidP="006C419A">
            <w:pPr>
              <w:autoSpaceDE w:val="0"/>
              <w:autoSpaceDN w:val="0"/>
              <w:adjustRightInd w:val="0"/>
              <w:spacing w:line="480" w:lineRule="auto"/>
              <w:jc w:val="center"/>
              <w:rPr>
                <w:sz w:val="20"/>
                <w:szCs w:val="20"/>
                <w:lang w:val="en-US"/>
              </w:rPr>
            </w:pPr>
          </w:p>
        </w:tc>
        <w:tc>
          <w:tcPr>
            <w:tcW w:w="862" w:type="dxa"/>
            <w:tcBorders>
              <w:top w:val="single" w:sz="4" w:space="0" w:color="auto"/>
              <w:bottom w:val="single" w:sz="4" w:space="0" w:color="auto"/>
            </w:tcBorders>
            <w:shd w:val="clear" w:color="auto" w:fill="auto"/>
          </w:tcPr>
          <w:p w14:paraId="2EF59087" w14:textId="77777777" w:rsidR="00D215FC" w:rsidRPr="00B33A7D" w:rsidRDefault="00D215FC" w:rsidP="006C419A">
            <w:pPr>
              <w:autoSpaceDE w:val="0"/>
              <w:autoSpaceDN w:val="0"/>
              <w:adjustRightInd w:val="0"/>
              <w:spacing w:line="480" w:lineRule="auto"/>
              <w:jc w:val="center"/>
              <w:rPr>
                <w:b/>
                <w:sz w:val="20"/>
                <w:szCs w:val="20"/>
                <w:lang w:val="en-US"/>
              </w:rPr>
            </w:pPr>
            <w:r w:rsidRPr="00B33A7D">
              <w:rPr>
                <w:b/>
                <w:sz w:val="20"/>
                <w:szCs w:val="20"/>
                <w:lang w:val="en-US"/>
              </w:rPr>
              <w:t>High</w:t>
            </w:r>
          </w:p>
        </w:tc>
        <w:tc>
          <w:tcPr>
            <w:tcW w:w="862" w:type="dxa"/>
            <w:tcBorders>
              <w:top w:val="single" w:sz="4" w:space="0" w:color="auto"/>
              <w:bottom w:val="single" w:sz="4" w:space="0" w:color="auto"/>
            </w:tcBorders>
            <w:shd w:val="clear" w:color="auto" w:fill="auto"/>
          </w:tcPr>
          <w:p w14:paraId="1DB65081" w14:textId="77777777" w:rsidR="00D215FC" w:rsidRPr="00B33A7D" w:rsidRDefault="00D215FC" w:rsidP="006C419A">
            <w:pPr>
              <w:autoSpaceDE w:val="0"/>
              <w:autoSpaceDN w:val="0"/>
              <w:adjustRightInd w:val="0"/>
              <w:spacing w:line="480" w:lineRule="auto"/>
              <w:jc w:val="center"/>
              <w:rPr>
                <w:b/>
                <w:sz w:val="20"/>
                <w:szCs w:val="20"/>
                <w:lang w:val="en-US"/>
              </w:rPr>
            </w:pPr>
            <w:r w:rsidRPr="00B33A7D">
              <w:rPr>
                <w:b/>
                <w:sz w:val="20"/>
                <w:szCs w:val="20"/>
                <w:lang w:val="en-US"/>
              </w:rPr>
              <w:t>Low</w:t>
            </w:r>
          </w:p>
        </w:tc>
        <w:tc>
          <w:tcPr>
            <w:tcW w:w="962" w:type="dxa"/>
            <w:tcBorders>
              <w:top w:val="single" w:sz="4" w:space="0" w:color="auto"/>
              <w:bottom w:val="single" w:sz="4" w:space="0" w:color="auto"/>
            </w:tcBorders>
          </w:tcPr>
          <w:p w14:paraId="763B26F2" w14:textId="77777777" w:rsidR="00D215FC" w:rsidRPr="00B33A7D" w:rsidRDefault="00D215FC" w:rsidP="006C419A">
            <w:pPr>
              <w:autoSpaceDE w:val="0"/>
              <w:autoSpaceDN w:val="0"/>
              <w:adjustRightInd w:val="0"/>
              <w:spacing w:line="480" w:lineRule="auto"/>
              <w:jc w:val="center"/>
              <w:rPr>
                <w:b/>
                <w:sz w:val="20"/>
                <w:szCs w:val="20"/>
                <w:lang w:val="en-US"/>
              </w:rPr>
            </w:pPr>
          </w:p>
        </w:tc>
        <w:tc>
          <w:tcPr>
            <w:tcW w:w="862" w:type="dxa"/>
            <w:tcBorders>
              <w:top w:val="single" w:sz="4" w:space="0" w:color="auto"/>
              <w:bottom w:val="single" w:sz="4" w:space="0" w:color="auto"/>
            </w:tcBorders>
            <w:shd w:val="clear" w:color="auto" w:fill="auto"/>
          </w:tcPr>
          <w:p w14:paraId="56521A0F" w14:textId="77777777" w:rsidR="00D215FC" w:rsidRPr="00B33A7D" w:rsidRDefault="00D215FC" w:rsidP="006C419A">
            <w:pPr>
              <w:autoSpaceDE w:val="0"/>
              <w:autoSpaceDN w:val="0"/>
              <w:adjustRightInd w:val="0"/>
              <w:spacing w:line="480" w:lineRule="auto"/>
              <w:jc w:val="center"/>
              <w:rPr>
                <w:b/>
                <w:sz w:val="20"/>
                <w:szCs w:val="20"/>
                <w:lang w:val="en-US"/>
              </w:rPr>
            </w:pPr>
            <w:r w:rsidRPr="00B33A7D">
              <w:rPr>
                <w:b/>
                <w:sz w:val="20"/>
                <w:szCs w:val="20"/>
                <w:lang w:val="en-US"/>
              </w:rPr>
              <w:t>High</w:t>
            </w:r>
          </w:p>
        </w:tc>
        <w:tc>
          <w:tcPr>
            <w:tcW w:w="862" w:type="dxa"/>
            <w:tcBorders>
              <w:top w:val="single" w:sz="4" w:space="0" w:color="auto"/>
              <w:bottom w:val="single" w:sz="4" w:space="0" w:color="auto"/>
            </w:tcBorders>
            <w:shd w:val="clear" w:color="auto" w:fill="auto"/>
          </w:tcPr>
          <w:p w14:paraId="26BE8CF0" w14:textId="77777777" w:rsidR="00D215FC" w:rsidRPr="00B33A7D" w:rsidRDefault="00D215FC" w:rsidP="006C419A">
            <w:pPr>
              <w:autoSpaceDE w:val="0"/>
              <w:autoSpaceDN w:val="0"/>
              <w:adjustRightInd w:val="0"/>
              <w:spacing w:line="480" w:lineRule="auto"/>
              <w:jc w:val="center"/>
              <w:rPr>
                <w:b/>
                <w:sz w:val="20"/>
                <w:szCs w:val="20"/>
                <w:lang w:val="en-US"/>
              </w:rPr>
            </w:pPr>
            <w:r w:rsidRPr="00B33A7D">
              <w:rPr>
                <w:b/>
                <w:sz w:val="20"/>
                <w:szCs w:val="20"/>
                <w:lang w:val="en-US"/>
              </w:rPr>
              <w:t>Low</w:t>
            </w:r>
          </w:p>
        </w:tc>
        <w:tc>
          <w:tcPr>
            <w:tcW w:w="962" w:type="dxa"/>
            <w:tcBorders>
              <w:top w:val="single" w:sz="4" w:space="0" w:color="auto"/>
              <w:bottom w:val="single" w:sz="4" w:space="0" w:color="auto"/>
            </w:tcBorders>
          </w:tcPr>
          <w:p w14:paraId="7731A4B5" w14:textId="77777777" w:rsidR="00D215FC" w:rsidRPr="00B33A7D" w:rsidRDefault="00D215FC" w:rsidP="006C419A">
            <w:pPr>
              <w:autoSpaceDE w:val="0"/>
              <w:autoSpaceDN w:val="0"/>
              <w:adjustRightInd w:val="0"/>
              <w:spacing w:line="480" w:lineRule="auto"/>
              <w:jc w:val="center"/>
              <w:rPr>
                <w:b/>
                <w:sz w:val="20"/>
                <w:szCs w:val="20"/>
                <w:lang w:val="en-US"/>
              </w:rPr>
            </w:pPr>
          </w:p>
        </w:tc>
        <w:tc>
          <w:tcPr>
            <w:tcW w:w="833" w:type="dxa"/>
            <w:tcBorders>
              <w:top w:val="single" w:sz="4" w:space="0" w:color="auto"/>
              <w:bottom w:val="single" w:sz="4" w:space="0" w:color="auto"/>
            </w:tcBorders>
            <w:shd w:val="clear" w:color="auto" w:fill="auto"/>
          </w:tcPr>
          <w:p w14:paraId="4688A592" w14:textId="77777777" w:rsidR="00D215FC" w:rsidRPr="00B33A7D" w:rsidRDefault="00D215FC" w:rsidP="006C419A">
            <w:pPr>
              <w:autoSpaceDE w:val="0"/>
              <w:autoSpaceDN w:val="0"/>
              <w:adjustRightInd w:val="0"/>
              <w:spacing w:line="480" w:lineRule="auto"/>
              <w:jc w:val="center"/>
              <w:rPr>
                <w:b/>
                <w:sz w:val="20"/>
                <w:szCs w:val="20"/>
                <w:lang w:val="en-US"/>
              </w:rPr>
            </w:pPr>
            <w:r w:rsidRPr="00B33A7D">
              <w:rPr>
                <w:b/>
                <w:sz w:val="20"/>
                <w:szCs w:val="20"/>
                <w:lang w:val="en-US"/>
              </w:rPr>
              <w:t>High</w:t>
            </w:r>
          </w:p>
        </w:tc>
        <w:tc>
          <w:tcPr>
            <w:tcW w:w="862" w:type="dxa"/>
            <w:tcBorders>
              <w:top w:val="single" w:sz="4" w:space="0" w:color="auto"/>
              <w:bottom w:val="single" w:sz="4" w:space="0" w:color="auto"/>
            </w:tcBorders>
            <w:shd w:val="clear" w:color="auto" w:fill="auto"/>
          </w:tcPr>
          <w:p w14:paraId="0344A896" w14:textId="77777777" w:rsidR="00D215FC" w:rsidRPr="00B33A7D" w:rsidRDefault="00D215FC" w:rsidP="006C419A">
            <w:pPr>
              <w:autoSpaceDE w:val="0"/>
              <w:autoSpaceDN w:val="0"/>
              <w:adjustRightInd w:val="0"/>
              <w:spacing w:line="480" w:lineRule="auto"/>
              <w:jc w:val="center"/>
              <w:rPr>
                <w:b/>
                <w:sz w:val="20"/>
                <w:szCs w:val="20"/>
                <w:lang w:val="en-US"/>
              </w:rPr>
            </w:pPr>
            <w:r w:rsidRPr="00B33A7D">
              <w:rPr>
                <w:b/>
                <w:sz w:val="20"/>
                <w:szCs w:val="20"/>
                <w:lang w:val="en-US"/>
              </w:rPr>
              <w:t>Low</w:t>
            </w:r>
          </w:p>
        </w:tc>
        <w:tc>
          <w:tcPr>
            <w:tcW w:w="962" w:type="dxa"/>
            <w:tcBorders>
              <w:top w:val="single" w:sz="4" w:space="0" w:color="auto"/>
              <w:bottom w:val="single" w:sz="4" w:space="0" w:color="auto"/>
            </w:tcBorders>
          </w:tcPr>
          <w:p w14:paraId="7C042E19" w14:textId="77777777" w:rsidR="00D215FC" w:rsidRPr="00B33A7D" w:rsidRDefault="00D215FC" w:rsidP="006C419A">
            <w:pPr>
              <w:autoSpaceDE w:val="0"/>
              <w:autoSpaceDN w:val="0"/>
              <w:adjustRightInd w:val="0"/>
              <w:spacing w:line="480" w:lineRule="auto"/>
              <w:rPr>
                <w:sz w:val="20"/>
                <w:szCs w:val="20"/>
                <w:lang w:val="en-US"/>
              </w:rPr>
            </w:pPr>
          </w:p>
        </w:tc>
      </w:tr>
      <w:tr w:rsidR="00CB08C4" w:rsidRPr="00B33A7D" w14:paraId="3F89A7C5" w14:textId="77777777" w:rsidTr="001E7F10">
        <w:trPr>
          <w:trHeight w:val="465"/>
          <w:jc w:val="center"/>
        </w:trPr>
        <w:tc>
          <w:tcPr>
            <w:tcW w:w="1794" w:type="dxa"/>
            <w:vMerge w:val="restart"/>
            <w:tcBorders>
              <w:top w:val="single" w:sz="4" w:space="0" w:color="auto"/>
            </w:tcBorders>
            <w:shd w:val="clear" w:color="auto" w:fill="auto"/>
          </w:tcPr>
          <w:p w14:paraId="3221AD14" w14:textId="77777777" w:rsidR="00E12F04" w:rsidRPr="00B33A7D" w:rsidRDefault="00D215FC" w:rsidP="006C419A">
            <w:pPr>
              <w:autoSpaceDE w:val="0"/>
              <w:autoSpaceDN w:val="0"/>
              <w:adjustRightInd w:val="0"/>
              <w:spacing w:line="480" w:lineRule="auto"/>
              <w:jc w:val="center"/>
              <w:rPr>
                <w:b/>
                <w:sz w:val="20"/>
                <w:szCs w:val="20"/>
                <w:vertAlign w:val="superscript"/>
                <w:lang w:val="en-US"/>
              </w:rPr>
            </w:pPr>
            <w:r w:rsidRPr="00B33A7D">
              <w:rPr>
                <w:b/>
                <w:sz w:val="20"/>
                <w:szCs w:val="20"/>
                <w:lang w:val="en-US"/>
              </w:rPr>
              <w:t>Work Activity</w:t>
            </w:r>
          </w:p>
        </w:tc>
        <w:tc>
          <w:tcPr>
            <w:tcW w:w="672" w:type="dxa"/>
            <w:tcBorders>
              <w:top w:val="single" w:sz="4" w:space="0" w:color="auto"/>
              <w:bottom w:val="single" w:sz="4" w:space="0" w:color="auto"/>
            </w:tcBorders>
            <w:shd w:val="clear" w:color="auto" w:fill="auto"/>
          </w:tcPr>
          <w:p w14:paraId="50F99C73" w14:textId="77777777" w:rsidR="00E12F04" w:rsidRPr="00B33A7D" w:rsidRDefault="00D215FC" w:rsidP="006C419A">
            <w:pPr>
              <w:autoSpaceDE w:val="0"/>
              <w:autoSpaceDN w:val="0"/>
              <w:adjustRightInd w:val="0"/>
              <w:spacing w:line="480" w:lineRule="auto"/>
              <w:jc w:val="center"/>
              <w:rPr>
                <w:b/>
                <w:sz w:val="20"/>
                <w:szCs w:val="20"/>
                <w:lang w:val="en-US"/>
              </w:rPr>
            </w:pPr>
            <w:r w:rsidRPr="00B33A7D">
              <w:rPr>
                <w:b/>
                <w:sz w:val="20"/>
                <w:szCs w:val="20"/>
                <w:lang w:val="en-US"/>
              </w:rPr>
              <w:t>Yes</w:t>
            </w:r>
          </w:p>
        </w:tc>
        <w:tc>
          <w:tcPr>
            <w:tcW w:w="862" w:type="dxa"/>
            <w:tcBorders>
              <w:top w:val="single" w:sz="4" w:space="0" w:color="auto"/>
              <w:bottom w:val="single" w:sz="4" w:space="0" w:color="auto"/>
            </w:tcBorders>
            <w:shd w:val="clear" w:color="auto" w:fill="auto"/>
          </w:tcPr>
          <w:p w14:paraId="12F3CCDC" w14:textId="77777777" w:rsidR="00E12F04" w:rsidRPr="00B33A7D" w:rsidRDefault="008C4DFA" w:rsidP="006C419A">
            <w:pPr>
              <w:spacing w:line="480" w:lineRule="auto"/>
              <w:rPr>
                <w:sz w:val="20"/>
                <w:szCs w:val="20"/>
                <w:lang w:val="en-US"/>
              </w:rPr>
            </w:pPr>
            <w:r w:rsidRPr="00B33A7D">
              <w:rPr>
                <w:sz w:val="20"/>
                <w:szCs w:val="20"/>
                <w:lang w:val="en-US"/>
              </w:rPr>
              <w:t>17,03</w:t>
            </w:r>
            <w:r w:rsidR="00E12F04" w:rsidRPr="00B33A7D">
              <w:rPr>
                <w:sz w:val="20"/>
                <w:szCs w:val="20"/>
                <w:lang w:val="en-US"/>
              </w:rPr>
              <w:t>%</w:t>
            </w:r>
          </w:p>
          <w:p w14:paraId="2E06C8AC" w14:textId="77777777" w:rsidR="00E12F04" w:rsidRPr="00B33A7D" w:rsidRDefault="00E12F04" w:rsidP="006C419A">
            <w:pPr>
              <w:spacing w:line="480" w:lineRule="auto"/>
              <w:jc w:val="center"/>
              <w:rPr>
                <w:sz w:val="20"/>
                <w:szCs w:val="20"/>
                <w:lang w:val="en-US"/>
              </w:rPr>
            </w:pPr>
            <w:r w:rsidRPr="00B33A7D">
              <w:rPr>
                <w:sz w:val="20"/>
                <w:szCs w:val="20"/>
                <w:lang w:val="en-US"/>
              </w:rPr>
              <w:t>(n=95)</w:t>
            </w:r>
          </w:p>
        </w:tc>
        <w:tc>
          <w:tcPr>
            <w:tcW w:w="862" w:type="dxa"/>
            <w:tcBorders>
              <w:top w:val="single" w:sz="4" w:space="0" w:color="auto"/>
              <w:bottom w:val="single" w:sz="4" w:space="0" w:color="auto"/>
            </w:tcBorders>
            <w:shd w:val="clear" w:color="auto" w:fill="auto"/>
          </w:tcPr>
          <w:p w14:paraId="554D4387" w14:textId="77777777" w:rsidR="00E12F04" w:rsidRPr="00B33A7D" w:rsidRDefault="008C4DFA" w:rsidP="006C419A">
            <w:pPr>
              <w:spacing w:line="480" w:lineRule="auto"/>
              <w:jc w:val="center"/>
              <w:rPr>
                <w:sz w:val="20"/>
                <w:szCs w:val="20"/>
                <w:lang w:val="en-US"/>
              </w:rPr>
            </w:pPr>
            <w:r w:rsidRPr="00B33A7D">
              <w:rPr>
                <w:sz w:val="20"/>
                <w:szCs w:val="20"/>
                <w:lang w:val="en-US"/>
              </w:rPr>
              <w:t>11,11</w:t>
            </w:r>
            <w:r w:rsidR="00E12F04" w:rsidRPr="00B33A7D">
              <w:rPr>
                <w:sz w:val="20"/>
                <w:szCs w:val="20"/>
                <w:lang w:val="en-US"/>
              </w:rPr>
              <w:t>%</w:t>
            </w:r>
          </w:p>
          <w:p w14:paraId="1024721B" w14:textId="77777777" w:rsidR="00E12F04" w:rsidRPr="00B33A7D" w:rsidRDefault="00E12F04" w:rsidP="006C419A">
            <w:pPr>
              <w:spacing w:line="480" w:lineRule="auto"/>
              <w:jc w:val="center"/>
              <w:rPr>
                <w:sz w:val="20"/>
                <w:szCs w:val="20"/>
                <w:lang w:val="en-US"/>
              </w:rPr>
            </w:pPr>
            <w:r w:rsidRPr="00B33A7D">
              <w:rPr>
                <w:sz w:val="20"/>
                <w:szCs w:val="20"/>
                <w:lang w:val="en-US"/>
              </w:rPr>
              <w:t>(n=62)</w:t>
            </w:r>
          </w:p>
        </w:tc>
        <w:tc>
          <w:tcPr>
            <w:tcW w:w="962" w:type="dxa"/>
            <w:tcBorders>
              <w:top w:val="single" w:sz="4" w:space="0" w:color="auto"/>
              <w:bottom w:val="single" w:sz="4" w:space="0" w:color="auto"/>
            </w:tcBorders>
          </w:tcPr>
          <w:p w14:paraId="613A240A" w14:textId="77777777" w:rsidR="00E12F04" w:rsidRPr="00B33A7D" w:rsidRDefault="008C4DFA" w:rsidP="006C419A">
            <w:pPr>
              <w:autoSpaceDE w:val="0"/>
              <w:autoSpaceDN w:val="0"/>
              <w:adjustRightInd w:val="0"/>
              <w:spacing w:line="480" w:lineRule="auto"/>
              <w:jc w:val="center"/>
              <w:rPr>
                <w:sz w:val="20"/>
                <w:szCs w:val="20"/>
                <w:lang w:val="en-US"/>
              </w:rPr>
            </w:pPr>
            <w:r w:rsidRPr="00B33A7D">
              <w:rPr>
                <w:sz w:val="20"/>
                <w:szCs w:val="20"/>
                <w:lang w:val="en-US"/>
              </w:rPr>
              <w:t>28,14%</w:t>
            </w:r>
          </w:p>
          <w:p w14:paraId="0E85703F" w14:textId="77777777" w:rsidR="008C4DFA" w:rsidRPr="00B33A7D" w:rsidRDefault="008C4DFA" w:rsidP="006C419A">
            <w:pPr>
              <w:autoSpaceDE w:val="0"/>
              <w:autoSpaceDN w:val="0"/>
              <w:adjustRightInd w:val="0"/>
              <w:spacing w:line="480" w:lineRule="auto"/>
              <w:jc w:val="center"/>
              <w:rPr>
                <w:sz w:val="20"/>
                <w:szCs w:val="20"/>
                <w:lang w:val="en-US"/>
              </w:rPr>
            </w:pPr>
            <w:r w:rsidRPr="00B33A7D">
              <w:rPr>
                <w:sz w:val="20"/>
                <w:szCs w:val="20"/>
                <w:lang w:val="en-US"/>
              </w:rPr>
              <w:t>(n=157)</w:t>
            </w:r>
          </w:p>
        </w:tc>
        <w:tc>
          <w:tcPr>
            <w:tcW w:w="862" w:type="dxa"/>
            <w:tcBorders>
              <w:top w:val="single" w:sz="4" w:space="0" w:color="auto"/>
              <w:bottom w:val="single" w:sz="4" w:space="0" w:color="auto"/>
            </w:tcBorders>
            <w:shd w:val="clear" w:color="auto" w:fill="auto"/>
          </w:tcPr>
          <w:p w14:paraId="302FE7D8" w14:textId="77777777" w:rsidR="00E12F04" w:rsidRPr="00B33A7D" w:rsidRDefault="008C4DFA" w:rsidP="006C419A">
            <w:pPr>
              <w:spacing w:line="480" w:lineRule="auto"/>
              <w:jc w:val="center"/>
              <w:rPr>
                <w:sz w:val="20"/>
                <w:szCs w:val="20"/>
                <w:lang w:val="en-US"/>
              </w:rPr>
            </w:pPr>
            <w:r w:rsidRPr="00B33A7D">
              <w:rPr>
                <w:sz w:val="20"/>
                <w:szCs w:val="20"/>
                <w:lang w:val="en-US"/>
              </w:rPr>
              <w:t>10,14%</w:t>
            </w:r>
          </w:p>
          <w:p w14:paraId="38DE23D5" w14:textId="77777777" w:rsidR="00E12F04" w:rsidRPr="00B33A7D" w:rsidRDefault="00E12F04" w:rsidP="006C419A">
            <w:pPr>
              <w:spacing w:line="480" w:lineRule="auto"/>
              <w:jc w:val="center"/>
              <w:rPr>
                <w:sz w:val="20"/>
                <w:szCs w:val="20"/>
                <w:lang w:val="en-US"/>
              </w:rPr>
            </w:pPr>
            <w:r w:rsidRPr="00B33A7D">
              <w:rPr>
                <w:sz w:val="20"/>
                <w:szCs w:val="20"/>
                <w:lang w:val="en-US"/>
              </w:rPr>
              <w:t>(n=52)</w:t>
            </w:r>
          </w:p>
        </w:tc>
        <w:tc>
          <w:tcPr>
            <w:tcW w:w="862" w:type="dxa"/>
            <w:tcBorders>
              <w:top w:val="single" w:sz="4" w:space="0" w:color="auto"/>
              <w:bottom w:val="single" w:sz="4" w:space="0" w:color="auto"/>
            </w:tcBorders>
            <w:shd w:val="clear" w:color="auto" w:fill="auto"/>
          </w:tcPr>
          <w:p w14:paraId="3D117E77" w14:textId="77777777" w:rsidR="00E12F04" w:rsidRPr="00B33A7D" w:rsidRDefault="008C4DFA" w:rsidP="006C419A">
            <w:pPr>
              <w:autoSpaceDE w:val="0"/>
              <w:autoSpaceDN w:val="0"/>
              <w:adjustRightInd w:val="0"/>
              <w:spacing w:line="480" w:lineRule="auto"/>
              <w:jc w:val="center"/>
              <w:rPr>
                <w:sz w:val="20"/>
                <w:szCs w:val="20"/>
                <w:lang w:val="en-US"/>
              </w:rPr>
            </w:pPr>
            <w:r w:rsidRPr="00B33A7D">
              <w:rPr>
                <w:sz w:val="20"/>
                <w:szCs w:val="20"/>
                <w:lang w:val="en-US"/>
              </w:rPr>
              <w:t>17,93%</w:t>
            </w:r>
          </w:p>
          <w:p w14:paraId="632D7E22" w14:textId="77777777" w:rsidR="00E12F04" w:rsidRPr="00B33A7D" w:rsidRDefault="00E12F04" w:rsidP="006C419A">
            <w:pPr>
              <w:autoSpaceDE w:val="0"/>
              <w:autoSpaceDN w:val="0"/>
              <w:adjustRightInd w:val="0"/>
              <w:spacing w:line="480" w:lineRule="auto"/>
              <w:jc w:val="center"/>
              <w:rPr>
                <w:sz w:val="20"/>
                <w:szCs w:val="20"/>
                <w:lang w:val="en-US"/>
              </w:rPr>
            </w:pPr>
            <w:r w:rsidRPr="00B33A7D">
              <w:rPr>
                <w:sz w:val="20"/>
                <w:szCs w:val="20"/>
                <w:lang w:val="en-US"/>
              </w:rPr>
              <w:t>(n=92)</w:t>
            </w:r>
          </w:p>
        </w:tc>
        <w:tc>
          <w:tcPr>
            <w:tcW w:w="962" w:type="dxa"/>
            <w:tcBorders>
              <w:top w:val="single" w:sz="4" w:space="0" w:color="auto"/>
              <w:bottom w:val="single" w:sz="4" w:space="0" w:color="auto"/>
            </w:tcBorders>
          </w:tcPr>
          <w:p w14:paraId="634CD590" w14:textId="77777777" w:rsidR="00E12F04" w:rsidRPr="00B33A7D" w:rsidRDefault="008C4DFA" w:rsidP="006C419A">
            <w:pPr>
              <w:spacing w:line="480" w:lineRule="auto"/>
              <w:jc w:val="center"/>
              <w:rPr>
                <w:sz w:val="20"/>
                <w:szCs w:val="20"/>
                <w:lang w:val="en-US"/>
              </w:rPr>
            </w:pPr>
            <w:r w:rsidRPr="00B33A7D">
              <w:rPr>
                <w:sz w:val="20"/>
                <w:szCs w:val="20"/>
                <w:lang w:val="en-US"/>
              </w:rPr>
              <w:t>28,07%</w:t>
            </w:r>
          </w:p>
          <w:p w14:paraId="15A9CEC8" w14:textId="77777777" w:rsidR="008C4DFA" w:rsidRPr="00B33A7D" w:rsidRDefault="008C4DFA" w:rsidP="006C419A">
            <w:pPr>
              <w:spacing w:line="480" w:lineRule="auto"/>
              <w:jc w:val="center"/>
              <w:rPr>
                <w:sz w:val="20"/>
                <w:szCs w:val="20"/>
                <w:lang w:val="en-US"/>
              </w:rPr>
            </w:pPr>
            <w:r w:rsidRPr="00B33A7D">
              <w:rPr>
                <w:sz w:val="20"/>
                <w:szCs w:val="20"/>
                <w:lang w:val="en-US"/>
              </w:rPr>
              <w:t>(n=144)</w:t>
            </w:r>
          </w:p>
        </w:tc>
        <w:tc>
          <w:tcPr>
            <w:tcW w:w="833" w:type="dxa"/>
            <w:tcBorders>
              <w:top w:val="single" w:sz="4" w:space="0" w:color="auto"/>
              <w:bottom w:val="single" w:sz="4" w:space="0" w:color="auto"/>
            </w:tcBorders>
            <w:shd w:val="clear" w:color="auto" w:fill="auto"/>
          </w:tcPr>
          <w:p w14:paraId="2E6E7D7D" w14:textId="77777777" w:rsidR="00E12F04" w:rsidRPr="00B33A7D" w:rsidRDefault="008C4DFA" w:rsidP="006C419A">
            <w:pPr>
              <w:spacing w:line="480" w:lineRule="auto"/>
              <w:jc w:val="center"/>
              <w:rPr>
                <w:sz w:val="20"/>
                <w:szCs w:val="20"/>
                <w:lang w:val="en-US"/>
              </w:rPr>
            </w:pPr>
            <w:r w:rsidRPr="00B33A7D">
              <w:rPr>
                <w:sz w:val="20"/>
                <w:szCs w:val="20"/>
                <w:lang w:val="en-US"/>
              </w:rPr>
              <w:t>2,6</w:t>
            </w:r>
            <w:r w:rsidR="00E12F04" w:rsidRPr="00B33A7D">
              <w:rPr>
                <w:sz w:val="20"/>
                <w:szCs w:val="20"/>
                <w:lang w:val="en-US"/>
              </w:rPr>
              <w:t>4%</w:t>
            </w:r>
          </w:p>
          <w:p w14:paraId="5FD0EC0A" w14:textId="77777777" w:rsidR="00E12F04" w:rsidRPr="00B33A7D" w:rsidRDefault="00E12F04" w:rsidP="006C419A">
            <w:pPr>
              <w:spacing w:line="480" w:lineRule="auto"/>
              <w:jc w:val="center"/>
              <w:rPr>
                <w:sz w:val="20"/>
                <w:szCs w:val="20"/>
                <w:lang w:val="en-US"/>
              </w:rPr>
            </w:pPr>
            <w:r w:rsidRPr="00B33A7D">
              <w:rPr>
                <w:sz w:val="20"/>
                <w:szCs w:val="20"/>
                <w:lang w:val="en-US"/>
              </w:rPr>
              <w:t>(n=15)</w:t>
            </w:r>
          </w:p>
        </w:tc>
        <w:tc>
          <w:tcPr>
            <w:tcW w:w="862" w:type="dxa"/>
            <w:tcBorders>
              <w:top w:val="single" w:sz="4" w:space="0" w:color="auto"/>
              <w:bottom w:val="single" w:sz="4" w:space="0" w:color="auto"/>
            </w:tcBorders>
            <w:shd w:val="clear" w:color="auto" w:fill="auto"/>
          </w:tcPr>
          <w:p w14:paraId="6CFC2E58" w14:textId="77777777" w:rsidR="00E12F04" w:rsidRPr="00B33A7D" w:rsidRDefault="008C4DFA" w:rsidP="006C419A">
            <w:pPr>
              <w:spacing w:line="480" w:lineRule="auto"/>
              <w:jc w:val="center"/>
              <w:rPr>
                <w:sz w:val="20"/>
                <w:szCs w:val="20"/>
                <w:lang w:val="en-US"/>
              </w:rPr>
            </w:pPr>
            <w:r w:rsidRPr="00B33A7D">
              <w:rPr>
                <w:sz w:val="20"/>
                <w:szCs w:val="20"/>
                <w:lang w:val="en-US"/>
              </w:rPr>
              <w:t>26,36</w:t>
            </w:r>
            <w:r w:rsidR="00E12F04" w:rsidRPr="00B33A7D">
              <w:rPr>
                <w:sz w:val="20"/>
                <w:szCs w:val="20"/>
                <w:lang w:val="en-US"/>
              </w:rPr>
              <w:t>%</w:t>
            </w:r>
          </w:p>
          <w:p w14:paraId="218AE9B2" w14:textId="77777777" w:rsidR="00E12F04" w:rsidRPr="00B33A7D" w:rsidRDefault="00E12F04" w:rsidP="006C419A">
            <w:pPr>
              <w:spacing w:line="480" w:lineRule="auto"/>
              <w:jc w:val="center"/>
              <w:rPr>
                <w:sz w:val="20"/>
                <w:szCs w:val="20"/>
                <w:lang w:val="en-US"/>
              </w:rPr>
            </w:pPr>
            <w:r w:rsidRPr="00B33A7D">
              <w:rPr>
                <w:sz w:val="20"/>
                <w:szCs w:val="20"/>
                <w:lang w:val="en-US"/>
              </w:rPr>
              <w:t>(n=150)</w:t>
            </w:r>
          </w:p>
        </w:tc>
        <w:tc>
          <w:tcPr>
            <w:tcW w:w="962" w:type="dxa"/>
            <w:tcBorders>
              <w:top w:val="single" w:sz="4" w:space="0" w:color="auto"/>
              <w:bottom w:val="single" w:sz="4" w:space="0" w:color="auto"/>
            </w:tcBorders>
          </w:tcPr>
          <w:p w14:paraId="693411BA" w14:textId="77777777" w:rsidR="00E12F04" w:rsidRPr="00B33A7D" w:rsidRDefault="008C4DFA" w:rsidP="006C419A">
            <w:pPr>
              <w:spacing w:line="480" w:lineRule="auto"/>
              <w:jc w:val="center"/>
              <w:rPr>
                <w:sz w:val="20"/>
                <w:szCs w:val="20"/>
                <w:lang w:val="en-US"/>
              </w:rPr>
            </w:pPr>
            <w:r w:rsidRPr="00B33A7D">
              <w:rPr>
                <w:sz w:val="20"/>
                <w:szCs w:val="20"/>
                <w:lang w:val="en-US"/>
              </w:rPr>
              <w:t>29,00%</w:t>
            </w:r>
          </w:p>
          <w:p w14:paraId="0D98F207" w14:textId="77777777" w:rsidR="008C4DFA" w:rsidRPr="00B33A7D" w:rsidRDefault="008C4DFA" w:rsidP="006C419A">
            <w:pPr>
              <w:spacing w:line="480" w:lineRule="auto"/>
              <w:jc w:val="center"/>
              <w:rPr>
                <w:sz w:val="20"/>
                <w:szCs w:val="20"/>
                <w:lang w:val="en-US"/>
              </w:rPr>
            </w:pPr>
            <w:r w:rsidRPr="00B33A7D">
              <w:rPr>
                <w:sz w:val="20"/>
                <w:szCs w:val="20"/>
                <w:lang w:val="en-US"/>
              </w:rPr>
              <w:t>(n=165)</w:t>
            </w:r>
          </w:p>
        </w:tc>
      </w:tr>
      <w:tr w:rsidR="00CB08C4" w:rsidRPr="00B33A7D" w14:paraId="41F560FB" w14:textId="77777777" w:rsidTr="001E7F10">
        <w:trPr>
          <w:trHeight w:val="560"/>
          <w:jc w:val="center"/>
        </w:trPr>
        <w:tc>
          <w:tcPr>
            <w:tcW w:w="1794" w:type="dxa"/>
            <w:vMerge/>
            <w:shd w:val="clear" w:color="auto" w:fill="auto"/>
          </w:tcPr>
          <w:p w14:paraId="1EF6175F" w14:textId="77777777" w:rsidR="00E12F04" w:rsidRPr="00B33A7D" w:rsidRDefault="00E12F04" w:rsidP="006C419A">
            <w:pPr>
              <w:autoSpaceDE w:val="0"/>
              <w:autoSpaceDN w:val="0"/>
              <w:adjustRightInd w:val="0"/>
              <w:spacing w:line="480" w:lineRule="auto"/>
              <w:jc w:val="center"/>
              <w:rPr>
                <w:sz w:val="20"/>
                <w:szCs w:val="20"/>
                <w:lang w:val="en-US"/>
              </w:rPr>
            </w:pPr>
          </w:p>
        </w:tc>
        <w:tc>
          <w:tcPr>
            <w:tcW w:w="672" w:type="dxa"/>
            <w:tcBorders>
              <w:top w:val="single" w:sz="4" w:space="0" w:color="auto"/>
              <w:bottom w:val="single" w:sz="4" w:space="0" w:color="auto"/>
            </w:tcBorders>
            <w:shd w:val="clear" w:color="auto" w:fill="auto"/>
          </w:tcPr>
          <w:p w14:paraId="61EB5314" w14:textId="77777777" w:rsidR="00E12F04" w:rsidRPr="00B33A7D" w:rsidRDefault="00E12F04" w:rsidP="006C419A">
            <w:pPr>
              <w:autoSpaceDE w:val="0"/>
              <w:autoSpaceDN w:val="0"/>
              <w:adjustRightInd w:val="0"/>
              <w:spacing w:line="480" w:lineRule="auto"/>
              <w:jc w:val="center"/>
              <w:rPr>
                <w:b/>
                <w:sz w:val="20"/>
                <w:szCs w:val="20"/>
                <w:lang w:val="en-US"/>
              </w:rPr>
            </w:pPr>
            <w:r w:rsidRPr="00B33A7D">
              <w:rPr>
                <w:b/>
                <w:sz w:val="20"/>
                <w:szCs w:val="20"/>
                <w:lang w:val="en-US"/>
              </w:rPr>
              <w:t>N</w:t>
            </w:r>
            <w:r w:rsidR="00D215FC" w:rsidRPr="00B33A7D">
              <w:rPr>
                <w:b/>
                <w:sz w:val="20"/>
                <w:szCs w:val="20"/>
                <w:lang w:val="en-US"/>
              </w:rPr>
              <w:t>o</w:t>
            </w:r>
          </w:p>
        </w:tc>
        <w:tc>
          <w:tcPr>
            <w:tcW w:w="862" w:type="dxa"/>
            <w:tcBorders>
              <w:top w:val="single" w:sz="4" w:space="0" w:color="auto"/>
              <w:bottom w:val="single" w:sz="4" w:space="0" w:color="auto"/>
            </w:tcBorders>
            <w:shd w:val="clear" w:color="auto" w:fill="auto"/>
          </w:tcPr>
          <w:p w14:paraId="1BDF0F9E" w14:textId="77777777" w:rsidR="00E12F04" w:rsidRPr="00B33A7D" w:rsidRDefault="008C4DFA" w:rsidP="006C419A">
            <w:pPr>
              <w:spacing w:line="480" w:lineRule="auto"/>
              <w:jc w:val="center"/>
              <w:rPr>
                <w:sz w:val="20"/>
                <w:szCs w:val="20"/>
                <w:lang w:val="en-US"/>
              </w:rPr>
            </w:pPr>
            <w:r w:rsidRPr="00B33A7D">
              <w:rPr>
                <w:sz w:val="20"/>
                <w:szCs w:val="20"/>
                <w:lang w:val="en-US"/>
              </w:rPr>
              <w:t>48,21</w:t>
            </w:r>
            <w:r w:rsidR="00E12F04" w:rsidRPr="00B33A7D">
              <w:rPr>
                <w:sz w:val="20"/>
                <w:szCs w:val="20"/>
                <w:lang w:val="en-US"/>
              </w:rPr>
              <w:t>%</w:t>
            </w:r>
          </w:p>
          <w:p w14:paraId="5766E2B5" w14:textId="77777777" w:rsidR="00E12F04" w:rsidRPr="00B33A7D" w:rsidRDefault="00E12F04" w:rsidP="006C419A">
            <w:pPr>
              <w:spacing w:line="480" w:lineRule="auto"/>
              <w:jc w:val="center"/>
              <w:rPr>
                <w:sz w:val="20"/>
                <w:szCs w:val="20"/>
                <w:lang w:val="en-US"/>
              </w:rPr>
            </w:pPr>
            <w:r w:rsidRPr="00B33A7D">
              <w:rPr>
                <w:sz w:val="20"/>
                <w:szCs w:val="20"/>
                <w:lang w:val="en-US"/>
              </w:rPr>
              <w:t>(n=269)</w:t>
            </w:r>
          </w:p>
        </w:tc>
        <w:tc>
          <w:tcPr>
            <w:tcW w:w="862" w:type="dxa"/>
            <w:tcBorders>
              <w:top w:val="single" w:sz="4" w:space="0" w:color="auto"/>
              <w:bottom w:val="single" w:sz="4" w:space="0" w:color="auto"/>
            </w:tcBorders>
            <w:shd w:val="clear" w:color="auto" w:fill="auto"/>
          </w:tcPr>
          <w:p w14:paraId="21143071" w14:textId="77777777" w:rsidR="00E12F04" w:rsidRPr="00B33A7D" w:rsidRDefault="008C4DFA" w:rsidP="006C419A">
            <w:pPr>
              <w:spacing w:line="480" w:lineRule="auto"/>
              <w:jc w:val="center"/>
              <w:rPr>
                <w:sz w:val="20"/>
                <w:szCs w:val="20"/>
                <w:lang w:val="en-US"/>
              </w:rPr>
            </w:pPr>
            <w:r w:rsidRPr="00B33A7D">
              <w:rPr>
                <w:sz w:val="20"/>
                <w:szCs w:val="20"/>
                <w:lang w:val="en-US"/>
              </w:rPr>
              <w:t>23,66</w:t>
            </w:r>
            <w:r w:rsidR="00E12F04" w:rsidRPr="00B33A7D">
              <w:rPr>
                <w:sz w:val="20"/>
                <w:szCs w:val="20"/>
                <w:lang w:val="en-US"/>
              </w:rPr>
              <w:t>%</w:t>
            </w:r>
          </w:p>
          <w:p w14:paraId="1E932E1A" w14:textId="77777777" w:rsidR="00E12F04" w:rsidRPr="00B33A7D" w:rsidRDefault="00E12F04" w:rsidP="006C419A">
            <w:pPr>
              <w:spacing w:line="480" w:lineRule="auto"/>
              <w:jc w:val="center"/>
              <w:rPr>
                <w:sz w:val="20"/>
                <w:szCs w:val="20"/>
                <w:lang w:val="en-US"/>
              </w:rPr>
            </w:pPr>
            <w:r w:rsidRPr="00B33A7D">
              <w:rPr>
                <w:sz w:val="20"/>
                <w:szCs w:val="20"/>
                <w:lang w:val="en-US"/>
              </w:rPr>
              <w:t>(n=132)</w:t>
            </w:r>
          </w:p>
        </w:tc>
        <w:tc>
          <w:tcPr>
            <w:tcW w:w="962" w:type="dxa"/>
            <w:tcBorders>
              <w:top w:val="single" w:sz="4" w:space="0" w:color="auto"/>
              <w:bottom w:val="single" w:sz="4" w:space="0" w:color="auto"/>
            </w:tcBorders>
          </w:tcPr>
          <w:p w14:paraId="0F5C6720" w14:textId="77777777" w:rsidR="00E12F04" w:rsidRPr="00B33A7D" w:rsidRDefault="008C4DFA" w:rsidP="006C419A">
            <w:pPr>
              <w:spacing w:line="480" w:lineRule="auto"/>
              <w:jc w:val="center"/>
              <w:rPr>
                <w:sz w:val="20"/>
                <w:szCs w:val="20"/>
                <w:lang w:val="en-US"/>
              </w:rPr>
            </w:pPr>
            <w:r w:rsidRPr="00B33A7D">
              <w:rPr>
                <w:sz w:val="20"/>
                <w:szCs w:val="20"/>
                <w:lang w:val="en-US"/>
              </w:rPr>
              <w:t>71,86%</w:t>
            </w:r>
          </w:p>
          <w:p w14:paraId="66ECFBA2" w14:textId="77777777" w:rsidR="008C4DFA" w:rsidRPr="00B33A7D" w:rsidRDefault="008C4DFA" w:rsidP="006C419A">
            <w:pPr>
              <w:spacing w:line="480" w:lineRule="auto"/>
              <w:jc w:val="center"/>
              <w:rPr>
                <w:sz w:val="20"/>
                <w:szCs w:val="20"/>
                <w:lang w:val="en-US"/>
              </w:rPr>
            </w:pPr>
            <w:r w:rsidRPr="00B33A7D">
              <w:rPr>
                <w:sz w:val="20"/>
                <w:szCs w:val="20"/>
                <w:lang w:val="en-US"/>
              </w:rPr>
              <w:t>(n=401)</w:t>
            </w:r>
          </w:p>
        </w:tc>
        <w:tc>
          <w:tcPr>
            <w:tcW w:w="862" w:type="dxa"/>
            <w:tcBorders>
              <w:top w:val="single" w:sz="4" w:space="0" w:color="auto"/>
              <w:bottom w:val="single" w:sz="4" w:space="0" w:color="auto"/>
            </w:tcBorders>
            <w:shd w:val="clear" w:color="auto" w:fill="auto"/>
          </w:tcPr>
          <w:p w14:paraId="2C7E5ADB" w14:textId="77777777" w:rsidR="00E12F04" w:rsidRPr="00B33A7D" w:rsidRDefault="008C4DFA" w:rsidP="006C419A">
            <w:pPr>
              <w:spacing w:line="480" w:lineRule="auto"/>
              <w:jc w:val="center"/>
              <w:rPr>
                <w:sz w:val="20"/>
                <w:szCs w:val="20"/>
                <w:lang w:val="en-US"/>
              </w:rPr>
            </w:pPr>
            <w:r w:rsidRPr="00B33A7D">
              <w:rPr>
                <w:sz w:val="20"/>
                <w:szCs w:val="20"/>
                <w:lang w:val="en-US"/>
              </w:rPr>
              <w:t>29,43%</w:t>
            </w:r>
          </w:p>
          <w:p w14:paraId="067057B5" w14:textId="77777777" w:rsidR="00E12F04" w:rsidRPr="00B33A7D" w:rsidRDefault="00E12F04" w:rsidP="006C419A">
            <w:pPr>
              <w:spacing w:line="480" w:lineRule="auto"/>
              <w:jc w:val="center"/>
              <w:rPr>
                <w:sz w:val="20"/>
                <w:szCs w:val="20"/>
                <w:lang w:val="en-US"/>
              </w:rPr>
            </w:pPr>
            <w:r w:rsidRPr="00B33A7D">
              <w:rPr>
                <w:sz w:val="20"/>
                <w:szCs w:val="20"/>
                <w:lang w:val="en-US"/>
              </w:rPr>
              <w:t>(n=151)</w:t>
            </w:r>
          </w:p>
        </w:tc>
        <w:tc>
          <w:tcPr>
            <w:tcW w:w="862" w:type="dxa"/>
            <w:tcBorders>
              <w:top w:val="single" w:sz="4" w:space="0" w:color="auto"/>
              <w:bottom w:val="single" w:sz="4" w:space="0" w:color="auto"/>
            </w:tcBorders>
            <w:shd w:val="clear" w:color="auto" w:fill="auto"/>
          </w:tcPr>
          <w:p w14:paraId="1EE16D8F" w14:textId="77777777" w:rsidR="00E12F04" w:rsidRPr="00B33A7D" w:rsidRDefault="008C4DFA" w:rsidP="006C419A">
            <w:pPr>
              <w:autoSpaceDE w:val="0"/>
              <w:autoSpaceDN w:val="0"/>
              <w:adjustRightInd w:val="0"/>
              <w:spacing w:line="480" w:lineRule="auto"/>
              <w:jc w:val="center"/>
              <w:rPr>
                <w:sz w:val="20"/>
                <w:szCs w:val="20"/>
                <w:lang w:val="en-US"/>
              </w:rPr>
            </w:pPr>
            <w:r w:rsidRPr="00B33A7D">
              <w:rPr>
                <w:sz w:val="20"/>
                <w:szCs w:val="20"/>
                <w:lang w:val="en-US"/>
              </w:rPr>
              <w:t>42,50%</w:t>
            </w:r>
          </w:p>
          <w:p w14:paraId="4934C045" w14:textId="77777777" w:rsidR="00E12F04" w:rsidRPr="00B33A7D" w:rsidRDefault="00E12F04" w:rsidP="006C419A">
            <w:pPr>
              <w:autoSpaceDE w:val="0"/>
              <w:autoSpaceDN w:val="0"/>
              <w:adjustRightInd w:val="0"/>
              <w:spacing w:line="480" w:lineRule="auto"/>
              <w:jc w:val="center"/>
              <w:rPr>
                <w:sz w:val="20"/>
                <w:szCs w:val="20"/>
                <w:lang w:val="en-US"/>
              </w:rPr>
            </w:pPr>
            <w:r w:rsidRPr="00B33A7D">
              <w:rPr>
                <w:sz w:val="20"/>
                <w:szCs w:val="20"/>
                <w:lang w:val="en-US"/>
              </w:rPr>
              <w:t>(n=218)</w:t>
            </w:r>
          </w:p>
        </w:tc>
        <w:tc>
          <w:tcPr>
            <w:tcW w:w="962" w:type="dxa"/>
            <w:tcBorders>
              <w:top w:val="single" w:sz="4" w:space="0" w:color="auto"/>
              <w:bottom w:val="single" w:sz="4" w:space="0" w:color="auto"/>
            </w:tcBorders>
          </w:tcPr>
          <w:p w14:paraId="07C0EF30" w14:textId="77777777" w:rsidR="00E12F04" w:rsidRPr="00B33A7D" w:rsidRDefault="008C4DFA" w:rsidP="006C419A">
            <w:pPr>
              <w:autoSpaceDE w:val="0"/>
              <w:autoSpaceDN w:val="0"/>
              <w:adjustRightInd w:val="0"/>
              <w:spacing w:line="480" w:lineRule="auto"/>
              <w:jc w:val="center"/>
              <w:rPr>
                <w:sz w:val="20"/>
                <w:szCs w:val="20"/>
                <w:lang w:val="en-US"/>
              </w:rPr>
            </w:pPr>
            <w:r w:rsidRPr="00B33A7D">
              <w:rPr>
                <w:sz w:val="20"/>
                <w:szCs w:val="20"/>
                <w:lang w:val="en-US"/>
              </w:rPr>
              <w:t>71,93%</w:t>
            </w:r>
          </w:p>
          <w:p w14:paraId="0FA4A8EE" w14:textId="77777777" w:rsidR="008C4DFA" w:rsidRPr="00B33A7D" w:rsidRDefault="008C4DFA" w:rsidP="006C419A">
            <w:pPr>
              <w:autoSpaceDE w:val="0"/>
              <w:autoSpaceDN w:val="0"/>
              <w:adjustRightInd w:val="0"/>
              <w:spacing w:line="480" w:lineRule="auto"/>
              <w:jc w:val="center"/>
              <w:rPr>
                <w:sz w:val="20"/>
                <w:szCs w:val="20"/>
                <w:lang w:val="en-US"/>
              </w:rPr>
            </w:pPr>
            <w:r w:rsidRPr="00B33A7D">
              <w:rPr>
                <w:sz w:val="20"/>
                <w:szCs w:val="20"/>
                <w:lang w:val="en-US"/>
              </w:rPr>
              <w:t>(n=369)</w:t>
            </w:r>
          </w:p>
        </w:tc>
        <w:tc>
          <w:tcPr>
            <w:tcW w:w="833" w:type="dxa"/>
            <w:tcBorders>
              <w:top w:val="single" w:sz="4" w:space="0" w:color="auto"/>
              <w:bottom w:val="single" w:sz="4" w:space="0" w:color="auto"/>
            </w:tcBorders>
            <w:shd w:val="clear" w:color="auto" w:fill="auto"/>
          </w:tcPr>
          <w:p w14:paraId="3AF1778C" w14:textId="77777777" w:rsidR="00E12F04" w:rsidRPr="00B33A7D" w:rsidRDefault="008C4DFA" w:rsidP="006C419A">
            <w:pPr>
              <w:autoSpaceDE w:val="0"/>
              <w:autoSpaceDN w:val="0"/>
              <w:adjustRightInd w:val="0"/>
              <w:spacing w:line="480" w:lineRule="auto"/>
              <w:jc w:val="center"/>
              <w:rPr>
                <w:sz w:val="20"/>
                <w:szCs w:val="20"/>
                <w:lang w:val="en-US"/>
              </w:rPr>
            </w:pPr>
            <w:r w:rsidRPr="00B33A7D">
              <w:rPr>
                <w:sz w:val="20"/>
                <w:szCs w:val="20"/>
                <w:lang w:val="en-US"/>
              </w:rPr>
              <w:t>9,49</w:t>
            </w:r>
            <w:r w:rsidR="00E12F04" w:rsidRPr="00B33A7D">
              <w:rPr>
                <w:sz w:val="20"/>
                <w:szCs w:val="20"/>
                <w:lang w:val="en-US"/>
              </w:rPr>
              <w:t>%</w:t>
            </w:r>
          </w:p>
          <w:p w14:paraId="5C83FB77" w14:textId="77777777" w:rsidR="00E12F04" w:rsidRPr="00B33A7D" w:rsidRDefault="00E12F04" w:rsidP="006C419A">
            <w:pPr>
              <w:autoSpaceDE w:val="0"/>
              <w:autoSpaceDN w:val="0"/>
              <w:adjustRightInd w:val="0"/>
              <w:spacing w:line="480" w:lineRule="auto"/>
              <w:jc w:val="center"/>
              <w:rPr>
                <w:sz w:val="20"/>
                <w:szCs w:val="20"/>
                <w:lang w:val="en-US"/>
              </w:rPr>
            </w:pPr>
            <w:r w:rsidRPr="00B33A7D">
              <w:rPr>
                <w:sz w:val="20"/>
                <w:szCs w:val="20"/>
                <w:lang w:val="en-US"/>
              </w:rPr>
              <w:t>(n=54)</w:t>
            </w:r>
          </w:p>
        </w:tc>
        <w:tc>
          <w:tcPr>
            <w:tcW w:w="862" w:type="dxa"/>
            <w:tcBorders>
              <w:top w:val="single" w:sz="4" w:space="0" w:color="auto"/>
              <w:bottom w:val="single" w:sz="4" w:space="0" w:color="auto"/>
            </w:tcBorders>
            <w:shd w:val="clear" w:color="auto" w:fill="auto"/>
          </w:tcPr>
          <w:p w14:paraId="4E52FA9E" w14:textId="77777777" w:rsidR="00E12F04" w:rsidRPr="00B33A7D" w:rsidRDefault="008C4DFA" w:rsidP="006C419A">
            <w:pPr>
              <w:autoSpaceDE w:val="0"/>
              <w:autoSpaceDN w:val="0"/>
              <w:adjustRightInd w:val="0"/>
              <w:spacing w:line="480" w:lineRule="auto"/>
              <w:jc w:val="center"/>
              <w:rPr>
                <w:sz w:val="20"/>
                <w:szCs w:val="20"/>
                <w:lang w:val="en-US"/>
              </w:rPr>
            </w:pPr>
            <w:r w:rsidRPr="00B33A7D">
              <w:rPr>
                <w:sz w:val="20"/>
                <w:szCs w:val="20"/>
                <w:lang w:val="en-US"/>
              </w:rPr>
              <w:t>61,51</w:t>
            </w:r>
            <w:r w:rsidR="00E12F04" w:rsidRPr="00B33A7D">
              <w:rPr>
                <w:sz w:val="20"/>
                <w:szCs w:val="20"/>
                <w:lang w:val="en-US"/>
              </w:rPr>
              <w:t>%</w:t>
            </w:r>
          </w:p>
          <w:p w14:paraId="606558F0" w14:textId="77777777" w:rsidR="00E12F04" w:rsidRPr="00B33A7D" w:rsidRDefault="00E12F04" w:rsidP="006C419A">
            <w:pPr>
              <w:autoSpaceDE w:val="0"/>
              <w:autoSpaceDN w:val="0"/>
              <w:adjustRightInd w:val="0"/>
              <w:spacing w:line="480" w:lineRule="auto"/>
              <w:jc w:val="center"/>
              <w:rPr>
                <w:sz w:val="20"/>
                <w:szCs w:val="20"/>
                <w:lang w:val="en-US"/>
              </w:rPr>
            </w:pPr>
            <w:r w:rsidRPr="00B33A7D">
              <w:rPr>
                <w:sz w:val="20"/>
                <w:szCs w:val="20"/>
                <w:lang w:val="en-US"/>
              </w:rPr>
              <w:t>(n=350)</w:t>
            </w:r>
          </w:p>
        </w:tc>
        <w:tc>
          <w:tcPr>
            <w:tcW w:w="962" w:type="dxa"/>
            <w:tcBorders>
              <w:top w:val="single" w:sz="4" w:space="0" w:color="auto"/>
              <w:bottom w:val="single" w:sz="4" w:space="0" w:color="auto"/>
            </w:tcBorders>
          </w:tcPr>
          <w:p w14:paraId="2B11CB5A" w14:textId="77777777" w:rsidR="00E12F04" w:rsidRPr="00B33A7D" w:rsidRDefault="008C4DFA" w:rsidP="006C419A">
            <w:pPr>
              <w:autoSpaceDE w:val="0"/>
              <w:autoSpaceDN w:val="0"/>
              <w:adjustRightInd w:val="0"/>
              <w:spacing w:line="480" w:lineRule="auto"/>
              <w:jc w:val="center"/>
              <w:rPr>
                <w:sz w:val="20"/>
                <w:szCs w:val="20"/>
                <w:lang w:val="en-US"/>
              </w:rPr>
            </w:pPr>
            <w:r w:rsidRPr="00B33A7D">
              <w:rPr>
                <w:sz w:val="20"/>
                <w:szCs w:val="20"/>
                <w:lang w:val="en-US"/>
              </w:rPr>
              <w:t>71,00%</w:t>
            </w:r>
          </w:p>
          <w:p w14:paraId="64B2FF34" w14:textId="77777777" w:rsidR="008C4DFA" w:rsidRPr="00B33A7D" w:rsidRDefault="008C4DFA" w:rsidP="006C419A">
            <w:pPr>
              <w:autoSpaceDE w:val="0"/>
              <w:autoSpaceDN w:val="0"/>
              <w:adjustRightInd w:val="0"/>
              <w:spacing w:line="480" w:lineRule="auto"/>
              <w:jc w:val="center"/>
              <w:rPr>
                <w:sz w:val="20"/>
                <w:szCs w:val="20"/>
                <w:lang w:val="en-US"/>
              </w:rPr>
            </w:pPr>
            <w:r w:rsidRPr="00B33A7D">
              <w:rPr>
                <w:sz w:val="20"/>
                <w:szCs w:val="20"/>
                <w:lang w:val="en-US"/>
              </w:rPr>
              <w:t>(n=404)</w:t>
            </w:r>
          </w:p>
        </w:tc>
      </w:tr>
      <w:tr w:rsidR="00CB08C4" w:rsidRPr="00B33A7D" w14:paraId="16AA6830" w14:textId="77777777" w:rsidTr="001E7F10">
        <w:trPr>
          <w:trHeight w:val="375"/>
          <w:jc w:val="center"/>
        </w:trPr>
        <w:tc>
          <w:tcPr>
            <w:tcW w:w="1794" w:type="dxa"/>
            <w:vMerge/>
            <w:tcBorders>
              <w:bottom w:val="single" w:sz="4" w:space="0" w:color="auto"/>
            </w:tcBorders>
            <w:shd w:val="clear" w:color="auto" w:fill="auto"/>
          </w:tcPr>
          <w:p w14:paraId="7D965705" w14:textId="77777777" w:rsidR="00E12F04" w:rsidRPr="00B33A7D" w:rsidRDefault="00E12F04" w:rsidP="006C419A">
            <w:pPr>
              <w:autoSpaceDE w:val="0"/>
              <w:autoSpaceDN w:val="0"/>
              <w:adjustRightInd w:val="0"/>
              <w:spacing w:line="480" w:lineRule="auto"/>
              <w:jc w:val="center"/>
              <w:rPr>
                <w:sz w:val="20"/>
                <w:szCs w:val="20"/>
                <w:lang w:val="en-US"/>
              </w:rPr>
            </w:pPr>
          </w:p>
        </w:tc>
        <w:tc>
          <w:tcPr>
            <w:tcW w:w="672" w:type="dxa"/>
            <w:tcBorders>
              <w:top w:val="single" w:sz="4" w:space="0" w:color="auto"/>
              <w:bottom w:val="single" w:sz="4" w:space="0" w:color="auto"/>
            </w:tcBorders>
            <w:shd w:val="clear" w:color="auto" w:fill="auto"/>
          </w:tcPr>
          <w:p w14:paraId="0B9552DB" w14:textId="77777777" w:rsidR="00E12F04" w:rsidRPr="00B33A7D" w:rsidRDefault="00E12F04" w:rsidP="006C419A">
            <w:pPr>
              <w:autoSpaceDE w:val="0"/>
              <w:autoSpaceDN w:val="0"/>
              <w:adjustRightInd w:val="0"/>
              <w:spacing w:line="480" w:lineRule="auto"/>
              <w:jc w:val="center"/>
              <w:rPr>
                <w:b/>
                <w:sz w:val="20"/>
                <w:szCs w:val="20"/>
                <w:lang w:val="en-US"/>
              </w:rPr>
            </w:pPr>
            <w:r w:rsidRPr="00B33A7D">
              <w:rPr>
                <w:b/>
                <w:sz w:val="20"/>
                <w:szCs w:val="20"/>
                <w:lang w:val="en-US"/>
              </w:rPr>
              <w:t>Total</w:t>
            </w:r>
          </w:p>
        </w:tc>
        <w:tc>
          <w:tcPr>
            <w:tcW w:w="862" w:type="dxa"/>
            <w:tcBorders>
              <w:top w:val="single" w:sz="4" w:space="0" w:color="auto"/>
              <w:bottom w:val="single" w:sz="4" w:space="0" w:color="auto"/>
            </w:tcBorders>
            <w:shd w:val="clear" w:color="auto" w:fill="auto"/>
          </w:tcPr>
          <w:p w14:paraId="7A984EBB" w14:textId="77777777" w:rsidR="00E12F04" w:rsidRPr="00B33A7D" w:rsidRDefault="008C4DFA" w:rsidP="006C419A">
            <w:pPr>
              <w:autoSpaceDE w:val="0"/>
              <w:autoSpaceDN w:val="0"/>
              <w:adjustRightInd w:val="0"/>
              <w:spacing w:line="480" w:lineRule="auto"/>
              <w:jc w:val="center"/>
              <w:rPr>
                <w:sz w:val="20"/>
                <w:szCs w:val="20"/>
                <w:lang w:val="en-US"/>
              </w:rPr>
            </w:pPr>
            <w:r w:rsidRPr="00B33A7D">
              <w:rPr>
                <w:sz w:val="20"/>
                <w:szCs w:val="20"/>
                <w:lang w:val="en-US"/>
              </w:rPr>
              <w:t>65,23</w:t>
            </w:r>
            <w:r w:rsidR="00E12F04" w:rsidRPr="00B33A7D">
              <w:rPr>
                <w:sz w:val="20"/>
                <w:szCs w:val="20"/>
                <w:lang w:val="en-US"/>
              </w:rPr>
              <w:t>%</w:t>
            </w:r>
          </w:p>
          <w:p w14:paraId="40115E76" w14:textId="77777777" w:rsidR="00E12F04" w:rsidRPr="00B33A7D" w:rsidRDefault="00E12F04" w:rsidP="006C419A">
            <w:pPr>
              <w:autoSpaceDE w:val="0"/>
              <w:autoSpaceDN w:val="0"/>
              <w:adjustRightInd w:val="0"/>
              <w:spacing w:line="480" w:lineRule="auto"/>
              <w:jc w:val="center"/>
              <w:rPr>
                <w:sz w:val="20"/>
                <w:szCs w:val="20"/>
                <w:lang w:val="en-US"/>
              </w:rPr>
            </w:pPr>
            <w:r w:rsidRPr="00B33A7D">
              <w:rPr>
                <w:sz w:val="20"/>
                <w:szCs w:val="20"/>
                <w:lang w:val="en-US"/>
              </w:rPr>
              <w:t>(n=364)</w:t>
            </w:r>
          </w:p>
        </w:tc>
        <w:tc>
          <w:tcPr>
            <w:tcW w:w="862" w:type="dxa"/>
            <w:tcBorders>
              <w:top w:val="single" w:sz="4" w:space="0" w:color="auto"/>
              <w:bottom w:val="single" w:sz="4" w:space="0" w:color="auto"/>
            </w:tcBorders>
            <w:shd w:val="clear" w:color="auto" w:fill="auto"/>
          </w:tcPr>
          <w:p w14:paraId="75619886" w14:textId="77777777" w:rsidR="00E12F04" w:rsidRPr="00B33A7D" w:rsidRDefault="008C4DFA" w:rsidP="006C419A">
            <w:pPr>
              <w:autoSpaceDE w:val="0"/>
              <w:autoSpaceDN w:val="0"/>
              <w:adjustRightInd w:val="0"/>
              <w:spacing w:line="480" w:lineRule="auto"/>
              <w:jc w:val="center"/>
              <w:rPr>
                <w:sz w:val="20"/>
                <w:szCs w:val="20"/>
                <w:lang w:val="en-US"/>
              </w:rPr>
            </w:pPr>
            <w:r w:rsidRPr="00B33A7D">
              <w:rPr>
                <w:sz w:val="20"/>
                <w:szCs w:val="20"/>
                <w:lang w:val="en-US"/>
              </w:rPr>
              <w:t>34,77</w:t>
            </w:r>
            <w:r w:rsidR="00E12F04" w:rsidRPr="00B33A7D">
              <w:rPr>
                <w:sz w:val="20"/>
                <w:szCs w:val="20"/>
                <w:lang w:val="en-US"/>
              </w:rPr>
              <w:t>%</w:t>
            </w:r>
          </w:p>
          <w:p w14:paraId="3C254DB5" w14:textId="77777777" w:rsidR="00E12F04" w:rsidRPr="00B33A7D" w:rsidRDefault="00E12F04" w:rsidP="006C419A">
            <w:pPr>
              <w:autoSpaceDE w:val="0"/>
              <w:autoSpaceDN w:val="0"/>
              <w:adjustRightInd w:val="0"/>
              <w:spacing w:line="480" w:lineRule="auto"/>
              <w:jc w:val="center"/>
              <w:rPr>
                <w:sz w:val="20"/>
                <w:szCs w:val="20"/>
                <w:lang w:val="en-US"/>
              </w:rPr>
            </w:pPr>
            <w:r w:rsidRPr="00B33A7D">
              <w:rPr>
                <w:sz w:val="20"/>
                <w:szCs w:val="20"/>
                <w:lang w:val="en-US"/>
              </w:rPr>
              <w:t>(n=194)</w:t>
            </w:r>
          </w:p>
        </w:tc>
        <w:tc>
          <w:tcPr>
            <w:tcW w:w="962" w:type="dxa"/>
            <w:tcBorders>
              <w:top w:val="single" w:sz="4" w:space="0" w:color="auto"/>
              <w:bottom w:val="single" w:sz="4" w:space="0" w:color="auto"/>
            </w:tcBorders>
          </w:tcPr>
          <w:p w14:paraId="7E22EA7F" w14:textId="77777777" w:rsidR="00E12F04" w:rsidRPr="00B33A7D" w:rsidRDefault="008C4DFA" w:rsidP="006C419A">
            <w:pPr>
              <w:autoSpaceDE w:val="0"/>
              <w:autoSpaceDN w:val="0"/>
              <w:adjustRightInd w:val="0"/>
              <w:spacing w:line="480" w:lineRule="auto"/>
              <w:jc w:val="center"/>
              <w:rPr>
                <w:sz w:val="20"/>
                <w:szCs w:val="20"/>
                <w:lang w:val="en-US"/>
              </w:rPr>
            </w:pPr>
            <w:r w:rsidRPr="00B33A7D">
              <w:rPr>
                <w:sz w:val="20"/>
                <w:szCs w:val="20"/>
                <w:lang w:val="en-US"/>
              </w:rPr>
              <w:t>100%</w:t>
            </w:r>
          </w:p>
          <w:p w14:paraId="1C8B10DC" w14:textId="77777777" w:rsidR="00E12F04" w:rsidRPr="00B33A7D" w:rsidRDefault="008C4DFA" w:rsidP="006C419A">
            <w:pPr>
              <w:autoSpaceDE w:val="0"/>
              <w:autoSpaceDN w:val="0"/>
              <w:adjustRightInd w:val="0"/>
              <w:spacing w:line="480" w:lineRule="auto"/>
              <w:jc w:val="center"/>
              <w:rPr>
                <w:sz w:val="20"/>
                <w:szCs w:val="20"/>
                <w:lang w:val="en-US"/>
              </w:rPr>
            </w:pPr>
            <w:r w:rsidRPr="00B33A7D">
              <w:rPr>
                <w:sz w:val="20"/>
                <w:szCs w:val="20"/>
                <w:lang w:val="en-US"/>
              </w:rPr>
              <w:t>(n=</w:t>
            </w:r>
            <w:r w:rsidR="00E12F04" w:rsidRPr="00B33A7D">
              <w:rPr>
                <w:sz w:val="20"/>
                <w:szCs w:val="20"/>
                <w:lang w:val="en-US"/>
              </w:rPr>
              <w:t>558*</w:t>
            </w:r>
            <w:r w:rsidRPr="00B33A7D">
              <w:rPr>
                <w:sz w:val="20"/>
                <w:szCs w:val="20"/>
                <w:lang w:val="en-US"/>
              </w:rPr>
              <w:t>)</w:t>
            </w:r>
          </w:p>
        </w:tc>
        <w:tc>
          <w:tcPr>
            <w:tcW w:w="862" w:type="dxa"/>
            <w:tcBorders>
              <w:top w:val="single" w:sz="4" w:space="0" w:color="auto"/>
              <w:bottom w:val="single" w:sz="4" w:space="0" w:color="auto"/>
            </w:tcBorders>
            <w:shd w:val="clear" w:color="auto" w:fill="auto"/>
          </w:tcPr>
          <w:p w14:paraId="1E12922E" w14:textId="77777777" w:rsidR="00E12F04" w:rsidRPr="00B33A7D" w:rsidRDefault="008C4DFA" w:rsidP="006C419A">
            <w:pPr>
              <w:autoSpaceDE w:val="0"/>
              <w:autoSpaceDN w:val="0"/>
              <w:adjustRightInd w:val="0"/>
              <w:spacing w:line="480" w:lineRule="auto"/>
              <w:jc w:val="center"/>
              <w:rPr>
                <w:sz w:val="20"/>
                <w:szCs w:val="20"/>
                <w:lang w:val="en-US"/>
              </w:rPr>
            </w:pPr>
            <w:r w:rsidRPr="00B33A7D">
              <w:rPr>
                <w:sz w:val="20"/>
                <w:szCs w:val="20"/>
                <w:lang w:val="en-US"/>
              </w:rPr>
              <w:t>39,57</w:t>
            </w:r>
            <w:r w:rsidR="00E12F04" w:rsidRPr="00B33A7D">
              <w:rPr>
                <w:sz w:val="20"/>
                <w:szCs w:val="20"/>
                <w:lang w:val="en-US"/>
              </w:rPr>
              <w:t>%</w:t>
            </w:r>
          </w:p>
          <w:p w14:paraId="497EA269" w14:textId="77777777" w:rsidR="00E12F04" w:rsidRPr="00B33A7D" w:rsidRDefault="00E12F04" w:rsidP="006C419A">
            <w:pPr>
              <w:autoSpaceDE w:val="0"/>
              <w:autoSpaceDN w:val="0"/>
              <w:adjustRightInd w:val="0"/>
              <w:spacing w:line="480" w:lineRule="auto"/>
              <w:jc w:val="center"/>
              <w:rPr>
                <w:sz w:val="20"/>
                <w:szCs w:val="20"/>
                <w:lang w:val="en-US"/>
              </w:rPr>
            </w:pPr>
            <w:r w:rsidRPr="00B33A7D">
              <w:rPr>
                <w:sz w:val="20"/>
                <w:szCs w:val="20"/>
                <w:lang w:val="en-US"/>
              </w:rPr>
              <w:t>(n=203)</w:t>
            </w:r>
          </w:p>
        </w:tc>
        <w:tc>
          <w:tcPr>
            <w:tcW w:w="862" w:type="dxa"/>
            <w:tcBorders>
              <w:top w:val="single" w:sz="4" w:space="0" w:color="auto"/>
              <w:bottom w:val="single" w:sz="4" w:space="0" w:color="auto"/>
            </w:tcBorders>
            <w:shd w:val="clear" w:color="auto" w:fill="auto"/>
          </w:tcPr>
          <w:p w14:paraId="1A297CB9" w14:textId="77777777" w:rsidR="00E12F04" w:rsidRPr="00B33A7D" w:rsidRDefault="008C4DFA" w:rsidP="006C419A">
            <w:pPr>
              <w:autoSpaceDE w:val="0"/>
              <w:autoSpaceDN w:val="0"/>
              <w:adjustRightInd w:val="0"/>
              <w:spacing w:line="480" w:lineRule="auto"/>
              <w:jc w:val="center"/>
              <w:rPr>
                <w:sz w:val="20"/>
                <w:szCs w:val="20"/>
                <w:lang w:val="en-US"/>
              </w:rPr>
            </w:pPr>
            <w:r w:rsidRPr="00B33A7D">
              <w:rPr>
                <w:sz w:val="20"/>
                <w:szCs w:val="20"/>
                <w:lang w:val="en-US"/>
              </w:rPr>
              <w:t>60,43</w:t>
            </w:r>
            <w:r w:rsidR="00E12F04" w:rsidRPr="00B33A7D">
              <w:rPr>
                <w:sz w:val="20"/>
                <w:szCs w:val="20"/>
                <w:lang w:val="en-US"/>
              </w:rPr>
              <w:t>%</w:t>
            </w:r>
          </w:p>
          <w:p w14:paraId="44A2923C" w14:textId="77777777" w:rsidR="00E12F04" w:rsidRPr="00B33A7D" w:rsidRDefault="00E12F04" w:rsidP="006C419A">
            <w:pPr>
              <w:autoSpaceDE w:val="0"/>
              <w:autoSpaceDN w:val="0"/>
              <w:adjustRightInd w:val="0"/>
              <w:spacing w:line="480" w:lineRule="auto"/>
              <w:jc w:val="center"/>
              <w:rPr>
                <w:sz w:val="20"/>
                <w:szCs w:val="20"/>
                <w:lang w:val="en-US"/>
              </w:rPr>
            </w:pPr>
            <w:r w:rsidRPr="00B33A7D">
              <w:rPr>
                <w:sz w:val="20"/>
                <w:szCs w:val="20"/>
                <w:lang w:val="en-US"/>
              </w:rPr>
              <w:t>(n=310)</w:t>
            </w:r>
          </w:p>
        </w:tc>
        <w:tc>
          <w:tcPr>
            <w:tcW w:w="962" w:type="dxa"/>
            <w:tcBorders>
              <w:top w:val="single" w:sz="4" w:space="0" w:color="auto"/>
              <w:bottom w:val="single" w:sz="4" w:space="0" w:color="auto"/>
            </w:tcBorders>
          </w:tcPr>
          <w:p w14:paraId="2BD0D726" w14:textId="77777777" w:rsidR="00E12F04" w:rsidRPr="00B33A7D" w:rsidRDefault="008C4DFA" w:rsidP="006C419A">
            <w:pPr>
              <w:autoSpaceDE w:val="0"/>
              <w:autoSpaceDN w:val="0"/>
              <w:adjustRightInd w:val="0"/>
              <w:spacing w:line="480" w:lineRule="auto"/>
              <w:jc w:val="center"/>
              <w:rPr>
                <w:sz w:val="20"/>
                <w:szCs w:val="20"/>
                <w:lang w:val="en-US"/>
              </w:rPr>
            </w:pPr>
            <w:r w:rsidRPr="00B33A7D">
              <w:rPr>
                <w:sz w:val="20"/>
                <w:szCs w:val="20"/>
                <w:lang w:val="en-US"/>
              </w:rPr>
              <w:t>100%</w:t>
            </w:r>
          </w:p>
          <w:p w14:paraId="05DA8DFF" w14:textId="77777777" w:rsidR="00E12F04" w:rsidRPr="00B33A7D" w:rsidRDefault="008C4DFA" w:rsidP="006C419A">
            <w:pPr>
              <w:autoSpaceDE w:val="0"/>
              <w:autoSpaceDN w:val="0"/>
              <w:adjustRightInd w:val="0"/>
              <w:spacing w:line="480" w:lineRule="auto"/>
              <w:jc w:val="center"/>
              <w:rPr>
                <w:sz w:val="20"/>
                <w:szCs w:val="20"/>
                <w:lang w:val="en-US"/>
              </w:rPr>
            </w:pPr>
            <w:r w:rsidRPr="00B33A7D">
              <w:rPr>
                <w:sz w:val="20"/>
                <w:szCs w:val="20"/>
                <w:lang w:val="en-US"/>
              </w:rPr>
              <w:t>(n=</w:t>
            </w:r>
            <w:r w:rsidR="00E12F04" w:rsidRPr="00B33A7D">
              <w:rPr>
                <w:sz w:val="20"/>
                <w:szCs w:val="20"/>
                <w:lang w:val="en-US"/>
              </w:rPr>
              <w:t>513*</w:t>
            </w:r>
            <w:r w:rsidRPr="00B33A7D">
              <w:rPr>
                <w:sz w:val="20"/>
                <w:szCs w:val="20"/>
                <w:lang w:val="en-US"/>
              </w:rPr>
              <w:t>)</w:t>
            </w:r>
          </w:p>
        </w:tc>
        <w:tc>
          <w:tcPr>
            <w:tcW w:w="833" w:type="dxa"/>
            <w:tcBorders>
              <w:top w:val="single" w:sz="4" w:space="0" w:color="auto"/>
              <w:bottom w:val="single" w:sz="4" w:space="0" w:color="auto"/>
            </w:tcBorders>
            <w:shd w:val="clear" w:color="auto" w:fill="auto"/>
          </w:tcPr>
          <w:p w14:paraId="2C86242A" w14:textId="77777777" w:rsidR="00E12F04" w:rsidRPr="00B33A7D" w:rsidRDefault="008C4DFA" w:rsidP="006C419A">
            <w:pPr>
              <w:autoSpaceDE w:val="0"/>
              <w:autoSpaceDN w:val="0"/>
              <w:adjustRightInd w:val="0"/>
              <w:spacing w:line="480" w:lineRule="auto"/>
              <w:jc w:val="center"/>
              <w:rPr>
                <w:sz w:val="20"/>
                <w:szCs w:val="20"/>
                <w:lang w:val="en-US"/>
              </w:rPr>
            </w:pPr>
            <w:r w:rsidRPr="00B33A7D">
              <w:rPr>
                <w:sz w:val="20"/>
                <w:szCs w:val="20"/>
                <w:lang w:val="en-US"/>
              </w:rPr>
              <w:t>12,13</w:t>
            </w:r>
            <w:r w:rsidR="00E12F04" w:rsidRPr="00B33A7D">
              <w:rPr>
                <w:sz w:val="20"/>
                <w:szCs w:val="20"/>
                <w:lang w:val="en-US"/>
              </w:rPr>
              <w:t>%</w:t>
            </w:r>
          </w:p>
          <w:p w14:paraId="31261F66" w14:textId="77777777" w:rsidR="00E12F04" w:rsidRPr="00B33A7D" w:rsidRDefault="00E12F04" w:rsidP="006C419A">
            <w:pPr>
              <w:autoSpaceDE w:val="0"/>
              <w:autoSpaceDN w:val="0"/>
              <w:adjustRightInd w:val="0"/>
              <w:spacing w:line="480" w:lineRule="auto"/>
              <w:jc w:val="center"/>
              <w:rPr>
                <w:sz w:val="20"/>
                <w:szCs w:val="20"/>
                <w:lang w:val="en-US"/>
              </w:rPr>
            </w:pPr>
            <w:r w:rsidRPr="00B33A7D">
              <w:rPr>
                <w:sz w:val="20"/>
                <w:szCs w:val="20"/>
                <w:lang w:val="en-US"/>
              </w:rPr>
              <w:t>(n=69)</w:t>
            </w:r>
          </w:p>
        </w:tc>
        <w:tc>
          <w:tcPr>
            <w:tcW w:w="862" w:type="dxa"/>
            <w:tcBorders>
              <w:top w:val="single" w:sz="4" w:space="0" w:color="auto"/>
              <w:bottom w:val="single" w:sz="4" w:space="0" w:color="auto"/>
            </w:tcBorders>
            <w:shd w:val="clear" w:color="auto" w:fill="auto"/>
          </w:tcPr>
          <w:p w14:paraId="1E8F521D" w14:textId="77777777" w:rsidR="00E12F04" w:rsidRPr="00B33A7D" w:rsidRDefault="008C4DFA" w:rsidP="006C419A">
            <w:pPr>
              <w:autoSpaceDE w:val="0"/>
              <w:autoSpaceDN w:val="0"/>
              <w:adjustRightInd w:val="0"/>
              <w:spacing w:line="480" w:lineRule="auto"/>
              <w:jc w:val="center"/>
              <w:rPr>
                <w:sz w:val="20"/>
                <w:szCs w:val="20"/>
                <w:lang w:val="en-US"/>
              </w:rPr>
            </w:pPr>
            <w:r w:rsidRPr="00B33A7D">
              <w:rPr>
                <w:sz w:val="20"/>
                <w:szCs w:val="20"/>
                <w:lang w:val="en-US"/>
              </w:rPr>
              <w:t>87,87</w:t>
            </w:r>
            <w:r w:rsidR="00E12F04" w:rsidRPr="00B33A7D">
              <w:rPr>
                <w:sz w:val="20"/>
                <w:szCs w:val="20"/>
                <w:lang w:val="en-US"/>
              </w:rPr>
              <w:t>%</w:t>
            </w:r>
          </w:p>
          <w:p w14:paraId="7B4DF601" w14:textId="77777777" w:rsidR="00E12F04" w:rsidRPr="00B33A7D" w:rsidRDefault="00E12F04" w:rsidP="006C419A">
            <w:pPr>
              <w:autoSpaceDE w:val="0"/>
              <w:autoSpaceDN w:val="0"/>
              <w:adjustRightInd w:val="0"/>
              <w:spacing w:line="480" w:lineRule="auto"/>
              <w:jc w:val="center"/>
              <w:rPr>
                <w:sz w:val="20"/>
                <w:szCs w:val="20"/>
                <w:lang w:val="en-US"/>
              </w:rPr>
            </w:pPr>
            <w:r w:rsidRPr="00B33A7D">
              <w:rPr>
                <w:sz w:val="20"/>
                <w:szCs w:val="20"/>
                <w:lang w:val="en-US"/>
              </w:rPr>
              <w:t>(n=500)</w:t>
            </w:r>
          </w:p>
        </w:tc>
        <w:tc>
          <w:tcPr>
            <w:tcW w:w="962" w:type="dxa"/>
            <w:tcBorders>
              <w:top w:val="single" w:sz="4" w:space="0" w:color="auto"/>
              <w:bottom w:val="single" w:sz="4" w:space="0" w:color="auto"/>
            </w:tcBorders>
          </w:tcPr>
          <w:p w14:paraId="78E36B89" w14:textId="77777777" w:rsidR="00E12F04" w:rsidRPr="00B33A7D" w:rsidRDefault="008C4DFA" w:rsidP="006C419A">
            <w:pPr>
              <w:autoSpaceDE w:val="0"/>
              <w:autoSpaceDN w:val="0"/>
              <w:adjustRightInd w:val="0"/>
              <w:spacing w:line="480" w:lineRule="auto"/>
              <w:jc w:val="center"/>
              <w:rPr>
                <w:sz w:val="20"/>
                <w:szCs w:val="20"/>
                <w:lang w:val="en-US"/>
              </w:rPr>
            </w:pPr>
            <w:r w:rsidRPr="00B33A7D">
              <w:rPr>
                <w:sz w:val="20"/>
                <w:szCs w:val="20"/>
                <w:lang w:val="en-US"/>
              </w:rPr>
              <w:t>100%</w:t>
            </w:r>
          </w:p>
          <w:p w14:paraId="47A16B9E" w14:textId="77777777" w:rsidR="00E12F04" w:rsidRPr="00B33A7D" w:rsidRDefault="00E12F04" w:rsidP="006C419A">
            <w:pPr>
              <w:autoSpaceDE w:val="0"/>
              <w:autoSpaceDN w:val="0"/>
              <w:adjustRightInd w:val="0"/>
              <w:spacing w:line="480" w:lineRule="auto"/>
              <w:jc w:val="center"/>
              <w:rPr>
                <w:sz w:val="20"/>
                <w:szCs w:val="20"/>
                <w:lang w:val="en-US"/>
              </w:rPr>
            </w:pPr>
            <w:r w:rsidRPr="00B33A7D">
              <w:rPr>
                <w:sz w:val="20"/>
                <w:szCs w:val="20"/>
                <w:lang w:val="en-US"/>
              </w:rPr>
              <w:t>569*</w:t>
            </w:r>
          </w:p>
        </w:tc>
      </w:tr>
      <w:tr w:rsidR="00CB08C4" w:rsidRPr="00B33A7D" w14:paraId="37B83CD3" w14:textId="77777777" w:rsidTr="001E7F10">
        <w:trPr>
          <w:trHeight w:val="313"/>
          <w:jc w:val="center"/>
        </w:trPr>
        <w:tc>
          <w:tcPr>
            <w:tcW w:w="1794" w:type="dxa"/>
            <w:tcBorders>
              <w:top w:val="single" w:sz="4" w:space="0" w:color="auto"/>
              <w:bottom w:val="single" w:sz="4" w:space="0" w:color="auto"/>
            </w:tcBorders>
            <w:shd w:val="clear" w:color="auto" w:fill="auto"/>
          </w:tcPr>
          <w:p w14:paraId="226BC079" w14:textId="77777777" w:rsidR="00E12F04" w:rsidRPr="00B33A7D" w:rsidRDefault="00D215FC" w:rsidP="006C419A">
            <w:pPr>
              <w:autoSpaceDE w:val="0"/>
              <w:autoSpaceDN w:val="0"/>
              <w:adjustRightInd w:val="0"/>
              <w:spacing w:line="480" w:lineRule="auto"/>
              <w:jc w:val="center"/>
              <w:rPr>
                <w:sz w:val="20"/>
                <w:szCs w:val="20"/>
                <w:lang w:val="en-US"/>
              </w:rPr>
            </w:pPr>
            <w:r w:rsidRPr="00B33A7D">
              <w:rPr>
                <w:sz w:val="20"/>
                <w:szCs w:val="20"/>
                <w:lang w:val="en-US"/>
              </w:rPr>
              <w:t>P value</w:t>
            </w:r>
          </w:p>
        </w:tc>
        <w:tc>
          <w:tcPr>
            <w:tcW w:w="672" w:type="dxa"/>
            <w:tcBorders>
              <w:top w:val="single" w:sz="4" w:space="0" w:color="auto"/>
              <w:bottom w:val="single" w:sz="4" w:space="0" w:color="auto"/>
            </w:tcBorders>
            <w:shd w:val="clear" w:color="auto" w:fill="auto"/>
          </w:tcPr>
          <w:p w14:paraId="1AC39CEE" w14:textId="77777777" w:rsidR="00E12F04" w:rsidRPr="00B33A7D" w:rsidRDefault="00E12F04" w:rsidP="006C419A">
            <w:pPr>
              <w:autoSpaceDE w:val="0"/>
              <w:autoSpaceDN w:val="0"/>
              <w:adjustRightInd w:val="0"/>
              <w:spacing w:line="480" w:lineRule="auto"/>
              <w:jc w:val="center"/>
              <w:rPr>
                <w:b/>
                <w:sz w:val="20"/>
                <w:szCs w:val="20"/>
                <w:lang w:val="en-US"/>
              </w:rPr>
            </w:pPr>
          </w:p>
        </w:tc>
        <w:tc>
          <w:tcPr>
            <w:tcW w:w="1724" w:type="dxa"/>
            <w:gridSpan w:val="2"/>
            <w:tcBorders>
              <w:top w:val="single" w:sz="4" w:space="0" w:color="auto"/>
              <w:bottom w:val="single" w:sz="4" w:space="0" w:color="auto"/>
            </w:tcBorders>
            <w:shd w:val="clear" w:color="auto" w:fill="auto"/>
          </w:tcPr>
          <w:p w14:paraId="5D680810" w14:textId="77777777" w:rsidR="00E12F04" w:rsidRPr="00B33A7D" w:rsidRDefault="00E12F04" w:rsidP="006C419A">
            <w:pPr>
              <w:autoSpaceDE w:val="0"/>
              <w:autoSpaceDN w:val="0"/>
              <w:adjustRightInd w:val="0"/>
              <w:spacing w:line="480" w:lineRule="auto"/>
              <w:jc w:val="center"/>
              <w:rPr>
                <w:sz w:val="20"/>
                <w:szCs w:val="20"/>
                <w:lang w:val="en-US"/>
              </w:rPr>
            </w:pPr>
          </w:p>
        </w:tc>
        <w:tc>
          <w:tcPr>
            <w:tcW w:w="962" w:type="dxa"/>
            <w:tcBorders>
              <w:top w:val="single" w:sz="4" w:space="0" w:color="auto"/>
              <w:bottom w:val="single" w:sz="4" w:space="0" w:color="auto"/>
            </w:tcBorders>
          </w:tcPr>
          <w:p w14:paraId="7B0A3117" w14:textId="77777777" w:rsidR="00E12F04" w:rsidRPr="00B33A7D" w:rsidRDefault="00E12F04" w:rsidP="006C419A">
            <w:pPr>
              <w:autoSpaceDE w:val="0"/>
              <w:autoSpaceDN w:val="0"/>
              <w:adjustRightInd w:val="0"/>
              <w:spacing w:line="480" w:lineRule="auto"/>
              <w:jc w:val="center"/>
              <w:rPr>
                <w:sz w:val="20"/>
                <w:szCs w:val="20"/>
                <w:lang w:val="en-US"/>
              </w:rPr>
            </w:pPr>
            <w:r w:rsidRPr="00B33A7D">
              <w:rPr>
                <w:sz w:val="20"/>
                <w:szCs w:val="20"/>
                <w:lang w:val="en-US"/>
              </w:rPr>
              <w:t>0,026**</w:t>
            </w:r>
          </w:p>
        </w:tc>
        <w:tc>
          <w:tcPr>
            <w:tcW w:w="1724" w:type="dxa"/>
            <w:gridSpan w:val="2"/>
            <w:tcBorders>
              <w:top w:val="single" w:sz="4" w:space="0" w:color="auto"/>
              <w:bottom w:val="single" w:sz="4" w:space="0" w:color="auto"/>
            </w:tcBorders>
            <w:shd w:val="clear" w:color="auto" w:fill="auto"/>
          </w:tcPr>
          <w:p w14:paraId="510A330B" w14:textId="77777777" w:rsidR="00E12F04" w:rsidRPr="00B33A7D" w:rsidRDefault="00E12F04" w:rsidP="006C419A">
            <w:pPr>
              <w:autoSpaceDE w:val="0"/>
              <w:autoSpaceDN w:val="0"/>
              <w:adjustRightInd w:val="0"/>
              <w:spacing w:line="480" w:lineRule="auto"/>
              <w:jc w:val="center"/>
              <w:rPr>
                <w:sz w:val="20"/>
                <w:szCs w:val="20"/>
                <w:lang w:val="en-US"/>
              </w:rPr>
            </w:pPr>
          </w:p>
        </w:tc>
        <w:tc>
          <w:tcPr>
            <w:tcW w:w="962" w:type="dxa"/>
            <w:tcBorders>
              <w:top w:val="single" w:sz="4" w:space="0" w:color="auto"/>
              <w:bottom w:val="single" w:sz="4" w:space="0" w:color="auto"/>
            </w:tcBorders>
          </w:tcPr>
          <w:p w14:paraId="0F551839" w14:textId="77777777" w:rsidR="00E12F04" w:rsidRPr="00B33A7D" w:rsidRDefault="00E12F04" w:rsidP="006C419A">
            <w:pPr>
              <w:autoSpaceDE w:val="0"/>
              <w:autoSpaceDN w:val="0"/>
              <w:adjustRightInd w:val="0"/>
              <w:spacing w:line="480" w:lineRule="auto"/>
              <w:jc w:val="center"/>
              <w:rPr>
                <w:sz w:val="20"/>
                <w:szCs w:val="20"/>
                <w:lang w:val="en-US"/>
              </w:rPr>
            </w:pPr>
            <w:r w:rsidRPr="00B33A7D">
              <w:rPr>
                <w:sz w:val="20"/>
                <w:szCs w:val="20"/>
                <w:lang w:val="en-US"/>
              </w:rPr>
              <w:t>0,048**</w:t>
            </w:r>
          </w:p>
        </w:tc>
        <w:tc>
          <w:tcPr>
            <w:tcW w:w="1695" w:type="dxa"/>
            <w:gridSpan w:val="2"/>
            <w:tcBorders>
              <w:top w:val="single" w:sz="4" w:space="0" w:color="auto"/>
              <w:bottom w:val="single" w:sz="4" w:space="0" w:color="auto"/>
            </w:tcBorders>
            <w:shd w:val="clear" w:color="auto" w:fill="auto"/>
          </w:tcPr>
          <w:p w14:paraId="4E8EF369" w14:textId="77777777" w:rsidR="00E12F04" w:rsidRPr="00B33A7D" w:rsidRDefault="00E12F04" w:rsidP="006C419A">
            <w:pPr>
              <w:autoSpaceDE w:val="0"/>
              <w:autoSpaceDN w:val="0"/>
              <w:adjustRightInd w:val="0"/>
              <w:spacing w:line="480" w:lineRule="auto"/>
              <w:jc w:val="center"/>
              <w:rPr>
                <w:sz w:val="20"/>
                <w:szCs w:val="20"/>
                <w:lang w:val="en-US"/>
              </w:rPr>
            </w:pPr>
          </w:p>
        </w:tc>
        <w:tc>
          <w:tcPr>
            <w:tcW w:w="962" w:type="dxa"/>
            <w:tcBorders>
              <w:top w:val="single" w:sz="4" w:space="0" w:color="auto"/>
              <w:bottom w:val="single" w:sz="4" w:space="0" w:color="auto"/>
            </w:tcBorders>
          </w:tcPr>
          <w:p w14:paraId="5D1CDF88" w14:textId="77777777" w:rsidR="00E12F04" w:rsidRPr="00B33A7D" w:rsidRDefault="00E12F04" w:rsidP="006C419A">
            <w:pPr>
              <w:autoSpaceDE w:val="0"/>
              <w:autoSpaceDN w:val="0"/>
              <w:adjustRightInd w:val="0"/>
              <w:spacing w:line="480" w:lineRule="auto"/>
              <w:jc w:val="center"/>
              <w:rPr>
                <w:sz w:val="20"/>
                <w:szCs w:val="20"/>
                <w:lang w:val="en-US"/>
              </w:rPr>
            </w:pPr>
            <w:r w:rsidRPr="00B33A7D">
              <w:rPr>
                <w:sz w:val="20"/>
                <w:szCs w:val="20"/>
                <w:lang w:val="en-US"/>
              </w:rPr>
              <w:t>0,042**</w:t>
            </w:r>
          </w:p>
        </w:tc>
      </w:tr>
      <w:tr w:rsidR="00CB08C4" w:rsidRPr="00B33A7D" w14:paraId="11F1AD7D" w14:textId="77777777" w:rsidTr="001E7F10">
        <w:trPr>
          <w:trHeight w:val="459"/>
          <w:jc w:val="center"/>
        </w:trPr>
        <w:tc>
          <w:tcPr>
            <w:tcW w:w="1794" w:type="dxa"/>
            <w:vMerge w:val="restart"/>
            <w:tcBorders>
              <w:top w:val="single" w:sz="4" w:space="0" w:color="auto"/>
            </w:tcBorders>
            <w:shd w:val="clear" w:color="auto" w:fill="auto"/>
          </w:tcPr>
          <w:p w14:paraId="32022B04" w14:textId="77777777" w:rsidR="00E12F04" w:rsidRPr="00B33A7D" w:rsidRDefault="00E12F04" w:rsidP="006C419A">
            <w:pPr>
              <w:autoSpaceDE w:val="0"/>
              <w:autoSpaceDN w:val="0"/>
              <w:adjustRightInd w:val="0"/>
              <w:spacing w:line="480" w:lineRule="auto"/>
              <w:jc w:val="center"/>
              <w:rPr>
                <w:b/>
                <w:sz w:val="20"/>
                <w:szCs w:val="20"/>
                <w:lang w:val="en-US"/>
              </w:rPr>
            </w:pPr>
          </w:p>
          <w:p w14:paraId="1839136B" w14:textId="77777777" w:rsidR="00E12F04" w:rsidRPr="00B33A7D" w:rsidRDefault="00D215FC" w:rsidP="006C419A">
            <w:pPr>
              <w:autoSpaceDE w:val="0"/>
              <w:autoSpaceDN w:val="0"/>
              <w:adjustRightInd w:val="0"/>
              <w:spacing w:line="480" w:lineRule="auto"/>
              <w:jc w:val="center"/>
              <w:rPr>
                <w:b/>
                <w:sz w:val="20"/>
                <w:szCs w:val="20"/>
                <w:lang w:val="en-US"/>
              </w:rPr>
            </w:pPr>
            <w:r w:rsidRPr="00B33A7D">
              <w:rPr>
                <w:b/>
                <w:sz w:val="20"/>
                <w:szCs w:val="20"/>
                <w:lang w:val="en-US"/>
              </w:rPr>
              <w:t>Interest of dropping the course</w:t>
            </w:r>
          </w:p>
        </w:tc>
        <w:tc>
          <w:tcPr>
            <w:tcW w:w="672" w:type="dxa"/>
            <w:tcBorders>
              <w:top w:val="single" w:sz="4" w:space="0" w:color="auto"/>
              <w:bottom w:val="single" w:sz="4" w:space="0" w:color="auto"/>
            </w:tcBorders>
            <w:shd w:val="clear" w:color="auto" w:fill="auto"/>
          </w:tcPr>
          <w:p w14:paraId="60AAB6FA" w14:textId="77777777" w:rsidR="00E12F04" w:rsidRPr="00B33A7D" w:rsidRDefault="00D215FC" w:rsidP="006C419A">
            <w:pPr>
              <w:autoSpaceDE w:val="0"/>
              <w:autoSpaceDN w:val="0"/>
              <w:adjustRightInd w:val="0"/>
              <w:spacing w:line="480" w:lineRule="auto"/>
              <w:jc w:val="center"/>
              <w:rPr>
                <w:b/>
                <w:sz w:val="20"/>
                <w:szCs w:val="20"/>
                <w:lang w:val="en-US"/>
              </w:rPr>
            </w:pPr>
            <w:r w:rsidRPr="00B33A7D">
              <w:rPr>
                <w:b/>
                <w:sz w:val="20"/>
                <w:szCs w:val="20"/>
                <w:lang w:val="en-US"/>
              </w:rPr>
              <w:t>Yes</w:t>
            </w:r>
          </w:p>
        </w:tc>
        <w:tc>
          <w:tcPr>
            <w:tcW w:w="862" w:type="dxa"/>
            <w:tcBorders>
              <w:top w:val="single" w:sz="4" w:space="0" w:color="auto"/>
              <w:bottom w:val="single" w:sz="4" w:space="0" w:color="auto"/>
            </w:tcBorders>
            <w:shd w:val="clear" w:color="auto" w:fill="auto"/>
          </w:tcPr>
          <w:p w14:paraId="103A7D20" w14:textId="77777777" w:rsidR="00E12F04" w:rsidRPr="00B33A7D" w:rsidRDefault="00510DD2" w:rsidP="006C419A">
            <w:pPr>
              <w:spacing w:line="480" w:lineRule="auto"/>
              <w:rPr>
                <w:sz w:val="20"/>
                <w:szCs w:val="20"/>
                <w:lang w:val="en-US"/>
              </w:rPr>
            </w:pPr>
            <w:r w:rsidRPr="00B33A7D">
              <w:rPr>
                <w:sz w:val="20"/>
                <w:szCs w:val="20"/>
                <w:lang w:val="en-US"/>
              </w:rPr>
              <w:t>24,37</w:t>
            </w:r>
            <w:r w:rsidR="00E12F04" w:rsidRPr="00B33A7D">
              <w:rPr>
                <w:sz w:val="20"/>
                <w:szCs w:val="20"/>
                <w:lang w:val="en-US"/>
              </w:rPr>
              <w:t>%</w:t>
            </w:r>
          </w:p>
          <w:p w14:paraId="2EDEE21C" w14:textId="77777777" w:rsidR="00E12F04" w:rsidRPr="00B33A7D" w:rsidRDefault="00E12F04" w:rsidP="006C419A">
            <w:pPr>
              <w:spacing w:line="480" w:lineRule="auto"/>
              <w:rPr>
                <w:sz w:val="20"/>
                <w:szCs w:val="20"/>
                <w:lang w:val="en-US"/>
              </w:rPr>
            </w:pPr>
            <w:r w:rsidRPr="00B33A7D">
              <w:rPr>
                <w:sz w:val="20"/>
                <w:szCs w:val="20"/>
                <w:lang w:val="en-US"/>
              </w:rPr>
              <w:t>(n=136)</w:t>
            </w:r>
          </w:p>
        </w:tc>
        <w:tc>
          <w:tcPr>
            <w:tcW w:w="862" w:type="dxa"/>
            <w:tcBorders>
              <w:top w:val="single" w:sz="4" w:space="0" w:color="auto"/>
              <w:bottom w:val="single" w:sz="4" w:space="0" w:color="auto"/>
            </w:tcBorders>
            <w:shd w:val="clear" w:color="auto" w:fill="auto"/>
          </w:tcPr>
          <w:p w14:paraId="37950977" w14:textId="77777777" w:rsidR="00E12F04" w:rsidRPr="00B33A7D" w:rsidRDefault="00510DD2" w:rsidP="006C419A">
            <w:pPr>
              <w:autoSpaceDE w:val="0"/>
              <w:autoSpaceDN w:val="0"/>
              <w:adjustRightInd w:val="0"/>
              <w:spacing w:line="480" w:lineRule="auto"/>
              <w:jc w:val="center"/>
              <w:rPr>
                <w:sz w:val="20"/>
                <w:szCs w:val="20"/>
                <w:lang w:val="en-US"/>
              </w:rPr>
            </w:pPr>
            <w:r w:rsidRPr="00B33A7D">
              <w:rPr>
                <w:sz w:val="20"/>
                <w:szCs w:val="20"/>
                <w:lang w:val="en-US"/>
              </w:rPr>
              <w:t>7,89</w:t>
            </w:r>
            <w:r w:rsidR="00E12F04" w:rsidRPr="00B33A7D">
              <w:rPr>
                <w:sz w:val="20"/>
                <w:szCs w:val="20"/>
                <w:lang w:val="en-US"/>
              </w:rPr>
              <w:t>%</w:t>
            </w:r>
          </w:p>
          <w:p w14:paraId="6B98E408" w14:textId="77777777" w:rsidR="00E12F04" w:rsidRPr="00B33A7D" w:rsidRDefault="00E12F04" w:rsidP="006C419A">
            <w:pPr>
              <w:autoSpaceDE w:val="0"/>
              <w:autoSpaceDN w:val="0"/>
              <w:adjustRightInd w:val="0"/>
              <w:spacing w:line="480" w:lineRule="auto"/>
              <w:jc w:val="center"/>
              <w:rPr>
                <w:sz w:val="20"/>
                <w:szCs w:val="20"/>
                <w:lang w:val="en-US"/>
              </w:rPr>
            </w:pPr>
            <w:r w:rsidRPr="00B33A7D">
              <w:rPr>
                <w:sz w:val="20"/>
                <w:szCs w:val="20"/>
                <w:lang w:val="en-US"/>
              </w:rPr>
              <w:t>(n=44)</w:t>
            </w:r>
          </w:p>
        </w:tc>
        <w:tc>
          <w:tcPr>
            <w:tcW w:w="962" w:type="dxa"/>
            <w:tcBorders>
              <w:top w:val="single" w:sz="4" w:space="0" w:color="auto"/>
              <w:bottom w:val="single" w:sz="4" w:space="0" w:color="auto"/>
            </w:tcBorders>
          </w:tcPr>
          <w:p w14:paraId="637103E3" w14:textId="77777777" w:rsidR="00E12F04" w:rsidRPr="00B33A7D" w:rsidRDefault="00510DD2" w:rsidP="006C419A">
            <w:pPr>
              <w:autoSpaceDE w:val="0"/>
              <w:autoSpaceDN w:val="0"/>
              <w:adjustRightInd w:val="0"/>
              <w:spacing w:line="480" w:lineRule="auto"/>
              <w:jc w:val="center"/>
              <w:rPr>
                <w:sz w:val="20"/>
                <w:szCs w:val="20"/>
                <w:lang w:val="en-US"/>
              </w:rPr>
            </w:pPr>
            <w:r w:rsidRPr="00B33A7D">
              <w:rPr>
                <w:sz w:val="20"/>
                <w:szCs w:val="20"/>
                <w:lang w:val="en-US"/>
              </w:rPr>
              <w:t>67,74%</w:t>
            </w:r>
          </w:p>
          <w:p w14:paraId="01AEF469" w14:textId="77777777" w:rsidR="00510DD2" w:rsidRPr="00B33A7D" w:rsidRDefault="00510DD2" w:rsidP="006C419A">
            <w:pPr>
              <w:autoSpaceDE w:val="0"/>
              <w:autoSpaceDN w:val="0"/>
              <w:adjustRightInd w:val="0"/>
              <w:spacing w:line="480" w:lineRule="auto"/>
              <w:jc w:val="center"/>
              <w:rPr>
                <w:sz w:val="20"/>
                <w:szCs w:val="20"/>
                <w:lang w:val="en-US"/>
              </w:rPr>
            </w:pPr>
            <w:r w:rsidRPr="00B33A7D">
              <w:rPr>
                <w:sz w:val="20"/>
                <w:szCs w:val="20"/>
                <w:lang w:val="en-US"/>
              </w:rPr>
              <w:t>(n=378)</w:t>
            </w:r>
          </w:p>
        </w:tc>
        <w:tc>
          <w:tcPr>
            <w:tcW w:w="862" w:type="dxa"/>
            <w:tcBorders>
              <w:top w:val="single" w:sz="4" w:space="0" w:color="auto"/>
              <w:bottom w:val="single" w:sz="4" w:space="0" w:color="auto"/>
            </w:tcBorders>
            <w:shd w:val="clear" w:color="auto" w:fill="auto"/>
          </w:tcPr>
          <w:p w14:paraId="2FE30490" w14:textId="77777777" w:rsidR="00E12F04" w:rsidRPr="00B33A7D" w:rsidRDefault="008B074A" w:rsidP="006C419A">
            <w:pPr>
              <w:autoSpaceDE w:val="0"/>
              <w:autoSpaceDN w:val="0"/>
              <w:adjustRightInd w:val="0"/>
              <w:spacing w:line="480" w:lineRule="auto"/>
              <w:jc w:val="center"/>
              <w:rPr>
                <w:sz w:val="20"/>
                <w:szCs w:val="20"/>
                <w:lang w:val="en-US"/>
              </w:rPr>
            </w:pPr>
            <w:r w:rsidRPr="00B33A7D">
              <w:rPr>
                <w:sz w:val="20"/>
                <w:szCs w:val="20"/>
                <w:lang w:val="en-US"/>
              </w:rPr>
              <w:t>12,2</w:t>
            </w:r>
            <w:r w:rsidR="00E12F04" w:rsidRPr="00B33A7D">
              <w:rPr>
                <w:sz w:val="20"/>
                <w:szCs w:val="20"/>
                <w:lang w:val="en-US"/>
              </w:rPr>
              <w:t>8%</w:t>
            </w:r>
          </w:p>
          <w:p w14:paraId="3332C66E" w14:textId="77777777" w:rsidR="00E12F04" w:rsidRPr="00B33A7D" w:rsidRDefault="00E12F04" w:rsidP="006C419A">
            <w:pPr>
              <w:autoSpaceDE w:val="0"/>
              <w:autoSpaceDN w:val="0"/>
              <w:adjustRightInd w:val="0"/>
              <w:spacing w:line="480" w:lineRule="auto"/>
              <w:jc w:val="center"/>
              <w:rPr>
                <w:sz w:val="20"/>
                <w:szCs w:val="20"/>
                <w:lang w:val="en-US"/>
              </w:rPr>
            </w:pPr>
            <w:r w:rsidRPr="00B33A7D">
              <w:rPr>
                <w:sz w:val="20"/>
                <w:szCs w:val="20"/>
                <w:lang w:val="en-US"/>
              </w:rPr>
              <w:t>(n=63)</w:t>
            </w:r>
          </w:p>
        </w:tc>
        <w:tc>
          <w:tcPr>
            <w:tcW w:w="862" w:type="dxa"/>
            <w:tcBorders>
              <w:top w:val="single" w:sz="4" w:space="0" w:color="auto"/>
              <w:bottom w:val="single" w:sz="4" w:space="0" w:color="auto"/>
            </w:tcBorders>
            <w:shd w:val="clear" w:color="auto" w:fill="auto"/>
          </w:tcPr>
          <w:p w14:paraId="3DF34AB2" w14:textId="77777777" w:rsidR="00E12F04" w:rsidRPr="00B33A7D" w:rsidRDefault="008B074A" w:rsidP="006C419A">
            <w:pPr>
              <w:autoSpaceDE w:val="0"/>
              <w:autoSpaceDN w:val="0"/>
              <w:adjustRightInd w:val="0"/>
              <w:spacing w:line="480" w:lineRule="auto"/>
              <w:jc w:val="center"/>
              <w:rPr>
                <w:sz w:val="20"/>
                <w:szCs w:val="20"/>
                <w:lang w:val="en-US"/>
              </w:rPr>
            </w:pPr>
            <w:r w:rsidRPr="00B33A7D">
              <w:rPr>
                <w:sz w:val="20"/>
                <w:szCs w:val="20"/>
                <w:lang w:val="en-US"/>
              </w:rPr>
              <w:t>20,66</w:t>
            </w:r>
            <w:r w:rsidR="00E12F04" w:rsidRPr="00B33A7D">
              <w:rPr>
                <w:sz w:val="20"/>
                <w:szCs w:val="20"/>
                <w:lang w:val="en-US"/>
              </w:rPr>
              <w:t>%</w:t>
            </w:r>
          </w:p>
          <w:p w14:paraId="3985553F" w14:textId="77777777" w:rsidR="00E12F04" w:rsidRPr="00B33A7D" w:rsidRDefault="00E12F04" w:rsidP="006C419A">
            <w:pPr>
              <w:autoSpaceDE w:val="0"/>
              <w:autoSpaceDN w:val="0"/>
              <w:adjustRightInd w:val="0"/>
              <w:spacing w:line="480" w:lineRule="auto"/>
              <w:jc w:val="center"/>
              <w:rPr>
                <w:sz w:val="20"/>
                <w:szCs w:val="20"/>
                <w:lang w:val="en-US"/>
              </w:rPr>
            </w:pPr>
            <w:r w:rsidRPr="00B33A7D">
              <w:rPr>
                <w:sz w:val="20"/>
                <w:szCs w:val="20"/>
                <w:lang w:val="en-US"/>
              </w:rPr>
              <w:t>(n=106)</w:t>
            </w:r>
          </w:p>
        </w:tc>
        <w:tc>
          <w:tcPr>
            <w:tcW w:w="962" w:type="dxa"/>
            <w:tcBorders>
              <w:top w:val="single" w:sz="4" w:space="0" w:color="auto"/>
              <w:bottom w:val="single" w:sz="4" w:space="0" w:color="auto"/>
            </w:tcBorders>
          </w:tcPr>
          <w:p w14:paraId="4B242FC6" w14:textId="77777777" w:rsidR="008B074A" w:rsidRPr="00B33A7D" w:rsidRDefault="008B074A" w:rsidP="006C419A">
            <w:pPr>
              <w:autoSpaceDE w:val="0"/>
              <w:autoSpaceDN w:val="0"/>
              <w:adjustRightInd w:val="0"/>
              <w:spacing w:line="480" w:lineRule="auto"/>
              <w:jc w:val="center"/>
              <w:rPr>
                <w:sz w:val="20"/>
                <w:szCs w:val="20"/>
                <w:lang w:val="en-US"/>
              </w:rPr>
            </w:pPr>
            <w:r w:rsidRPr="00B33A7D">
              <w:rPr>
                <w:sz w:val="20"/>
                <w:szCs w:val="20"/>
                <w:lang w:val="en-US"/>
              </w:rPr>
              <w:t>32,94%</w:t>
            </w:r>
          </w:p>
          <w:p w14:paraId="46498942" w14:textId="77777777" w:rsidR="008B074A" w:rsidRPr="00B33A7D" w:rsidRDefault="008B074A" w:rsidP="006C419A">
            <w:pPr>
              <w:autoSpaceDE w:val="0"/>
              <w:autoSpaceDN w:val="0"/>
              <w:adjustRightInd w:val="0"/>
              <w:spacing w:line="480" w:lineRule="auto"/>
              <w:jc w:val="center"/>
              <w:rPr>
                <w:sz w:val="20"/>
                <w:szCs w:val="20"/>
                <w:lang w:val="en-US"/>
              </w:rPr>
            </w:pPr>
            <w:r w:rsidRPr="00B33A7D">
              <w:rPr>
                <w:sz w:val="20"/>
                <w:szCs w:val="20"/>
                <w:lang w:val="en-US"/>
              </w:rPr>
              <w:t>(n=169)</w:t>
            </w:r>
          </w:p>
        </w:tc>
        <w:tc>
          <w:tcPr>
            <w:tcW w:w="833" w:type="dxa"/>
            <w:tcBorders>
              <w:top w:val="single" w:sz="4" w:space="0" w:color="auto"/>
              <w:bottom w:val="single" w:sz="4" w:space="0" w:color="auto"/>
            </w:tcBorders>
            <w:shd w:val="clear" w:color="auto" w:fill="auto"/>
          </w:tcPr>
          <w:p w14:paraId="0E238A03" w14:textId="77777777" w:rsidR="00E12F04" w:rsidRPr="00B33A7D" w:rsidRDefault="008B074A" w:rsidP="006C419A">
            <w:pPr>
              <w:autoSpaceDE w:val="0"/>
              <w:autoSpaceDN w:val="0"/>
              <w:adjustRightInd w:val="0"/>
              <w:spacing w:line="480" w:lineRule="auto"/>
              <w:jc w:val="center"/>
              <w:rPr>
                <w:sz w:val="20"/>
                <w:szCs w:val="20"/>
                <w:lang w:val="en-US"/>
              </w:rPr>
            </w:pPr>
            <w:r w:rsidRPr="00B33A7D">
              <w:rPr>
                <w:sz w:val="20"/>
                <w:szCs w:val="20"/>
                <w:lang w:val="en-US"/>
              </w:rPr>
              <w:t>4,92</w:t>
            </w:r>
            <w:r w:rsidR="00E12F04" w:rsidRPr="00B33A7D">
              <w:rPr>
                <w:sz w:val="20"/>
                <w:szCs w:val="20"/>
                <w:lang w:val="en-US"/>
              </w:rPr>
              <w:t>%</w:t>
            </w:r>
          </w:p>
          <w:p w14:paraId="04725130" w14:textId="77777777" w:rsidR="00E12F04" w:rsidRPr="00B33A7D" w:rsidRDefault="00E12F04" w:rsidP="006C419A">
            <w:pPr>
              <w:autoSpaceDE w:val="0"/>
              <w:autoSpaceDN w:val="0"/>
              <w:adjustRightInd w:val="0"/>
              <w:spacing w:line="480" w:lineRule="auto"/>
              <w:jc w:val="center"/>
              <w:rPr>
                <w:sz w:val="20"/>
                <w:szCs w:val="20"/>
                <w:lang w:val="en-US"/>
              </w:rPr>
            </w:pPr>
            <w:r w:rsidRPr="00B33A7D">
              <w:rPr>
                <w:sz w:val="20"/>
                <w:szCs w:val="20"/>
                <w:lang w:val="en-US"/>
              </w:rPr>
              <w:t>(n=28)</w:t>
            </w:r>
          </w:p>
        </w:tc>
        <w:tc>
          <w:tcPr>
            <w:tcW w:w="862" w:type="dxa"/>
            <w:tcBorders>
              <w:top w:val="single" w:sz="4" w:space="0" w:color="auto"/>
              <w:bottom w:val="single" w:sz="4" w:space="0" w:color="auto"/>
            </w:tcBorders>
            <w:shd w:val="clear" w:color="auto" w:fill="auto"/>
          </w:tcPr>
          <w:p w14:paraId="30A1457A" w14:textId="77777777" w:rsidR="00E12F04" w:rsidRPr="00B33A7D" w:rsidRDefault="008B074A" w:rsidP="006C419A">
            <w:pPr>
              <w:autoSpaceDE w:val="0"/>
              <w:autoSpaceDN w:val="0"/>
              <w:adjustRightInd w:val="0"/>
              <w:spacing w:line="480" w:lineRule="auto"/>
              <w:jc w:val="center"/>
              <w:rPr>
                <w:sz w:val="20"/>
                <w:szCs w:val="20"/>
                <w:lang w:val="en-US"/>
              </w:rPr>
            </w:pPr>
            <w:r w:rsidRPr="00B33A7D">
              <w:rPr>
                <w:sz w:val="20"/>
                <w:szCs w:val="20"/>
                <w:lang w:val="en-US"/>
              </w:rPr>
              <w:t>26,89</w:t>
            </w:r>
            <w:r w:rsidR="00E12F04" w:rsidRPr="00B33A7D">
              <w:rPr>
                <w:sz w:val="20"/>
                <w:szCs w:val="20"/>
                <w:lang w:val="en-US"/>
              </w:rPr>
              <w:t>%</w:t>
            </w:r>
          </w:p>
          <w:p w14:paraId="35F32526" w14:textId="77777777" w:rsidR="00E12F04" w:rsidRPr="00B33A7D" w:rsidRDefault="00E12F04" w:rsidP="006C419A">
            <w:pPr>
              <w:autoSpaceDE w:val="0"/>
              <w:autoSpaceDN w:val="0"/>
              <w:adjustRightInd w:val="0"/>
              <w:spacing w:line="480" w:lineRule="auto"/>
              <w:jc w:val="center"/>
              <w:rPr>
                <w:sz w:val="20"/>
                <w:szCs w:val="20"/>
                <w:lang w:val="en-US"/>
              </w:rPr>
            </w:pPr>
            <w:r w:rsidRPr="00B33A7D">
              <w:rPr>
                <w:sz w:val="20"/>
                <w:szCs w:val="20"/>
                <w:lang w:val="en-US"/>
              </w:rPr>
              <w:t>(n=153)</w:t>
            </w:r>
          </w:p>
        </w:tc>
        <w:tc>
          <w:tcPr>
            <w:tcW w:w="962" w:type="dxa"/>
            <w:tcBorders>
              <w:top w:val="single" w:sz="4" w:space="0" w:color="auto"/>
              <w:bottom w:val="single" w:sz="4" w:space="0" w:color="auto"/>
            </w:tcBorders>
          </w:tcPr>
          <w:p w14:paraId="4BE4F5C0" w14:textId="77777777" w:rsidR="00E12F04" w:rsidRPr="00B33A7D" w:rsidRDefault="008B074A" w:rsidP="006C419A">
            <w:pPr>
              <w:autoSpaceDE w:val="0"/>
              <w:autoSpaceDN w:val="0"/>
              <w:adjustRightInd w:val="0"/>
              <w:spacing w:line="480" w:lineRule="auto"/>
              <w:jc w:val="center"/>
              <w:rPr>
                <w:sz w:val="20"/>
                <w:szCs w:val="20"/>
                <w:lang w:val="en-US"/>
              </w:rPr>
            </w:pPr>
            <w:r w:rsidRPr="00B33A7D">
              <w:rPr>
                <w:sz w:val="20"/>
                <w:szCs w:val="20"/>
                <w:lang w:val="en-US"/>
              </w:rPr>
              <w:t>31,81%</w:t>
            </w:r>
          </w:p>
          <w:p w14:paraId="29B4A383" w14:textId="77777777" w:rsidR="008B074A" w:rsidRPr="00B33A7D" w:rsidRDefault="008B074A" w:rsidP="006C419A">
            <w:pPr>
              <w:autoSpaceDE w:val="0"/>
              <w:autoSpaceDN w:val="0"/>
              <w:adjustRightInd w:val="0"/>
              <w:spacing w:line="480" w:lineRule="auto"/>
              <w:jc w:val="center"/>
              <w:rPr>
                <w:sz w:val="20"/>
                <w:szCs w:val="20"/>
                <w:lang w:val="en-US"/>
              </w:rPr>
            </w:pPr>
            <w:r w:rsidRPr="00B33A7D">
              <w:rPr>
                <w:sz w:val="20"/>
                <w:szCs w:val="20"/>
                <w:lang w:val="en-US"/>
              </w:rPr>
              <w:t>(n=181)</w:t>
            </w:r>
          </w:p>
        </w:tc>
      </w:tr>
      <w:tr w:rsidR="00CB08C4" w:rsidRPr="00B33A7D" w14:paraId="6322D96F" w14:textId="77777777" w:rsidTr="001E7F10">
        <w:trPr>
          <w:trHeight w:val="525"/>
          <w:jc w:val="center"/>
        </w:trPr>
        <w:tc>
          <w:tcPr>
            <w:tcW w:w="1794" w:type="dxa"/>
            <w:vMerge/>
            <w:shd w:val="clear" w:color="auto" w:fill="auto"/>
          </w:tcPr>
          <w:p w14:paraId="7F99402A" w14:textId="77777777" w:rsidR="00E12F04" w:rsidRPr="00B33A7D" w:rsidRDefault="00E12F04" w:rsidP="006C419A">
            <w:pPr>
              <w:autoSpaceDE w:val="0"/>
              <w:autoSpaceDN w:val="0"/>
              <w:adjustRightInd w:val="0"/>
              <w:spacing w:line="480" w:lineRule="auto"/>
              <w:jc w:val="center"/>
              <w:rPr>
                <w:b/>
                <w:sz w:val="20"/>
                <w:szCs w:val="20"/>
                <w:lang w:val="en-US"/>
              </w:rPr>
            </w:pPr>
          </w:p>
        </w:tc>
        <w:tc>
          <w:tcPr>
            <w:tcW w:w="672" w:type="dxa"/>
            <w:tcBorders>
              <w:top w:val="single" w:sz="4" w:space="0" w:color="auto"/>
              <w:bottom w:val="single" w:sz="4" w:space="0" w:color="auto"/>
            </w:tcBorders>
            <w:shd w:val="clear" w:color="auto" w:fill="auto"/>
          </w:tcPr>
          <w:p w14:paraId="353F8E75" w14:textId="77777777" w:rsidR="00E12F04" w:rsidRPr="00B33A7D" w:rsidRDefault="00D215FC" w:rsidP="006C419A">
            <w:pPr>
              <w:autoSpaceDE w:val="0"/>
              <w:autoSpaceDN w:val="0"/>
              <w:adjustRightInd w:val="0"/>
              <w:spacing w:line="480" w:lineRule="auto"/>
              <w:jc w:val="center"/>
              <w:rPr>
                <w:b/>
                <w:sz w:val="20"/>
                <w:szCs w:val="20"/>
                <w:lang w:val="en-US"/>
              </w:rPr>
            </w:pPr>
            <w:r w:rsidRPr="00B33A7D">
              <w:rPr>
                <w:b/>
                <w:sz w:val="20"/>
                <w:szCs w:val="20"/>
                <w:lang w:val="en-US"/>
              </w:rPr>
              <w:t>No</w:t>
            </w:r>
          </w:p>
        </w:tc>
        <w:tc>
          <w:tcPr>
            <w:tcW w:w="862" w:type="dxa"/>
            <w:tcBorders>
              <w:top w:val="single" w:sz="4" w:space="0" w:color="auto"/>
              <w:bottom w:val="single" w:sz="4" w:space="0" w:color="auto"/>
            </w:tcBorders>
            <w:shd w:val="clear" w:color="auto" w:fill="auto"/>
          </w:tcPr>
          <w:p w14:paraId="6248FA70" w14:textId="77777777" w:rsidR="00E12F04" w:rsidRPr="00B33A7D" w:rsidRDefault="00510DD2" w:rsidP="006C419A">
            <w:pPr>
              <w:spacing w:line="480" w:lineRule="auto"/>
              <w:rPr>
                <w:sz w:val="20"/>
                <w:szCs w:val="20"/>
                <w:lang w:val="en-US"/>
              </w:rPr>
            </w:pPr>
            <w:r w:rsidRPr="00B33A7D">
              <w:rPr>
                <w:sz w:val="20"/>
                <w:szCs w:val="20"/>
                <w:lang w:val="en-US"/>
              </w:rPr>
              <w:t>40,86</w:t>
            </w:r>
            <w:r w:rsidR="00E12F04" w:rsidRPr="00B33A7D">
              <w:rPr>
                <w:sz w:val="20"/>
                <w:szCs w:val="20"/>
                <w:lang w:val="en-US"/>
              </w:rPr>
              <w:t>%</w:t>
            </w:r>
          </w:p>
          <w:p w14:paraId="24BC9605" w14:textId="77777777" w:rsidR="00E12F04" w:rsidRPr="00B33A7D" w:rsidRDefault="00E12F04" w:rsidP="006C419A">
            <w:pPr>
              <w:spacing w:line="480" w:lineRule="auto"/>
              <w:rPr>
                <w:sz w:val="20"/>
                <w:szCs w:val="20"/>
                <w:lang w:val="en-US"/>
              </w:rPr>
            </w:pPr>
            <w:r w:rsidRPr="00B33A7D">
              <w:rPr>
                <w:sz w:val="20"/>
                <w:szCs w:val="20"/>
                <w:lang w:val="en-US"/>
              </w:rPr>
              <w:t>(n=228)</w:t>
            </w:r>
          </w:p>
        </w:tc>
        <w:tc>
          <w:tcPr>
            <w:tcW w:w="862" w:type="dxa"/>
            <w:tcBorders>
              <w:top w:val="single" w:sz="4" w:space="0" w:color="auto"/>
              <w:bottom w:val="single" w:sz="4" w:space="0" w:color="auto"/>
            </w:tcBorders>
            <w:shd w:val="clear" w:color="auto" w:fill="auto"/>
          </w:tcPr>
          <w:p w14:paraId="71D416E7" w14:textId="77777777" w:rsidR="00E12F04" w:rsidRPr="00B33A7D" w:rsidRDefault="00510DD2" w:rsidP="006C419A">
            <w:pPr>
              <w:autoSpaceDE w:val="0"/>
              <w:autoSpaceDN w:val="0"/>
              <w:adjustRightInd w:val="0"/>
              <w:spacing w:line="480" w:lineRule="auto"/>
              <w:rPr>
                <w:sz w:val="20"/>
                <w:szCs w:val="20"/>
                <w:lang w:val="en-US"/>
              </w:rPr>
            </w:pPr>
            <w:r w:rsidRPr="00B33A7D">
              <w:rPr>
                <w:sz w:val="20"/>
                <w:szCs w:val="20"/>
                <w:lang w:val="en-US"/>
              </w:rPr>
              <w:t>26,88</w:t>
            </w:r>
            <w:r w:rsidR="00E12F04" w:rsidRPr="00B33A7D">
              <w:rPr>
                <w:sz w:val="20"/>
                <w:szCs w:val="20"/>
                <w:lang w:val="en-US"/>
              </w:rPr>
              <w:t>%</w:t>
            </w:r>
          </w:p>
          <w:p w14:paraId="707F9AFE" w14:textId="77777777" w:rsidR="00E12F04" w:rsidRPr="00B33A7D" w:rsidRDefault="00E12F04" w:rsidP="006C419A">
            <w:pPr>
              <w:autoSpaceDE w:val="0"/>
              <w:autoSpaceDN w:val="0"/>
              <w:adjustRightInd w:val="0"/>
              <w:spacing w:line="480" w:lineRule="auto"/>
              <w:jc w:val="center"/>
              <w:rPr>
                <w:sz w:val="20"/>
                <w:szCs w:val="20"/>
                <w:lang w:val="en-US"/>
              </w:rPr>
            </w:pPr>
            <w:r w:rsidRPr="00B33A7D">
              <w:rPr>
                <w:sz w:val="20"/>
                <w:szCs w:val="20"/>
                <w:lang w:val="en-US"/>
              </w:rPr>
              <w:t>(n=150)</w:t>
            </w:r>
          </w:p>
        </w:tc>
        <w:tc>
          <w:tcPr>
            <w:tcW w:w="962" w:type="dxa"/>
            <w:tcBorders>
              <w:top w:val="single" w:sz="4" w:space="0" w:color="auto"/>
              <w:bottom w:val="single" w:sz="4" w:space="0" w:color="auto"/>
            </w:tcBorders>
          </w:tcPr>
          <w:p w14:paraId="6A6A04DF" w14:textId="77777777" w:rsidR="00E12F04" w:rsidRPr="00B33A7D" w:rsidRDefault="00510DD2" w:rsidP="006C419A">
            <w:pPr>
              <w:spacing w:line="480" w:lineRule="auto"/>
              <w:rPr>
                <w:sz w:val="20"/>
                <w:szCs w:val="20"/>
                <w:lang w:val="en-US"/>
              </w:rPr>
            </w:pPr>
            <w:r w:rsidRPr="00B33A7D">
              <w:rPr>
                <w:sz w:val="20"/>
                <w:szCs w:val="20"/>
                <w:lang w:val="en-US"/>
              </w:rPr>
              <w:t>32,26%</w:t>
            </w:r>
          </w:p>
          <w:p w14:paraId="0049CFEF" w14:textId="77777777" w:rsidR="00510DD2" w:rsidRPr="00B33A7D" w:rsidRDefault="00510DD2" w:rsidP="006C419A">
            <w:pPr>
              <w:spacing w:line="480" w:lineRule="auto"/>
              <w:rPr>
                <w:sz w:val="20"/>
                <w:szCs w:val="20"/>
                <w:lang w:val="en-US"/>
              </w:rPr>
            </w:pPr>
            <w:r w:rsidRPr="00B33A7D">
              <w:rPr>
                <w:sz w:val="20"/>
                <w:szCs w:val="20"/>
                <w:lang w:val="en-US"/>
              </w:rPr>
              <w:t>(n=180)</w:t>
            </w:r>
          </w:p>
        </w:tc>
        <w:tc>
          <w:tcPr>
            <w:tcW w:w="862" w:type="dxa"/>
            <w:tcBorders>
              <w:top w:val="single" w:sz="4" w:space="0" w:color="auto"/>
              <w:bottom w:val="single" w:sz="4" w:space="0" w:color="auto"/>
            </w:tcBorders>
            <w:shd w:val="clear" w:color="auto" w:fill="auto"/>
          </w:tcPr>
          <w:p w14:paraId="2ABAAD09" w14:textId="77777777" w:rsidR="00E12F04" w:rsidRPr="00B33A7D" w:rsidRDefault="008B074A" w:rsidP="006C419A">
            <w:pPr>
              <w:autoSpaceDE w:val="0"/>
              <w:autoSpaceDN w:val="0"/>
              <w:adjustRightInd w:val="0"/>
              <w:spacing w:line="480" w:lineRule="auto"/>
              <w:jc w:val="center"/>
              <w:rPr>
                <w:sz w:val="20"/>
                <w:szCs w:val="20"/>
                <w:lang w:val="en-US"/>
              </w:rPr>
            </w:pPr>
            <w:r w:rsidRPr="00B33A7D">
              <w:rPr>
                <w:sz w:val="20"/>
                <w:szCs w:val="20"/>
                <w:lang w:val="en-US"/>
              </w:rPr>
              <w:t>27,49</w:t>
            </w:r>
            <w:r w:rsidR="00E12F04" w:rsidRPr="00B33A7D">
              <w:rPr>
                <w:sz w:val="20"/>
                <w:szCs w:val="20"/>
                <w:lang w:val="en-US"/>
              </w:rPr>
              <w:t>%</w:t>
            </w:r>
          </w:p>
          <w:p w14:paraId="568D085D" w14:textId="77777777" w:rsidR="00E12F04" w:rsidRPr="00B33A7D" w:rsidRDefault="00E12F04" w:rsidP="006C419A">
            <w:pPr>
              <w:autoSpaceDE w:val="0"/>
              <w:autoSpaceDN w:val="0"/>
              <w:adjustRightInd w:val="0"/>
              <w:spacing w:line="480" w:lineRule="auto"/>
              <w:jc w:val="center"/>
              <w:rPr>
                <w:sz w:val="20"/>
                <w:szCs w:val="20"/>
                <w:lang w:val="en-US"/>
              </w:rPr>
            </w:pPr>
            <w:r w:rsidRPr="00B33A7D">
              <w:rPr>
                <w:sz w:val="20"/>
                <w:szCs w:val="20"/>
                <w:lang w:val="en-US"/>
              </w:rPr>
              <w:t>(n=141)</w:t>
            </w:r>
          </w:p>
        </w:tc>
        <w:tc>
          <w:tcPr>
            <w:tcW w:w="862" w:type="dxa"/>
            <w:tcBorders>
              <w:top w:val="single" w:sz="4" w:space="0" w:color="auto"/>
              <w:bottom w:val="single" w:sz="4" w:space="0" w:color="auto"/>
            </w:tcBorders>
            <w:shd w:val="clear" w:color="auto" w:fill="auto"/>
          </w:tcPr>
          <w:p w14:paraId="7B86B4B1" w14:textId="77777777" w:rsidR="00E12F04" w:rsidRPr="00B33A7D" w:rsidRDefault="008B074A" w:rsidP="006C419A">
            <w:pPr>
              <w:autoSpaceDE w:val="0"/>
              <w:autoSpaceDN w:val="0"/>
              <w:adjustRightInd w:val="0"/>
              <w:spacing w:line="480" w:lineRule="auto"/>
              <w:jc w:val="center"/>
              <w:rPr>
                <w:sz w:val="20"/>
                <w:szCs w:val="20"/>
                <w:lang w:val="en-US"/>
              </w:rPr>
            </w:pPr>
            <w:r w:rsidRPr="00B33A7D">
              <w:rPr>
                <w:sz w:val="20"/>
                <w:szCs w:val="20"/>
                <w:lang w:val="en-US"/>
              </w:rPr>
              <w:t>39,57</w:t>
            </w:r>
            <w:r w:rsidR="00E12F04" w:rsidRPr="00B33A7D">
              <w:rPr>
                <w:sz w:val="20"/>
                <w:szCs w:val="20"/>
                <w:lang w:val="en-US"/>
              </w:rPr>
              <w:t>%</w:t>
            </w:r>
          </w:p>
          <w:p w14:paraId="79CEF37E" w14:textId="77777777" w:rsidR="00E12F04" w:rsidRPr="00B33A7D" w:rsidRDefault="00E12F04" w:rsidP="006C419A">
            <w:pPr>
              <w:autoSpaceDE w:val="0"/>
              <w:autoSpaceDN w:val="0"/>
              <w:adjustRightInd w:val="0"/>
              <w:spacing w:line="480" w:lineRule="auto"/>
              <w:jc w:val="center"/>
              <w:rPr>
                <w:sz w:val="20"/>
                <w:szCs w:val="20"/>
                <w:lang w:val="en-US"/>
              </w:rPr>
            </w:pPr>
            <w:r w:rsidRPr="00B33A7D">
              <w:rPr>
                <w:sz w:val="20"/>
                <w:szCs w:val="20"/>
                <w:lang w:val="en-US"/>
              </w:rPr>
              <w:t>(n=203)</w:t>
            </w:r>
          </w:p>
        </w:tc>
        <w:tc>
          <w:tcPr>
            <w:tcW w:w="962" w:type="dxa"/>
            <w:tcBorders>
              <w:top w:val="single" w:sz="4" w:space="0" w:color="auto"/>
              <w:bottom w:val="single" w:sz="4" w:space="0" w:color="auto"/>
            </w:tcBorders>
          </w:tcPr>
          <w:p w14:paraId="13601918" w14:textId="77777777" w:rsidR="008B074A" w:rsidRPr="00B33A7D" w:rsidRDefault="008B074A" w:rsidP="006C419A">
            <w:pPr>
              <w:autoSpaceDE w:val="0"/>
              <w:autoSpaceDN w:val="0"/>
              <w:adjustRightInd w:val="0"/>
              <w:spacing w:line="480" w:lineRule="auto"/>
              <w:jc w:val="center"/>
              <w:rPr>
                <w:sz w:val="20"/>
                <w:szCs w:val="20"/>
                <w:lang w:val="en-US"/>
              </w:rPr>
            </w:pPr>
            <w:r w:rsidRPr="00B33A7D">
              <w:rPr>
                <w:sz w:val="20"/>
                <w:szCs w:val="20"/>
                <w:lang w:val="en-US"/>
              </w:rPr>
              <w:t>67,06%</w:t>
            </w:r>
          </w:p>
          <w:p w14:paraId="68AF6BFB" w14:textId="77777777" w:rsidR="00E12F04" w:rsidRPr="00B33A7D" w:rsidRDefault="008B074A" w:rsidP="006C419A">
            <w:pPr>
              <w:autoSpaceDE w:val="0"/>
              <w:autoSpaceDN w:val="0"/>
              <w:adjustRightInd w:val="0"/>
              <w:spacing w:line="480" w:lineRule="auto"/>
              <w:jc w:val="center"/>
              <w:rPr>
                <w:sz w:val="20"/>
                <w:szCs w:val="20"/>
                <w:lang w:val="en-US"/>
              </w:rPr>
            </w:pPr>
            <w:r w:rsidRPr="00B33A7D">
              <w:rPr>
                <w:sz w:val="20"/>
                <w:szCs w:val="20"/>
                <w:lang w:val="en-US"/>
              </w:rPr>
              <w:t>(n=344)</w:t>
            </w:r>
          </w:p>
        </w:tc>
        <w:tc>
          <w:tcPr>
            <w:tcW w:w="833" w:type="dxa"/>
            <w:tcBorders>
              <w:top w:val="single" w:sz="4" w:space="0" w:color="auto"/>
              <w:bottom w:val="single" w:sz="4" w:space="0" w:color="auto"/>
            </w:tcBorders>
            <w:shd w:val="clear" w:color="auto" w:fill="auto"/>
          </w:tcPr>
          <w:p w14:paraId="2CCE7A37" w14:textId="77777777" w:rsidR="00E12F04" w:rsidRPr="00B33A7D" w:rsidRDefault="008B074A" w:rsidP="006C419A">
            <w:pPr>
              <w:autoSpaceDE w:val="0"/>
              <w:autoSpaceDN w:val="0"/>
              <w:adjustRightInd w:val="0"/>
              <w:spacing w:line="480" w:lineRule="auto"/>
              <w:jc w:val="center"/>
              <w:rPr>
                <w:sz w:val="20"/>
                <w:szCs w:val="20"/>
                <w:lang w:val="en-US"/>
              </w:rPr>
            </w:pPr>
            <w:r w:rsidRPr="00B33A7D">
              <w:rPr>
                <w:sz w:val="20"/>
                <w:szCs w:val="20"/>
                <w:lang w:val="en-US"/>
              </w:rPr>
              <w:t>7,38</w:t>
            </w:r>
            <w:r w:rsidR="00E12F04" w:rsidRPr="00B33A7D">
              <w:rPr>
                <w:sz w:val="20"/>
                <w:szCs w:val="20"/>
                <w:lang w:val="en-US"/>
              </w:rPr>
              <w:t>%</w:t>
            </w:r>
          </w:p>
          <w:p w14:paraId="08335764" w14:textId="77777777" w:rsidR="00E12F04" w:rsidRPr="00B33A7D" w:rsidRDefault="00E12F04" w:rsidP="006C419A">
            <w:pPr>
              <w:autoSpaceDE w:val="0"/>
              <w:autoSpaceDN w:val="0"/>
              <w:adjustRightInd w:val="0"/>
              <w:spacing w:line="480" w:lineRule="auto"/>
              <w:jc w:val="center"/>
              <w:rPr>
                <w:sz w:val="20"/>
                <w:szCs w:val="20"/>
                <w:lang w:val="en-US"/>
              </w:rPr>
            </w:pPr>
            <w:r w:rsidRPr="00B33A7D">
              <w:rPr>
                <w:sz w:val="20"/>
                <w:szCs w:val="20"/>
                <w:lang w:val="en-US"/>
              </w:rPr>
              <w:t>(n=42)</w:t>
            </w:r>
          </w:p>
        </w:tc>
        <w:tc>
          <w:tcPr>
            <w:tcW w:w="862" w:type="dxa"/>
            <w:tcBorders>
              <w:top w:val="single" w:sz="4" w:space="0" w:color="auto"/>
              <w:bottom w:val="single" w:sz="4" w:space="0" w:color="auto"/>
            </w:tcBorders>
            <w:shd w:val="clear" w:color="auto" w:fill="auto"/>
          </w:tcPr>
          <w:p w14:paraId="34AC4EC7" w14:textId="77777777" w:rsidR="00E12F04" w:rsidRPr="00B33A7D" w:rsidRDefault="008B074A" w:rsidP="006C419A">
            <w:pPr>
              <w:autoSpaceDE w:val="0"/>
              <w:autoSpaceDN w:val="0"/>
              <w:adjustRightInd w:val="0"/>
              <w:spacing w:line="480" w:lineRule="auto"/>
              <w:jc w:val="center"/>
              <w:rPr>
                <w:sz w:val="20"/>
                <w:szCs w:val="20"/>
                <w:lang w:val="en-US"/>
              </w:rPr>
            </w:pPr>
            <w:r w:rsidRPr="00B33A7D">
              <w:rPr>
                <w:sz w:val="20"/>
                <w:szCs w:val="20"/>
                <w:lang w:val="en-US"/>
              </w:rPr>
              <w:t>60,81</w:t>
            </w:r>
            <w:r w:rsidR="00E12F04" w:rsidRPr="00B33A7D">
              <w:rPr>
                <w:sz w:val="20"/>
                <w:szCs w:val="20"/>
                <w:lang w:val="en-US"/>
              </w:rPr>
              <w:t>%</w:t>
            </w:r>
          </w:p>
          <w:p w14:paraId="5156EBA7" w14:textId="77777777" w:rsidR="00E12F04" w:rsidRPr="00B33A7D" w:rsidRDefault="00E12F04" w:rsidP="006C419A">
            <w:pPr>
              <w:autoSpaceDE w:val="0"/>
              <w:autoSpaceDN w:val="0"/>
              <w:adjustRightInd w:val="0"/>
              <w:spacing w:line="480" w:lineRule="auto"/>
              <w:jc w:val="center"/>
              <w:rPr>
                <w:sz w:val="20"/>
                <w:szCs w:val="20"/>
                <w:lang w:val="en-US"/>
              </w:rPr>
            </w:pPr>
            <w:r w:rsidRPr="00B33A7D">
              <w:rPr>
                <w:sz w:val="20"/>
                <w:szCs w:val="20"/>
                <w:lang w:val="en-US"/>
              </w:rPr>
              <w:t>(n=346)</w:t>
            </w:r>
          </w:p>
        </w:tc>
        <w:tc>
          <w:tcPr>
            <w:tcW w:w="962" w:type="dxa"/>
            <w:tcBorders>
              <w:top w:val="single" w:sz="4" w:space="0" w:color="auto"/>
              <w:bottom w:val="single" w:sz="4" w:space="0" w:color="auto"/>
            </w:tcBorders>
          </w:tcPr>
          <w:p w14:paraId="0E9B4AD3" w14:textId="77777777" w:rsidR="00E12F04" w:rsidRPr="00B33A7D" w:rsidRDefault="008B074A" w:rsidP="006C419A">
            <w:pPr>
              <w:autoSpaceDE w:val="0"/>
              <w:autoSpaceDN w:val="0"/>
              <w:adjustRightInd w:val="0"/>
              <w:spacing w:line="480" w:lineRule="auto"/>
              <w:jc w:val="center"/>
              <w:rPr>
                <w:sz w:val="20"/>
                <w:szCs w:val="20"/>
                <w:lang w:val="en-US"/>
              </w:rPr>
            </w:pPr>
            <w:r w:rsidRPr="00B33A7D">
              <w:rPr>
                <w:sz w:val="20"/>
                <w:szCs w:val="20"/>
                <w:lang w:val="en-US"/>
              </w:rPr>
              <w:t>68,19%</w:t>
            </w:r>
          </w:p>
          <w:p w14:paraId="76923C5E" w14:textId="77777777" w:rsidR="008B074A" w:rsidRPr="00B33A7D" w:rsidRDefault="008B074A" w:rsidP="006C419A">
            <w:pPr>
              <w:autoSpaceDE w:val="0"/>
              <w:autoSpaceDN w:val="0"/>
              <w:adjustRightInd w:val="0"/>
              <w:spacing w:line="480" w:lineRule="auto"/>
              <w:jc w:val="center"/>
              <w:rPr>
                <w:sz w:val="20"/>
                <w:szCs w:val="20"/>
                <w:lang w:val="en-US"/>
              </w:rPr>
            </w:pPr>
            <w:r w:rsidRPr="00B33A7D">
              <w:rPr>
                <w:sz w:val="20"/>
                <w:szCs w:val="20"/>
                <w:lang w:val="en-US"/>
              </w:rPr>
              <w:t>(n=388)</w:t>
            </w:r>
          </w:p>
        </w:tc>
      </w:tr>
      <w:tr w:rsidR="00CB08C4" w:rsidRPr="00B33A7D" w14:paraId="07153CD7" w14:textId="77777777" w:rsidTr="001E7F10">
        <w:trPr>
          <w:trHeight w:val="461"/>
          <w:jc w:val="center"/>
        </w:trPr>
        <w:tc>
          <w:tcPr>
            <w:tcW w:w="1794" w:type="dxa"/>
            <w:vMerge/>
            <w:tcBorders>
              <w:bottom w:val="single" w:sz="4" w:space="0" w:color="auto"/>
            </w:tcBorders>
            <w:shd w:val="clear" w:color="auto" w:fill="auto"/>
          </w:tcPr>
          <w:p w14:paraId="4AFC57C2" w14:textId="77777777" w:rsidR="00E12F04" w:rsidRPr="00B33A7D" w:rsidRDefault="00E12F04" w:rsidP="006C419A">
            <w:pPr>
              <w:autoSpaceDE w:val="0"/>
              <w:autoSpaceDN w:val="0"/>
              <w:adjustRightInd w:val="0"/>
              <w:spacing w:line="480" w:lineRule="auto"/>
              <w:jc w:val="center"/>
              <w:rPr>
                <w:b/>
                <w:sz w:val="20"/>
                <w:szCs w:val="20"/>
                <w:lang w:val="en-US"/>
              </w:rPr>
            </w:pPr>
          </w:p>
        </w:tc>
        <w:tc>
          <w:tcPr>
            <w:tcW w:w="672" w:type="dxa"/>
            <w:tcBorders>
              <w:top w:val="single" w:sz="4" w:space="0" w:color="auto"/>
              <w:bottom w:val="single" w:sz="4" w:space="0" w:color="auto"/>
            </w:tcBorders>
            <w:shd w:val="clear" w:color="auto" w:fill="auto"/>
          </w:tcPr>
          <w:p w14:paraId="4DBF7E8C" w14:textId="77777777" w:rsidR="00E12F04" w:rsidRPr="00B33A7D" w:rsidRDefault="00E12F04" w:rsidP="006C419A">
            <w:pPr>
              <w:autoSpaceDE w:val="0"/>
              <w:autoSpaceDN w:val="0"/>
              <w:adjustRightInd w:val="0"/>
              <w:spacing w:line="480" w:lineRule="auto"/>
              <w:jc w:val="center"/>
              <w:rPr>
                <w:b/>
                <w:sz w:val="20"/>
                <w:szCs w:val="20"/>
                <w:lang w:val="en-US"/>
              </w:rPr>
            </w:pPr>
            <w:r w:rsidRPr="00B33A7D">
              <w:rPr>
                <w:b/>
                <w:sz w:val="20"/>
                <w:szCs w:val="20"/>
                <w:lang w:val="en-US"/>
              </w:rPr>
              <w:t>Total</w:t>
            </w:r>
          </w:p>
        </w:tc>
        <w:tc>
          <w:tcPr>
            <w:tcW w:w="862" w:type="dxa"/>
            <w:tcBorders>
              <w:top w:val="single" w:sz="4" w:space="0" w:color="auto"/>
              <w:bottom w:val="single" w:sz="4" w:space="0" w:color="auto"/>
            </w:tcBorders>
            <w:shd w:val="clear" w:color="auto" w:fill="auto"/>
          </w:tcPr>
          <w:p w14:paraId="4666AF3B" w14:textId="77777777" w:rsidR="00E12F04" w:rsidRPr="00B33A7D" w:rsidRDefault="00510DD2" w:rsidP="006C419A">
            <w:pPr>
              <w:autoSpaceDE w:val="0"/>
              <w:autoSpaceDN w:val="0"/>
              <w:adjustRightInd w:val="0"/>
              <w:spacing w:line="480" w:lineRule="auto"/>
              <w:jc w:val="center"/>
              <w:rPr>
                <w:sz w:val="20"/>
                <w:szCs w:val="20"/>
                <w:lang w:val="en-US"/>
              </w:rPr>
            </w:pPr>
            <w:r w:rsidRPr="00B33A7D">
              <w:rPr>
                <w:sz w:val="20"/>
                <w:szCs w:val="20"/>
                <w:lang w:val="en-US"/>
              </w:rPr>
              <w:t>65,23</w:t>
            </w:r>
            <w:r w:rsidR="00E12F04" w:rsidRPr="00B33A7D">
              <w:rPr>
                <w:sz w:val="20"/>
                <w:szCs w:val="20"/>
                <w:lang w:val="en-US"/>
              </w:rPr>
              <w:t>%</w:t>
            </w:r>
          </w:p>
          <w:p w14:paraId="6C5D3343" w14:textId="77777777" w:rsidR="00E12F04" w:rsidRPr="00B33A7D" w:rsidRDefault="00E12F04" w:rsidP="006C419A">
            <w:pPr>
              <w:autoSpaceDE w:val="0"/>
              <w:autoSpaceDN w:val="0"/>
              <w:adjustRightInd w:val="0"/>
              <w:spacing w:line="480" w:lineRule="auto"/>
              <w:jc w:val="center"/>
              <w:rPr>
                <w:sz w:val="20"/>
                <w:szCs w:val="20"/>
                <w:lang w:val="en-US"/>
              </w:rPr>
            </w:pPr>
            <w:r w:rsidRPr="00B33A7D">
              <w:rPr>
                <w:sz w:val="20"/>
                <w:szCs w:val="20"/>
                <w:lang w:val="en-US"/>
              </w:rPr>
              <w:t>(n=364)</w:t>
            </w:r>
          </w:p>
        </w:tc>
        <w:tc>
          <w:tcPr>
            <w:tcW w:w="862" w:type="dxa"/>
            <w:tcBorders>
              <w:top w:val="single" w:sz="4" w:space="0" w:color="auto"/>
              <w:bottom w:val="single" w:sz="4" w:space="0" w:color="auto"/>
            </w:tcBorders>
            <w:shd w:val="clear" w:color="auto" w:fill="auto"/>
          </w:tcPr>
          <w:p w14:paraId="4E848075" w14:textId="77777777" w:rsidR="00E12F04" w:rsidRPr="00B33A7D" w:rsidRDefault="00510DD2" w:rsidP="006C419A">
            <w:pPr>
              <w:autoSpaceDE w:val="0"/>
              <w:autoSpaceDN w:val="0"/>
              <w:adjustRightInd w:val="0"/>
              <w:spacing w:line="480" w:lineRule="auto"/>
              <w:jc w:val="center"/>
              <w:rPr>
                <w:sz w:val="20"/>
                <w:szCs w:val="20"/>
                <w:lang w:val="en-US"/>
              </w:rPr>
            </w:pPr>
            <w:r w:rsidRPr="00B33A7D">
              <w:rPr>
                <w:sz w:val="20"/>
                <w:szCs w:val="20"/>
                <w:lang w:val="en-US"/>
              </w:rPr>
              <w:t>34,77</w:t>
            </w:r>
            <w:r w:rsidR="00E12F04" w:rsidRPr="00B33A7D">
              <w:rPr>
                <w:sz w:val="20"/>
                <w:szCs w:val="20"/>
                <w:lang w:val="en-US"/>
              </w:rPr>
              <w:t>%</w:t>
            </w:r>
          </w:p>
          <w:p w14:paraId="4C40F0BB" w14:textId="77777777" w:rsidR="00E12F04" w:rsidRPr="00B33A7D" w:rsidRDefault="00E12F04" w:rsidP="006C419A">
            <w:pPr>
              <w:autoSpaceDE w:val="0"/>
              <w:autoSpaceDN w:val="0"/>
              <w:adjustRightInd w:val="0"/>
              <w:spacing w:line="480" w:lineRule="auto"/>
              <w:jc w:val="center"/>
              <w:rPr>
                <w:sz w:val="20"/>
                <w:szCs w:val="20"/>
                <w:lang w:val="en-US"/>
              </w:rPr>
            </w:pPr>
            <w:r w:rsidRPr="00B33A7D">
              <w:rPr>
                <w:sz w:val="20"/>
                <w:szCs w:val="20"/>
                <w:lang w:val="en-US"/>
              </w:rPr>
              <w:t>(n=194)</w:t>
            </w:r>
          </w:p>
        </w:tc>
        <w:tc>
          <w:tcPr>
            <w:tcW w:w="962" w:type="dxa"/>
            <w:tcBorders>
              <w:top w:val="single" w:sz="4" w:space="0" w:color="auto"/>
              <w:bottom w:val="single" w:sz="4" w:space="0" w:color="auto"/>
            </w:tcBorders>
          </w:tcPr>
          <w:p w14:paraId="726002CF" w14:textId="77777777" w:rsidR="00E12F04" w:rsidRPr="00B33A7D" w:rsidRDefault="00510DD2" w:rsidP="006C419A">
            <w:pPr>
              <w:autoSpaceDE w:val="0"/>
              <w:autoSpaceDN w:val="0"/>
              <w:adjustRightInd w:val="0"/>
              <w:spacing w:line="480" w:lineRule="auto"/>
              <w:jc w:val="center"/>
              <w:rPr>
                <w:sz w:val="20"/>
                <w:szCs w:val="20"/>
                <w:lang w:val="en-US"/>
              </w:rPr>
            </w:pPr>
            <w:r w:rsidRPr="00B33A7D">
              <w:rPr>
                <w:sz w:val="20"/>
                <w:szCs w:val="20"/>
                <w:lang w:val="en-US"/>
              </w:rPr>
              <w:t>100%</w:t>
            </w:r>
          </w:p>
          <w:p w14:paraId="6858A6F9" w14:textId="77777777" w:rsidR="00E12F04" w:rsidRPr="00B33A7D" w:rsidRDefault="00510DD2" w:rsidP="006C419A">
            <w:pPr>
              <w:autoSpaceDE w:val="0"/>
              <w:autoSpaceDN w:val="0"/>
              <w:adjustRightInd w:val="0"/>
              <w:spacing w:line="480" w:lineRule="auto"/>
              <w:jc w:val="center"/>
              <w:rPr>
                <w:sz w:val="20"/>
                <w:szCs w:val="20"/>
                <w:lang w:val="en-US"/>
              </w:rPr>
            </w:pPr>
            <w:r w:rsidRPr="00B33A7D">
              <w:rPr>
                <w:sz w:val="20"/>
                <w:szCs w:val="20"/>
                <w:lang w:val="en-US"/>
              </w:rPr>
              <w:t>(n=</w:t>
            </w:r>
            <w:r w:rsidR="00E12F04" w:rsidRPr="00B33A7D">
              <w:rPr>
                <w:sz w:val="20"/>
                <w:szCs w:val="20"/>
                <w:lang w:val="en-US"/>
              </w:rPr>
              <w:t>558*</w:t>
            </w:r>
            <w:r w:rsidRPr="00B33A7D">
              <w:rPr>
                <w:sz w:val="20"/>
                <w:szCs w:val="20"/>
                <w:lang w:val="en-US"/>
              </w:rPr>
              <w:t>)</w:t>
            </w:r>
          </w:p>
        </w:tc>
        <w:tc>
          <w:tcPr>
            <w:tcW w:w="862" w:type="dxa"/>
            <w:tcBorders>
              <w:top w:val="single" w:sz="4" w:space="0" w:color="auto"/>
              <w:bottom w:val="single" w:sz="4" w:space="0" w:color="auto"/>
            </w:tcBorders>
            <w:shd w:val="clear" w:color="auto" w:fill="auto"/>
          </w:tcPr>
          <w:p w14:paraId="2C0A8E54" w14:textId="77777777" w:rsidR="00E12F04" w:rsidRPr="00B33A7D" w:rsidRDefault="008B074A" w:rsidP="006C419A">
            <w:pPr>
              <w:autoSpaceDE w:val="0"/>
              <w:autoSpaceDN w:val="0"/>
              <w:adjustRightInd w:val="0"/>
              <w:spacing w:line="480" w:lineRule="auto"/>
              <w:jc w:val="center"/>
              <w:rPr>
                <w:sz w:val="20"/>
                <w:szCs w:val="20"/>
                <w:lang w:val="en-US"/>
              </w:rPr>
            </w:pPr>
            <w:r w:rsidRPr="00B33A7D">
              <w:rPr>
                <w:sz w:val="20"/>
                <w:szCs w:val="20"/>
                <w:lang w:val="en-US"/>
              </w:rPr>
              <w:t>39,77</w:t>
            </w:r>
            <w:r w:rsidR="00E12F04" w:rsidRPr="00B33A7D">
              <w:rPr>
                <w:sz w:val="20"/>
                <w:szCs w:val="20"/>
                <w:lang w:val="en-US"/>
              </w:rPr>
              <w:t>%</w:t>
            </w:r>
          </w:p>
          <w:p w14:paraId="2C02E743" w14:textId="77777777" w:rsidR="00E12F04" w:rsidRPr="00B33A7D" w:rsidRDefault="00E12F04" w:rsidP="006C419A">
            <w:pPr>
              <w:autoSpaceDE w:val="0"/>
              <w:autoSpaceDN w:val="0"/>
              <w:adjustRightInd w:val="0"/>
              <w:spacing w:line="480" w:lineRule="auto"/>
              <w:jc w:val="center"/>
              <w:rPr>
                <w:sz w:val="20"/>
                <w:szCs w:val="20"/>
                <w:lang w:val="en-US"/>
              </w:rPr>
            </w:pPr>
            <w:r w:rsidRPr="00B33A7D">
              <w:rPr>
                <w:sz w:val="20"/>
                <w:szCs w:val="20"/>
                <w:lang w:val="en-US"/>
              </w:rPr>
              <w:t>(n=204)</w:t>
            </w:r>
          </w:p>
        </w:tc>
        <w:tc>
          <w:tcPr>
            <w:tcW w:w="862" w:type="dxa"/>
            <w:tcBorders>
              <w:top w:val="single" w:sz="4" w:space="0" w:color="auto"/>
              <w:bottom w:val="single" w:sz="4" w:space="0" w:color="auto"/>
            </w:tcBorders>
            <w:shd w:val="clear" w:color="auto" w:fill="auto"/>
          </w:tcPr>
          <w:p w14:paraId="066EB868" w14:textId="77777777" w:rsidR="00E12F04" w:rsidRPr="00B33A7D" w:rsidRDefault="008B074A" w:rsidP="006C419A">
            <w:pPr>
              <w:autoSpaceDE w:val="0"/>
              <w:autoSpaceDN w:val="0"/>
              <w:adjustRightInd w:val="0"/>
              <w:spacing w:line="480" w:lineRule="auto"/>
              <w:jc w:val="center"/>
              <w:rPr>
                <w:sz w:val="20"/>
                <w:szCs w:val="20"/>
                <w:lang w:val="en-US"/>
              </w:rPr>
            </w:pPr>
            <w:r w:rsidRPr="00B33A7D">
              <w:rPr>
                <w:sz w:val="20"/>
                <w:szCs w:val="20"/>
                <w:lang w:val="en-US"/>
              </w:rPr>
              <w:t>60,23</w:t>
            </w:r>
            <w:r w:rsidR="00E12F04" w:rsidRPr="00B33A7D">
              <w:rPr>
                <w:sz w:val="20"/>
                <w:szCs w:val="20"/>
                <w:lang w:val="en-US"/>
              </w:rPr>
              <w:t>%</w:t>
            </w:r>
          </w:p>
          <w:p w14:paraId="60A510B2" w14:textId="77777777" w:rsidR="00E12F04" w:rsidRPr="00B33A7D" w:rsidRDefault="00E12F04" w:rsidP="006C419A">
            <w:pPr>
              <w:autoSpaceDE w:val="0"/>
              <w:autoSpaceDN w:val="0"/>
              <w:adjustRightInd w:val="0"/>
              <w:spacing w:line="480" w:lineRule="auto"/>
              <w:jc w:val="center"/>
              <w:rPr>
                <w:sz w:val="20"/>
                <w:szCs w:val="20"/>
                <w:lang w:val="en-US"/>
              </w:rPr>
            </w:pPr>
            <w:r w:rsidRPr="00B33A7D">
              <w:rPr>
                <w:sz w:val="20"/>
                <w:szCs w:val="20"/>
                <w:lang w:val="en-US"/>
              </w:rPr>
              <w:t>(n=309)</w:t>
            </w:r>
          </w:p>
        </w:tc>
        <w:tc>
          <w:tcPr>
            <w:tcW w:w="962" w:type="dxa"/>
            <w:tcBorders>
              <w:top w:val="single" w:sz="4" w:space="0" w:color="auto"/>
              <w:bottom w:val="single" w:sz="4" w:space="0" w:color="auto"/>
            </w:tcBorders>
          </w:tcPr>
          <w:p w14:paraId="377E6F3B" w14:textId="77777777" w:rsidR="00E12F04" w:rsidRPr="00B33A7D" w:rsidRDefault="008B074A" w:rsidP="006C419A">
            <w:pPr>
              <w:autoSpaceDE w:val="0"/>
              <w:autoSpaceDN w:val="0"/>
              <w:adjustRightInd w:val="0"/>
              <w:spacing w:line="480" w:lineRule="auto"/>
              <w:jc w:val="center"/>
              <w:rPr>
                <w:sz w:val="20"/>
                <w:szCs w:val="20"/>
                <w:lang w:val="en-US"/>
              </w:rPr>
            </w:pPr>
            <w:r w:rsidRPr="00B33A7D">
              <w:rPr>
                <w:sz w:val="20"/>
                <w:szCs w:val="20"/>
                <w:lang w:val="en-US"/>
              </w:rPr>
              <w:t>100%</w:t>
            </w:r>
          </w:p>
          <w:p w14:paraId="087DF9DC" w14:textId="77777777" w:rsidR="00E12F04" w:rsidRPr="00B33A7D" w:rsidRDefault="008B074A" w:rsidP="006C419A">
            <w:pPr>
              <w:autoSpaceDE w:val="0"/>
              <w:autoSpaceDN w:val="0"/>
              <w:adjustRightInd w:val="0"/>
              <w:spacing w:line="480" w:lineRule="auto"/>
              <w:jc w:val="center"/>
              <w:rPr>
                <w:sz w:val="20"/>
                <w:szCs w:val="20"/>
                <w:lang w:val="en-US"/>
              </w:rPr>
            </w:pPr>
            <w:r w:rsidRPr="00B33A7D">
              <w:rPr>
                <w:sz w:val="20"/>
                <w:szCs w:val="20"/>
                <w:lang w:val="en-US"/>
              </w:rPr>
              <w:t>(n=</w:t>
            </w:r>
            <w:r w:rsidR="00E12F04" w:rsidRPr="00B33A7D">
              <w:rPr>
                <w:sz w:val="20"/>
                <w:szCs w:val="20"/>
                <w:lang w:val="en-US"/>
              </w:rPr>
              <w:t>513*</w:t>
            </w:r>
            <w:r w:rsidRPr="00B33A7D">
              <w:rPr>
                <w:sz w:val="20"/>
                <w:szCs w:val="20"/>
                <w:lang w:val="en-US"/>
              </w:rPr>
              <w:t>)</w:t>
            </w:r>
          </w:p>
        </w:tc>
        <w:tc>
          <w:tcPr>
            <w:tcW w:w="833" w:type="dxa"/>
            <w:tcBorders>
              <w:top w:val="single" w:sz="4" w:space="0" w:color="auto"/>
              <w:bottom w:val="single" w:sz="4" w:space="0" w:color="auto"/>
            </w:tcBorders>
            <w:shd w:val="clear" w:color="auto" w:fill="auto"/>
          </w:tcPr>
          <w:p w14:paraId="63E73513" w14:textId="77777777" w:rsidR="00E12F04" w:rsidRPr="00B33A7D" w:rsidRDefault="008B074A" w:rsidP="006C419A">
            <w:pPr>
              <w:autoSpaceDE w:val="0"/>
              <w:autoSpaceDN w:val="0"/>
              <w:adjustRightInd w:val="0"/>
              <w:spacing w:line="480" w:lineRule="auto"/>
              <w:jc w:val="center"/>
              <w:rPr>
                <w:sz w:val="20"/>
                <w:szCs w:val="20"/>
                <w:lang w:val="en-US"/>
              </w:rPr>
            </w:pPr>
            <w:r w:rsidRPr="00B33A7D">
              <w:rPr>
                <w:sz w:val="20"/>
                <w:szCs w:val="20"/>
                <w:lang w:val="en-US"/>
              </w:rPr>
              <w:t>12,30</w:t>
            </w:r>
            <w:r w:rsidR="00E12F04" w:rsidRPr="00B33A7D">
              <w:rPr>
                <w:sz w:val="20"/>
                <w:szCs w:val="20"/>
                <w:lang w:val="en-US"/>
              </w:rPr>
              <w:t>%</w:t>
            </w:r>
          </w:p>
          <w:p w14:paraId="37EC1709" w14:textId="77777777" w:rsidR="00E12F04" w:rsidRPr="00B33A7D" w:rsidRDefault="00E12F04" w:rsidP="006C419A">
            <w:pPr>
              <w:autoSpaceDE w:val="0"/>
              <w:autoSpaceDN w:val="0"/>
              <w:adjustRightInd w:val="0"/>
              <w:spacing w:line="480" w:lineRule="auto"/>
              <w:jc w:val="center"/>
              <w:rPr>
                <w:sz w:val="20"/>
                <w:szCs w:val="20"/>
                <w:lang w:val="en-US"/>
              </w:rPr>
            </w:pPr>
            <w:r w:rsidRPr="00B33A7D">
              <w:rPr>
                <w:sz w:val="20"/>
                <w:szCs w:val="20"/>
                <w:lang w:val="en-US"/>
              </w:rPr>
              <w:t>(n=70)</w:t>
            </w:r>
          </w:p>
        </w:tc>
        <w:tc>
          <w:tcPr>
            <w:tcW w:w="862" w:type="dxa"/>
            <w:tcBorders>
              <w:top w:val="single" w:sz="4" w:space="0" w:color="auto"/>
              <w:bottom w:val="single" w:sz="4" w:space="0" w:color="auto"/>
            </w:tcBorders>
            <w:shd w:val="clear" w:color="auto" w:fill="auto"/>
          </w:tcPr>
          <w:p w14:paraId="773C74C8" w14:textId="77777777" w:rsidR="00E12F04" w:rsidRPr="00B33A7D" w:rsidRDefault="008B074A" w:rsidP="006C419A">
            <w:pPr>
              <w:autoSpaceDE w:val="0"/>
              <w:autoSpaceDN w:val="0"/>
              <w:adjustRightInd w:val="0"/>
              <w:spacing w:line="480" w:lineRule="auto"/>
              <w:jc w:val="center"/>
              <w:rPr>
                <w:sz w:val="20"/>
                <w:szCs w:val="20"/>
                <w:lang w:val="en-US"/>
              </w:rPr>
            </w:pPr>
            <w:r w:rsidRPr="00B33A7D">
              <w:rPr>
                <w:sz w:val="20"/>
                <w:szCs w:val="20"/>
                <w:lang w:val="en-US"/>
              </w:rPr>
              <w:t>87,70</w:t>
            </w:r>
            <w:r w:rsidR="00E12F04" w:rsidRPr="00B33A7D">
              <w:rPr>
                <w:sz w:val="20"/>
                <w:szCs w:val="20"/>
                <w:lang w:val="en-US"/>
              </w:rPr>
              <w:t>%</w:t>
            </w:r>
          </w:p>
          <w:p w14:paraId="6559058E" w14:textId="77777777" w:rsidR="00E12F04" w:rsidRPr="00B33A7D" w:rsidRDefault="00E12F04" w:rsidP="006C419A">
            <w:pPr>
              <w:autoSpaceDE w:val="0"/>
              <w:autoSpaceDN w:val="0"/>
              <w:adjustRightInd w:val="0"/>
              <w:spacing w:line="480" w:lineRule="auto"/>
              <w:jc w:val="center"/>
              <w:rPr>
                <w:sz w:val="20"/>
                <w:szCs w:val="20"/>
                <w:lang w:val="en-US"/>
              </w:rPr>
            </w:pPr>
            <w:r w:rsidRPr="00B33A7D">
              <w:rPr>
                <w:sz w:val="20"/>
                <w:szCs w:val="20"/>
                <w:lang w:val="en-US"/>
              </w:rPr>
              <w:t>(n=499)</w:t>
            </w:r>
          </w:p>
        </w:tc>
        <w:tc>
          <w:tcPr>
            <w:tcW w:w="962" w:type="dxa"/>
            <w:tcBorders>
              <w:top w:val="single" w:sz="4" w:space="0" w:color="auto"/>
              <w:bottom w:val="single" w:sz="4" w:space="0" w:color="auto"/>
            </w:tcBorders>
          </w:tcPr>
          <w:p w14:paraId="2336FDD1" w14:textId="77777777" w:rsidR="00E12F04" w:rsidRPr="00B33A7D" w:rsidRDefault="008B074A" w:rsidP="006C419A">
            <w:pPr>
              <w:autoSpaceDE w:val="0"/>
              <w:autoSpaceDN w:val="0"/>
              <w:adjustRightInd w:val="0"/>
              <w:spacing w:line="480" w:lineRule="auto"/>
              <w:jc w:val="center"/>
              <w:rPr>
                <w:sz w:val="20"/>
                <w:szCs w:val="20"/>
                <w:lang w:val="en-US"/>
              </w:rPr>
            </w:pPr>
            <w:r w:rsidRPr="00B33A7D">
              <w:rPr>
                <w:sz w:val="20"/>
                <w:szCs w:val="20"/>
                <w:lang w:val="en-US"/>
              </w:rPr>
              <w:t>100%</w:t>
            </w:r>
          </w:p>
          <w:p w14:paraId="0FB3FD9E" w14:textId="77777777" w:rsidR="00E12F04" w:rsidRPr="00B33A7D" w:rsidRDefault="008B074A" w:rsidP="006C419A">
            <w:pPr>
              <w:autoSpaceDE w:val="0"/>
              <w:autoSpaceDN w:val="0"/>
              <w:adjustRightInd w:val="0"/>
              <w:spacing w:line="480" w:lineRule="auto"/>
              <w:jc w:val="center"/>
              <w:rPr>
                <w:sz w:val="20"/>
                <w:szCs w:val="20"/>
                <w:lang w:val="en-US"/>
              </w:rPr>
            </w:pPr>
            <w:r w:rsidRPr="00B33A7D">
              <w:rPr>
                <w:sz w:val="20"/>
                <w:szCs w:val="20"/>
                <w:lang w:val="en-US"/>
              </w:rPr>
              <w:t>(n=</w:t>
            </w:r>
            <w:r w:rsidR="00E12F04" w:rsidRPr="00B33A7D">
              <w:rPr>
                <w:sz w:val="20"/>
                <w:szCs w:val="20"/>
                <w:lang w:val="en-US"/>
              </w:rPr>
              <w:t>569*</w:t>
            </w:r>
            <w:r w:rsidRPr="00B33A7D">
              <w:rPr>
                <w:sz w:val="20"/>
                <w:szCs w:val="20"/>
                <w:lang w:val="en-US"/>
              </w:rPr>
              <w:t>)</w:t>
            </w:r>
          </w:p>
        </w:tc>
      </w:tr>
      <w:tr w:rsidR="00CB08C4" w:rsidRPr="00B33A7D" w14:paraId="4AE1D638" w14:textId="77777777" w:rsidTr="001E7F10">
        <w:trPr>
          <w:trHeight w:val="313"/>
          <w:jc w:val="center"/>
        </w:trPr>
        <w:tc>
          <w:tcPr>
            <w:tcW w:w="1794" w:type="dxa"/>
            <w:tcBorders>
              <w:top w:val="single" w:sz="4" w:space="0" w:color="auto"/>
              <w:bottom w:val="single" w:sz="4" w:space="0" w:color="auto"/>
            </w:tcBorders>
            <w:shd w:val="clear" w:color="auto" w:fill="auto"/>
          </w:tcPr>
          <w:p w14:paraId="54CBBE8C" w14:textId="77777777" w:rsidR="00E12F04" w:rsidRPr="00B33A7D" w:rsidRDefault="00D215FC" w:rsidP="006C419A">
            <w:pPr>
              <w:autoSpaceDE w:val="0"/>
              <w:autoSpaceDN w:val="0"/>
              <w:adjustRightInd w:val="0"/>
              <w:spacing w:line="480" w:lineRule="auto"/>
              <w:jc w:val="center"/>
              <w:rPr>
                <w:b/>
                <w:sz w:val="20"/>
                <w:szCs w:val="20"/>
                <w:lang w:val="en-US"/>
              </w:rPr>
            </w:pPr>
            <w:r w:rsidRPr="00B33A7D">
              <w:rPr>
                <w:sz w:val="20"/>
                <w:szCs w:val="20"/>
                <w:lang w:val="en-US"/>
              </w:rPr>
              <w:t>P value</w:t>
            </w:r>
          </w:p>
        </w:tc>
        <w:tc>
          <w:tcPr>
            <w:tcW w:w="672" w:type="dxa"/>
            <w:tcBorders>
              <w:top w:val="single" w:sz="4" w:space="0" w:color="auto"/>
              <w:bottom w:val="single" w:sz="4" w:space="0" w:color="auto"/>
            </w:tcBorders>
            <w:shd w:val="clear" w:color="auto" w:fill="auto"/>
          </w:tcPr>
          <w:p w14:paraId="2759F4C6" w14:textId="77777777" w:rsidR="00E12F04" w:rsidRPr="00B33A7D" w:rsidRDefault="00E12F04" w:rsidP="006C419A">
            <w:pPr>
              <w:autoSpaceDE w:val="0"/>
              <w:autoSpaceDN w:val="0"/>
              <w:adjustRightInd w:val="0"/>
              <w:spacing w:line="480" w:lineRule="auto"/>
              <w:jc w:val="center"/>
              <w:rPr>
                <w:sz w:val="20"/>
                <w:szCs w:val="20"/>
                <w:lang w:val="en-US"/>
              </w:rPr>
            </w:pPr>
          </w:p>
        </w:tc>
        <w:tc>
          <w:tcPr>
            <w:tcW w:w="1724" w:type="dxa"/>
            <w:gridSpan w:val="2"/>
            <w:tcBorders>
              <w:top w:val="single" w:sz="4" w:space="0" w:color="auto"/>
              <w:bottom w:val="single" w:sz="4" w:space="0" w:color="auto"/>
            </w:tcBorders>
            <w:shd w:val="clear" w:color="auto" w:fill="auto"/>
          </w:tcPr>
          <w:p w14:paraId="411029B2" w14:textId="77777777" w:rsidR="00E12F04" w:rsidRPr="00B33A7D" w:rsidRDefault="00E12F04" w:rsidP="006C419A">
            <w:pPr>
              <w:autoSpaceDE w:val="0"/>
              <w:autoSpaceDN w:val="0"/>
              <w:adjustRightInd w:val="0"/>
              <w:spacing w:line="480" w:lineRule="auto"/>
              <w:jc w:val="center"/>
              <w:rPr>
                <w:sz w:val="20"/>
                <w:szCs w:val="20"/>
                <w:lang w:val="en-US"/>
              </w:rPr>
            </w:pPr>
          </w:p>
        </w:tc>
        <w:tc>
          <w:tcPr>
            <w:tcW w:w="962" w:type="dxa"/>
            <w:tcBorders>
              <w:top w:val="single" w:sz="4" w:space="0" w:color="auto"/>
              <w:bottom w:val="single" w:sz="4" w:space="0" w:color="auto"/>
            </w:tcBorders>
          </w:tcPr>
          <w:p w14:paraId="241C5C5F" w14:textId="77777777" w:rsidR="00E12F04" w:rsidRPr="00B33A7D" w:rsidRDefault="00E12F04" w:rsidP="006C419A">
            <w:pPr>
              <w:autoSpaceDE w:val="0"/>
              <w:autoSpaceDN w:val="0"/>
              <w:adjustRightInd w:val="0"/>
              <w:spacing w:line="480" w:lineRule="auto"/>
              <w:jc w:val="center"/>
              <w:rPr>
                <w:sz w:val="20"/>
                <w:szCs w:val="20"/>
                <w:lang w:val="en-US"/>
              </w:rPr>
            </w:pPr>
            <w:r w:rsidRPr="00B33A7D">
              <w:rPr>
                <w:sz w:val="20"/>
                <w:szCs w:val="20"/>
                <w:lang w:val="en-US"/>
              </w:rPr>
              <w:t>0,000**</w:t>
            </w:r>
          </w:p>
        </w:tc>
        <w:tc>
          <w:tcPr>
            <w:tcW w:w="1724" w:type="dxa"/>
            <w:gridSpan w:val="2"/>
            <w:tcBorders>
              <w:top w:val="single" w:sz="4" w:space="0" w:color="auto"/>
              <w:bottom w:val="single" w:sz="4" w:space="0" w:color="auto"/>
            </w:tcBorders>
            <w:shd w:val="clear" w:color="auto" w:fill="auto"/>
          </w:tcPr>
          <w:p w14:paraId="6F105FA8" w14:textId="77777777" w:rsidR="00E12F04" w:rsidRPr="00B33A7D" w:rsidRDefault="00E12F04" w:rsidP="006C419A">
            <w:pPr>
              <w:autoSpaceDE w:val="0"/>
              <w:autoSpaceDN w:val="0"/>
              <w:adjustRightInd w:val="0"/>
              <w:spacing w:line="480" w:lineRule="auto"/>
              <w:jc w:val="center"/>
              <w:rPr>
                <w:sz w:val="20"/>
                <w:szCs w:val="20"/>
                <w:lang w:val="en-US"/>
              </w:rPr>
            </w:pPr>
          </w:p>
        </w:tc>
        <w:tc>
          <w:tcPr>
            <w:tcW w:w="962" w:type="dxa"/>
            <w:tcBorders>
              <w:top w:val="single" w:sz="4" w:space="0" w:color="auto"/>
              <w:bottom w:val="single" w:sz="4" w:space="0" w:color="auto"/>
            </w:tcBorders>
          </w:tcPr>
          <w:p w14:paraId="6232A43E" w14:textId="77777777" w:rsidR="00E12F04" w:rsidRPr="00B33A7D" w:rsidRDefault="00E12F04" w:rsidP="006C419A">
            <w:pPr>
              <w:autoSpaceDE w:val="0"/>
              <w:autoSpaceDN w:val="0"/>
              <w:adjustRightInd w:val="0"/>
              <w:spacing w:line="480" w:lineRule="auto"/>
              <w:jc w:val="center"/>
              <w:rPr>
                <w:sz w:val="20"/>
                <w:szCs w:val="20"/>
                <w:lang w:val="en-US"/>
              </w:rPr>
            </w:pPr>
            <w:r w:rsidRPr="00B33A7D">
              <w:rPr>
                <w:sz w:val="20"/>
                <w:szCs w:val="20"/>
                <w:lang w:val="en-US"/>
              </w:rPr>
              <w:t>0,055</w:t>
            </w:r>
          </w:p>
        </w:tc>
        <w:tc>
          <w:tcPr>
            <w:tcW w:w="1695" w:type="dxa"/>
            <w:gridSpan w:val="2"/>
            <w:tcBorders>
              <w:top w:val="single" w:sz="4" w:space="0" w:color="auto"/>
              <w:bottom w:val="single" w:sz="4" w:space="0" w:color="auto"/>
            </w:tcBorders>
            <w:shd w:val="clear" w:color="auto" w:fill="auto"/>
          </w:tcPr>
          <w:p w14:paraId="4BD3D43C" w14:textId="77777777" w:rsidR="00E12F04" w:rsidRPr="00B33A7D" w:rsidRDefault="00E12F04" w:rsidP="006C419A">
            <w:pPr>
              <w:autoSpaceDE w:val="0"/>
              <w:autoSpaceDN w:val="0"/>
              <w:adjustRightInd w:val="0"/>
              <w:spacing w:line="480" w:lineRule="auto"/>
              <w:jc w:val="center"/>
              <w:rPr>
                <w:b/>
                <w:sz w:val="20"/>
                <w:szCs w:val="20"/>
                <w:lang w:val="en-US"/>
              </w:rPr>
            </w:pPr>
          </w:p>
        </w:tc>
        <w:tc>
          <w:tcPr>
            <w:tcW w:w="962" w:type="dxa"/>
            <w:tcBorders>
              <w:top w:val="single" w:sz="4" w:space="0" w:color="auto"/>
              <w:bottom w:val="single" w:sz="4" w:space="0" w:color="auto"/>
            </w:tcBorders>
          </w:tcPr>
          <w:p w14:paraId="1881E95A" w14:textId="77777777" w:rsidR="00E12F04" w:rsidRPr="00B33A7D" w:rsidRDefault="00E12F04" w:rsidP="006C419A">
            <w:pPr>
              <w:autoSpaceDE w:val="0"/>
              <w:autoSpaceDN w:val="0"/>
              <w:adjustRightInd w:val="0"/>
              <w:spacing w:line="480" w:lineRule="auto"/>
              <w:jc w:val="center"/>
              <w:rPr>
                <w:sz w:val="20"/>
                <w:szCs w:val="20"/>
                <w:lang w:val="en-US"/>
              </w:rPr>
            </w:pPr>
            <w:r w:rsidRPr="00B33A7D">
              <w:rPr>
                <w:sz w:val="20"/>
                <w:szCs w:val="20"/>
                <w:lang w:val="en-US"/>
              </w:rPr>
              <w:t>0,031**</w:t>
            </w:r>
          </w:p>
        </w:tc>
      </w:tr>
    </w:tbl>
    <w:p w14:paraId="54E408D8" w14:textId="77777777" w:rsidR="00D95769" w:rsidRPr="00B33A7D" w:rsidRDefault="0047328B" w:rsidP="006C419A">
      <w:pPr>
        <w:autoSpaceDE w:val="0"/>
        <w:autoSpaceDN w:val="0"/>
        <w:adjustRightInd w:val="0"/>
        <w:spacing w:line="480" w:lineRule="auto"/>
        <w:rPr>
          <w:szCs w:val="16"/>
          <w:lang w:val="en-US"/>
        </w:rPr>
      </w:pPr>
      <w:r w:rsidRPr="00B33A7D">
        <w:rPr>
          <w:lang w:val="en-US"/>
        </w:rPr>
        <w:t>*</w:t>
      </w:r>
      <w:r w:rsidR="0033431E" w:rsidRPr="00B33A7D">
        <w:rPr>
          <w:lang w:val="en-US"/>
        </w:rPr>
        <w:t xml:space="preserve"> </w:t>
      </w:r>
      <w:r w:rsidR="001E7F10">
        <w:rPr>
          <w:lang w:val="en-US"/>
        </w:rPr>
        <w:t>The rest of</w:t>
      </w:r>
      <w:r w:rsidR="0033431E" w:rsidRPr="00B33A7D">
        <w:rPr>
          <w:lang w:val="en-US"/>
        </w:rPr>
        <w:t xml:space="preserve"> </w:t>
      </w:r>
      <w:r w:rsidR="00EC2F1F" w:rsidRPr="00B33A7D">
        <w:rPr>
          <w:lang w:val="en-US"/>
        </w:rPr>
        <w:t>individual</w:t>
      </w:r>
      <w:r w:rsidR="0033431E" w:rsidRPr="00B33A7D">
        <w:rPr>
          <w:lang w:val="en-US"/>
        </w:rPr>
        <w:t>s did not answer the question</w:t>
      </w:r>
      <w:r w:rsidR="00D04EE1" w:rsidRPr="00B33A7D">
        <w:rPr>
          <w:lang w:val="en-US"/>
        </w:rPr>
        <w:t xml:space="preserve">/ </w:t>
      </w:r>
      <w:r w:rsidR="0033431E" w:rsidRPr="00B33A7D">
        <w:rPr>
          <w:lang w:val="en-US"/>
        </w:rPr>
        <w:t>*</w:t>
      </w:r>
      <w:r w:rsidR="0033431E" w:rsidRPr="00B33A7D">
        <w:rPr>
          <w:szCs w:val="16"/>
          <w:lang w:val="en-US"/>
        </w:rPr>
        <w:t>*</w:t>
      </w:r>
      <w:r w:rsidR="00F12722" w:rsidRPr="00B33A7D">
        <w:rPr>
          <w:szCs w:val="16"/>
          <w:lang w:val="en-US"/>
        </w:rPr>
        <w:t>S</w:t>
      </w:r>
      <w:r w:rsidR="0033431E" w:rsidRPr="00B33A7D">
        <w:rPr>
          <w:szCs w:val="16"/>
          <w:lang w:val="en-US"/>
        </w:rPr>
        <w:t>tatistically significant</w:t>
      </w:r>
      <w:r w:rsidR="00F12722" w:rsidRPr="00B33A7D">
        <w:rPr>
          <w:szCs w:val="16"/>
          <w:lang w:val="en-US"/>
        </w:rPr>
        <w:t xml:space="preserve"> difference</w:t>
      </w:r>
      <w:r w:rsidR="00730262" w:rsidRPr="00B33A7D">
        <w:rPr>
          <w:lang w:val="en-US"/>
        </w:rPr>
        <w:t>.</w:t>
      </w:r>
    </w:p>
    <w:p w14:paraId="4B3432E4" w14:textId="77777777" w:rsidR="00A13D24" w:rsidRPr="00B33A7D" w:rsidRDefault="00A13D24" w:rsidP="006C419A">
      <w:pPr>
        <w:autoSpaceDE w:val="0"/>
        <w:autoSpaceDN w:val="0"/>
        <w:adjustRightInd w:val="0"/>
        <w:spacing w:line="480" w:lineRule="auto"/>
        <w:rPr>
          <w:rFonts w:ascii="Courier New" w:hAnsi="Courier New" w:cs="Courier New"/>
          <w:sz w:val="16"/>
          <w:szCs w:val="16"/>
          <w:lang w:val="en-US"/>
        </w:rPr>
      </w:pPr>
    </w:p>
    <w:p w14:paraId="2C91284D" w14:textId="77777777" w:rsidR="009F429C" w:rsidRPr="00B33A7D" w:rsidRDefault="00BA3312" w:rsidP="006C419A">
      <w:pPr>
        <w:autoSpaceDE w:val="0"/>
        <w:autoSpaceDN w:val="0"/>
        <w:adjustRightInd w:val="0"/>
        <w:spacing w:line="480" w:lineRule="auto"/>
        <w:jc w:val="both"/>
        <w:rPr>
          <w:rFonts w:cs="Arial"/>
          <w:b/>
          <w:color w:val="000000"/>
          <w:lang w:val="en-US"/>
        </w:rPr>
      </w:pPr>
      <w:r w:rsidRPr="00B33A7D">
        <w:rPr>
          <w:rFonts w:cs="Arial"/>
          <w:b/>
          <w:color w:val="000000"/>
          <w:lang w:val="en-US"/>
        </w:rPr>
        <w:t>DISCUSSION</w:t>
      </w:r>
    </w:p>
    <w:p w14:paraId="57C3D2C9" w14:textId="5266E1D0" w:rsidR="0065369B" w:rsidRPr="00B33A7D" w:rsidRDefault="00596554" w:rsidP="006C419A">
      <w:pPr>
        <w:autoSpaceDE w:val="0"/>
        <w:autoSpaceDN w:val="0"/>
        <w:adjustRightInd w:val="0"/>
        <w:spacing w:line="480" w:lineRule="auto"/>
        <w:ind w:firstLine="708"/>
        <w:jc w:val="both"/>
        <w:rPr>
          <w:rFonts w:cs="Arial"/>
          <w:color w:val="000000"/>
          <w:lang w:val="en-US"/>
        </w:rPr>
      </w:pPr>
      <w:r w:rsidRPr="00B33A7D">
        <w:rPr>
          <w:rFonts w:cs="Arial"/>
          <w:color w:val="000000"/>
          <w:lang w:val="en-US"/>
        </w:rPr>
        <w:t xml:space="preserve">The Burnout Syndrome was exclusively related to work environment </w:t>
      </w:r>
      <w:r w:rsidR="00C101E7">
        <w:rPr>
          <w:rFonts w:cs="Arial"/>
          <w:color w:val="000000"/>
          <w:lang w:val="en-US"/>
        </w:rPr>
        <w:t>for the first scholars</w:t>
      </w:r>
      <w:r w:rsidR="009A7B7F">
        <w:rPr>
          <w:rFonts w:cs="Arial"/>
          <w:color w:val="000000"/>
          <w:lang w:val="en-US"/>
        </w:rPr>
        <w:t xml:space="preserve"> (</w:t>
      </w:r>
      <w:proofErr w:type="spellStart"/>
      <w:r w:rsidR="009A7B7F" w:rsidRPr="00D56FC2">
        <w:rPr>
          <w:lang w:val="en-US"/>
        </w:rPr>
        <w:t>Maslach</w:t>
      </w:r>
      <w:proofErr w:type="spellEnd"/>
      <w:r w:rsidR="00D10FA6">
        <w:rPr>
          <w:lang w:val="en-US"/>
        </w:rPr>
        <w:t xml:space="preserve"> et al.</w:t>
      </w:r>
      <w:r w:rsidR="009A7B7F">
        <w:rPr>
          <w:lang w:val="en-US"/>
        </w:rPr>
        <w:t>, 2001)</w:t>
      </w:r>
      <w:r w:rsidR="00550159" w:rsidRPr="00B33A7D">
        <w:rPr>
          <w:rFonts w:eastAsia="Calibri"/>
          <w:lang w:val="en-US" w:eastAsia="en-US"/>
        </w:rPr>
        <w:t>.</w:t>
      </w:r>
      <w:r w:rsidR="0065369B" w:rsidRPr="00B33A7D">
        <w:rPr>
          <w:rFonts w:cs="Arial"/>
          <w:color w:val="000000"/>
          <w:lang w:val="en-US"/>
        </w:rPr>
        <w:t xml:space="preserve"> </w:t>
      </w:r>
      <w:r w:rsidR="00C101E7">
        <w:rPr>
          <w:rFonts w:cs="Arial"/>
          <w:color w:val="000000"/>
          <w:lang w:val="en-US"/>
        </w:rPr>
        <w:t>N</w:t>
      </w:r>
      <w:r w:rsidRPr="00B33A7D">
        <w:rPr>
          <w:rFonts w:cs="Arial"/>
          <w:color w:val="000000"/>
          <w:lang w:val="en-US"/>
        </w:rPr>
        <w:t>owadays</w:t>
      </w:r>
      <w:r w:rsidR="0065369B" w:rsidRPr="00B33A7D">
        <w:rPr>
          <w:rFonts w:cs="Arial"/>
          <w:color w:val="000000"/>
          <w:lang w:val="en-US"/>
        </w:rPr>
        <w:t xml:space="preserve">, </w:t>
      </w:r>
      <w:r w:rsidR="00C101E7">
        <w:rPr>
          <w:rFonts w:cs="Arial"/>
          <w:color w:val="000000"/>
          <w:lang w:val="en-US"/>
        </w:rPr>
        <w:t>several researchers point that BS</w:t>
      </w:r>
      <w:r w:rsidRPr="00B33A7D">
        <w:rPr>
          <w:rFonts w:cs="Arial"/>
          <w:color w:val="000000"/>
          <w:lang w:val="en-US"/>
        </w:rPr>
        <w:t xml:space="preserve"> may be linked to </w:t>
      </w:r>
      <w:r w:rsidR="007E016A">
        <w:rPr>
          <w:rFonts w:cs="Arial"/>
          <w:color w:val="000000"/>
          <w:lang w:val="en-US"/>
        </w:rPr>
        <w:t>biosocial</w:t>
      </w:r>
      <w:r w:rsidRPr="00B33A7D">
        <w:rPr>
          <w:rFonts w:cs="Arial"/>
          <w:color w:val="000000"/>
          <w:lang w:val="en-US"/>
        </w:rPr>
        <w:t xml:space="preserve"> features</w:t>
      </w:r>
      <w:r w:rsidR="0056151A" w:rsidRPr="00B33A7D">
        <w:rPr>
          <w:rFonts w:cs="Arial"/>
          <w:color w:val="000000"/>
          <w:lang w:val="en-US"/>
        </w:rPr>
        <w:t xml:space="preserve">, </w:t>
      </w:r>
      <w:r w:rsidRPr="00B33A7D">
        <w:rPr>
          <w:rFonts w:cs="Arial"/>
          <w:color w:val="000000"/>
          <w:lang w:val="en-US"/>
        </w:rPr>
        <w:t xml:space="preserve">to attitudes and to personality characteristics which are intrinsic to individuals and, thus, permeate the </w:t>
      </w:r>
      <w:r w:rsidR="00C101E7">
        <w:rPr>
          <w:rFonts w:cs="Arial"/>
          <w:color w:val="000000"/>
          <w:lang w:val="en-US"/>
        </w:rPr>
        <w:t>r</w:t>
      </w:r>
      <w:r w:rsidRPr="00B33A7D">
        <w:rPr>
          <w:rFonts w:cs="Arial"/>
          <w:color w:val="000000"/>
          <w:lang w:val="en-US"/>
        </w:rPr>
        <w:t>elationships</w:t>
      </w:r>
      <w:r w:rsidR="00C101E7">
        <w:rPr>
          <w:rFonts w:cs="Arial"/>
          <w:color w:val="000000"/>
          <w:lang w:val="en-US"/>
        </w:rPr>
        <w:t xml:space="preserve"> in work environment</w:t>
      </w:r>
      <w:r w:rsidR="00550159" w:rsidRPr="00B33A7D">
        <w:rPr>
          <w:rFonts w:cs="Arial"/>
          <w:color w:val="000000"/>
          <w:lang w:val="en-US"/>
        </w:rPr>
        <w:t xml:space="preserve"> </w:t>
      </w:r>
      <w:r w:rsidR="009A7B7F">
        <w:rPr>
          <w:rFonts w:cs="Arial"/>
          <w:color w:val="000000"/>
          <w:lang w:val="en-US"/>
        </w:rPr>
        <w:t>(</w:t>
      </w:r>
      <w:proofErr w:type="spellStart"/>
      <w:r w:rsidR="009A7B7F" w:rsidRPr="00D56FC2">
        <w:rPr>
          <w:lang w:val="en-US"/>
        </w:rPr>
        <w:t>Maslach</w:t>
      </w:r>
      <w:proofErr w:type="spellEnd"/>
      <w:r w:rsidR="00D10FA6">
        <w:rPr>
          <w:lang w:val="en-US"/>
        </w:rPr>
        <w:t xml:space="preserve"> et al.</w:t>
      </w:r>
      <w:r w:rsidR="009A7B7F">
        <w:rPr>
          <w:lang w:val="en-US"/>
        </w:rPr>
        <w:t>, 2001;</w:t>
      </w:r>
      <w:r w:rsidR="009A7B7F" w:rsidRPr="009A7B7F">
        <w:rPr>
          <w:lang w:val="en-US"/>
        </w:rPr>
        <w:t xml:space="preserve"> </w:t>
      </w:r>
      <w:proofErr w:type="spellStart"/>
      <w:r w:rsidR="009A7B7F" w:rsidRPr="00D56FC2">
        <w:rPr>
          <w:lang w:val="en-US"/>
        </w:rPr>
        <w:t>Maslach</w:t>
      </w:r>
      <w:proofErr w:type="spellEnd"/>
      <w:r w:rsidR="00D10FA6">
        <w:rPr>
          <w:lang w:val="en-US"/>
        </w:rPr>
        <w:t>, 2001</w:t>
      </w:r>
      <w:r w:rsidR="009A7B7F">
        <w:rPr>
          <w:lang w:val="en-US"/>
        </w:rPr>
        <w:t>)</w:t>
      </w:r>
      <w:r w:rsidR="002978BC" w:rsidRPr="00B33A7D">
        <w:rPr>
          <w:rFonts w:cs="Arial"/>
          <w:color w:val="000000"/>
          <w:lang w:val="en-US"/>
        </w:rPr>
        <w:t xml:space="preserve"> </w:t>
      </w:r>
      <w:r w:rsidRPr="00B33A7D">
        <w:rPr>
          <w:rFonts w:cs="Arial"/>
          <w:color w:val="000000"/>
          <w:lang w:val="en-US"/>
        </w:rPr>
        <w:t>Therefore</w:t>
      </w:r>
      <w:r w:rsidR="0065369B" w:rsidRPr="00B33A7D">
        <w:rPr>
          <w:rFonts w:cs="Arial"/>
          <w:color w:val="000000"/>
          <w:lang w:val="en-US"/>
        </w:rPr>
        <w:t>,</w:t>
      </w:r>
      <w:r w:rsidRPr="00B33A7D">
        <w:rPr>
          <w:rFonts w:cs="Arial"/>
          <w:color w:val="000000"/>
          <w:lang w:val="en-US"/>
        </w:rPr>
        <w:t xml:space="preserve"> the association of the academic and </w:t>
      </w:r>
      <w:r w:rsidR="00BD409C">
        <w:rPr>
          <w:rFonts w:cs="Arial"/>
          <w:color w:val="000000"/>
          <w:lang w:val="en-US"/>
        </w:rPr>
        <w:t xml:space="preserve">biosocial </w:t>
      </w:r>
      <w:r w:rsidRPr="00B33A7D">
        <w:rPr>
          <w:rFonts w:cs="Arial"/>
          <w:color w:val="000000"/>
          <w:lang w:val="en-US"/>
        </w:rPr>
        <w:t>characteristics with the BS has been analyzed</w:t>
      </w:r>
      <w:r w:rsidR="0065369B" w:rsidRPr="00B33A7D">
        <w:rPr>
          <w:rFonts w:cs="Arial"/>
          <w:color w:val="000000"/>
          <w:lang w:val="en-US"/>
        </w:rPr>
        <w:t xml:space="preserve"> </w:t>
      </w:r>
      <w:r w:rsidRPr="00B33A7D">
        <w:rPr>
          <w:rFonts w:cs="Arial"/>
          <w:color w:val="000000"/>
          <w:lang w:val="en-US"/>
        </w:rPr>
        <w:t>in different researches among students</w:t>
      </w:r>
      <w:r w:rsidR="008D36E6">
        <w:rPr>
          <w:rFonts w:cs="Arial"/>
          <w:color w:val="000000"/>
          <w:lang w:val="en-US"/>
        </w:rPr>
        <w:t xml:space="preserve"> </w:t>
      </w:r>
      <w:r w:rsidR="008D36E6">
        <w:rPr>
          <w:rFonts w:eastAsia="Calibri"/>
          <w:lang w:val="en-US" w:eastAsia="en-US"/>
        </w:rPr>
        <w:t>(</w:t>
      </w:r>
      <w:proofErr w:type="spellStart"/>
      <w:r w:rsidR="00D10FA6" w:rsidRPr="00D10FA6">
        <w:rPr>
          <w:rFonts w:eastAsia="Calibri"/>
          <w:lang w:val="en-US" w:eastAsia="en-US"/>
        </w:rPr>
        <w:t>Carlotto</w:t>
      </w:r>
      <w:proofErr w:type="spellEnd"/>
      <w:r w:rsidR="00D10FA6">
        <w:rPr>
          <w:rFonts w:eastAsia="Calibri"/>
          <w:lang w:val="en-US" w:eastAsia="en-US"/>
        </w:rPr>
        <w:t xml:space="preserve"> </w:t>
      </w:r>
      <w:r w:rsidR="00D10FA6" w:rsidRPr="00B33A7D">
        <w:rPr>
          <w:rFonts w:eastAsia="Calibri"/>
          <w:lang w:val="en-US" w:eastAsia="en-US"/>
        </w:rPr>
        <w:t xml:space="preserve">&amp; </w:t>
      </w:r>
      <w:proofErr w:type="spellStart"/>
      <w:r w:rsidR="00D10FA6" w:rsidRPr="00D10FA6">
        <w:rPr>
          <w:rFonts w:eastAsia="Calibri"/>
          <w:lang w:val="en-US" w:eastAsia="en-US"/>
        </w:rPr>
        <w:t>Câmara</w:t>
      </w:r>
      <w:proofErr w:type="spellEnd"/>
      <w:r w:rsidR="00D10FA6" w:rsidRPr="00D10FA6">
        <w:rPr>
          <w:rFonts w:eastAsia="Calibri"/>
          <w:lang w:val="en-US" w:eastAsia="en-US"/>
        </w:rPr>
        <w:t xml:space="preserve">, 2006; </w:t>
      </w:r>
      <w:proofErr w:type="spellStart"/>
      <w:r w:rsidR="00D10FA6" w:rsidRPr="00D10FA6">
        <w:rPr>
          <w:rFonts w:eastAsia="Calibri"/>
          <w:lang w:val="en-US" w:eastAsia="en-US"/>
        </w:rPr>
        <w:t>Carlotto</w:t>
      </w:r>
      <w:proofErr w:type="spellEnd"/>
      <w:r w:rsidR="00D10FA6" w:rsidRPr="00D10FA6">
        <w:rPr>
          <w:rFonts w:eastAsia="Calibri"/>
          <w:lang w:val="en-US" w:eastAsia="en-US"/>
        </w:rPr>
        <w:t xml:space="preserve"> </w:t>
      </w:r>
      <w:r w:rsidR="00D10FA6" w:rsidRPr="00B33A7D">
        <w:rPr>
          <w:rFonts w:eastAsia="Calibri"/>
          <w:lang w:val="en-US" w:eastAsia="en-US"/>
        </w:rPr>
        <w:t>&amp;</w:t>
      </w:r>
      <w:r w:rsidR="00D10FA6" w:rsidRPr="00D10FA6">
        <w:rPr>
          <w:rFonts w:eastAsia="Calibri"/>
          <w:lang w:val="en-US" w:eastAsia="en-US"/>
        </w:rPr>
        <w:t xml:space="preserve"> </w:t>
      </w:r>
      <w:proofErr w:type="spellStart"/>
      <w:r w:rsidR="00D10FA6" w:rsidRPr="00D10FA6">
        <w:rPr>
          <w:rFonts w:eastAsia="Calibri"/>
          <w:lang w:val="en-US" w:eastAsia="en-US"/>
        </w:rPr>
        <w:t>Câmara</w:t>
      </w:r>
      <w:proofErr w:type="spellEnd"/>
      <w:r w:rsidR="00D10FA6">
        <w:rPr>
          <w:rFonts w:eastAsia="Calibri"/>
          <w:lang w:val="en-US" w:eastAsia="en-US"/>
        </w:rPr>
        <w:t>, 2008)</w:t>
      </w:r>
      <w:r w:rsidR="0065369B" w:rsidRPr="00B33A7D">
        <w:rPr>
          <w:rFonts w:cs="Arial"/>
          <w:color w:val="000000"/>
          <w:lang w:val="en-US"/>
        </w:rPr>
        <w:t>.</w:t>
      </w:r>
    </w:p>
    <w:p w14:paraId="0E7A476F" w14:textId="5E7BF2CB" w:rsidR="004239AD" w:rsidRPr="00B33A7D" w:rsidRDefault="00596554" w:rsidP="006C419A">
      <w:pPr>
        <w:autoSpaceDE w:val="0"/>
        <w:autoSpaceDN w:val="0"/>
        <w:adjustRightInd w:val="0"/>
        <w:spacing w:line="480" w:lineRule="auto"/>
        <w:ind w:firstLine="708"/>
        <w:jc w:val="both"/>
        <w:rPr>
          <w:rFonts w:cs="Arial"/>
          <w:lang w:val="en-US"/>
        </w:rPr>
      </w:pPr>
      <w:r w:rsidRPr="00B33A7D">
        <w:rPr>
          <w:rFonts w:cs="Arial"/>
          <w:color w:val="000000"/>
          <w:lang w:val="en-US"/>
        </w:rPr>
        <w:t>In this sense</w:t>
      </w:r>
      <w:r w:rsidR="002978BC" w:rsidRPr="00B33A7D">
        <w:rPr>
          <w:rFonts w:cs="Arial"/>
          <w:color w:val="000000"/>
          <w:lang w:val="en-US"/>
        </w:rPr>
        <w:t xml:space="preserve">, </w:t>
      </w:r>
      <w:r w:rsidRPr="00B33A7D">
        <w:rPr>
          <w:rFonts w:cs="Arial"/>
          <w:color w:val="000000"/>
          <w:lang w:val="en-US"/>
        </w:rPr>
        <w:t>we verified that</w:t>
      </w:r>
      <w:r w:rsidR="00C101E7">
        <w:rPr>
          <w:rFonts w:cs="Arial"/>
          <w:color w:val="000000"/>
          <w:lang w:val="en-US"/>
        </w:rPr>
        <w:t xml:space="preserve">, among </w:t>
      </w:r>
      <w:r w:rsidRPr="00B33A7D">
        <w:rPr>
          <w:rFonts w:cs="Arial"/>
          <w:color w:val="000000"/>
          <w:lang w:val="en-US"/>
        </w:rPr>
        <w:t xml:space="preserve">students </w:t>
      </w:r>
      <w:r w:rsidR="00C101E7">
        <w:rPr>
          <w:rFonts w:cs="Arial"/>
          <w:color w:val="000000"/>
          <w:lang w:val="en-US"/>
        </w:rPr>
        <w:t>experiencing high Emotional Exhaustion,</w:t>
      </w:r>
      <w:r w:rsidRPr="00B33A7D">
        <w:rPr>
          <w:rFonts w:cs="Arial"/>
          <w:color w:val="000000"/>
          <w:lang w:val="en-US"/>
        </w:rPr>
        <w:t xml:space="preserve"> low Professional </w:t>
      </w:r>
      <w:r w:rsidR="00AA0C20" w:rsidRPr="00B33A7D">
        <w:rPr>
          <w:rFonts w:cs="Arial"/>
          <w:color w:val="000000"/>
          <w:lang w:val="en-US"/>
        </w:rPr>
        <w:t>Efficacy and</w:t>
      </w:r>
      <w:r w:rsidR="00C101E7">
        <w:rPr>
          <w:rFonts w:cs="Arial"/>
          <w:color w:val="000000"/>
          <w:lang w:val="en-US"/>
        </w:rPr>
        <w:t xml:space="preserve"> </w:t>
      </w:r>
      <w:r w:rsidRPr="00B33A7D">
        <w:rPr>
          <w:rFonts w:cs="Arial"/>
          <w:color w:val="000000"/>
          <w:lang w:val="en-US"/>
        </w:rPr>
        <w:t>Burnout Syndrome</w:t>
      </w:r>
      <w:r w:rsidR="00C101E7">
        <w:rPr>
          <w:rFonts w:cs="Arial"/>
          <w:color w:val="000000"/>
          <w:lang w:val="en-US"/>
        </w:rPr>
        <w:t xml:space="preserve">, there was predominance of those who </w:t>
      </w:r>
      <w:r w:rsidRPr="00B33A7D">
        <w:rPr>
          <w:rFonts w:cs="Arial"/>
          <w:color w:val="000000"/>
          <w:lang w:val="en-US"/>
        </w:rPr>
        <w:t xml:space="preserve">do not perform work activity and did not </w:t>
      </w:r>
      <w:r w:rsidR="00AA0C20" w:rsidRPr="00B33A7D">
        <w:rPr>
          <w:rFonts w:cs="Arial"/>
          <w:color w:val="000000"/>
          <w:lang w:val="en-US"/>
        </w:rPr>
        <w:t>thought in dropping</w:t>
      </w:r>
      <w:r w:rsidRPr="00B33A7D">
        <w:rPr>
          <w:rFonts w:cs="Arial"/>
          <w:color w:val="000000"/>
          <w:lang w:val="en-US"/>
        </w:rPr>
        <w:t xml:space="preserve"> the course</w:t>
      </w:r>
      <w:r w:rsidR="00732186" w:rsidRPr="00B33A7D">
        <w:rPr>
          <w:rFonts w:cs="Arial"/>
          <w:color w:val="000000"/>
          <w:lang w:val="en-US"/>
        </w:rPr>
        <w:t>.</w:t>
      </w:r>
      <w:r w:rsidR="00043840" w:rsidRPr="00B33A7D">
        <w:rPr>
          <w:rFonts w:cs="Arial"/>
          <w:color w:val="000000"/>
          <w:lang w:val="en-US"/>
        </w:rPr>
        <w:t xml:space="preserve"> </w:t>
      </w:r>
      <w:r w:rsidR="00AA0C20" w:rsidRPr="00B33A7D">
        <w:rPr>
          <w:rFonts w:cs="Arial"/>
          <w:color w:val="000000"/>
          <w:lang w:val="en-US"/>
        </w:rPr>
        <w:t>In a research</w:t>
      </w:r>
      <w:r w:rsidR="00550159" w:rsidRPr="00B33A7D">
        <w:rPr>
          <w:rFonts w:cs="Arial"/>
          <w:color w:val="000000"/>
          <w:lang w:val="en-US"/>
        </w:rPr>
        <w:t xml:space="preserve"> </w:t>
      </w:r>
      <w:r w:rsidR="00D10FA6">
        <w:rPr>
          <w:rFonts w:eastAsia="Calibri"/>
          <w:lang w:val="en-US" w:eastAsia="en-US"/>
        </w:rPr>
        <w:t>(</w:t>
      </w:r>
      <w:proofErr w:type="spellStart"/>
      <w:r w:rsidR="00D10FA6" w:rsidRPr="00B33A7D">
        <w:rPr>
          <w:lang w:val="en-US"/>
        </w:rPr>
        <w:t>Dyrbye</w:t>
      </w:r>
      <w:proofErr w:type="spellEnd"/>
      <w:r w:rsidR="00D10FA6">
        <w:rPr>
          <w:lang w:val="en-US"/>
        </w:rPr>
        <w:t xml:space="preserve"> et al., 2010</w:t>
      </w:r>
      <w:r w:rsidR="00D10FA6">
        <w:rPr>
          <w:rFonts w:eastAsia="Calibri"/>
          <w:lang w:val="en-US" w:eastAsia="en-US"/>
        </w:rPr>
        <w:t>)</w:t>
      </w:r>
      <w:r w:rsidR="00AA0C20" w:rsidRPr="00B33A7D">
        <w:rPr>
          <w:rFonts w:cs="Arial"/>
          <w:color w:val="000000"/>
          <w:lang w:val="en-US"/>
        </w:rPr>
        <w:t xml:space="preserve"> conducted with </w:t>
      </w:r>
      <w:r w:rsidR="005C106A" w:rsidRPr="00B33A7D">
        <w:rPr>
          <w:rFonts w:cs="Arial"/>
          <w:color w:val="000000"/>
          <w:lang w:val="en-US"/>
        </w:rPr>
        <w:t xml:space="preserve">2,222 </w:t>
      </w:r>
      <w:r w:rsidR="00AA0C20" w:rsidRPr="00B33A7D">
        <w:rPr>
          <w:rFonts w:cs="Arial"/>
          <w:color w:val="000000"/>
          <w:lang w:val="en-US"/>
        </w:rPr>
        <w:t>medical students from United States, the authors verified that</w:t>
      </w:r>
      <w:r w:rsidR="00732186" w:rsidRPr="00B33A7D">
        <w:rPr>
          <w:rFonts w:cs="Arial"/>
          <w:color w:val="000000"/>
          <w:lang w:val="en-US"/>
        </w:rPr>
        <w:t xml:space="preserve">, </w:t>
      </w:r>
      <w:r w:rsidR="00AA0C20" w:rsidRPr="00B33A7D">
        <w:rPr>
          <w:rFonts w:cs="Arial"/>
          <w:color w:val="000000"/>
          <w:lang w:val="en-US"/>
        </w:rPr>
        <w:t xml:space="preserve">among </w:t>
      </w:r>
      <w:r w:rsidR="00F12722" w:rsidRPr="00B33A7D">
        <w:rPr>
          <w:rFonts w:cs="Arial"/>
          <w:color w:val="000000"/>
          <w:lang w:val="en-US"/>
        </w:rPr>
        <w:t xml:space="preserve">those </w:t>
      </w:r>
      <w:r w:rsidR="00C101E7">
        <w:rPr>
          <w:rFonts w:cs="Arial"/>
          <w:color w:val="000000"/>
          <w:lang w:val="en-US"/>
        </w:rPr>
        <w:t>presenting</w:t>
      </w:r>
      <w:r w:rsidR="00F12722" w:rsidRPr="00B33A7D">
        <w:rPr>
          <w:rFonts w:cs="Arial"/>
          <w:color w:val="000000"/>
          <w:lang w:val="en-US"/>
        </w:rPr>
        <w:t xml:space="preserve"> BS</w:t>
      </w:r>
      <w:r w:rsidR="00AA0C20" w:rsidRPr="00B33A7D">
        <w:rPr>
          <w:rFonts w:cs="Arial"/>
          <w:color w:val="000000"/>
          <w:lang w:val="en-US"/>
        </w:rPr>
        <w:t xml:space="preserve"> </w:t>
      </w:r>
      <w:r w:rsidR="00732186" w:rsidRPr="00B33A7D">
        <w:rPr>
          <w:rFonts w:cs="Arial"/>
          <w:color w:val="000000"/>
          <w:lang w:val="en-US"/>
        </w:rPr>
        <w:t>(p&lt;0,05), 81,5</w:t>
      </w:r>
      <w:r w:rsidR="00732186" w:rsidRPr="00B33A7D">
        <w:rPr>
          <w:rFonts w:cs="Arial"/>
          <w:lang w:val="en-US"/>
        </w:rPr>
        <w:t xml:space="preserve">% </w:t>
      </w:r>
      <w:r w:rsidR="00F12722" w:rsidRPr="00B33A7D">
        <w:rPr>
          <w:rFonts w:cs="Arial"/>
          <w:lang w:val="en-US"/>
        </w:rPr>
        <w:t>did not presented interest of dropping the course</w:t>
      </w:r>
      <w:r w:rsidR="00732186" w:rsidRPr="00B33A7D">
        <w:rPr>
          <w:rFonts w:cs="Arial"/>
          <w:lang w:val="en-US"/>
        </w:rPr>
        <w:t>.</w:t>
      </w:r>
      <w:r w:rsidR="000E279D" w:rsidRPr="00B33A7D">
        <w:rPr>
          <w:rFonts w:cs="Arial"/>
          <w:lang w:val="en-US"/>
        </w:rPr>
        <w:t xml:space="preserve"> </w:t>
      </w:r>
      <w:r w:rsidR="001048B4" w:rsidRPr="00B33A7D">
        <w:rPr>
          <w:rFonts w:cs="Arial"/>
          <w:lang w:val="en-US"/>
        </w:rPr>
        <w:t xml:space="preserve"> </w:t>
      </w:r>
      <w:r w:rsidR="00C101E7">
        <w:rPr>
          <w:rFonts w:cs="Arial"/>
          <w:lang w:val="en-US"/>
        </w:rPr>
        <w:t>Also</w:t>
      </w:r>
      <w:r w:rsidR="001048B4" w:rsidRPr="00B33A7D">
        <w:rPr>
          <w:rFonts w:cs="Arial"/>
          <w:lang w:val="en-US"/>
        </w:rPr>
        <w:t xml:space="preserve">, </w:t>
      </w:r>
      <w:r w:rsidR="00F12722" w:rsidRPr="00B33A7D">
        <w:rPr>
          <w:rFonts w:cs="Arial"/>
          <w:lang w:val="en-US"/>
        </w:rPr>
        <w:t>several investigations</w:t>
      </w:r>
      <w:r w:rsidR="008D36E6">
        <w:rPr>
          <w:rFonts w:cs="Arial"/>
          <w:lang w:val="en-US"/>
        </w:rPr>
        <w:t xml:space="preserve"> </w:t>
      </w:r>
      <w:r w:rsidR="008D36E6">
        <w:rPr>
          <w:rFonts w:eastAsia="Calibri"/>
          <w:lang w:val="en-US" w:eastAsia="en-US"/>
        </w:rPr>
        <w:t>(</w:t>
      </w:r>
      <w:r w:rsidR="00C57E01" w:rsidRPr="00D56FC2">
        <w:rPr>
          <w:lang w:val="en-US"/>
        </w:rPr>
        <w:t xml:space="preserve">Borges </w:t>
      </w:r>
      <w:r w:rsidR="00C57E01" w:rsidRPr="00B33A7D">
        <w:rPr>
          <w:rFonts w:eastAsia="Calibri"/>
          <w:lang w:val="en-US" w:eastAsia="en-US"/>
        </w:rPr>
        <w:t>&amp;</w:t>
      </w:r>
      <w:r w:rsidR="00C57E01">
        <w:rPr>
          <w:rFonts w:eastAsia="Calibri"/>
          <w:lang w:val="en-US" w:eastAsia="en-US"/>
        </w:rPr>
        <w:t xml:space="preserve"> </w:t>
      </w:r>
      <w:proofErr w:type="spellStart"/>
      <w:r w:rsidR="00C57E01" w:rsidRPr="00D56FC2">
        <w:rPr>
          <w:lang w:val="en-US"/>
        </w:rPr>
        <w:t>Carlotto</w:t>
      </w:r>
      <w:proofErr w:type="spellEnd"/>
      <w:r w:rsidR="00C57E01">
        <w:rPr>
          <w:lang w:val="en-US"/>
        </w:rPr>
        <w:t xml:space="preserve">, 2004; </w:t>
      </w:r>
      <w:proofErr w:type="spellStart"/>
      <w:r w:rsidR="009A7B7F" w:rsidRPr="00D56FC2">
        <w:rPr>
          <w:rFonts w:eastAsia="Calibri"/>
          <w:lang w:val="en-US" w:eastAsia="en-US"/>
        </w:rPr>
        <w:t>Carlotto</w:t>
      </w:r>
      <w:proofErr w:type="spellEnd"/>
      <w:r w:rsidR="009A7B7F">
        <w:rPr>
          <w:rFonts w:eastAsia="Calibri"/>
          <w:lang w:val="en-US" w:eastAsia="en-US"/>
        </w:rPr>
        <w:t xml:space="preserve"> et al., </w:t>
      </w:r>
      <w:r w:rsidR="009A7B7F">
        <w:rPr>
          <w:rFonts w:eastAsia="Calibri"/>
          <w:lang w:val="en-US" w:eastAsia="en-US"/>
        </w:rPr>
        <w:lastRenderedPageBreak/>
        <w:t>2006</w:t>
      </w:r>
      <w:r w:rsidR="008D36E6">
        <w:rPr>
          <w:lang w:val="en-US"/>
        </w:rPr>
        <w:t>)</w:t>
      </w:r>
      <w:r w:rsidR="009647B9" w:rsidRPr="00B33A7D">
        <w:rPr>
          <w:rFonts w:cs="Arial"/>
          <w:lang w:val="en-US"/>
        </w:rPr>
        <w:t xml:space="preserve"> </w:t>
      </w:r>
      <w:r w:rsidR="00F12722" w:rsidRPr="00B33A7D">
        <w:rPr>
          <w:rFonts w:cs="Arial"/>
          <w:lang w:val="en-US"/>
        </w:rPr>
        <w:t>have been assessed the relationship among the BS dimensions and the variables above, but without statistically significant correlation</w:t>
      </w:r>
      <w:r w:rsidR="009647B9" w:rsidRPr="00B33A7D">
        <w:rPr>
          <w:rFonts w:cs="Arial"/>
          <w:lang w:val="en-US"/>
        </w:rPr>
        <w:t>.</w:t>
      </w:r>
      <w:r w:rsidR="00FC6B5C" w:rsidRPr="00B33A7D">
        <w:rPr>
          <w:lang w:val="en-US"/>
        </w:rPr>
        <w:t xml:space="preserve"> </w:t>
      </w:r>
      <w:r w:rsidR="00FC6B5C" w:rsidRPr="00B33A7D">
        <w:rPr>
          <w:rFonts w:cs="Arial"/>
          <w:lang w:val="en-US"/>
        </w:rPr>
        <w:t xml:space="preserve">In this context, </w:t>
      </w:r>
      <w:r w:rsidR="003A3C8F">
        <w:rPr>
          <w:rFonts w:cs="Arial"/>
          <w:lang w:val="en-US"/>
        </w:rPr>
        <w:t xml:space="preserve">when the students do not </w:t>
      </w:r>
      <w:r w:rsidR="00FC6B5C" w:rsidRPr="00B33A7D">
        <w:rPr>
          <w:rFonts w:cs="Arial"/>
          <w:lang w:val="en-US"/>
        </w:rPr>
        <w:t xml:space="preserve">work </w:t>
      </w:r>
      <w:r w:rsidR="003A3C8F">
        <w:rPr>
          <w:rFonts w:cs="Arial"/>
          <w:lang w:val="en-US"/>
        </w:rPr>
        <w:t>they</w:t>
      </w:r>
      <w:r w:rsidR="00FC6B5C" w:rsidRPr="00B33A7D">
        <w:rPr>
          <w:rFonts w:cs="Arial"/>
          <w:lang w:val="en-US"/>
        </w:rPr>
        <w:t xml:space="preserve"> spend</w:t>
      </w:r>
      <w:r w:rsidR="003A3C8F">
        <w:rPr>
          <w:rFonts w:cs="Arial"/>
          <w:lang w:val="en-US"/>
        </w:rPr>
        <w:t xml:space="preserve"> more</w:t>
      </w:r>
      <w:r w:rsidR="00FC6B5C" w:rsidRPr="00B33A7D">
        <w:rPr>
          <w:rFonts w:cs="Arial"/>
          <w:lang w:val="en-US"/>
        </w:rPr>
        <w:t xml:space="preserve"> time and energy to academic activities and theirs demands. This is positive since the student has greater willingness to participate in events, co</w:t>
      </w:r>
      <w:r w:rsidR="003A3C8F">
        <w:rPr>
          <w:rFonts w:cs="Arial"/>
          <w:lang w:val="en-US"/>
        </w:rPr>
        <w:t xml:space="preserve">urses and to meet the academic </w:t>
      </w:r>
      <w:r w:rsidR="007C3A70">
        <w:rPr>
          <w:rFonts w:cs="Arial"/>
          <w:lang w:val="en-US"/>
        </w:rPr>
        <w:t>requirements</w:t>
      </w:r>
      <w:r w:rsidR="00FC6B5C" w:rsidRPr="00B33A7D">
        <w:rPr>
          <w:rFonts w:cs="Arial"/>
          <w:lang w:val="en-US"/>
        </w:rPr>
        <w:t xml:space="preserve">. </w:t>
      </w:r>
      <w:r w:rsidR="004F4E77" w:rsidRPr="00B33A7D">
        <w:rPr>
          <w:rFonts w:cs="Arial"/>
          <w:color w:val="000000"/>
          <w:lang w:val="en-US"/>
        </w:rPr>
        <w:t>However</w:t>
      </w:r>
      <w:r w:rsidR="004239AD" w:rsidRPr="00B33A7D">
        <w:rPr>
          <w:rFonts w:cs="Arial"/>
          <w:color w:val="000000"/>
          <w:lang w:val="en-US"/>
        </w:rPr>
        <w:t>,</w:t>
      </w:r>
      <w:r w:rsidR="004F4E77" w:rsidRPr="00B33A7D">
        <w:rPr>
          <w:rFonts w:cs="Arial"/>
          <w:color w:val="000000"/>
          <w:lang w:val="en-US"/>
        </w:rPr>
        <w:t xml:space="preserve"> </w:t>
      </w:r>
      <w:r w:rsidR="003A3C8F">
        <w:rPr>
          <w:rFonts w:cs="Arial"/>
          <w:color w:val="000000"/>
          <w:lang w:val="en-US"/>
        </w:rPr>
        <w:t xml:space="preserve">the fact of </w:t>
      </w:r>
      <w:r w:rsidR="004F4E77" w:rsidRPr="00B33A7D">
        <w:rPr>
          <w:rFonts w:cs="Arial"/>
          <w:color w:val="000000"/>
          <w:lang w:val="en-US"/>
        </w:rPr>
        <w:t xml:space="preserve">not </w:t>
      </w:r>
      <w:r w:rsidR="003A3C8F">
        <w:rPr>
          <w:rFonts w:cs="Arial"/>
          <w:color w:val="000000"/>
          <w:lang w:val="en-US"/>
        </w:rPr>
        <w:t xml:space="preserve">to be </w:t>
      </w:r>
      <w:r w:rsidR="004F4E77" w:rsidRPr="00B33A7D">
        <w:rPr>
          <w:rFonts w:cs="Arial"/>
          <w:color w:val="000000"/>
          <w:lang w:val="en-US"/>
        </w:rPr>
        <w:t>work</w:t>
      </w:r>
      <w:r w:rsidR="003A3C8F">
        <w:rPr>
          <w:rFonts w:cs="Arial"/>
          <w:color w:val="000000"/>
          <w:lang w:val="en-US"/>
        </w:rPr>
        <w:t>ing</w:t>
      </w:r>
      <w:r w:rsidR="004239AD" w:rsidRPr="00B33A7D">
        <w:rPr>
          <w:rFonts w:cs="Arial"/>
          <w:color w:val="000000"/>
          <w:lang w:val="en-US"/>
        </w:rPr>
        <w:t xml:space="preserve"> </w:t>
      </w:r>
      <w:r w:rsidR="004F4E77" w:rsidRPr="00B33A7D">
        <w:rPr>
          <w:rFonts w:cs="Arial"/>
          <w:color w:val="000000"/>
          <w:lang w:val="en-US"/>
        </w:rPr>
        <w:t xml:space="preserve">may </w:t>
      </w:r>
      <w:r w:rsidR="007D038B" w:rsidRPr="00B33A7D">
        <w:rPr>
          <w:rFonts w:cs="Arial"/>
          <w:color w:val="000000"/>
          <w:lang w:val="en-US"/>
        </w:rPr>
        <w:t xml:space="preserve">be </w:t>
      </w:r>
      <w:r w:rsidR="003A3C8F">
        <w:rPr>
          <w:rFonts w:cs="Arial"/>
          <w:color w:val="000000"/>
          <w:lang w:val="en-US"/>
        </w:rPr>
        <w:t>mean</w:t>
      </w:r>
      <w:r w:rsidR="007D038B" w:rsidRPr="00B33A7D">
        <w:rPr>
          <w:rFonts w:cs="Arial"/>
          <w:color w:val="000000"/>
          <w:lang w:val="en-US"/>
        </w:rPr>
        <w:t xml:space="preserve">, </w:t>
      </w:r>
      <w:r w:rsidR="003A3C8F">
        <w:rPr>
          <w:rFonts w:cs="Arial"/>
          <w:color w:val="000000"/>
          <w:lang w:val="en-US"/>
        </w:rPr>
        <w:t>from</w:t>
      </w:r>
      <w:r w:rsidR="007D038B" w:rsidRPr="00B33A7D">
        <w:rPr>
          <w:rFonts w:cs="Arial"/>
          <w:color w:val="000000"/>
          <w:lang w:val="en-US"/>
        </w:rPr>
        <w:t xml:space="preserve"> the student</w:t>
      </w:r>
      <w:r w:rsidR="003A3C8F">
        <w:rPr>
          <w:rFonts w:cs="Arial"/>
          <w:color w:val="000000"/>
          <w:lang w:val="en-US"/>
        </w:rPr>
        <w:t xml:space="preserve"> view</w:t>
      </w:r>
      <w:r w:rsidR="007D038B" w:rsidRPr="00B33A7D">
        <w:rPr>
          <w:rFonts w:cs="Arial"/>
          <w:color w:val="000000"/>
          <w:lang w:val="en-US"/>
        </w:rPr>
        <w:t>,</w:t>
      </w:r>
      <w:r w:rsidR="004F4E77" w:rsidRPr="00B33A7D">
        <w:rPr>
          <w:rFonts w:cs="Arial"/>
          <w:color w:val="000000"/>
          <w:lang w:val="en-US"/>
        </w:rPr>
        <w:t xml:space="preserve"> social (classmates and professor)</w:t>
      </w:r>
      <w:r w:rsidR="003A3C8F">
        <w:rPr>
          <w:rFonts w:cs="Arial"/>
          <w:color w:val="000000"/>
          <w:lang w:val="en-US"/>
        </w:rPr>
        <w:t xml:space="preserve"> withdrawal,</w:t>
      </w:r>
      <w:r w:rsidR="007D038B" w:rsidRPr="00B33A7D">
        <w:rPr>
          <w:rFonts w:cs="Arial"/>
          <w:color w:val="000000"/>
          <w:lang w:val="en-US"/>
        </w:rPr>
        <w:t xml:space="preserve"> lacking of contact with the </w:t>
      </w:r>
      <w:r w:rsidR="003A3C8F">
        <w:rPr>
          <w:rFonts w:cs="Arial"/>
          <w:color w:val="000000"/>
          <w:lang w:val="en-US"/>
        </w:rPr>
        <w:t>work experiences</w:t>
      </w:r>
      <w:r w:rsidR="00DE4E95" w:rsidRPr="00B33A7D">
        <w:rPr>
          <w:rFonts w:cs="Arial"/>
          <w:color w:val="000000"/>
          <w:lang w:val="en-US"/>
        </w:rPr>
        <w:t xml:space="preserve">, </w:t>
      </w:r>
      <w:r w:rsidR="003A3C8F">
        <w:rPr>
          <w:rFonts w:cs="Arial"/>
          <w:color w:val="000000"/>
          <w:lang w:val="en-US"/>
        </w:rPr>
        <w:t xml:space="preserve">as well as </w:t>
      </w:r>
      <w:r w:rsidR="007D038B" w:rsidRPr="00B33A7D">
        <w:rPr>
          <w:rFonts w:cs="Arial"/>
          <w:color w:val="000000"/>
          <w:lang w:val="en-US"/>
        </w:rPr>
        <w:t>loss of financial autonomy</w:t>
      </w:r>
      <w:r w:rsidR="00DE4E95" w:rsidRPr="00B33A7D">
        <w:rPr>
          <w:rFonts w:cs="Arial"/>
          <w:color w:val="000000"/>
          <w:lang w:val="en-US"/>
        </w:rPr>
        <w:t xml:space="preserve">. </w:t>
      </w:r>
      <w:r w:rsidR="00D31804" w:rsidRPr="00B33A7D">
        <w:rPr>
          <w:rFonts w:cs="Arial"/>
          <w:color w:val="000000"/>
          <w:lang w:val="en-US"/>
        </w:rPr>
        <w:t>About it, researcher points out that activity overload or lack of it (boredom</w:t>
      </w:r>
      <w:r w:rsidR="003A3C8F">
        <w:rPr>
          <w:rFonts w:cs="Arial"/>
          <w:color w:val="000000"/>
          <w:lang w:val="en-US"/>
        </w:rPr>
        <w:t xml:space="preserve"> and monotony in daily life) may</w:t>
      </w:r>
      <w:r w:rsidR="00D31804" w:rsidRPr="00B33A7D">
        <w:rPr>
          <w:rFonts w:cs="Arial"/>
          <w:color w:val="000000"/>
          <w:lang w:val="en-US"/>
        </w:rPr>
        <w:t xml:space="preserve"> cause Burnout</w:t>
      </w:r>
      <w:r w:rsidR="00550159" w:rsidRPr="00B33A7D">
        <w:rPr>
          <w:rFonts w:cs="Arial"/>
          <w:color w:val="000000"/>
          <w:lang w:val="en-US"/>
        </w:rPr>
        <w:t xml:space="preserve"> </w:t>
      </w:r>
      <w:r w:rsidR="009A7B7F">
        <w:rPr>
          <w:rFonts w:cs="Arial"/>
          <w:color w:val="000000"/>
          <w:lang w:val="en-US"/>
        </w:rPr>
        <w:t>(</w:t>
      </w:r>
      <w:proofErr w:type="spellStart"/>
      <w:r w:rsidR="009A7B7F" w:rsidRPr="00D56FC2">
        <w:rPr>
          <w:lang w:val="en-US"/>
        </w:rPr>
        <w:t>Maslach</w:t>
      </w:r>
      <w:proofErr w:type="spellEnd"/>
      <w:r w:rsidR="00D10FA6">
        <w:rPr>
          <w:lang w:val="en-US"/>
        </w:rPr>
        <w:t xml:space="preserve"> et al</w:t>
      </w:r>
      <w:r w:rsidR="009A7B7F">
        <w:rPr>
          <w:lang w:val="en-US"/>
        </w:rPr>
        <w:t>, 2001)</w:t>
      </w:r>
      <w:r w:rsidR="009A7B7F" w:rsidRPr="00B33A7D">
        <w:rPr>
          <w:rFonts w:eastAsia="Calibri"/>
          <w:lang w:val="en-US" w:eastAsia="en-US"/>
        </w:rPr>
        <w:t>.</w:t>
      </w:r>
      <w:r w:rsidR="009F3511" w:rsidRPr="00B33A7D">
        <w:rPr>
          <w:rFonts w:cs="Arial"/>
          <w:color w:val="000000"/>
          <w:lang w:val="en-US"/>
        </w:rPr>
        <w:t xml:space="preserve"> </w:t>
      </w:r>
      <w:r w:rsidR="00D31804" w:rsidRPr="00B33A7D">
        <w:rPr>
          <w:rFonts w:cs="Arial"/>
          <w:color w:val="000000"/>
          <w:lang w:val="en-US"/>
        </w:rPr>
        <w:t>These factors can contribute to Emotional Exhaustion</w:t>
      </w:r>
      <w:r w:rsidR="000E279D" w:rsidRPr="00B33A7D">
        <w:rPr>
          <w:rFonts w:cs="Arial"/>
          <w:color w:val="000000"/>
          <w:lang w:val="en-US"/>
        </w:rPr>
        <w:t>,</w:t>
      </w:r>
      <w:r w:rsidR="00D31804" w:rsidRPr="00B33A7D">
        <w:rPr>
          <w:rFonts w:cs="Arial"/>
          <w:color w:val="000000"/>
          <w:lang w:val="en-US"/>
        </w:rPr>
        <w:t xml:space="preserve"> an initial trait of the Syndrome</w:t>
      </w:r>
      <w:r w:rsidR="000E279D" w:rsidRPr="00B33A7D">
        <w:rPr>
          <w:rFonts w:cs="Arial"/>
          <w:color w:val="000000"/>
          <w:lang w:val="en-US"/>
        </w:rPr>
        <w:t xml:space="preserve">. </w:t>
      </w:r>
      <w:r w:rsidR="00043840" w:rsidRPr="00B33A7D">
        <w:rPr>
          <w:rFonts w:cs="Arial"/>
          <w:color w:val="000000"/>
          <w:lang w:val="en-US"/>
        </w:rPr>
        <w:t xml:space="preserve"> </w:t>
      </w:r>
      <w:r w:rsidR="00D31804" w:rsidRPr="00B33A7D">
        <w:rPr>
          <w:rFonts w:cs="Arial"/>
          <w:color w:val="000000"/>
          <w:lang w:val="en-US"/>
        </w:rPr>
        <w:t>Concerning the interest of dropping the course, we</w:t>
      </w:r>
      <w:r w:rsidR="00043840" w:rsidRPr="00B33A7D">
        <w:rPr>
          <w:rFonts w:cs="Arial"/>
          <w:color w:val="000000"/>
          <w:lang w:val="en-US"/>
        </w:rPr>
        <w:t xml:space="preserve"> </w:t>
      </w:r>
      <w:r w:rsidR="00D31804" w:rsidRPr="00B33A7D">
        <w:rPr>
          <w:rFonts w:cs="Arial"/>
          <w:color w:val="000000"/>
          <w:lang w:val="en-US"/>
        </w:rPr>
        <w:t>can say</w:t>
      </w:r>
      <w:r w:rsidR="00043840" w:rsidRPr="00B33A7D">
        <w:rPr>
          <w:rFonts w:cs="Arial"/>
          <w:color w:val="000000"/>
          <w:lang w:val="en-US"/>
        </w:rPr>
        <w:t xml:space="preserve"> </w:t>
      </w:r>
      <w:r w:rsidR="00D31804" w:rsidRPr="00B33A7D">
        <w:rPr>
          <w:rFonts w:cs="Arial"/>
          <w:color w:val="000000"/>
          <w:lang w:val="en-US"/>
        </w:rPr>
        <w:t>that</w:t>
      </w:r>
      <w:r w:rsidR="00043840" w:rsidRPr="00B33A7D">
        <w:rPr>
          <w:rFonts w:cs="Arial"/>
          <w:color w:val="000000"/>
          <w:lang w:val="en-US"/>
        </w:rPr>
        <w:t xml:space="preserve">, </w:t>
      </w:r>
      <w:r w:rsidR="00D31804" w:rsidRPr="00B33A7D">
        <w:rPr>
          <w:rFonts w:cs="Arial"/>
          <w:color w:val="000000"/>
          <w:lang w:val="en-US"/>
        </w:rPr>
        <w:t>when the</w:t>
      </w:r>
      <w:r w:rsidR="003A3C8F">
        <w:rPr>
          <w:rFonts w:cs="Arial"/>
          <w:color w:val="000000"/>
          <w:lang w:val="en-US"/>
        </w:rPr>
        <w:t xml:space="preserve"> students of this investigation</w:t>
      </w:r>
      <w:r w:rsidR="00D31804" w:rsidRPr="00B33A7D">
        <w:rPr>
          <w:rFonts w:cs="Arial"/>
          <w:color w:val="000000"/>
          <w:lang w:val="en-US"/>
        </w:rPr>
        <w:t xml:space="preserve"> assess the academic context as </w:t>
      </w:r>
      <w:r w:rsidR="003A3C8F" w:rsidRPr="00B33A7D">
        <w:rPr>
          <w:rFonts w:cs="Arial"/>
          <w:color w:val="000000"/>
          <w:lang w:val="en-US"/>
        </w:rPr>
        <w:t>excee</w:t>
      </w:r>
      <w:r w:rsidR="003A3C8F">
        <w:rPr>
          <w:rFonts w:cs="Arial"/>
          <w:color w:val="000000"/>
          <w:lang w:val="en-US"/>
        </w:rPr>
        <w:t>din</w:t>
      </w:r>
      <w:r w:rsidR="003A3C8F" w:rsidRPr="00B33A7D">
        <w:rPr>
          <w:rFonts w:cs="Arial"/>
          <w:color w:val="000000"/>
          <w:lang w:val="en-US"/>
        </w:rPr>
        <w:t>g</w:t>
      </w:r>
      <w:r w:rsidR="00D31804" w:rsidRPr="00B33A7D">
        <w:rPr>
          <w:rFonts w:cs="Arial"/>
          <w:color w:val="000000"/>
          <w:lang w:val="en-US"/>
        </w:rPr>
        <w:t xml:space="preserve"> theirs </w:t>
      </w:r>
      <w:r w:rsidR="00363DB0" w:rsidRPr="00B33A7D">
        <w:rPr>
          <w:rFonts w:cs="Arial"/>
          <w:color w:val="000000"/>
          <w:lang w:val="en-US"/>
        </w:rPr>
        <w:t>cognitive</w:t>
      </w:r>
      <w:r w:rsidR="00D31804" w:rsidRPr="00B33A7D">
        <w:rPr>
          <w:rFonts w:cs="Arial"/>
          <w:color w:val="000000"/>
          <w:lang w:val="en-US"/>
        </w:rPr>
        <w:t xml:space="preserve"> resources, </w:t>
      </w:r>
      <w:r w:rsidR="00363DB0" w:rsidRPr="00B33A7D">
        <w:rPr>
          <w:rFonts w:cs="Arial"/>
          <w:color w:val="000000"/>
          <w:lang w:val="en-US"/>
        </w:rPr>
        <w:t xml:space="preserve">instead of using escape and avoidance strategies and abandoning the course, they seek confronting </w:t>
      </w:r>
      <w:r w:rsidR="003A3C8F">
        <w:rPr>
          <w:rFonts w:cs="Arial"/>
          <w:color w:val="000000"/>
          <w:lang w:val="en-US"/>
        </w:rPr>
        <w:t>the stressful</w:t>
      </w:r>
      <w:r w:rsidR="00363DB0" w:rsidRPr="00B33A7D">
        <w:rPr>
          <w:rFonts w:cs="Arial"/>
          <w:color w:val="000000"/>
          <w:lang w:val="en-US"/>
        </w:rPr>
        <w:t xml:space="preserve"> situations. Consequently, if effective coping strategies are not selected</w:t>
      </w:r>
      <w:r w:rsidR="00965BDC" w:rsidRPr="00B33A7D">
        <w:rPr>
          <w:rFonts w:cs="Arial"/>
          <w:color w:val="000000"/>
          <w:lang w:val="en-US"/>
        </w:rPr>
        <w:t xml:space="preserve">, </w:t>
      </w:r>
      <w:r w:rsidR="00363DB0" w:rsidRPr="00B33A7D">
        <w:rPr>
          <w:rFonts w:cs="Arial"/>
          <w:color w:val="000000"/>
          <w:lang w:val="en-US"/>
        </w:rPr>
        <w:t xml:space="preserve">the occurrence of high emotional exhaustion and low professional efficacy, and, subsequently, the BS </w:t>
      </w:r>
      <w:r w:rsidR="003A3C8F">
        <w:rPr>
          <w:rFonts w:cs="Arial"/>
          <w:color w:val="000000"/>
          <w:lang w:val="en-US"/>
        </w:rPr>
        <w:t>are</w:t>
      </w:r>
      <w:r w:rsidR="00363DB0" w:rsidRPr="00B33A7D">
        <w:rPr>
          <w:rFonts w:cs="Arial"/>
          <w:color w:val="000000"/>
          <w:lang w:val="en-US"/>
        </w:rPr>
        <w:t xml:space="preserve"> possible</w:t>
      </w:r>
      <w:r w:rsidR="00550159" w:rsidRPr="00B33A7D">
        <w:rPr>
          <w:rFonts w:cs="Arial"/>
          <w:color w:val="000000"/>
          <w:lang w:val="en-US"/>
        </w:rPr>
        <w:t xml:space="preserve"> </w:t>
      </w:r>
      <w:r w:rsidR="009A7B7F">
        <w:rPr>
          <w:rFonts w:cs="Arial"/>
          <w:color w:val="000000"/>
          <w:lang w:val="en-US"/>
        </w:rPr>
        <w:t>(</w:t>
      </w:r>
      <w:proofErr w:type="spellStart"/>
      <w:r w:rsidR="009A7B7F" w:rsidRPr="00B33A7D">
        <w:rPr>
          <w:rFonts w:eastAsia="Calibri"/>
          <w:lang w:val="en-US" w:eastAsia="en-US"/>
        </w:rPr>
        <w:t>Carlotto</w:t>
      </w:r>
      <w:proofErr w:type="spellEnd"/>
      <w:r w:rsidR="009A7B7F" w:rsidRPr="00B33A7D">
        <w:rPr>
          <w:rFonts w:eastAsia="Calibri"/>
          <w:lang w:val="en-US" w:eastAsia="en-US"/>
        </w:rPr>
        <w:t xml:space="preserve"> &amp; </w:t>
      </w:r>
      <w:proofErr w:type="spellStart"/>
      <w:r w:rsidR="009A7B7F" w:rsidRPr="00B33A7D">
        <w:rPr>
          <w:rFonts w:eastAsia="Calibri"/>
          <w:lang w:val="en-US" w:eastAsia="en-US"/>
        </w:rPr>
        <w:t>Câmara</w:t>
      </w:r>
      <w:proofErr w:type="spellEnd"/>
      <w:r w:rsidR="009A7B7F" w:rsidRPr="00B33A7D">
        <w:rPr>
          <w:rFonts w:eastAsia="Calibri"/>
          <w:lang w:val="en-US" w:eastAsia="en-US"/>
        </w:rPr>
        <w:t>, 2006</w:t>
      </w:r>
      <w:r w:rsidR="009A7B7F">
        <w:rPr>
          <w:rFonts w:eastAsia="Calibri"/>
          <w:lang w:val="en-US" w:eastAsia="en-US"/>
        </w:rPr>
        <w:t>)</w:t>
      </w:r>
      <w:r w:rsidR="00550159" w:rsidRPr="00B33A7D">
        <w:rPr>
          <w:rFonts w:eastAsia="Calibri"/>
          <w:lang w:val="en-US" w:eastAsia="en-US"/>
        </w:rPr>
        <w:t>.</w:t>
      </w:r>
    </w:p>
    <w:p w14:paraId="04131BB5" w14:textId="77777777" w:rsidR="00536CB6" w:rsidRPr="00B33A7D" w:rsidRDefault="00363DB0" w:rsidP="006C419A">
      <w:pPr>
        <w:autoSpaceDE w:val="0"/>
        <w:autoSpaceDN w:val="0"/>
        <w:adjustRightInd w:val="0"/>
        <w:spacing w:line="480" w:lineRule="auto"/>
        <w:ind w:firstLine="708"/>
        <w:jc w:val="both"/>
        <w:rPr>
          <w:rFonts w:eastAsia="Calibri"/>
          <w:lang w:val="en-US"/>
        </w:rPr>
      </w:pPr>
      <w:r w:rsidRPr="00B33A7D">
        <w:rPr>
          <w:rFonts w:cs="Arial"/>
          <w:color w:val="000000"/>
          <w:lang w:val="en-US"/>
        </w:rPr>
        <w:t>Besides</w:t>
      </w:r>
      <w:r w:rsidR="00536CB6" w:rsidRPr="00B33A7D">
        <w:rPr>
          <w:rFonts w:cs="Arial"/>
          <w:color w:val="000000"/>
          <w:lang w:val="en-US"/>
        </w:rPr>
        <w:t xml:space="preserve">, </w:t>
      </w:r>
      <w:r w:rsidR="003A3C8F">
        <w:rPr>
          <w:rFonts w:cs="Arial"/>
          <w:color w:val="000000"/>
          <w:lang w:val="en-US"/>
        </w:rPr>
        <w:t>students</w:t>
      </w:r>
      <w:r w:rsidRPr="00B33A7D">
        <w:rPr>
          <w:rFonts w:cs="Arial"/>
          <w:color w:val="000000"/>
          <w:lang w:val="en-US"/>
        </w:rPr>
        <w:t xml:space="preserve"> </w:t>
      </w:r>
      <w:r w:rsidR="006E65EF" w:rsidRPr="00B33A7D">
        <w:rPr>
          <w:rFonts w:cs="Arial"/>
          <w:color w:val="000000"/>
          <w:lang w:val="en-US"/>
        </w:rPr>
        <w:t>enrolled</w:t>
      </w:r>
      <w:r w:rsidRPr="00B33A7D">
        <w:rPr>
          <w:rFonts w:cs="Arial"/>
          <w:color w:val="000000"/>
          <w:lang w:val="en-US"/>
        </w:rPr>
        <w:t xml:space="preserve"> in the first semester and </w:t>
      </w:r>
      <w:r w:rsidR="003A3C8F">
        <w:rPr>
          <w:rFonts w:cs="Arial"/>
          <w:color w:val="000000"/>
          <w:lang w:val="en-US"/>
        </w:rPr>
        <w:t xml:space="preserve">performing 10 disciplines predominated </w:t>
      </w:r>
      <w:r w:rsidR="003A3C8F" w:rsidRPr="00B33A7D">
        <w:rPr>
          <w:rFonts w:cs="Arial"/>
          <w:color w:val="000000"/>
          <w:lang w:val="en-US"/>
        </w:rPr>
        <w:t xml:space="preserve">among </w:t>
      </w:r>
      <w:r w:rsidR="003A3C8F">
        <w:rPr>
          <w:rFonts w:cs="Arial"/>
          <w:color w:val="000000"/>
          <w:lang w:val="en-US"/>
        </w:rPr>
        <w:t>the individuals who were sinking</w:t>
      </w:r>
      <w:r w:rsidR="003A3C8F" w:rsidRPr="00B33A7D">
        <w:rPr>
          <w:rFonts w:cs="Arial"/>
          <w:color w:val="000000"/>
          <w:lang w:val="en-US"/>
        </w:rPr>
        <w:t xml:space="preserve"> BS</w:t>
      </w:r>
      <w:r w:rsidRPr="00B33A7D">
        <w:rPr>
          <w:rFonts w:cs="Arial"/>
          <w:color w:val="000000"/>
          <w:lang w:val="en-US"/>
        </w:rPr>
        <w:t>.</w:t>
      </w:r>
      <w:r w:rsidR="00193EDD" w:rsidRPr="00B33A7D">
        <w:rPr>
          <w:rFonts w:cs="Arial"/>
          <w:color w:val="000000"/>
          <w:lang w:val="en-US"/>
        </w:rPr>
        <w:t xml:space="preserve"> </w:t>
      </w:r>
      <w:r w:rsidRPr="00B33A7D">
        <w:rPr>
          <w:rFonts w:cs="Arial"/>
          <w:color w:val="000000"/>
          <w:lang w:val="en-US"/>
        </w:rPr>
        <w:t xml:space="preserve">In </w:t>
      </w:r>
      <w:r w:rsidR="006E65EF" w:rsidRPr="00B33A7D">
        <w:rPr>
          <w:rFonts w:cs="Arial"/>
          <w:color w:val="000000"/>
          <w:lang w:val="en-US"/>
        </w:rPr>
        <w:t>investigation</w:t>
      </w:r>
      <w:r w:rsidR="00550159" w:rsidRPr="00B33A7D">
        <w:rPr>
          <w:rFonts w:cs="Arial"/>
          <w:color w:val="000000"/>
          <w:lang w:val="en-US"/>
        </w:rPr>
        <w:t xml:space="preserve"> </w:t>
      </w:r>
      <w:r w:rsidR="009A7B7F">
        <w:rPr>
          <w:rFonts w:eastAsia="Calibri"/>
          <w:lang w:val="en-US" w:eastAsia="en-US"/>
        </w:rPr>
        <w:t>(</w:t>
      </w:r>
      <w:proofErr w:type="spellStart"/>
      <w:r w:rsidR="009A7B7F" w:rsidRPr="00D56FC2">
        <w:rPr>
          <w:rFonts w:eastAsia="Calibri"/>
          <w:lang w:val="en-US" w:eastAsia="en-US"/>
        </w:rPr>
        <w:t>Carlotto</w:t>
      </w:r>
      <w:proofErr w:type="spellEnd"/>
      <w:r w:rsidR="009A7B7F">
        <w:rPr>
          <w:rFonts w:eastAsia="Calibri"/>
          <w:lang w:val="en-US" w:eastAsia="en-US"/>
        </w:rPr>
        <w:t xml:space="preserve"> et al., 2006)</w:t>
      </w:r>
      <w:r w:rsidR="00BE7A57" w:rsidRPr="00B33A7D">
        <w:rPr>
          <w:rFonts w:cs="Arial"/>
          <w:color w:val="000000"/>
          <w:lang w:val="en-US"/>
        </w:rPr>
        <w:t xml:space="preserve"> </w:t>
      </w:r>
      <w:r w:rsidR="009A7B7F">
        <w:rPr>
          <w:rFonts w:cs="Arial"/>
          <w:color w:val="000000"/>
          <w:lang w:val="en-US"/>
        </w:rPr>
        <w:t>performed</w:t>
      </w:r>
      <w:r w:rsidRPr="00B33A7D">
        <w:rPr>
          <w:rFonts w:cs="Arial"/>
          <w:color w:val="000000"/>
          <w:lang w:val="en-US"/>
        </w:rPr>
        <w:t xml:space="preserve"> with </w:t>
      </w:r>
      <w:r w:rsidR="003A3C8F" w:rsidRPr="00B33A7D">
        <w:rPr>
          <w:rFonts w:cs="Arial"/>
          <w:color w:val="000000"/>
          <w:lang w:val="en-US"/>
        </w:rPr>
        <w:t>health area</w:t>
      </w:r>
      <w:r w:rsidR="003A3C8F">
        <w:rPr>
          <w:rFonts w:cs="Arial"/>
          <w:color w:val="000000"/>
          <w:lang w:val="en-US"/>
        </w:rPr>
        <w:t>’s</w:t>
      </w:r>
      <w:r w:rsidR="003A3C8F" w:rsidRPr="00B33A7D">
        <w:rPr>
          <w:rFonts w:cs="Arial"/>
          <w:color w:val="000000"/>
          <w:lang w:val="en-US"/>
        </w:rPr>
        <w:t xml:space="preserve"> </w:t>
      </w:r>
      <w:r w:rsidRPr="00B33A7D">
        <w:rPr>
          <w:rFonts w:cs="Arial"/>
          <w:color w:val="000000"/>
          <w:lang w:val="en-US"/>
        </w:rPr>
        <w:t>students</w:t>
      </w:r>
      <w:r w:rsidR="00BE7A57" w:rsidRPr="00B33A7D">
        <w:rPr>
          <w:rFonts w:cs="Arial"/>
          <w:color w:val="000000"/>
          <w:lang w:val="en-US"/>
        </w:rPr>
        <w:t xml:space="preserve">, </w:t>
      </w:r>
      <w:r w:rsidRPr="00B33A7D">
        <w:rPr>
          <w:rFonts w:cs="Arial"/>
          <w:color w:val="000000"/>
          <w:lang w:val="en-US"/>
        </w:rPr>
        <w:t>a statistically significant and direct correlation was found between the</w:t>
      </w:r>
      <w:r w:rsidR="006E65EF" w:rsidRPr="00B33A7D">
        <w:rPr>
          <w:rFonts w:cs="Arial"/>
          <w:color w:val="000000"/>
          <w:lang w:val="en-US"/>
        </w:rPr>
        <w:t xml:space="preserve"> variable number of disciplines </w:t>
      </w:r>
      <w:r w:rsidRPr="00B33A7D">
        <w:rPr>
          <w:rFonts w:cs="Arial"/>
          <w:color w:val="000000"/>
          <w:lang w:val="en-US"/>
        </w:rPr>
        <w:t>and the Emotional Exhaustion</w:t>
      </w:r>
      <w:r w:rsidR="006E65EF" w:rsidRPr="00B33A7D">
        <w:rPr>
          <w:rFonts w:cs="Arial"/>
          <w:color w:val="000000"/>
          <w:lang w:val="en-US"/>
        </w:rPr>
        <w:t xml:space="preserve"> </w:t>
      </w:r>
      <w:r w:rsidR="006E65EF" w:rsidRPr="00B33A7D">
        <w:rPr>
          <w:color w:val="000000"/>
          <w:lang w:val="en-US"/>
        </w:rPr>
        <w:t>(</w:t>
      </w:r>
      <w:r w:rsidR="004366EF" w:rsidRPr="00B33A7D">
        <w:rPr>
          <w:color w:val="000000"/>
          <w:lang w:val="en-US"/>
        </w:rPr>
        <w:t>r=</w:t>
      </w:r>
      <w:r w:rsidR="004366EF" w:rsidRPr="00B33A7D">
        <w:rPr>
          <w:rFonts w:eastAsia="Calibri"/>
          <w:lang w:val="en-US"/>
        </w:rPr>
        <w:t>0,22</w:t>
      </w:r>
      <w:r w:rsidR="00EE60D0" w:rsidRPr="00B33A7D">
        <w:rPr>
          <w:rFonts w:eastAsia="Calibri"/>
          <w:lang w:val="en-US"/>
        </w:rPr>
        <w:t>3</w:t>
      </w:r>
      <w:r w:rsidR="004366EF" w:rsidRPr="00B33A7D">
        <w:rPr>
          <w:rFonts w:eastAsia="Calibri"/>
          <w:lang w:val="en-US"/>
        </w:rPr>
        <w:t>; p&lt;0,01)</w:t>
      </w:r>
      <w:r w:rsidRPr="00B33A7D">
        <w:rPr>
          <w:rFonts w:eastAsia="Calibri"/>
          <w:lang w:val="en-US"/>
        </w:rPr>
        <w:t xml:space="preserve"> and between</w:t>
      </w:r>
      <w:r w:rsidR="00EE60D0" w:rsidRPr="00B33A7D">
        <w:rPr>
          <w:rFonts w:eastAsia="Calibri"/>
          <w:lang w:val="en-US"/>
        </w:rPr>
        <w:t xml:space="preserve"> </w:t>
      </w:r>
      <w:r w:rsidR="006E65EF" w:rsidRPr="00B33A7D">
        <w:rPr>
          <w:rFonts w:eastAsia="Calibri"/>
          <w:lang w:val="en-US"/>
        </w:rPr>
        <w:t xml:space="preserve">this feature and the course semester </w:t>
      </w:r>
      <w:r w:rsidR="00EE60D0" w:rsidRPr="00B33A7D">
        <w:rPr>
          <w:rFonts w:eastAsia="Calibri"/>
          <w:lang w:val="en-US"/>
        </w:rPr>
        <w:t>(r=</w:t>
      </w:r>
      <w:r w:rsidR="00EE60D0" w:rsidRPr="00B33A7D">
        <w:rPr>
          <w:lang w:val="en-US"/>
        </w:rPr>
        <w:t xml:space="preserve"> </w:t>
      </w:r>
      <w:r w:rsidR="00EE60D0" w:rsidRPr="00B33A7D">
        <w:rPr>
          <w:rFonts w:eastAsia="Calibri"/>
          <w:lang w:val="en-US"/>
        </w:rPr>
        <w:t>0,227; p&lt;0,01)</w:t>
      </w:r>
      <w:r w:rsidR="00FD668E" w:rsidRPr="00B33A7D">
        <w:rPr>
          <w:rFonts w:eastAsia="Calibri"/>
          <w:lang w:val="en-US"/>
        </w:rPr>
        <w:t xml:space="preserve">. </w:t>
      </w:r>
      <w:r w:rsidR="006E65EF" w:rsidRPr="00B33A7D">
        <w:rPr>
          <w:rFonts w:eastAsia="Calibri"/>
          <w:lang w:val="en-US"/>
        </w:rPr>
        <w:t>These results are</w:t>
      </w:r>
      <w:r w:rsidR="00FD668E" w:rsidRPr="00B33A7D">
        <w:rPr>
          <w:rFonts w:eastAsia="Calibri"/>
          <w:lang w:val="en-US"/>
        </w:rPr>
        <w:t xml:space="preserve"> </w:t>
      </w:r>
      <w:r w:rsidR="006E65EF" w:rsidRPr="00B33A7D">
        <w:rPr>
          <w:rFonts w:eastAsia="Calibri"/>
          <w:lang w:val="en-US"/>
        </w:rPr>
        <w:t xml:space="preserve">supported by assertive </w:t>
      </w:r>
      <w:r w:rsidR="00FF5BEC" w:rsidRPr="00B33A7D">
        <w:rPr>
          <w:rFonts w:eastAsia="Calibri"/>
          <w:lang w:val="en-US"/>
        </w:rPr>
        <w:t xml:space="preserve">that </w:t>
      </w:r>
      <w:r w:rsidR="006E65EF" w:rsidRPr="00B33A7D">
        <w:rPr>
          <w:rFonts w:eastAsia="Calibri"/>
          <w:lang w:val="en-US"/>
        </w:rPr>
        <w:t>students</w:t>
      </w:r>
      <w:r w:rsidR="00FF5BEC" w:rsidRPr="00B33A7D">
        <w:rPr>
          <w:rFonts w:eastAsia="Calibri"/>
          <w:lang w:val="en-US"/>
        </w:rPr>
        <w:t>, after leaving the high school and getting to college, need to deal with a new reality and to adopt an attitude of greater responsibility and autonomy</w:t>
      </w:r>
      <w:r w:rsidR="00550159" w:rsidRPr="00B33A7D">
        <w:rPr>
          <w:rFonts w:eastAsia="Calibri"/>
          <w:lang w:val="en-US"/>
        </w:rPr>
        <w:t xml:space="preserve"> </w:t>
      </w:r>
      <w:r w:rsidR="008D36E6">
        <w:rPr>
          <w:rFonts w:eastAsia="Calibri"/>
          <w:lang w:val="en-US" w:eastAsia="en-US"/>
        </w:rPr>
        <w:t>(</w:t>
      </w:r>
      <w:proofErr w:type="spellStart"/>
      <w:r w:rsidR="009A7B7F" w:rsidRPr="00D56FC2">
        <w:rPr>
          <w:rFonts w:eastAsia="Calibri"/>
          <w:lang w:val="en-US" w:eastAsia="en-US"/>
        </w:rPr>
        <w:t>Carlotto</w:t>
      </w:r>
      <w:proofErr w:type="spellEnd"/>
      <w:r w:rsidR="009A7B7F">
        <w:rPr>
          <w:rFonts w:eastAsia="Calibri"/>
          <w:lang w:val="en-US" w:eastAsia="en-US"/>
        </w:rPr>
        <w:t xml:space="preserve"> et al., 2006;</w:t>
      </w:r>
      <w:r w:rsidR="008D36E6" w:rsidRPr="008D36E6">
        <w:rPr>
          <w:rFonts w:eastAsia="Calibri"/>
          <w:lang w:val="en-US" w:eastAsia="en-US"/>
        </w:rPr>
        <w:t xml:space="preserve"> Campos et al. </w:t>
      </w:r>
      <w:r w:rsidR="008D36E6">
        <w:rPr>
          <w:rFonts w:eastAsia="Calibri"/>
          <w:lang w:val="en-US" w:eastAsia="en-US"/>
        </w:rPr>
        <w:t>2012)</w:t>
      </w:r>
      <w:r w:rsidR="00550159" w:rsidRPr="00B33A7D">
        <w:rPr>
          <w:rFonts w:eastAsia="Calibri"/>
          <w:lang w:val="en-US" w:eastAsia="en-US"/>
        </w:rPr>
        <w:t>.</w:t>
      </w:r>
      <w:r w:rsidR="00FD668E" w:rsidRPr="00B33A7D">
        <w:rPr>
          <w:rFonts w:eastAsia="Calibri"/>
          <w:lang w:val="en-US"/>
        </w:rPr>
        <w:t xml:space="preserve"> </w:t>
      </w:r>
      <w:r w:rsidR="00FF5BEC" w:rsidRPr="00B33A7D">
        <w:rPr>
          <w:rFonts w:eastAsia="Calibri"/>
          <w:lang w:val="en-US"/>
        </w:rPr>
        <w:t>For nursing students</w:t>
      </w:r>
      <w:r w:rsidR="00072AB3" w:rsidRPr="00B33A7D">
        <w:rPr>
          <w:rFonts w:eastAsia="Calibri"/>
          <w:lang w:val="en-US"/>
        </w:rPr>
        <w:t>,</w:t>
      </w:r>
      <w:r w:rsidR="007E2426" w:rsidRPr="00B33A7D">
        <w:rPr>
          <w:rFonts w:eastAsia="Calibri"/>
          <w:lang w:val="en-US"/>
        </w:rPr>
        <w:t xml:space="preserve"> meeting a higher number of disciplines in first semester is required, i.e., students</w:t>
      </w:r>
      <w:r w:rsidR="00EE60D0" w:rsidRPr="00B33A7D">
        <w:rPr>
          <w:rFonts w:eastAsia="Calibri"/>
          <w:lang w:val="en-US"/>
        </w:rPr>
        <w:t xml:space="preserve"> </w:t>
      </w:r>
      <w:r w:rsidR="007E2426" w:rsidRPr="00B33A7D">
        <w:rPr>
          <w:rFonts w:eastAsia="Calibri"/>
          <w:lang w:val="en-US"/>
        </w:rPr>
        <w:t xml:space="preserve">have to manage their time to meet the </w:t>
      </w:r>
      <w:r w:rsidR="000C7962">
        <w:rPr>
          <w:rFonts w:eastAsia="Calibri"/>
          <w:lang w:val="en-US"/>
        </w:rPr>
        <w:t xml:space="preserve">demands of all </w:t>
      </w:r>
      <w:r w:rsidR="007E2426" w:rsidRPr="00B33A7D">
        <w:rPr>
          <w:rFonts w:eastAsia="Calibri"/>
          <w:lang w:val="en-US"/>
        </w:rPr>
        <w:t>disciplines</w:t>
      </w:r>
      <w:r w:rsidR="003A3C8F">
        <w:rPr>
          <w:rFonts w:eastAsia="Calibri"/>
          <w:lang w:val="en-US"/>
        </w:rPr>
        <w:t xml:space="preserve"> </w:t>
      </w:r>
      <w:r w:rsidR="000C7962">
        <w:rPr>
          <w:rFonts w:eastAsia="Calibri"/>
          <w:lang w:val="en-US"/>
        </w:rPr>
        <w:t>(homework</w:t>
      </w:r>
      <w:r w:rsidR="00714363" w:rsidRPr="00B33A7D">
        <w:rPr>
          <w:rFonts w:eastAsia="Calibri"/>
          <w:lang w:val="en-US"/>
        </w:rPr>
        <w:t>,</w:t>
      </w:r>
      <w:r w:rsidR="007E2426" w:rsidRPr="00B33A7D">
        <w:rPr>
          <w:rFonts w:eastAsia="Calibri"/>
          <w:lang w:val="en-US"/>
        </w:rPr>
        <w:t xml:space="preserve"> readings and tests)</w:t>
      </w:r>
      <w:r w:rsidR="00072AB3" w:rsidRPr="00B33A7D">
        <w:rPr>
          <w:rFonts w:eastAsia="Calibri"/>
          <w:lang w:val="en-US"/>
        </w:rPr>
        <w:t xml:space="preserve"> </w:t>
      </w:r>
      <w:r w:rsidR="007E2426" w:rsidRPr="00B33A7D">
        <w:rPr>
          <w:rFonts w:eastAsia="Calibri"/>
          <w:lang w:val="en-US"/>
        </w:rPr>
        <w:t>and of personal</w:t>
      </w:r>
      <w:r w:rsidR="000C7962">
        <w:rPr>
          <w:rFonts w:eastAsia="Calibri"/>
          <w:lang w:val="en-US"/>
        </w:rPr>
        <w:t>/</w:t>
      </w:r>
      <w:r w:rsidR="007E2426" w:rsidRPr="00B33A7D">
        <w:rPr>
          <w:rFonts w:eastAsia="Calibri"/>
          <w:lang w:val="en-US"/>
        </w:rPr>
        <w:t xml:space="preserve">social </w:t>
      </w:r>
      <w:r w:rsidR="007E2426" w:rsidRPr="00B33A7D">
        <w:rPr>
          <w:rFonts w:eastAsia="Calibri"/>
          <w:lang w:val="en-US"/>
        </w:rPr>
        <w:lastRenderedPageBreak/>
        <w:t>context (Family, friends, leisure and sport activities)</w:t>
      </w:r>
      <w:r w:rsidR="00534883" w:rsidRPr="00B33A7D">
        <w:rPr>
          <w:rFonts w:eastAsia="Calibri"/>
          <w:lang w:val="en-US"/>
        </w:rPr>
        <w:t>,</w:t>
      </w:r>
      <w:r w:rsidR="00072AB3" w:rsidRPr="00B33A7D">
        <w:rPr>
          <w:rFonts w:eastAsia="Calibri"/>
          <w:lang w:val="en-US"/>
        </w:rPr>
        <w:t xml:space="preserve"> </w:t>
      </w:r>
      <w:r w:rsidR="007E2426" w:rsidRPr="00B33A7D">
        <w:rPr>
          <w:rFonts w:eastAsia="Calibri"/>
          <w:lang w:val="en-US"/>
        </w:rPr>
        <w:t>what can lead them to stress at the beginning of the degree</w:t>
      </w:r>
      <w:r w:rsidR="007E2426" w:rsidRPr="00B33A7D">
        <w:rPr>
          <w:rFonts w:eastAsia="Calibri"/>
          <w:vertAlign w:val="superscript"/>
          <w:lang w:val="en-US"/>
        </w:rPr>
        <w:t xml:space="preserve"> </w:t>
      </w:r>
      <w:r w:rsidR="009A7B7F">
        <w:rPr>
          <w:rFonts w:eastAsia="Calibri"/>
          <w:lang w:val="en-US" w:eastAsia="en-US"/>
        </w:rPr>
        <w:t>(</w:t>
      </w:r>
      <w:proofErr w:type="spellStart"/>
      <w:r w:rsidR="009A7B7F" w:rsidRPr="00D56FC2">
        <w:rPr>
          <w:rFonts w:eastAsia="Calibri"/>
          <w:lang w:val="en-US" w:eastAsia="en-US"/>
        </w:rPr>
        <w:t>Carlotto</w:t>
      </w:r>
      <w:proofErr w:type="spellEnd"/>
      <w:r w:rsidR="009A7B7F">
        <w:rPr>
          <w:rFonts w:eastAsia="Calibri"/>
          <w:lang w:val="en-US" w:eastAsia="en-US"/>
        </w:rPr>
        <w:t xml:space="preserve"> et al., 2006)</w:t>
      </w:r>
      <w:r w:rsidR="00EE60D0" w:rsidRPr="00B33A7D">
        <w:rPr>
          <w:rFonts w:eastAsia="Calibri"/>
          <w:lang w:val="en-US"/>
        </w:rPr>
        <w:t>.</w:t>
      </w:r>
    </w:p>
    <w:p w14:paraId="6C1AB2F0" w14:textId="77777777" w:rsidR="008D3923" w:rsidRDefault="00C1603C" w:rsidP="009A7B7F">
      <w:pPr>
        <w:autoSpaceDE w:val="0"/>
        <w:autoSpaceDN w:val="0"/>
        <w:adjustRightInd w:val="0"/>
        <w:spacing w:line="480" w:lineRule="auto"/>
        <w:ind w:firstLine="708"/>
        <w:jc w:val="both"/>
        <w:rPr>
          <w:rFonts w:eastAsia="Calibri"/>
          <w:lang w:val="en-US" w:eastAsia="en-US"/>
        </w:rPr>
      </w:pPr>
      <w:r w:rsidRPr="00B33A7D">
        <w:rPr>
          <w:rFonts w:cs="Arial"/>
          <w:color w:val="000000"/>
          <w:lang w:val="en-US"/>
        </w:rPr>
        <w:tab/>
      </w:r>
      <w:r w:rsidR="004F727C" w:rsidRPr="00B33A7D">
        <w:rPr>
          <w:rFonts w:cs="Arial"/>
          <w:color w:val="000000"/>
          <w:lang w:val="en-US"/>
        </w:rPr>
        <w:t>Concerning the high Cyni</w:t>
      </w:r>
      <w:r w:rsidR="00E1184E" w:rsidRPr="00B33A7D">
        <w:rPr>
          <w:rFonts w:cs="Arial"/>
          <w:color w:val="000000"/>
          <w:lang w:val="en-US"/>
        </w:rPr>
        <w:t>cism, this feature is prevalent</w:t>
      </w:r>
      <w:r w:rsidR="004F727C" w:rsidRPr="00B33A7D">
        <w:rPr>
          <w:rFonts w:cs="Arial"/>
          <w:color w:val="000000"/>
          <w:lang w:val="en-US"/>
        </w:rPr>
        <w:t xml:space="preserve"> among students aged between 20 and 24 years, </w:t>
      </w:r>
      <w:r w:rsidR="00E1184E" w:rsidRPr="00B33A7D">
        <w:rPr>
          <w:rFonts w:cs="Arial"/>
          <w:color w:val="000000"/>
          <w:lang w:val="en-US"/>
        </w:rPr>
        <w:t>en</w:t>
      </w:r>
      <w:r w:rsidR="004F727C" w:rsidRPr="00B33A7D">
        <w:rPr>
          <w:rFonts w:cs="Arial"/>
          <w:color w:val="000000"/>
          <w:lang w:val="en-US"/>
        </w:rPr>
        <w:t>rol</w:t>
      </w:r>
      <w:r w:rsidR="00E1184E" w:rsidRPr="00B33A7D">
        <w:rPr>
          <w:rFonts w:cs="Arial"/>
          <w:color w:val="000000"/>
          <w:lang w:val="en-US"/>
        </w:rPr>
        <w:t>l</w:t>
      </w:r>
      <w:r w:rsidR="004F727C" w:rsidRPr="00B33A7D">
        <w:rPr>
          <w:rFonts w:cs="Arial"/>
          <w:color w:val="000000"/>
          <w:lang w:val="en-US"/>
        </w:rPr>
        <w:t xml:space="preserve">ed the first semester, who have not experience in the health area, </w:t>
      </w:r>
      <w:r w:rsidR="000C7962">
        <w:rPr>
          <w:rFonts w:cs="Arial"/>
          <w:color w:val="000000"/>
          <w:lang w:val="en-US"/>
        </w:rPr>
        <w:t>and without a</w:t>
      </w:r>
      <w:r w:rsidR="004F727C" w:rsidRPr="00B33A7D">
        <w:rPr>
          <w:rFonts w:cs="Arial"/>
          <w:color w:val="000000"/>
          <w:lang w:val="en-US"/>
        </w:rPr>
        <w:t xml:space="preserve"> work activity</w:t>
      </w:r>
      <w:r w:rsidR="00536CB6" w:rsidRPr="00B33A7D">
        <w:rPr>
          <w:lang w:val="en-US"/>
        </w:rPr>
        <w:t>.</w:t>
      </w:r>
      <w:r w:rsidR="00193EDD" w:rsidRPr="00B33A7D">
        <w:rPr>
          <w:lang w:val="en-US"/>
        </w:rPr>
        <w:t xml:space="preserve"> </w:t>
      </w:r>
      <w:r w:rsidR="00B70BA0" w:rsidRPr="00B33A7D">
        <w:rPr>
          <w:lang w:val="en-US"/>
        </w:rPr>
        <w:t>In research with students of a technical nursing degree</w:t>
      </w:r>
      <w:r w:rsidR="00550159" w:rsidRPr="00B33A7D">
        <w:rPr>
          <w:lang w:val="en-US"/>
        </w:rPr>
        <w:t xml:space="preserve"> </w:t>
      </w:r>
      <w:r w:rsidR="008D36E6">
        <w:rPr>
          <w:lang w:val="en-US"/>
        </w:rPr>
        <w:t>(</w:t>
      </w:r>
      <w:r w:rsidR="008D36E6" w:rsidRPr="00D56FC2">
        <w:rPr>
          <w:lang w:val="en-US"/>
        </w:rPr>
        <w:t xml:space="preserve">Borges </w:t>
      </w:r>
      <w:r w:rsidR="008D36E6" w:rsidRPr="00B33A7D">
        <w:rPr>
          <w:rFonts w:eastAsia="Calibri"/>
          <w:lang w:val="en-US" w:eastAsia="en-US"/>
        </w:rPr>
        <w:t>&amp;</w:t>
      </w:r>
      <w:r w:rsidR="008D36E6">
        <w:rPr>
          <w:rFonts w:eastAsia="Calibri"/>
          <w:lang w:val="en-US" w:eastAsia="en-US"/>
        </w:rPr>
        <w:t xml:space="preserve"> </w:t>
      </w:r>
      <w:proofErr w:type="spellStart"/>
      <w:r w:rsidR="008D36E6" w:rsidRPr="00D56FC2">
        <w:rPr>
          <w:lang w:val="en-US"/>
        </w:rPr>
        <w:t>Carlotto</w:t>
      </w:r>
      <w:proofErr w:type="spellEnd"/>
      <w:r w:rsidR="008D36E6">
        <w:rPr>
          <w:lang w:val="en-US"/>
        </w:rPr>
        <w:t>, 2004)</w:t>
      </w:r>
      <w:r w:rsidR="00B70BA0" w:rsidRPr="00B33A7D">
        <w:rPr>
          <w:lang w:val="en-US"/>
        </w:rPr>
        <w:t xml:space="preserve">, the authors observed that students who did not perform a professional activity showed a </w:t>
      </w:r>
      <w:r w:rsidR="000C7962">
        <w:rPr>
          <w:lang w:val="en-US"/>
        </w:rPr>
        <w:t>higher</w:t>
      </w:r>
      <w:r w:rsidR="00B70BA0" w:rsidRPr="00B33A7D">
        <w:rPr>
          <w:lang w:val="en-US"/>
        </w:rPr>
        <w:t xml:space="preserve"> Cynicism than others</w:t>
      </w:r>
      <w:r w:rsidR="00D66FE3" w:rsidRPr="00B33A7D">
        <w:rPr>
          <w:lang w:val="en-US"/>
        </w:rPr>
        <w:t>.</w:t>
      </w:r>
      <w:r w:rsidR="008D3923" w:rsidRPr="00B33A7D">
        <w:rPr>
          <w:lang w:val="en-US"/>
        </w:rPr>
        <w:t xml:space="preserve"> </w:t>
      </w:r>
      <w:r w:rsidR="00B70BA0" w:rsidRPr="00B33A7D">
        <w:rPr>
          <w:lang w:val="en-US"/>
        </w:rPr>
        <w:t>About this, researchers believe that more idealistic individuals have a greater tendency to Burnout Syndrome because they are so dedicated that they do everything necessary to achieve their goals.</w:t>
      </w:r>
      <w:r w:rsidR="008D3923" w:rsidRPr="00B33A7D">
        <w:rPr>
          <w:lang w:val="en-US"/>
        </w:rPr>
        <w:t xml:space="preserve"> </w:t>
      </w:r>
      <w:r w:rsidR="00FE4ADE" w:rsidRPr="00B33A7D">
        <w:rPr>
          <w:lang w:val="en-US"/>
        </w:rPr>
        <w:t>However</w:t>
      </w:r>
      <w:r w:rsidR="008D3923" w:rsidRPr="00B33A7D">
        <w:rPr>
          <w:lang w:val="en-US"/>
        </w:rPr>
        <w:t xml:space="preserve">, </w:t>
      </w:r>
      <w:r w:rsidR="00FE4ADE" w:rsidRPr="00B33A7D">
        <w:rPr>
          <w:lang w:val="en-US"/>
        </w:rPr>
        <w:t>when it does not happen</w:t>
      </w:r>
      <w:r w:rsidR="008D3923" w:rsidRPr="00B33A7D">
        <w:rPr>
          <w:lang w:val="en-US"/>
        </w:rPr>
        <w:t xml:space="preserve">, </w:t>
      </w:r>
      <w:r w:rsidR="00FE4ADE" w:rsidRPr="00B33A7D">
        <w:rPr>
          <w:lang w:val="en-US"/>
        </w:rPr>
        <w:t>the occurrence of Cynicism, with subsequently social and academic withdrawal, is possible</w:t>
      </w:r>
      <w:r w:rsidR="00550159" w:rsidRPr="00B33A7D">
        <w:rPr>
          <w:lang w:val="en-US"/>
        </w:rPr>
        <w:t xml:space="preserve"> </w:t>
      </w:r>
      <w:r w:rsidR="009A7B7F">
        <w:rPr>
          <w:rFonts w:cs="Arial"/>
          <w:color w:val="000000"/>
          <w:lang w:val="en-US"/>
        </w:rPr>
        <w:t>(</w:t>
      </w:r>
      <w:proofErr w:type="spellStart"/>
      <w:r w:rsidR="009A7B7F" w:rsidRPr="00D56FC2">
        <w:rPr>
          <w:lang w:val="en-US"/>
        </w:rPr>
        <w:t>Maslach</w:t>
      </w:r>
      <w:proofErr w:type="spellEnd"/>
      <w:r w:rsidR="009A7B7F">
        <w:rPr>
          <w:lang w:val="en-US"/>
        </w:rPr>
        <w:t xml:space="preserve"> et al., 2001; </w:t>
      </w:r>
      <w:proofErr w:type="spellStart"/>
      <w:r w:rsidR="009A7B7F" w:rsidRPr="00D56FC2">
        <w:rPr>
          <w:lang w:val="en-US"/>
        </w:rPr>
        <w:t>Maslach</w:t>
      </w:r>
      <w:proofErr w:type="spellEnd"/>
      <w:r w:rsidR="009A7B7F">
        <w:rPr>
          <w:lang w:val="en-US"/>
        </w:rPr>
        <w:t>, 2001)</w:t>
      </w:r>
      <w:r w:rsidR="00550159" w:rsidRPr="00B33A7D">
        <w:rPr>
          <w:rFonts w:eastAsia="Calibri"/>
          <w:lang w:val="en-US"/>
        </w:rPr>
        <w:t>.</w:t>
      </w:r>
      <w:r w:rsidR="00FE4ADE" w:rsidRPr="00B33A7D">
        <w:rPr>
          <w:lang w:val="en-US"/>
        </w:rPr>
        <w:t xml:space="preserve"> This is in accordance with the academic context</w:t>
      </w:r>
      <w:r w:rsidR="000C7962">
        <w:rPr>
          <w:lang w:val="en-US"/>
        </w:rPr>
        <w:t>,</w:t>
      </w:r>
      <w:r w:rsidR="00FE4ADE" w:rsidRPr="00B33A7D">
        <w:rPr>
          <w:lang w:val="en-US"/>
        </w:rPr>
        <w:t xml:space="preserve"> because, when students getting to nursing degree, they are young people, without experience in healthcare and without a work activity. So, they may idealize their academic training and their</w:t>
      </w:r>
      <w:r w:rsidR="000C7962">
        <w:rPr>
          <w:lang w:val="en-US"/>
        </w:rPr>
        <w:t xml:space="preserve"> </w:t>
      </w:r>
      <w:r w:rsidR="00FE4ADE" w:rsidRPr="00B33A7D">
        <w:rPr>
          <w:lang w:val="en-US"/>
        </w:rPr>
        <w:t xml:space="preserve">professional </w:t>
      </w:r>
      <w:r w:rsidR="000C7962">
        <w:rPr>
          <w:lang w:val="en-US"/>
        </w:rPr>
        <w:t xml:space="preserve">satisfaction </w:t>
      </w:r>
      <w:r w:rsidR="00FE4ADE" w:rsidRPr="00B33A7D">
        <w:rPr>
          <w:lang w:val="en-US"/>
        </w:rPr>
        <w:t>concerning the</w:t>
      </w:r>
      <w:r w:rsidR="000C7962">
        <w:rPr>
          <w:lang w:val="en-US"/>
        </w:rPr>
        <w:t xml:space="preserve"> nursing</w:t>
      </w:r>
      <w:r w:rsidR="00FE4ADE" w:rsidRPr="00B33A7D">
        <w:rPr>
          <w:lang w:val="en-US"/>
        </w:rPr>
        <w:t xml:space="preserve"> degree. Over time, </w:t>
      </w:r>
      <w:r w:rsidR="000C7962">
        <w:rPr>
          <w:lang w:val="en-US"/>
        </w:rPr>
        <w:t xml:space="preserve">these </w:t>
      </w:r>
      <w:r w:rsidR="00FE4ADE" w:rsidRPr="00B33A7D">
        <w:rPr>
          <w:lang w:val="en-US"/>
        </w:rPr>
        <w:t>expectations</w:t>
      </w:r>
      <w:r w:rsidR="008E3DA2" w:rsidRPr="00B33A7D">
        <w:rPr>
          <w:lang w:val="en-US"/>
        </w:rPr>
        <w:t xml:space="preserve"> may</w:t>
      </w:r>
      <w:r w:rsidR="00FE4ADE" w:rsidRPr="00B33A7D">
        <w:rPr>
          <w:lang w:val="en-US"/>
        </w:rPr>
        <w:t xml:space="preserve"> not be met, leading to the increased Cynicism</w:t>
      </w:r>
      <w:r w:rsidR="00550159" w:rsidRPr="00B33A7D">
        <w:rPr>
          <w:lang w:val="en-US"/>
        </w:rPr>
        <w:t xml:space="preserve"> </w:t>
      </w:r>
      <w:r w:rsidR="009A7B7F">
        <w:rPr>
          <w:lang w:val="en-US"/>
        </w:rPr>
        <w:t>(</w:t>
      </w:r>
      <w:proofErr w:type="spellStart"/>
      <w:r w:rsidR="009A7B7F" w:rsidRPr="00D56FC2">
        <w:rPr>
          <w:rFonts w:eastAsia="Calibri"/>
          <w:lang w:val="en-US" w:eastAsia="en-US"/>
        </w:rPr>
        <w:t>Carlotto</w:t>
      </w:r>
      <w:proofErr w:type="spellEnd"/>
      <w:r w:rsidR="009A7B7F">
        <w:rPr>
          <w:rFonts w:eastAsia="Calibri"/>
          <w:lang w:val="en-US" w:eastAsia="en-US"/>
        </w:rPr>
        <w:t xml:space="preserve"> et al., 2006).</w:t>
      </w:r>
    </w:p>
    <w:p w14:paraId="574F8644" w14:textId="77777777" w:rsidR="009A7B7F" w:rsidRPr="00B33A7D" w:rsidRDefault="009A7B7F" w:rsidP="009A7B7F">
      <w:pPr>
        <w:autoSpaceDE w:val="0"/>
        <w:autoSpaceDN w:val="0"/>
        <w:adjustRightInd w:val="0"/>
        <w:spacing w:line="480" w:lineRule="auto"/>
        <w:ind w:firstLine="708"/>
        <w:jc w:val="both"/>
        <w:rPr>
          <w:lang w:val="en-US"/>
        </w:rPr>
      </w:pPr>
    </w:p>
    <w:p w14:paraId="20DEB9E5" w14:textId="77777777" w:rsidR="0029744A" w:rsidRPr="00B33A7D" w:rsidRDefault="00A4760A" w:rsidP="006C419A">
      <w:pPr>
        <w:autoSpaceDE w:val="0"/>
        <w:autoSpaceDN w:val="0"/>
        <w:adjustRightInd w:val="0"/>
        <w:spacing w:line="480" w:lineRule="auto"/>
        <w:jc w:val="both"/>
        <w:rPr>
          <w:rFonts w:eastAsia="Calibri"/>
          <w:lang w:val="en-US" w:eastAsia="en-US"/>
        </w:rPr>
      </w:pPr>
      <w:r w:rsidRPr="00B33A7D">
        <w:rPr>
          <w:rFonts w:eastAsia="Calibri"/>
          <w:b/>
          <w:lang w:val="en-US" w:eastAsia="en-US"/>
        </w:rPr>
        <w:t>CONCLUS</w:t>
      </w:r>
      <w:r w:rsidR="0033431E" w:rsidRPr="00B33A7D">
        <w:rPr>
          <w:rFonts w:eastAsia="Calibri"/>
          <w:b/>
          <w:lang w:val="en-US" w:eastAsia="en-US"/>
        </w:rPr>
        <w:t>ION</w:t>
      </w:r>
      <w:r w:rsidR="0044682C" w:rsidRPr="00B33A7D">
        <w:rPr>
          <w:rFonts w:eastAsia="Calibri"/>
          <w:b/>
          <w:lang w:val="en-US" w:eastAsia="en-US"/>
        </w:rPr>
        <w:t>S</w:t>
      </w:r>
    </w:p>
    <w:p w14:paraId="1B8E3BD8" w14:textId="2E5057F9" w:rsidR="00A4760A" w:rsidRPr="009B2F13" w:rsidRDefault="0033431E" w:rsidP="006C419A">
      <w:pPr>
        <w:autoSpaceDE w:val="0"/>
        <w:autoSpaceDN w:val="0"/>
        <w:adjustRightInd w:val="0"/>
        <w:spacing w:line="480" w:lineRule="auto"/>
        <w:ind w:firstLine="708"/>
        <w:jc w:val="both"/>
        <w:rPr>
          <w:rFonts w:cs="Arial"/>
          <w:color w:val="000000"/>
          <w:lang w:val="en-US"/>
        </w:rPr>
      </w:pPr>
      <w:r w:rsidRPr="00B33A7D">
        <w:rPr>
          <w:lang w:val="en-US"/>
        </w:rPr>
        <w:t xml:space="preserve">The </w:t>
      </w:r>
      <w:r w:rsidR="000C7962">
        <w:rPr>
          <w:lang w:val="en-US"/>
        </w:rPr>
        <w:t>o</w:t>
      </w:r>
      <w:r w:rsidR="000C7962" w:rsidRPr="00B33A7D">
        <w:rPr>
          <w:lang w:val="en-US"/>
        </w:rPr>
        <w:t xml:space="preserve">ccurrence </w:t>
      </w:r>
      <w:r w:rsidR="000C7962">
        <w:rPr>
          <w:lang w:val="en-US"/>
        </w:rPr>
        <w:t xml:space="preserve">of </w:t>
      </w:r>
      <w:r w:rsidRPr="00B33A7D">
        <w:rPr>
          <w:lang w:val="en-US"/>
        </w:rPr>
        <w:t xml:space="preserve">Burnout Syndrome and </w:t>
      </w:r>
      <w:r w:rsidR="000C7962">
        <w:rPr>
          <w:lang w:val="en-US"/>
        </w:rPr>
        <w:t xml:space="preserve">of these features </w:t>
      </w:r>
      <w:r w:rsidRPr="00B33A7D">
        <w:rPr>
          <w:lang w:val="en-US"/>
        </w:rPr>
        <w:t>are higher among nursing students without work activities</w:t>
      </w:r>
      <w:r w:rsidR="00BD6785" w:rsidRPr="00B33A7D">
        <w:rPr>
          <w:rFonts w:cs="Arial"/>
          <w:color w:val="000000"/>
          <w:lang w:val="en-US"/>
        </w:rPr>
        <w:t xml:space="preserve">, </w:t>
      </w:r>
      <w:r w:rsidR="000C7962">
        <w:rPr>
          <w:rFonts w:cs="Arial"/>
          <w:color w:val="000000"/>
          <w:lang w:val="en-US"/>
        </w:rPr>
        <w:t>without</w:t>
      </w:r>
      <w:r w:rsidRPr="00B33A7D">
        <w:rPr>
          <w:rFonts w:cs="Arial"/>
          <w:color w:val="000000"/>
          <w:lang w:val="en-US"/>
        </w:rPr>
        <w:t xml:space="preserve"> thought</w:t>
      </w:r>
      <w:r w:rsidR="000C7962">
        <w:rPr>
          <w:rFonts w:cs="Arial"/>
          <w:color w:val="000000"/>
          <w:lang w:val="en-US"/>
        </w:rPr>
        <w:t>s of</w:t>
      </w:r>
      <w:r w:rsidRPr="00B33A7D">
        <w:rPr>
          <w:rFonts w:cs="Arial"/>
          <w:color w:val="000000"/>
          <w:lang w:val="en-US"/>
        </w:rPr>
        <w:t xml:space="preserve"> dropping the course</w:t>
      </w:r>
      <w:r w:rsidR="00BD6785" w:rsidRPr="00B33A7D">
        <w:rPr>
          <w:rFonts w:cs="Arial"/>
          <w:color w:val="000000"/>
          <w:lang w:val="en-US"/>
        </w:rPr>
        <w:t xml:space="preserve">, </w:t>
      </w:r>
      <w:r w:rsidRPr="00B33A7D">
        <w:rPr>
          <w:rFonts w:cs="Arial"/>
          <w:color w:val="000000"/>
          <w:lang w:val="en-US"/>
        </w:rPr>
        <w:t>enrolled in first semester and performing 10 disciplines</w:t>
      </w:r>
      <w:r w:rsidR="00BD6785" w:rsidRPr="00B33A7D">
        <w:rPr>
          <w:rFonts w:cs="Arial"/>
          <w:color w:val="000000"/>
          <w:lang w:val="en-US"/>
        </w:rPr>
        <w:t xml:space="preserve">, </w:t>
      </w:r>
      <w:r w:rsidRPr="00B33A7D">
        <w:rPr>
          <w:rFonts w:cs="Arial"/>
          <w:color w:val="000000"/>
          <w:lang w:val="en-US"/>
        </w:rPr>
        <w:t xml:space="preserve">as well as among those aged between 20 and 24 years and without experience in health </w:t>
      </w:r>
      <w:r w:rsidR="000C7962">
        <w:rPr>
          <w:rFonts w:cs="Arial"/>
          <w:color w:val="000000"/>
          <w:lang w:val="en-US"/>
        </w:rPr>
        <w:t>field</w:t>
      </w:r>
      <w:r w:rsidR="00BD6785" w:rsidRPr="00B33A7D">
        <w:rPr>
          <w:lang w:val="en-US"/>
        </w:rPr>
        <w:t>.</w:t>
      </w:r>
      <w:r w:rsidR="0024783E" w:rsidRPr="00B33A7D">
        <w:rPr>
          <w:lang w:val="en-US"/>
        </w:rPr>
        <w:t xml:space="preserve"> </w:t>
      </w:r>
      <w:r w:rsidR="00877B9C" w:rsidRPr="00B33A7D">
        <w:rPr>
          <w:rFonts w:cs="Arial"/>
          <w:color w:val="000000"/>
          <w:lang w:val="en-US"/>
        </w:rPr>
        <w:t xml:space="preserve">In this way, we </w:t>
      </w:r>
      <w:r w:rsidR="00877B9C" w:rsidRPr="009B2F13">
        <w:rPr>
          <w:rFonts w:cs="Arial"/>
          <w:color w:val="000000"/>
          <w:lang w:val="en-US"/>
        </w:rPr>
        <w:t xml:space="preserve">state that </w:t>
      </w:r>
      <w:r w:rsidR="000C7962" w:rsidRPr="009B2F13">
        <w:rPr>
          <w:rFonts w:cs="Arial"/>
          <w:color w:val="000000"/>
          <w:lang w:val="en-US"/>
        </w:rPr>
        <w:t>some</w:t>
      </w:r>
      <w:r w:rsidR="00877B9C" w:rsidRPr="009B2F13">
        <w:rPr>
          <w:rFonts w:cs="Arial"/>
          <w:color w:val="000000"/>
          <w:lang w:val="en-US"/>
        </w:rPr>
        <w:t xml:space="preserve"> demographic and academic characteristics of </w:t>
      </w:r>
      <w:r w:rsidR="000C7962" w:rsidRPr="009B2F13">
        <w:rPr>
          <w:rFonts w:cs="Arial"/>
          <w:color w:val="000000"/>
          <w:lang w:val="en-US"/>
        </w:rPr>
        <w:t xml:space="preserve">nursing </w:t>
      </w:r>
      <w:r w:rsidR="00877B9C" w:rsidRPr="009B2F13">
        <w:rPr>
          <w:rFonts w:cs="Arial"/>
          <w:color w:val="000000"/>
          <w:lang w:val="en-US"/>
        </w:rPr>
        <w:t>students contribute to Burnout Syndrome occurrence</w:t>
      </w:r>
      <w:r w:rsidR="009B2F13">
        <w:rPr>
          <w:rFonts w:cs="Arial"/>
          <w:color w:val="000000"/>
          <w:lang w:val="en-US"/>
        </w:rPr>
        <w:t xml:space="preserve">, </w:t>
      </w:r>
      <w:r w:rsidR="009B2F13" w:rsidRPr="009B2F13">
        <w:rPr>
          <w:rFonts w:cs="Arial"/>
          <w:color w:val="000000"/>
          <w:lang w:val="en-US"/>
        </w:rPr>
        <w:t>what confirm our hypothesis</w:t>
      </w:r>
      <w:r w:rsidR="00A4760A" w:rsidRPr="009B2F13">
        <w:rPr>
          <w:rFonts w:cs="Arial"/>
          <w:i/>
          <w:color w:val="000000"/>
          <w:lang w:val="en-US"/>
        </w:rPr>
        <w:t>.</w:t>
      </w:r>
      <w:r w:rsidR="00A118AC" w:rsidRPr="009B2F13">
        <w:rPr>
          <w:rFonts w:cs="Arial"/>
          <w:color w:val="000000"/>
          <w:lang w:val="en-US"/>
        </w:rPr>
        <w:t xml:space="preserve"> </w:t>
      </w:r>
      <w:r w:rsidR="00877B9C" w:rsidRPr="009B2F13">
        <w:rPr>
          <w:rFonts w:cs="Arial"/>
          <w:color w:val="000000"/>
          <w:lang w:val="en-US"/>
        </w:rPr>
        <w:t>Thus, rethink</w:t>
      </w:r>
      <w:r w:rsidR="00A3155A" w:rsidRPr="009B2F13">
        <w:rPr>
          <w:rFonts w:cs="Arial"/>
          <w:color w:val="000000"/>
          <w:lang w:val="en-US"/>
        </w:rPr>
        <w:t>ing</w:t>
      </w:r>
      <w:r w:rsidR="00877B9C" w:rsidRPr="009B2F13">
        <w:rPr>
          <w:rFonts w:cs="Arial"/>
          <w:color w:val="000000"/>
          <w:lang w:val="en-US"/>
        </w:rPr>
        <w:t xml:space="preserve"> the distribution of disciplines throughout the</w:t>
      </w:r>
      <w:r w:rsidR="00877B9C" w:rsidRPr="00B33A7D">
        <w:rPr>
          <w:rFonts w:cs="Arial"/>
          <w:color w:val="000000"/>
          <w:lang w:val="en-US"/>
        </w:rPr>
        <w:t xml:space="preserve"> semesters </w:t>
      </w:r>
      <w:r w:rsidR="00A3155A" w:rsidRPr="00B33A7D">
        <w:rPr>
          <w:rFonts w:cs="Arial"/>
          <w:color w:val="000000"/>
          <w:lang w:val="en-US"/>
        </w:rPr>
        <w:t xml:space="preserve">is necessary </w:t>
      </w:r>
      <w:r w:rsidR="00877B9C" w:rsidRPr="00B33A7D">
        <w:rPr>
          <w:rFonts w:cs="Arial"/>
          <w:color w:val="000000"/>
          <w:lang w:val="en-US"/>
        </w:rPr>
        <w:t>in order to reduce the academic activities</w:t>
      </w:r>
      <w:r w:rsidR="00A3155A" w:rsidRPr="00B33A7D">
        <w:rPr>
          <w:rFonts w:cs="Arial"/>
          <w:color w:val="000000"/>
          <w:lang w:val="en-US"/>
        </w:rPr>
        <w:t xml:space="preserve"> overload</w:t>
      </w:r>
      <w:r w:rsidR="00877B9C" w:rsidRPr="00B33A7D">
        <w:rPr>
          <w:rFonts w:cs="Arial"/>
          <w:color w:val="000000"/>
          <w:lang w:val="en-US"/>
        </w:rPr>
        <w:t xml:space="preserve"> in </w:t>
      </w:r>
      <w:r w:rsidR="00A3155A" w:rsidRPr="00B33A7D">
        <w:rPr>
          <w:rFonts w:cs="Arial"/>
          <w:color w:val="000000"/>
          <w:lang w:val="en-US"/>
        </w:rPr>
        <w:t xml:space="preserve">some </w:t>
      </w:r>
      <w:r w:rsidR="004E7EF2">
        <w:rPr>
          <w:rFonts w:cs="Arial"/>
          <w:color w:val="000000"/>
          <w:lang w:val="en-US"/>
        </w:rPr>
        <w:t>training</w:t>
      </w:r>
      <w:r w:rsidR="00877B9C" w:rsidRPr="00B33A7D">
        <w:rPr>
          <w:rFonts w:cs="Arial"/>
          <w:color w:val="000000"/>
          <w:lang w:val="en-US"/>
        </w:rPr>
        <w:t xml:space="preserve"> </w:t>
      </w:r>
      <w:r w:rsidR="00877B9C" w:rsidRPr="00B33A7D">
        <w:rPr>
          <w:rFonts w:cs="Arial"/>
          <w:color w:val="000000"/>
          <w:lang w:val="en-US"/>
        </w:rPr>
        <w:lastRenderedPageBreak/>
        <w:t>periods</w:t>
      </w:r>
      <w:r w:rsidR="00A3155A" w:rsidRPr="00B33A7D">
        <w:rPr>
          <w:rFonts w:cs="Arial"/>
          <w:color w:val="000000"/>
          <w:lang w:val="en-US"/>
        </w:rPr>
        <w:t>. Also,</w:t>
      </w:r>
      <w:r w:rsidR="00877B9C" w:rsidRPr="00B33A7D">
        <w:rPr>
          <w:rFonts w:cs="Arial"/>
          <w:color w:val="000000"/>
          <w:lang w:val="en-US"/>
        </w:rPr>
        <w:t xml:space="preserve"> </w:t>
      </w:r>
      <w:r w:rsidR="00312185">
        <w:rPr>
          <w:rFonts w:cs="Arial"/>
          <w:color w:val="000000"/>
          <w:lang w:val="en-US"/>
        </w:rPr>
        <w:t>the</w:t>
      </w:r>
      <w:r w:rsidR="00877B9C" w:rsidRPr="00B33A7D">
        <w:rPr>
          <w:rFonts w:cs="Arial"/>
          <w:color w:val="000000"/>
          <w:lang w:val="en-US"/>
        </w:rPr>
        <w:t xml:space="preserve"> contact</w:t>
      </w:r>
      <w:r w:rsidR="00A3155A" w:rsidRPr="00B33A7D">
        <w:rPr>
          <w:rFonts w:cs="Arial"/>
          <w:color w:val="000000"/>
          <w:lang w:val="en-US"/>
        </w:rPr>
        <w:t xml:space="preserve"> of </w:t>
      </w:r>
      <w:r w:rsidR="00877B9C" w:rsidRPr="00B33A7D">
        <w:rPr>
          <w:rFonts w:cs="Arial"/>
          <w:color w:val="000000"/>
          <w:lang w:val="en-US"/>
        </w:rPr>
        <w:t>nursing student</w:t>
      </w:r>
      <w:r w:rsidR="00A3155A" w:rsidRPr="00B33A7D">
        <w:rPr>
          <w:rFonts w:cs="Arial"/>
          <w:color w:val="000000"/>
          <w:lang w:val="en-US"/>
        </w:rPr>
        <w:t>s</w:t>
      </w:r>
      <w:r w:rsidR="00877B9C" w:rsidRPr="00B33A7D">
        <w:rPr>
          <w:rFonts w:cs="Arial"/>
          <w:color w:val="000000"/>
          <w:lang w:val="en-US"/>
        </w:rPr>
        <w:t xml:space="preserve"> with the</w:t>
      </w:r>
      <w:r w:rsidR="00312185">
        <w:rPr>
          <w:rFonts w:cs="Arial"/>
          <w:color w:val="000000"/>
          <w:lang w:val="en-US"/>
        </w:rPr>
        <w:t xml:space="preserve">ir professional </w:t>
      </w:r>
      <w:r w:rsidR="00877B9C" w:rsidRPr="00B33A7D">
        <w:rPr>
          <w:rFonts w:cs="Arial"/>
          <w:color w:val="000000"/>
          <w:lang w:val="en-US"/>
        </w:rPr>
        <w:t xml:space="preserve">reality </w:t>
      </w:r>
      <w:r w:rsidR="00312185">
        <w:rPr>
          <w:rFonts w:cs="Arial"/>
          <w:color w:val="000000"/>
          <w:lang w:val="en-US"/>
        </w:rPr>
        <w:t xml:space="preserve">since the </w:t>
      </w:r>
      <w:r w:rsidR="00877B9C" w:rsidRPr="00B33A7D">
        <w:rPr>
          <w:rFonts w:cs="Arial"/>
          <w:color w:val="000000"/>
          <w:lang w:val="en-US"/>
        </w:rPr>
        <w:t>beginning</w:t>
      </w:r>
      <w:r w:rsidR="00A3155A" w:rsidRPr="00B33A7D">
        <w:rPr>
          <w:rFonts w:cs="Arial"/>
          <w:color w:val="000000"/>
          <w:lang w:val="en-US"/>
        </w:rPr>
        <w:t xml:space="preserve"> of degree should be considered</w:t>
      </w:r>
      <w:r w:rsidR="00877B9C" w:rsidRPr="00B33A7D">
        <w:rPr>
          <w:rFonts w:cs="Arial"/>
          <w:color w:val="000000"/>
          <w:lang w:val="en-US"/>
        </w:rPr>
        <w:t xml:space="preserve"> </w:t>
      </w:r>
      <w:r w:rsidR="00A3155A" w:rsidRPr="00B33A7D">
        <w:rPr>
          <w:rFonts w:cs="Arial"/>
          <w:color w:val="000000"/>
          <w:lang w:val="en-US"/>
        </w:rPr>
        <w:t xml:space="preserve">due to </w:t>
      </w:r>
      <w:r w:rsidR="00877B9C" w:rsidRPr="00B33A7D">
        <w:rPr>
          <w:rFonts w:cs="Arial"/>
          <w:color w:val="000000"/>
          <w:lang w:val="en-US"/>
        </w:rPr>
        <w:t xml:space="preserve">possible differences </w:t>
      </w:r>
      <w:r w:rsidR="00312185">
        <w:rPr>
          <w:rFonts w:cs="Arial"/>
          <w:color w:val="000000"/>
          <w:lang w:val="en-US"/>
        </w:rPr>
        <w:t>between the ideal brought by</w:t>
      </w:r>
      <w:r w:rsidR="00A3155A" w:rsidRPr="00B33A7D">
        <w:rPr>
          <w:rFonts w:cs="Arial"/>
          <w:color w:val="000000"/>
          <w:lang w:val="en-US"/>
        </w:rPr>
        <w:t xml:space="preserve"> </w:t>
      </w:r>
      <w:r w:rsidR="00877B9C" w:rsidRPr="00B33A7D">
        <w:rPr>
          <w:rFonts w:cs="Arial"/>
          <w:color w:val="000000"/>
          <w:lang w:val="en-US"/>
        </w:rPr>
        <w:t>student</w:t>
      </w:r>
      <w:r w:rsidR="00A3155A" w:rsidRPr="00B33A7D">
        <w:rPr>
          <w:rFonts w:cs="Arial"/>
          <w:color w:val="000000"/>
          <w:lang w:val="en-US"/>
        </w:rPr>
        <w:t>s</w:t>
      </w:r>
      <w:r w:rsidR="00877B9C" w:rsidRPr="00B33A7D">
        <w:rPr>
          <w:rFonts w:cs="Arial"/>
          <w:color w:val="000000"/>
          <w:lang w:val="en-US"/>
        </w:rPr>
        <w:t xml:space="preserve"> </w:t>
      </w:r>
      <w:r w:rsidR="00A3155A" w:rsidRPr="00B33A7D">
        <w:rPr>
          <w:rFonts w:cs="Arial"/>
          <w:color w:val="000000"/>
          <w:lang w:val="en-US"/>
        </w:rPr>
        <w:t xml:space="preserve">and the </w:t>
      </w:r>
      <w:r w:rsidR="00877B9C" w:rsidRPr="00B33A7D">
        <w:rPr>
          <w:rFonts w:cs="Arial"/>
          <w:color w:val="000000"/>
          <w:lang w:val="en-US"/>
        </w:rPr>
        <w:t>nursing</w:t>
      </w:r>
      <w:r w:rsidR="00A3155A" w:rsidRPr="00B33A7D">
        <w:rPr>
          <w:rFonts w:cs="Arial"/>
          <w:color w:val="000000"/>
          <w:lang w:val="en-US"/>
        </w:rPr>
        <w:t xml:space="preserve"> work reality. Thus, </w:t>
      </w:r>
      <w:r w:rsidR="00A3155A" w:rsidRPr="009B2F13">
        <w:rPr>
          <w:rFonts w:cs="Arial"/>
          <w:color w:val="000000"/>
          <w:lang w:val="en-US"/>
        </w:rPr>
        <w:t xml:space="preserve">strategies </w:t>
      </w:r>
      <w:r w:rsidR="0056740F" w:rsidRPr="009B2F13">
        <w:rPr>
          <w:rFonts w:cs="Arial"/>
          <w:color w:val="000000"/>
          <w:lang w:val="en-US"/>
        </w:rPr>
        <w:t>to minimize the risks of Burnout among nursing students have to be purposed.</w:t>
      </w:r>
    </w:p>
    <w:p w14:paraId="3A9A830B" w14:textId="6CA84789" w:rsidR="00511CB4" w:rsidRDefault="008220C6" w:rsidP="00556791">
      <w:pPr>
        <w:autoSpaceDE w:val="0"/>
        <w:autoSpaceDN w:val="0"/>
        <w:adjustRightInd w:val="0"/>
        <w:spacing w:line="480" w:lineRule="auto"/>
        <w:ind w:firstLine="708"/>
        <w:jc w:val="both"/>
        <w:rPr>
          <w:rFonts w:cs="Arial"/>
          <w:color w:val="000000"/>
          <w:lang w:val="en-US"/>
        </w:rPr>
      </w:pPr>
      <w:r w:rsidRPr="00B33A7D">
        <w:rPr>
          <w:rFonts w:cs="Arial"/>
          <w:color w:val="000000"/>
          <w:lang w:val="en-US"/>
        </w:rPr>
        <w:t>As study limitation</w:t>
      </w:r>
      <w:r w:rsidR="00AB4950" w:rsidRPr="00B33A7D">
        <w:rPr>
          <w:rFonts w:cs="Arial"/>
          <w:color w:val="000000"/>
          <w:lang w:val="en-US"/>
        </w:rPr>
        <w:t xml:space="preserve">, </w:t>
      </w:r>
      <w:r w:rsidRPr="00B33A7D">
        <w:rPr>
          <w:rFonts w:cs="Arial"/>
          <w:color w:val="000000"/>
          <w:lang w:val="en-US"/>
        </w:rPr>
        <w:t xml:space="preserve">we stand out the different analysis techniques used by researchers, which </w:t>
      </w:r>
      <w:r w:rsidR="00312185">
        <w:rPr>
          <w:rFonts w:cs="Arial"/>
          <w:color w:val="000000"/>
          <w:lang w:val="en-US"/>
        </w:rPr>
        <w:t xml:space="preserve">became </w:t>
      </w:r>
      <w:r w:rsidRPr="00B33A7D">
        <w:rPr>
          <w:rFonts w:cs="Arial"/>
          <w:color w:val="000000"/>
          <w:lang w:val="en-US"/>
        </w:rPr>
        <w:t xml:space="preserve">the comparison between this study and the results of other </w:t>
      </w:r>
      <w:r w:rsidR="00A13C44" w:rsidRPr="00B33A7D">
        <w:rPr>
          <w:rFonts w:cs="Arial"/>
          <w:color w:val="000000"/>
          <w:lang w:val="en-US"/>
        </w:rPr>
        <w:t>investigations</w:t>
      </w:r>
      <w:r w:rsidR="00312185">
        <w:rPr>
          <w:rFonts w:cs="Arial"/>
          <w:color w:val="000000"/>
          <w:lang w:val="en-US"/>
        </w:rPr>
        <w:t xml:space="preserve"> harder</w:t>
      </w:r>
      <w:r w:rsidR="00A13C44" w:rsidRPr="00B33A7D">
        <w:rPr>
          <w:rFonts w:cs="Arial"/>
          <w:color w:val="000000"/>
          <w:lang w:val="en-US"/>
        </w:rPr>
        <w:t>. Furthermore, few studies analyzed the</w:t>
      </w:r>
      <w:r w:rsidR="007E016A">
        <w:rPr>
          <w:rFonts w:cs="Arial"/>
          <w:color w:val="000000"/>
          <w:lang w:val="en-US"/>
        </w:rPr>
        <w:t xml:space="preserve"> association of</w:t>
      </w:r>
      <w:r w:rsidR="00A13C44" w:rsidRPr="00B33A7D">
        <w:rPr>
          <w:rFonts w:cs="Arial"/>
          <w:color w:val="000000"/>
          <w:lang w:val="en-US"/>
        </w:rPr>
        <w:t xml:space="preserve"> academic and </w:t>
      </w:r>
      <w:r w:rsidR="007E016A">
        <w:rPr>
          <w:rFonts w:cs="Arial"/>
          <w:color w:val="000000"/>
          <w:lang w:val="en-US"/>
        </w:rPr>
        <w:t>biosocial</w:t>
      </w:r>
      <w:r w:rsidR="00A13C44" w:rsidRPr="00B33A7D">
        <w:rPr>
          <w:rFonts w:cs="Arial"/>
          <w:color w:val="000000"/>
          <w:lang w:val="en-US"/>
        </w:rPr>
        <w:t xml:space="preserve"> characteristics </w:t>
      </w:r>
      <w:r w:rsidR="007E016A">
        <w:rPr>
          <w:rFonts w:cs="Arial"/>
          <w:color w:val="000000"/>
          <w:lang w:val="en-US"/>
        </w:rPr>
        <w:t>with</w:t>
      </w:r>
      <w:r w:rsidR="00A13C44" w:rsidRPr="00B33A7D">
        <w:rPr>
          <w:rFonts w:cs="Arial"/>
          <w:color w:val="000000"/>
          <w:lang w:val="en-US"/>
        </w:rPr>
        <w:t xml:space="preserve"> Burnout Syndrome occurrence, </w:t>
      </w:r>
      <w:r w:rsidR="00312185">
        <w:rPr>
          <w:rFonts w:cs="Arial"/>
          <w:color w:val="000000"/>
          <w:lang w:val="en-US"/>
        </w:rPr>
        <w:t xml:space="preserve">once scholars usually analyze </w:t>
      </w:r>
      <w:r w:rsidR="00A13C44" w:rsidRPr="00B33A7D">
        <w:rPr>
          <w:rFonts w:cs="Arial"/>
          <w:color w:val="000000"/>
          <w:lang w:val="en-US"/>
        </w:rPr>
        <w:t xml:space="preserve">the relationships established between </w:t>
      </w:r>
      <w:r w:rsidR="00773A16">
        <w:rPr>
          <w:rFonts w:cs="Arial"/>
          <w:color w:val="000000"/>
          <w:lang w:val="en-US"/>
        </w:rPr>
        <w:t>these</w:t>
      </w:r>
      <w:r w:rsidR="00A13C44" w:rsidRPr="00B33A7D">
        <w:rPr>
          <w:rFonts w:cs="Arial"/>
          <w:color w:val="000000"/>
          <w:lang w:val="en-US"/>
        </w:rPr>
        <w:t xml:space="preserve"> characteristics and the MBI-SS’ subscales.</w:t>
      </w:r>
    </w:p>
    <w:p w14:paraId="54A211F7" w14:textId="77777777" w:rsidR="00556791" w:rsidRPr="00556791" w:rsidRDefault="00556791" w:rsidP="00556791">
      <w:pPr>
        <w:autoSpaceDE w:val="0"/>
        <w:autoSpaceDN w:val="0"/>
        <w:adjustRightInd w:val="0"/>
        <w:spacing w:line="480" w:lineRule="auto"/>
        <w:ind w:firstLine="708"/>
        <w:jc w:val="both"/>
        <w:rPr>
          <w:rFonts w:cs="Arial"/>
          <w:color w:val="000000"/>
          <w:lang w:val="en-US"/>
        </w:rPr>
      </w:pPr>
    </w:p>
    <w:p w14:paraId="689809D1" w14:textId="77777777" w:rsidR="005A1EE8" w:rsidRPr="00556791" w:rsidRDefault="008220C6" w:rsidP="006C419A">
      <w:pPr>
        <w:autoSpaceDE w:val="0"/>
        <w:autoSpaceDN w:val="0"/>
        <w:adjustRightInd w:val="0"/>
        <w:spacing w:line="480" w:lineRule="auto"/>
        <w:jc w:val="both"/>
        <w:rPr>
          <w:rFonts w:eastAsia="Calibri"/>
          <w:b/>
          <w:lang w:val="en-US" w:eastAsia="en-US"/>
        </w:rPr>
      </w:pPr>
      <w:r w:rsidRPr="00556791">
        <w:rPr>
          <w:rFonts w:eastAsia="Calibri"/>
          <w:b/>
          <w:lang w:val="en-US" w:eastAsia="en-US"/>
        </w:rPr>
        <w:t>REFERENCES</w:t>
      </w:r>
    </w:p>
    <w:p w14:paraId="2BBD9601" w14:textId="77777777" w:rsidR="00C57E01" w:rsidRPr="00556791" w:rsidRDefault="00C57E01" w:rsidP="00C57E01">
      <w:pPr>
        <w:spacing w:line="480" w:lineRule="auto"/>
        <w:jc w:val="both"/>
        <w:rPr>
          <w:lang w:val="en-US"/>
        </w:rPr>
      </w:pPr>
      <w:proofErr w:type="spellStart"/>
      <w:r w:rsidRPr="00556791">
        <w:rPr>
          <w:lang w:val="en-US"/>
        </w:rPr>
        <w:t>Bailar</w:t>
      </w:r>
      <w:proofErr w:type="spellEnd"/>
      <w:r w:rsidR="0018518D" w:rsidRPr="00556791">
        <w:rPr>
          <w:lang w:val="en-US"/>
        </w:rPr>
        <w:t>,</w:t>
      </w:r>
      <w:r w:rsidRPr="00556791">
        <w:rPr>
          <w:lang w:val="en-US"/>
        </w:rPr>
        <w:t xml:space="preserve"> J</w:t>
      </w:r>
      <w:r w:rsidR="0018518D" w:rsidRPr="00556791">
        <w:rPr>
          <w:lang w:val="en-US"/>
        </w:rPr>
        <w:t>.</w:t>
      </w:r>
      <w:r w:rsidRPr="00556791">
        <w:rPr>
          <w:lang w:val="en-US"/>
        </w:rPr>
        <w:t xml:space="preserve"> </w:t>
      </w:r>
      <w:r w:rsidR="0018518D" w:rsidRPr="00556791">
        <w:rPr>
          <w:rFonts w:eastAsia="Calibri"/>
          <w:lang w:val="en-US" w:eastAsia="en-US"/>
        </w:rPr>
        <w:t xml:space="preserve">&amp; </w:t>
      </w:r>
      <w:proofErr w:type="spellStart"/>
      <w:r w:rsidRPr="00556791">
        <w:rPr>
          <w:lang w:val="en-US"/>
        </w:rPr>
        <w:t>Mosteller</w:t>
      </w:r>
      <w:proofErr w:type="spellEnd"/>
      <w:r w:rsidR="0018518D" w:rsidRPr="00556791">
        <w:rPr>
          <w:lang w:val="en-US"/>
        </w:rPr>
        <w:t>,</w:t>
      </w:r>
      <w:r w:rsidRPr="00556791">
        <w:rPr>
          <w:lang w:val="en-US"/>
        </w:rPr>
        <w:t xml:space="preserve"> F</w:t>
      </w:r>
      <w:proofErr w:type="gramStart"/>
      <w:r w:rsidRPr="00556791">
        <w:rPr>
          <w:lang w:val="en-US"/>
        </w:rPr>
        <w:t>.</w:t>
      </w:r>
      <w:r w:rsidR="007727C1" w:rsidRPr="00556791">
        <w:rPr>
          <w:lang w:val="en-US"/>
        </w:rPr>
        <w:t>(</w:t>
      </w:r>
      <w:proofErr w:type="gramEnd"/>
      <w:r w:rsidR="007727C1" w:rsidRPr="00556791">
        <w:rPr>
          <w:lang w:val="en-US"/>
        </w:rPr>
        <w:t>1992).</w:t>
      </w:r>
      <w:r w:rsidRPr="00556791">
        <w:rPr>
          <w:lang w:val="en-US"/>
        </w:rPr>
        <w:t xml:space="preserve"> </w:t>
      </w:r>
      <w:proofErr w:type="gramStart"/>
      <w:r w:rsidRPr="00556791">
        <w:rPr>
          <w:i/>
          <w:lang w:val="en-US"/>
        </w:rPr>
        <w:t>Medical users of statistics</w:t>
      </w:r>
      <w:r w:rsidRPr="00556791">
        <w:rPr>
          <w:lang w:val="en-US"/>
        </w:rPr>
        <w:t>.</w:t>
      </w:r>
      <w:proofErr w:type="gramEnd"/>
      <w:r w:rsidRPr="00556791">
        <w:rPr>
          <w:lang w:val="en-US"/>
        </w:rPr>
        <w:t xml:space="preserve"> Boston</w:t>
      </w:r>
      <w:r w:rsidR="007727C1" w:rsidRPr="00556791">
        <w:rPr>
          <w:lang w:val="en-US"/>
        </w:rPr>
        <w:t xml:space="preserve">, MA:  </w:t>
      </w:r>
      <w:proofErr w:type="spellStart"/>
      <w:r w:rsidR="007727C1" w:rsidRPr="00556791">
        <w:rPr>
          <w:lang w:val="en-US"/>
        </w:rPr>
        <w:t>Nejm</w:t>
      </w:r>
      <w:proofErr w:type="spellEnd"/>
      <w:r w:rsidR="007727C1" w:rsidRPr="00556791">
        <w:rPr>
          <w:lang w:val="en-US"/>
        </w:rPr>
        <w:t xml:space="preserve"> Books.</w:t>
      </w:r>
    </w:p>
    <w:p w14:paraId="2330809A" w14:textId="77777777" w:rsidR="00C57E01" w:rsidRPr="00556791" w:rsidRDefault="00C57E01" w:rsidP="00C57E01">
      <w:pPr>
        <w:autoSpaceDE w:val="0"/>
        <w:autoSpaceDN w:val="0"/>
        <w:adjustRightInd w:val="0"/>
        <w:spacing w:line="480" w:lineRule="auto"/>
        <w:jc w:val="both"/>
        <w:rPr>
          <w:rFonts w:eastAsia="Calibri"/>
          <w:lang w:val="en-US" w:eastAsia="en-US"/>
        </w:rPr>
      </w:pPr>
      <w:proofErr w:type="gramStart"/>
      <w:r w:rsidRPr="00556791">
        <w:rPr>
          <w:rFonts w:eastAsia="Calibri"/>
          <w:lang w:val="en-US" w:eastAsia="en-US"/>
        </w:rPr>
        <w:t xml:space="preserve">Basso </w:t>
      </w:r>
      <w:proofErr w:type="spellStart"/>
      <w:r w:rsidRPr="00556791">
        <w:rPr>
          <w:rFonts w:eastAsia="Calibri"/>
          <w:lang w:val="en-US" w:eastAsia="en-US"/>
        </w:rPr>
        <w:t>Musso</w:t>
      </w:r>
      <w:proofErr w:type="spellEnd"/>
      <w:r w:rsidR="0018518D" w:rsidRPr="00556791">
        <w:rPr>
          <w:rFonts w:eastAsia="Calibri"/>
          <w:lang w:val="en-US" w:eastAsia="en-US"/>
        </w:rPr>
        <w:t>,</w:t>
      </w:r>
      <w:r w:rsidRPr="00556791">
        <w:rPr>
          <w:rFonts w:eastAsia="Calibri"/>
          <w:lang w:val="en-US" w:eastAsia="en-US"/>
        </w:rPr>
        <w:t xml:space="preserve"> L</w:t>
      </w:r>
      <w:r w:rsidR="0018518D" w:rsidRPr="00556791">
        <w:rPr>
          <w:rFonts w:eastAsia="Calibri"/>
          <w:lang w:val="en-US" w:eastAsia="en-US"/>
        </w:rPr>
        <w:t xml:space="preserve">. </w:t>
      </w:r>
      <w:r w:rsidRPr="00556791">
        <w:rPr>
          <w:rFonts w:eastAsia="Calibri"/>
          <w:lang w:val="en-US" w:eastAsia="en-US"/>
        </w:rPr>
        <w:t xml:space="preserve">et al. </w:t>
      </w:r>
      <w:r w:rsidR="0018518D" w:rsidRPr="00556791">
        <w:rPr>
          <w:rFonts w:eastAsia="Calibri"/>
          <w:lang w:val="en-US" w:eastAsia="en-US"/>
        </w:rPr>
        <w:t>(2008).</w:t>
      </w:r>
      <w:proofErr w:type="gramEnd"/>
      <w:r w:rsidR="0018518D" w:rsidRPr="00556791">
        <w:rPr>
          <w:rFonts w:eastAsia="Calibri"/>
          <w:lang w:val="en-US" w:eastAsia="en-US"/>
        </w:rPr>
        <w:t xml:space="preserve"> </w:t>
      </w:r>
      <w:r w:rsidR="000F09E2" w:rsidRPr="00556791">
        <w:rPr>
          <w:rFonts w:eastAsia="Calibri"/>
          <w:lang w:val="en-US" w:eastAsia="en-US"/>
        </w:rPr>
        <w:t xml:space="preserve">Factors derived from the </w:t>
      </w:r>
      <w:proofErr w:type="spellStart"/>
      <w:r w:rsidR="000F09E2" w:rsidRPr="00556791">
        <w:rPr>
          <w:rFonts w:eastAsia="Calibri"/>
          <w:lang w:val="en-US" w:eastAsia="en-US"/>
        </w:rPr>
        <w:t>intrahospitable</w:t>
      </w:r>
      <w:proofErr w:type="spellEnd"/>
      <w:r w:rsidR="000F09E2" w:rsidRPr="00556791">
        <w:rPr>
          <w:rFonts w:eastAsia="Calibri"/>
          <w:lang w:val="en-US" w:eastAsia="en-US"/>
        </w:rPr>
        <w:t xml:space="preserve"> laboratories that cause stress in infirmary students.</w:t>
      </w:r>
      <w:r w:rsidRPr="00556791">
        <w:rPr>
          <w:rFonts w:eastAsia="Calibri"/>
          <w:lang w:val="en-US" w:eastAsia="en-US"/>
        </w:rPr>
        <w:t xml:space="preserve"> </w:t>
      </w:r>
      <w:proofErr w:type="spellStart"/>
      <w:r w:rsidRPr="00556791">
        <w:rPr>
          <w:rFonts w:eastAsia="Calibri"/>
          <w:i/>
          <w:lang w:val="en-US" w:eastAsia="en-US"/>
        </w:rPr>
        <w:t>Rev</w:t>
      </w:r>
      <w:r w:rsidR="007727C1" w:rsidRPr="00556791">
        <w:rPr>
          <w:rFonts w:eastAsia="Calibri"/>
          <w:i/>
          <w:lang w:val="en-US" w:eastAsia="en-US"/>
        </w:rPr>
        <w:t>ista</w:t>
      </w:r>
      <w:proofErr w:type="spellEnd"/>
      <w:r w:rsidR="007727C1" w:rsidRPr="00556791">
        <w:rPr>
          <w:rFonts w:eastAsia="Calibri"/>
          <w:i/>
          <w:lang w:val="en-US" w:eastAsia="en-US"/>
        </w:rPr>
        <w:t xml:space="preserve"> Latino-A</w:t>
      </w:r>
      <w:r w:rsidR="0018518D" w:rsidRPr="00556791">
        <w:rPr>
          <w:rFonts w:eastAsia="Calibri"/>
          <w:i/>
          <w:lang w:val="en-US" w:eastAsia="en-US"/>
        </w:rPr>
        <w:t xml:space="preserve">mericana de </w:t>
      </w:r>
      <w:proofErr w:type="spellStart"/>
      <w:r w:rsidR="0018518D" w:rsidRPr="00556791">
        <w:rPr>
          <w:rFonts w:eastAsia="Calibri"/>
          <w:i/>
          <w:lang w:val="en-US" w:eastAsia="en-US"/>
        </w:rPr>
        <w:t>Enfermagem</w:t>
      </w:r>
      <w:proofErr w:type="spellEnd"/>
      <w:r w:rsidR="007727C1" w:rsidRPr="00556791">
        <w:rPr>
          <w:rFonts w:eastAsia="Calibri"/>
          <w:lang w:val="en-US" w:eastAsia="en-US"/>
        </w:rPr>
        <w:t xml:space="preserve">, 16(5), </w:t>
      </w:r>
      <w:r w:rsidRPr="00556791">
        <w:rPr>
          <w:rFonts w:eastAsia="Calibri"/>
          <w:lang w:val="en-US" w:eastAsia="en-US"/>
        </w:rPr>
        <w:t>805-</w:t>
      </w:r>
      <w:r w:rsidR="007727C1" w:rsidRPr="00556791">
        <w:rPr>
          <w:rFonts w:eastAsia="Calibri"/>
          <w:lang w:val="en-US" w:eastAsia="en-US"/>
        </w:rPr>
        <w:t>8</w:t>
      </w:r>
      <w:r w:rsidRPr="00556791">
        <w:rPr>
          <w:rFonts w:eastAsia="Calibri"/>
          <w:lang w:val="en-US" w:eastAsia="en-US"/>
        </w:rPr>
        <w:t xml:space="preserve">11. </w:t>
      </w:r>
    </w:p>
    <w:p w14:paraId="16C25E6D" w14:textId="77777777" w:rsidR="00C57E01" w:rsidRPr="006657CE" w:rsidRDefault="00C57E01" w:rsidP="00C57E01">
      <w:pPr>
        <w:spacing w:line="480" w:lineRule="auto"/>
        <w:jc w:val="both"/>
      </w:pPr>
      <w:r w:rsidRPr="00556791">
        <w:rPr>
          <w:lang w:val="en-US"/>
        </w:rPr>
        <w:t>Borges</w:t>
      </w:r>
      <w:r w:rsidR="007727C1" w:rsidRPr="00556791">
        <w:rPr>
          <w:lang w:val="en-US"/>
        </w:rPr>
        <w:t>,</w:t>
      </w:r>
      <w:r w:rsidRPr="00556791">
        <w:rPr>
          <w:lang w:val="en-US"/>
        </w:rPr>
        <w:t xml:space="preserve"> A</w:t>
      </w:r>
      <w:r w:rsidR="007727C1" w:rsidRPr="00556791">
        <w:rPr>
          <w:lang w:val="en-US"/>
        </w:rPr>
        <w:t>.</w:t>
      </w:r>
      <w:r w:rsidRPr="00556791">
        <w:rPr>
          <w:lang w:val="en-US"/>
        </w:rPr>
        <w:t>M</w:t>
      </w:r>
      <w:r w:rsidR="007727C1" w:rsidRPr="00556791">
        <w:rPr>
          <w:lang w:val="en-US"/>
        </w:rPr>
        <w:t>.</w:t>
      </w:r>
      <w:r w:rsidRPr="00556791">
        <w:rPr>
          <w:lang w:val="en-US"/>
        </w:rPr>
        <w:t>B</w:t>
      </w:r>
      <w:r w:rsidR="007727C1" w:rsidRPr="00556791">
        <w:rPr>
          <w:lang w:val="en-US"/>
        </w:rPr>
        <w:t>. &amp;</w:t>
      </w:r>
      <w:r w:rsidRPr="00556791">
        <w:rPr>
          <w:lang w:val="en-US"/>
        </w:rPr>
        <w:t xml:space="preserve"> </w:t>
      </w:r>
      <w:proofErr w:type="spellStart"/>
      <w:r w:rsidRPr="00556791">
        <w:rPr>
          <w:lang w:val="en-US"/>
        </w:rPr>
        <w:t>Carlotto</w:t>
      </w:r>
      <w:proofErr w:type="spellEnd"/>
      <w:r w:rsidR="007727C1" w:rsidRPr="00556791">
        <w:rPr>
          <w:lang w:val="en-US"/>
        </w:rPr>
        <w:t>,</w:t>
      </w:r>
      <w:r w:rsidRPr="00556791">
        <w:rPr>
          <w:lang w:val="en-US"/>
        </w:rPr>
        <w:t xml:space="preserve"> M</w:t>
      </w:r>
      <w:r w:rsidR="007727C1" w:rsidRPr="00556791">
        <w:rPr>
          <w:lang w:val="en-US"/>
        </w:rPr>
        <w:t>.</w:t>
      </w:r>
      <w:r w:rsidRPr="00556791">
        <w:rPr>
          <w:lang w:val="en-US"/>
        </w:rPr>
        <w:t>S.</w:t>
      </w:r>
      <w:r w:rsidR="007727C1" w:rsidRPr="00556791">
        <w:rPr>
          <w:lang w:val="en-US"/>
        </w:rPr>
        <w:t xml:space="preserve"> (2004).</w:t>
      </w:r>
      <w:r w:rsidRPr="00556791">
        <w:rPr>
          <w:lang w:val="en-US"/>
        </w:rPr>
        <w:t xml:space="preserve"> </w:t>
      </w:r>
      <w:r w:rsidR="000F09E2" w:rsidRPr="00556791">
        <w:rPr>
          <w:lang w:val="en-US"/>
        </w:rPr>
        <w:t>Burnout syndrome and stress factors in students of a nursing technical course.</w:t>
      </w:r>
      <w:r w:rsidRPr="00556791">
        <w:rPr>
          <w:lang w:val="en-US"/>
        </w:rPr>
        <w:t xml:space="preserve"> </w:t>
      </w:r>
      <w:proofErr w:type="spellStart"/>
      <w:r w:rsidRPr="006657CE">
        <w:rPr>
          <w:i/>
        </w:rPr>
        <w:t>Aletheia</w:t>
      </w:r>
      <w:proofErr w:type="spellEnd"/>
      <w:r w:rsidRPr="006657CE">
        <w:t>.</w:t>
      </w:r>
      <w:r w:rsidR="007727C1" w:rsidRPr="006657CE">
        <w:t xml:space="preserve"> </w:t>
      </w:r>
      <w:r w:rsidRPr="006657CE">
        <w:t>(19)</w:t>
      </w:r>
      <w:r w:rsidR="007727C1" w:rsidRPr="006657CE">
        <w:t>,</w:t>
      </w:r>
      <w:r w:rsidRPr="006657CE">
        <w:t xml:space="preserve"> 45-56. </w:t>
      </w:r>
    </w:p>
    <w:p w14:paraId="39AD4434" w14:textId="77777777" w:rsidR="00C57E01" w:rsidRPr="00556791" w:rsidRDefault="00C57E01" w:rsidP="00C57E01">
      <w:pPr>
        <w:autoSpaceDE w:val="0"/>
        <w:autoSpaceDN w:val="0"/>
        <w:adjustRightInd w:val="0"/>
        <w:spacing w:line="480" w:lineRule="auto"/>
        <w:jc w:val="both"/>
        <w:rPr>
          <w:rFonts w:eastAsia="Calibri"/>
          <w:lang w:eastAsia="en-US"/>
        </w:rPr>
      </w:pPr>
      <w:r w:rsidRPr="00556791">
        <w:rPr>
          <w:rFonts w:eastAsia="Calibri"/>
          <w:lang w:eastAsia="en-US"/>
        </w:rPr>
        <w:t>Campos</w:t>
      </w:r>
      <w:r w:rsidR="007727C1" w:rsidRPr="00556791">
        <w:rPr>
          <w:rFonts w:eastAsia="Calibri"/>
          <w:lang w:eastAsia="en-US"/>
        </w:rPr>
        <w:t>,</w:t>
      </w:r>
      <w:r w:rsidRPr="00556791">
        <w:rPr>
          <w:rFonts w:eastAsia="Calibri"/>
          <w:lang w:eastAsia="en-US"/>
        </w:rPr>
        <w:t xml:space="preserve"> J</w:t>
      </w:r>
      <w:r w:rsidR="007727C1" w:rsidRPr="00556791">
        <w:rPr>
          <w:rFonts w:eastAsia="Calibri"/>
          <w:lang w:eastAsia="en-US"/>
        </w:rPr>
        <w:t>.</w:t>
      </w:r>
      <w:r w:rsidRPr="00556791">
        <w:rPr>
          <w:rFonts w:eastAsia="Calibri"/>
          <w:lang w:eastAsia="en-US"/>
        </w:rPr>
        <w:t>A</w:t>
      </w:r>
      <w:r w:rsidR="007727C1" w:rsidRPr="00556791">
        <w:rPr>
          <w:rFonts w:eastAsia="Calibri"/>
          <w:lang w:eastAsia="en-US"/>
        </w:rPr>
        <w:t>.</w:t>
      </w:r>
      <w:r w:rsidRPr="00556791">
        <w:rPr>
          <w:rFonts w:eastAsia="Calibri"/>
          <w:lang w:eastAsia="en-US"/>
        </w:rPr>
        <w:t>, Jordani</w:t>
      </w:r>
      <w:r w:rsidR="007727C1" w:rsidRPr="00556791">
        <w:rPr>
          <w:rFonts w:eastAsia="Calibri"/>
          <w:lang w:eastAsia="en-US"/>
        </w:rPr>
        <w:t>,</w:t>
      </w:r>
      <w:r w:rsidRPr="00556791">
        <w:rPr>
          <w:rFonts w:eastAsia="Calibri"/>
          <w:lang w:eastAsia="en-US"/>
        </w:rPr>
        <w:t xml:space="preserve"> P</w:t>
      </w:r>
      <w:r w:rsidR="007727C1" w:rsidRPr="00556791">
        <w:rPr>
          <w:rFonts w:eastAsia="Calibri"/>
          <w:lang w:eastAsia="en-US"/>
        </w:rPr>
        <w:t>.</w:t>
      </w:r>
      <w:r w:rsidRPr="00556791">
        <w:rPr>
          <w:rFonts w:eastAsia="Calibri"/>
          <w:lang w:eastAsia="en-US"/>
        </w:rPr>
        <w:t>C</w:t>
      </w:r>
      <w:r w:rsidR="007727C1" w:rsidRPr="00556791">
        <w:rPr>
          <w:rFonts w:eastAsia="Calibri"/>
          <w:lang w:eastAsia="en-US"/>
        </w:rPr>
        <w:t>.</w:t>
      </w:r>
      <w:r w:rsidRPr="00556791">
        <w:rPr>
          <w:rFonts w:eastAsia="Calibri"/>
          <w:lang w:eastAsia="en-US"/>
        </w:rPr>
        <w:t xml:space="preserve">, </w:t>
      </w:r>
      <w:proofErr w:type="spellStart"/>
      <w:r w:rsidRPr="00556791">
        <w:rPr>
          <w:rFonts w:eastAsia="Calibri"/>
          <w:lang w:eastAsia="en-US"/>
        </w:rPr>
        <w:t>Zucoloto</w:t>
      </w:r>
      <w:proofErr w:type="spellEnd"/>
      <w:r w:rsidR="007727C1" w:rsidRPr="00556791">
        <w:rPr>
          <w:rFonts w:eastAsia="Calibri"/>
          <w:lang w:eastAsia="en-US"/>
        </w:rPr>
        <w:t>,</w:t>
      </w:r>
      <w:r w:rsidRPr="00556791">
        <w:rPr>
          <w:rFonts w:eastAsia="Calibri"/>
          <w:lang w:eastAsia="en-US"/>
        </w:rPr>
        <w:t xml:space="preserve"> M</w:t>
      </w:r>
      <w:r w:rsidR="007727C1" w:rsidRPr="00556791">
        <w:rPr>
          <w:rFonts w:eastAsia="Calibri"/>
          <w:lang w:eastAsia="en-US"/>
        </w:rPr>
        <w:t>.</w:t>
      </w:r>
      <w:r w:rsidRPr="00556791">
        <w:rPr>
          <w:rFonts w:eastAsia="Calibri"/>
          <w:lang w:eastAsia="en-US"/>
        </w:rPr>
        <w:t>L</w:t>
      </w:r>
      <w:r w:rsidR="007727C1" w:rsidRPr="00556791">
        <w:rPr>
          <w:rFonts w:eastAsia="Calibri"/>
          <w:lang w:eastAsia="en-US"/>
        </w:rPr>
        <w:t>.</w:t>
      </w:r>
      <w:r w:rsidRPr="00556791">
        <w:rPr>
          <w:rFonts w:eastAsia="Calibri"/>
          <w:lang w:eastAsia="en-US"/>
        </w:rPr>
        <w:t xml:space="preserve">, </w:t>
      </w:r>
      <w:proofErr w:type="spellStart"/>
      <w:r w:rsidRPr="00556791">
        <w:rPr>
          <w:rFonts w:eastAsia="Calibri"/>
          <w:lang w:eastAsia="en-US"/>
        </w:rPr>
        <w:t>Bonafé</w:t>
      </w:r>
      <w:proofErr w:type="spellEnd"/>
      <w:r w:rsidR="007727C1" w:rsidRPr="00556791">
        <w:rPr>
          <w:rFonts w:eastAsia="Calibri"/>
          <w:lang w:eastAsia="en-US"/>
        </w:rPr>
        <w:t>,</w:t>
      </w:r>
      <w:r w:rsidRPr="00556791">
        <w:rPr>
          <w:rFonts w:eastAsia="Calibri"/>
          <w:lang w:eastAsia="en-US"/>
        </w:rPr>
        <w:t xml:space="preserve"> F</w:t>
      </w:r>
      <w:r w:rsidR="007727C1" w:rsidRPr="00556791">
        <w:rPr>
          <w:rFonts w:eastAsia="Calibri"/>
          <w:lang w:eastAsia="en-US"/>
        </w:rPr>
        <w:t>.</w:t>
      </w:r>
      <w:r w:rsidRPr="00556791">
        <w:rPr>
          <w:rFonts w:eastAsia="Calibri"/>
          <w:lang w:eastAsia="en-US"/>
        </w:rPr>
        <w:t>S</w:t>
      </w:r>
      <w:r w:rsidR="007727C1" w:rsidRPr="00556791">
        <w:rPr>
          <w:rFonts w:eastAsia="Calibri"/>
          <w:lang w:eastAsia="en-US"/>
        </w:rPr>
        <w:t>.</w:t>
      </w:r>
      <w:r w:rsidRPr="00556791">
        <w:rPr>
          <w:rFonts w:eastAsia="Calibri"/>
          <w:lang w:eastAsia="en-US"/>
        </w:rPr>
        <w:t xml:space="preserve">, </w:t>
      </w:r>
      <w:r w:rsidR="007727C1" w:rsidRPr="00556791">
        <w:t xml:space="preserve">&amp; </w:t>
      </w:r>
      <w:proofErr w:type="spellStart"/>
      <w:r w:rsidRPr="00556791">
        <w:rPr>
          <w:rFonts w:eastAsia="Calibri"/>
          <w:lang w:eastAsia="en-US"/>
        </w:rPr>
        <w:t>Maroco</w:t>
      </w:r>
      <w:proofErr w:type="spellEnd"/>
      <w:r w:rsidR="007727C1" w:rsidRPr="00556791">
        <w:rPr>
          <w:rFonts w:eastAsia="Calibri"/>
          <w:lang w:eastAsia="en-US"/>
        </w:rPr>
        <w:t>,</w:t>
      </w:r>
      <w:r w:rsidRPr="00556791">
        <w:rPr>
          <w:rFonts w:eastAsia="Calibri"/>
          <w:lang w:eastAsia="en-US"/>
        </w:rPr>
        <w:t xml:space="preserve"> J. </w:t>
      </w:r>
      <w:r w:rsidR="007727C1" w:rsidRPr="00556791">
        <w:rPr>
          <w:rFonts w:eastAsia="Calibri"/>
          <w:lang w:eastAsia="en-US"/>
        </w:rPr>
        <w:t xml:space="preserve">(2012). </w:t>
      </w:r>
      <w:r w:rsidRPr="00556791">
        <w:rPr>
          <w:rFonts w:eastAsia="Calibri"/>
          <w:lang w:eastAsia="en-US"/>
        </w:rPr>
        <w:t xml:space="preserve">Burnout </w:t>
      </w:r>
      <w:proofErr w:type="spellStart"/>
      <w:r w:rsidRPr="00556791">
        <w:rPr>
          <w:rFonts w:eastAsia="Calibri"/>
          <w:lang w:eastAsia="en-US"/>
        </w:rPr>
        <w:t>syndrome</w:t>
      </w:r>
      <w:proofErr w:type="spellEnd"/>
      <w:r w:rsidRPr="00556791">
        <w:rPr>
          <w:rFonts w:eastAsia="Calibri"/>
          <w:lang w:eastAsia="en-US"/>
        </w:rPr>
        <w:t xml:space="preserve"> </w:t>
      </w:r>
      <w:proofErr w:type="spellStart"/>
      <w:r w:rsidRPr="00556791">
        <w:rPr>
          <w:rFonts w:eastAsia="Calibri"/>
          <w:lang w:eastAsia="en-US"/>
        </w:rPr>
        <w:t>among</w:t>
      </w:r>
      <w:proofErr w:type="spellEnd"/>
      <w:r w:rsidRPr="00556791">
        <w:rPr>
          <w:rFonts w:eastAsia="Calibri"/>
          <w:lang w:eastAsia="en-US"/>
        </w:rPr>
        <w:t xml:space="preserve"> dental </w:t>
      </w:r>
      <w:proofErr w:type="spellStart"/>
      <w:r w:rsidRPr="00556791">
        <w:rPr>
          <w:rFonts w:eastAsia="Calibri"/>
          <w:lang w:eastAsia="en-US"/>
        </w:rPr>
        <w:t>students</w:t>
      </w:r>
      <w:proofErr w:type="spellEnd"/>
      <w:r w:rsidRPr="00556791">
        <w:rPr>
          <w:rFonts w:eastAsia="Calibri"/>
          <w:lang w:eastAsia="en-US"/>
        </w:rPr>
        <w:t xml:space="preserve">. </w:t>
      </w:r>
      <w:r w:rsidRPr="00556791">
        <w:rPr>
          <w:rFonts w:eastAsia="Calibri"/>
          <w:i/>
          <w:lang w:eastAsia="en-US"/>
        </w:rPr>
        <w:t>Rev</w:t>
      </w:r>
      <w:r w:rsidR="007727C1" w:rsidRPr="00556791">
        <w:rPr>
          <w:rFonts w:eastAsia="Calibri"/>
          <w:i/>
          <w:lang w:eastAsia="en-US"/>
        </w:rPr>
        <w:t>ista</w:t>
      </w:r>
      <w:r w:rsidRPr="00556791">
        <w:rPr>
          <w:rFonts w:eastAsia="Calibri"/>
          <w:i/>
          <w:lang w:eastAsia="en-US"/>
        </w:rPr>
        <w:t xml:space="preserve"> Bras</w:t>
      </w:r>
      <w:r w:rsidR="007727C1" w:rsidRPr="00556791">
        <w:rPr>
          <w:rFonts w:eastAsia="Calibri"/>
          <w:i/>
          <w:lang w:eastAsia="en-US"/>
        </w:rPr>
        <w:t>ileira de</w:t>
      </w:r>
      <w:r w:rsidRPr="00556791">
        <w:rPr>
          <w:rFonts w:eastAsia="Calibri"/>
          <w:i/>
          <w:lang w:eastAsia="en-US"/>
        </w:rPr>
        <w:t xml:space="preserve"> Epidemiol</w:t>
      </w:r>
      <w:r w:rsidR="007727C1" w:rsidRPr="00556791">
        <w:rPr>
          <w:rFonts w:eastAsia="Calibri"/>
          <w:i/>
          <w:lang w:eastAsia="en-US"/>
        </w:rPr>
        <w:t>ogia</w:t>
      </w:r>
      <w:r w:rsidR="007727C1" w:rsidRPr="00556791">
        <w:rPr>
          <w:rFonts w:eastAsia="Calibri"/>
          <w:lang w:eastAsia="en-US"/>
        </w:rPr>
        <w:t>,</w:t>
      </w:r>
      <w:r w:rsidRPr="00556791">
        <w:rPr>
          <w:rFonts w:eastAsia="Calibri"/>
          <w:lang w:eastAsia="en-US"/>
        </w:rPr>
        <w:t xml:space="preserve"> 15(1)</w:t>
      </w:r>
      <w:r w:rsidR="007727C1" w:rsidRPr="00556791">
        <w:rPr>
          <w:rFonts w:eastAsia="Calibri"/>
          <w:lang w:eastAsia="en-US"/>
        </w:rPr>
        <w:t>,</w:t>
      </w:r>
      <w:r w:rsidRPr="00556791">
        <w:rPr>
          <w:rFonts w:eastAsia="Calibri"/>
          <w:lang w:eastAsia="en-US"/>
        </w:rPr>
        <w:t xml:space="preserve"> 155-</w:t>
      </w:r>
      <w:r w:rsidR="007727C1" w:rsidRPr="00556791">
        <w:rPr>
          <w:rFonts w:eastAsia="Calibri"/>
          <w:lang w:eastAsia="en-US"/>
        </w:rPr>
        <w:t>1</w:t>
      </w:r>
      <w:r w:rsidRPr="00556791">
        <w:rPr>
          <w:rFonts w:eastAsia="Calibri"/>
          <w:lang w:eastAsia="en-US"/>
        </w:rPr>
        <w:t xml:space="preserve">65. </w:t>
      </w:r>
    </w:p>
    <w:p w14:paraId="471E591B" w14:textId="77777777" w:rsidR="00C57E01" w:rsidRPr="00556791" w:rsidRDefault="00C57E01" w:rsidP="00C57E01">
      <w:pPr>
        <w:autoSpaceDE w:val="0"/>
        <w:autoSpaceDN w:val="0"/>
        <w:adjustRightInd w:val="0"/>
        <w:spacing w:line="480" w:lineRule="auto"/>
        <w:jc w:val="both"/>
        <w:rPr>
          <w:rFonts w:eastAsia="Calibri"/>
          <w:lang w:val="en-US" w:eastAsia="en-US"/>
        </w:rPr>
      </w:pPr>
      <w:proofErr w:type="spellStart"/>
      <w:r w:rsidRPr="00556791">
        <w:rPr>
          <w:rFonts w:eastAsia="Calibri"/>
          <w:lang w:eastAsia="en-US"/>
        </w:rPr>
        <w:t>Carlotto</w:t>
      </w:r>
      <w:proofErr w:type="spellEnd"/>
      <w:r w:rsidR="000F09E2" w:rsidRPr="00556791">
        <w:rPr>
          <w:rFonts w:eastAsia="Calibri"/>
          <w:lang w:eastAsia="en-US"/>
        </w:rPr>
        <w:t>,</w:t>
      </w:r>
      <w:r w:rsidRPr="00556791">
        <w:rPr>
          <w:rFonts w:eastAsia="Calibri"/>
          <w:lang w:eastAsia="en-US"/>
        </w:rPr>
        <w:t xml:space="preserve"> M</w:t>
      </w:r>
      <w:r w:rsidR="000F09E2" w:rsidRPr="00556791">
        <w:rPr>
          <w:rFonts w:eastAsia="Calibri"/>
          <w:lang w:eastAsia="en-US"/>
        </w:rPr>
        <w:t>.</w:t>
      </w:r>
      <w:r w:rsidRPr="00556791">
        <w:rPr>
          <w:rFonts w:eastAsia="Calibri"/>
          <w:lang w:eastAsia="en-US"/>
        </w:rPr>
        <w:t>S</w:t>
      </w:r>
      <w:r w:rsidR="000F09E2" w:rsidRPr="00556791">
        <w:rPr>
          <w:rFonts w:eastAsia="Calibri"/>
          <w:lang w:eastAsia="en-US"/>
        </w:rPr>
        <w:t>.</w:t>
      </w:r>
      <w:r w:rsidRPr="00556791">
        <w:rPr>
          <w:rFonts w:eastAsia="Calibri"/>
          <w:lang w:eastAsia="en-US"/>
        </w:rPr>
        <w:t>, Nakamura</w:t>
      </w:r>
      <w:r w:rsidR="000F09E2" w:rsidRPr="00556791">
        <w:rPr>
          <w:rFonts w:eastAsia="Calibri"/>
          <w:lang w:eastAsia="en-US"/>
        </w:rPr>
        <w:t>,</w:t>
      </w:r>
      <w:r w:rsidRPr="00556791">
        <w:rPr>
          <w:rFonts w:eastAsia="Calibri"/>
          <w:lang w:eastAsia="en-US"/>
        </w:rPr>
        <w:t xml:space="preserve"> A</w:t>
      </w:r>
      <w:r w:rsidR="000F09E2" w:rsidRPr="00556791">
        <w:rPr>
          <w:rFonts w:eastAsia="Calibri"/>
          <w:lang w:eastAsia="en-US"/>
        </w:rPr>
        <w:t>.</w:t>
      </w:r>
      <w:r w:rsidRPr="00556791">
        <w:rPr>
          <w:rFonts w:eastAsia="Calibri"/>
          <w:lang w:eastAsia="en-US"/>
        </w:rPr>
        <w:t>P</w:t>
      </w:r>
      <w:r w:rsidR="000F09E2" w:rsidRPr="00556791">
        <w:rPr>
          <w:rFonts w:eastAsia="Calibri"/>
          <w:lang w:eastAsia="en-US"/>
        </w:rPr>
        <w:t xml:space="preserve">. </w:t>
      </w:r>
      <w:r w:rsidR="000F09E2" w:rsidRPr="00556791">
        <w:t>&amp;</w:t>
      </w:r>
      <w:r w:rsidRPr="00556791">
        <w:rPr>
          <w:rFonts w:eastAsia="Calibri"/>
          <w:lang w:eastAsia="en-US"/>
        </w:rPr>
        <w:t xml:space="preserve"> Câmara</w:t>
      </w:r>
      <w:r w:rsidR="000F09E2" w:rsidRPr="00556791">
        <w:rPr>
          <w:rFonts w:eastAsia="Calibri"/>
          <w:lang w:eastAsia="en-US"/>
        </w:rPr>
        <w:t>,</w:t>
      </w:r>
      <w:r w:rsidRPr="00556791">
        <w:rPr>
          <w:rFonts w:eastAsia="Calibri"/>
          <w:lang w:eastAsia="en-US"/>
        </w:rPr>
        <w:t xml:space="preserve"> S</w:t>
      </w:r>
      <w:r w:rsidR="000F09E2" w:rsidRPr="00556791">
        <w:rPr>
          <w:rFonts w:eastAsia="Calibri"/>
          <w:lang w:eastAsia="en-US"/>
        </w:rPr>
        <w:t>.</w:t>
      </w:r>
      <w:r w:rsidRPr="00556791">
        <w:rPr>
          <w:rFonts w:eastAsia="Calibri"/>
          <w:lang w:eastAsia="en-US"/>
        </w:rPr>
        <w:t xml:space="preserve">G. </w:t>
      </w:r>
      <w:r w:rsidR="000F09E2" w:rsidRPr="00556791">
        <w:rPr>
          <w:rFonts w:eastAsia="Calibri"/>
          <w:lang w:eastAsia="en-US"/>
        </w:rPr>
        <w:t xml:space="preserve">(2006). Síndrome de </w:t>
      </w:r>
      <w:proofErr w:type="spellStart"/>
      <w:r w:rsidR="000F09E2" w:rsidRPr="00556791">
        <w:rPr>
          <w:rFonts w:eastAsia="Calibri"/>
          <w:lang w:eastAsia="en-US"/>
        </w:rPr>
        <w:t>burnout</w:t>
      </w:r>
      <w:proofErr w:type="spellEnd"/>
      <w:r w:rsidR="000F09E2" w:rsidRPr="00556791">
        <w:rPr>
          <w:rFonts w:eastAsia="Calibri"/>
          <w:lang w:eastAsia="en-US"/>
        </w:rPr>
        <w:t xml:space="preserve"> em estudantes universitários da área da saúde</w:t>
      </w:r>
      <w:r w:rsidRPr="00556791">
        <w:rPr>
          <w:rFonts w:eastAsia="Calibri"/>
          <w:lang w:eastAsia="en-US"/>
        </w:rPr>
        <w:t xml:space="preserve">. </w:t>
      </w:r>
      <w:proofErr w:type="spellStart"/>
      <w:proofErr w:type="gramStart"/>
      <w:r w:rsidRPr="00556791">
        <w:rPr>
          <w:rFonts w:eastAsia="Calibri"/>
          <w:i/>
          <w:lang w:val="en-US" w:eastAsia="en-US"/>
        </w:rPr>
        <w:t>Psico</w:t>
      </w:r>
      <w:proofErr w:type="spellEnd"/>
      <w:r w:rsidRPr="00556791">
        <w:rPr>
          <w:rFonts w:eastAsia="Calibri"/>
          <w:i/>
          <w:lang w:val="en-US" w:eastAsia="en-US"/>
        </w:rPr>
        <w:t>(</w:t>
      </w:r>
      <w:proofErr w:type="gramEnd"/>
      <w:r w:rsidRPr="00556791">
        <w:rPr>
          <w:rFonts w:eastAsia="Calibri"/>
          <w:i/>
          <w:lang w:val="en-US" w:eastAsia="en-US"/>
        </w:rPr>
        <w:t xml:space="preserve">Porto </w:t>
      </w:r>
      <w:proofErr w:type="spellStart"/>
      <w:r w:rsidRPr="00556791">
        <w:rPr>
          <w:rFonts w:eastAsia="Calibri"/>
          <w:i/>
          <w:lang w:val="en-US" w:eastAsia="en-US"/>
        </w:rPr>
        <w:t>Alegre</w:t>
      </w:r>
      <w:proofErr w:type="spellEnd"/>
      <w:r w:rsidRPr="00556791">
        <w:rPr>
          <w:rFonts w:eastAsia="Calibri"/>
          <w:i/>
          <w:lang w:val="en-US" w:eastAsia="en-US"/>
        </w:rPr>
        <w:t>)</w:t>
      </w:r>
      <w:r w:rsidR="000F09E2" w:rsidRPr="00556791">
        <w:rPr>
          <w:rFonts w:eastAsia="Calibri"/>
          <w:lang w:val="en-US" w:eastAsia="en-US"/>
        </w:rPr>
        <w:t xml:space="preserve">, </w:t>
      </w:r>
      <w:r w:rsidRPr="00556791">
        <w:rPr>
          <w:rFonts w:eastAsia="Calibri"/>
          <w:lang w:val="en-US" w:eastAsia="en-US"/>
        </w:rPr>
        <w:t>37(1)</w:t>
      </w:r>
      <w:r w:rsidR="000F09E2" w:rsidRPr="00556791">
        <w:rPr>
          <w:rFonts w:eastAsia="Calibri"/>
          <w:lang w:val="en-US" w:eastAsia="en-US"/>
        </w:rPr>
        <w:t xml:space="preserve">, </w:t>
      </w:r>
      <w:r w:rsidRPr="00556791">
        <w:rPr>
          <w:rFonts w:eastAsia="Calibri"/>
          <w:lang w:val="en-US" w:eastAsia="en-US"/>
        </w:rPr>
        <w:t xml:space="preserve">57-62. </w:t>
      </w:r>
    </w:p>
    <w:p w14:paraId="724D2EF5" w14:textId="77777777" w:rsidR="00C57E01" w:rsidRPr="00556791" w:rsidRDefault="00C57E01" w:rsidP="00C57E01">
      <w:pPr>
        <w:autoSpaceDE w:val="0"/>
        <w:autoSpaceDN w:val="0"/>
        <w:adjustRightInd w:val="0"/>
        <w:spacing w:line="480" w:lineRule="auto"/>
        <w:jc w:val="both"/>
        <w:rPr>
          <w:rFonts w:eastAsia="Calibri"/>
          <w:lang w:eastAsia="en-US"/>
        </w:rPr>
      </w:pPr>
      <w:proofErr w:type="spellStart"/>
      <w:r w:rsidRPr="006657CE">
        <w:rPr>
          <w:rFonts w:eastAsia="Calibri"/>
          <w:lang w:val="en-US" w:eastAsia="en-US"/>
        </w:rPr>
        <w:t>Carlotto</w:t>
      </w:r>
      <w:proofErr w:type="spellEnd"/>
      <w:r w:rsidR="000F09E2" w:rsidRPr="006657CE">
        <w:rPr>
          <w:rFonts w:eastAsia="Calibri"/>
          <w:lang w:val="en-US" w:eastAsia="en-US"/>
        </w:rPr>
        <w:t>,</w:t>
      </w:r>
      <w:r w:rsidRPr="006657CE">
        <w:rPr>
          <w:rFonts w:eastAsia="Calibri"/>
          <w:lang w:val="en-US" w:eastAsia="en-US"/>
        </w:rPr>
        <w:t xml:space="preserve"> M</w:t>
      </w:r>
      <w:r w:rsidR="000F09E2" w:rsidRPr="006657CE">
        <w:rPr>
          <w:rFonts w:eastAsia="Calibri"/>
          <w:lang w:val="en-US" w:eastAsia="en-US"/>
        </w:rPr>
        <w:t>.</w:t>
      </w:r>
      <w:r w:rsidRPr="006657CE">
        <w:rPr>
          <w:rFonts w:eastAsia="Calibri"/>
          <w:lang w:val="en-US" w:eastAsia="en-US"/>
        </w:rPr>
        <w:t>S</w:t>
      </w:r>
      <w:r w:rsidR="000F09E2" w:rsidRPr="006657CE">
        <w:rPr>
          <w:rFonts w:eastAsia="Calibri"/>
          <w:lang w:val="en-US" w:eastAsia="en-US"/>
        </w:rPr>
        <w:t xml:space="preserve">. </w:t>
      </w:r>
      <w:r w:rsidR="000F09E2" w:rsidRPr="006657CE">
        <w:rPr>
          <w:lang w:val="en-US"/>
        </w:rPr>
        <w:t>&amp;</w:t>
      </w:r>
      <w:r w:rsidRPr="006657CE">
        <w:rPr>
          <w:rFonts w:eastAsia="Calibri"/>
          <w:lang w:val="en-US" w:eastAsia="en-US"/>
        </w:rPr>
        <w:t xml:space="preserve"> </w:t>
      </w:r>
      <w:proofErr w:type="spellStart"/>
      <w:r w:rsidRPr="006657CE">
        <w:rPr>
          <w:rFonts w:eastAsia="Calibri"/>
          <w:lang w:val="en-US" w:eastAsia="en-US"/>
        </w:rPr>
        <w:t>Câmara</w:t>
      </w:r>
      <w:proofErr w:type="spellEnd"/>
      <w:r w:rsidR="000F09E2" w:rsidRPr="006657CE">
        <w:rPr>
          <w:rFonts w:eastAsia="Calibri"/>
          <w:lang w:val="en-US" w:eastAsia="en-US"/>
        </w:rPr>
        <w:t>,</w:t>
      </w:r>
      <w:r w:rsidRPr="006657CE">
        <w:rPr>
          <w:rFonts w:eastAsia="Calibri"/>
          <w:lang w:val="en-US" w:eastAsia="en-US"/>
        </w:rPr>
        <w:t xml:space="preserve"> S</w:t>
      </w:r>
      <w:r w:rsidR="000F09E2" w:rsidRPr="006657CE">
        <w:rPr>
          <w:rFonts w:eastAsia="Calibri"/>
          <w:lang w:val="en-US" w:eastAsia="en-US"/>
        </w:rPr>
        <w:t>.</w:t>
      </w:r>
      <w:r w:rsidRPr="006657CE">
        <w:rPr>
          <w:rFonts w:eastAsia="Calibri"/>
          <w:lang w:val="en-US" w:eastAsia="en-US"/>
        </w:rPr>
        <w:t>G.</w:t>
      </w:r>
      <w:r w:rsidR="000F09E2" w:rsidRPr="006657CE">
        <w:rPr>
          <w:rFonts w:eastAsia="Calibri"/>
          <w:lang w:val="en-US" w:eastAsia="en-US"/>
        </w:rPr>
        <w:t xml:space="preserve"> (2006).</w:t>
      </w:r>
      <w:r w:rsidRPr="006657CE">
        <w:rPr>
          <w:rFonts w:eastAsia="Calibri"/>
          <w:lang w:val="en-US" w:eastAsia="en-US"/>
        </w:rPr>
        <w:t xml:space="preserve"> </w:t>
      </w:r>
      <w:r w:rsidRPr="00556791">
        <w:rPr>
          <w:rFonts w:eastAsia="Calibri"/>
          <w:lang w:val="en-US" w:eastAsia="en-US"/>
        </w:rPr>
        <w:t xml:space="preserve">Psychometric characteristics of the </w:t>
      </w:r>
      <w:proofErr w:type="spellStart"/>
      <w:r w:rsidR="000F09E2" w:rsidRPr="00556791">
        <w:rPr>
          <w:rFonts w:eastAsia="Calibri"/>
          <w:lang w:val="en-US" w:eastAsia="en-US"/>
        </w:rPr>
        <w:t>maslach</w:t>
      </w:r>
      <w:proofErr w:type="spellEnd"/>
      <w:r w:rsidR="000F09E2" w:rsidRPr="00556791">
        <w:rPr>
          <w:rFonts w:eastAsia="Calibri"/>
          <w:lang w:val="en-US" w:eastAsia="en-US"/>
        </w:rPr>
        <w:t xml:space="preserve"> burnout inventory </w:t>
      </w:r>
      <w:r w:rsidRPr="00556791">
        <w:rPr>
          <w:rFonts w:eastAsia="Calibri"/>
          <w:lang w:val="en-US" w:eastAsia="en-US"/>
        </w:rPr>
        <w:t xml:space="preserve">(MBI-SS) in </w:t>
      </w:r>
      <w:proofErr w:type="spellStart"/>
      <w:proofErr w:type="gramStart"/>
      <w:r w:rsidR="000F09E2" w:rsidRPr="00556791">
        <w:rPr>
          <w:rFonts w:eastAsia="Calibri"/>
          <w:lang w:val="en-US" w:eastAsia="en-US"/>
        </w:rPr>
        <w:t>brazilian</w:t>
      </w:r>
      <w:proofErr w:type="spellEnd"/>
      <w:proofErr w:type="gramEnd"/>
      <w:r w:rsidR="000F09E2" w:rsidRPr="00556791">
        <w:rPr>
          <w:rFonts w:eastAsia="Calibri"/>
          <w:lang w:val="en-US" w:eastAsia="en-US"/>
        </w:rPr>
        <w:t xml:space="preserve"> college </w:t>
      </w:r>
      <w:r w:rsidRPr="00556791">
        <w:rPr>
          <w:rFonts w:eastAsia="Calibri"/>
          <w:lang w:val="en-US" w:eastAsia="en-US"/>
        </w:rPr>
        <w:t xml:space="preserve">students. </w:t>
      </w:r>
      <w:proofErr w:type="spellStart"/>
      <w:r w:rsidRPr="00556791">
        <w:rPr>
          <w:rFonts w:eastAsia="Calibri"/>
          <w:i/>
          <w:lang w:eastAsia="en-US"/>
        </w:rPr>
        <w:t>Psico</w:t>
      </w:r>
      <w:proofErr w:type="spellEnd"/>
      <w:r w:rsidRPr="00556791">
        <w:rPr>
          <w:rFonts w:eastAsia="Calibri"/>
          <w:i/>
          <w:lang w:eastAsia="en-US"/>
        </w:rPr>
        <w:t xml:space="preserve"> USF</w:t>
      </w:r>
      <w:r w:rsidR="000F09E2" w:rsidRPr="00556791">
        <w:rPr>
          <w:rFonts w:eastAsia="Calibri"/>
          <w:lang w:eastAsia="en-US"/>
        </w:rPr>
        <w:t xml:space="preserve">, 11(2), </w:t>
      </w:r>
      <w:r w:rsidRPr="00556791">
        <w:rPr>
          <w:rFonts w:eastAsia="Calibri"/>
          <w:lang w:eastAsia="en-US"/>
        </w:rPr>
        <w:t>167-</w:t>
      </w:r>
      <w:r w:rsidR="000F09E2" w:rsidRPr="00556791">
        <w:rPr>
          <w:rFonts w:eastAsia="Calibri"/>
          <w:lang w:eastAsia="en-US"/>
        </w:rPr>
        <w:t>1</w:t>
      </w:r>
      <w:r w:rsidRPr="00556791">
        <w:rPr>
          <w:rFonts w:eastAsia="Calibri"/>
          <w:lang w:eastAsia="en-US"/>
        </w:rPr>
        <w:t>73.</w:t>
      </w:r>
      <w:r w:rsidRPr="00556791">
        <w:t xml:space="preserve"> </w:t>
      </w:r>
    </w:p>
    <w:p w14:paraId="160F5827" w14:textId="77777777" w:rsidR="00C57E01" w:rsidRPr="006657CE" w:rsidRDefault="00C57E01" w:rsidP="00C57E01">
      <w:pPr>
        <w:autoSpaceDE w:val="0"/>
        <w:autoSpaceDN w:val="0"/>
        <w:adjustRightInd w:val="0"/>
        <w:spacing w:line="480" w:lineRule="auto"/>
        <w:jc w:val="both"/>
        <w:rPr>
          <w:rFonts w:eastAsia="Calibri"/>
          <w:lang w:val="en-US" w:eastAsia="en-US"/>
        </w:rPr>
      </w:pPr>
      <w:proofErr w:type="spellStart"/>
      <w:r w:rsidRPr="00556791">
        <w:rPr>
          <w:rFonts w:eastAsia="Calibri"/>
          <w:lang w:eastAsia="en-US"/>
        </w:rPr>
        <w:t>Carlotto</w:t>
      </w:r>
      <w:proofErr w:type="spellEnd"/>
      <w:r w:rsidR="000F09E2" w:rsidRPr="00556791">
        <w:rPr>
          <w:rFonts w:eastAsia="Calibri"/>
          <w:lang w:eastAsia="en-US"/>
        </w:rPr>
        <w:t>,</w:t>
      </w:r>
      <w:r w:rsidRPr="00556791">
        <w:rPr>
          <w:rFonts w:eastAsia="Calibri"/>
          <w:lang w:eastAsia="en-US"/>
        </w:rPr>
        <w:t xml:space="preserve"> M</w:t>
      </w:r>
      <w:r w:rsidR="000F09E2" w:rsidRPr="00556791">
        <w:rPr>
          <w:rFonts w:eastAsia="Calibri"/>
          <w:lang w:eastAsia="en-US"/>
        </w:rPr>
        <w:t>.</w:t>
      </w:r>
      <w:r w:rsidRPr="00556791">
        <w:rPr>
          <w:rFonts w:eastAsia="Calibri"/>
          <w:lang w:eastAsia="en-US"/>
        </w:rPr>
        <w:t>S</w:t>
      </w:r>
      <w:r w:rsidR="000F09E2" w:rsidRPr="00556791">
        <w:rPr>
          <w:rFonts w:eastAsia="Calibri"/>
          <w:lang w:eastAsia="en-US"/>
        </w:rPr>
        <w:t xml:space="preserve">. </w:t>
      </w:r>
      <w:r w:rsidR="000F09E2" w:rsidRPr="00556791">
        <w:t>&amp;</w:t>
      </w:r>
      <w:r w:rsidR="000F09E2" w:rsidRPr="00556791">
        <w:rPr>
          <w:rFonts w:eastAsia="Calibri"/>
          <w:lang w:eastAsia="en-US"/>
        </w:rPr>
        <w:t xml:space="preserve"> </w:t>
      </w:r>
      <w:r w:rsidRPr="00556791">
        <w:rPr>
          <w:rFonts w:eastAsia="Calibri"/>
          <w:lang w:eastAsia="en-US"/>
        </w:rPr>
        <w:t>Câmara</w:t>
      </w:r>
      <w:r w:rsidR="000F09E2" w:rsidRPr="00556791">
        <w:rPr>
          <w:rFonts w:eastAsia="Calibri"/>
          <w:lang w:eastAsia="en-US"/>
        </w:rPr>
        <w:t>,</w:t>
      </w:r>
      <w:r w:rsidRPr="00556791">
        <w:rPr>
          <w:rFonts w:eastAsia="Calibri"/>
          <w:lang w:eastAsia="en-US"/>
        </w:rPr>
        <w:t xml:space="preserve"> S</w:t>
      </w:r>
      <w:r w:rsidR="000F09E2" w:rsidRPr="00556791">
        <w:rPr>
          <w:rFonts w:eastAsia="Calibri"/>
          <w:lang w:eastAsia="en-US"/>
        </w:rPr>
        <w:t>.</w:t>
      </w:r>
      <w:r w:rsidRPr="00556791">
        <w:rPr>
          <w:rFonts w:eastAsia="Calibri"/>
          <w:lang w:eastAsia="en-US"/>
        </w:rPr>
        <w:t xml:space="preserve">G. </w:t>
      </w:r>
      <w:r w:rsidR="000F09E2" w:rsidRPr="00556791">
        <w:rPr>
          <w:rFonts w:eastAsia="Calibri"/>
          <w:lang w:eastAsia="en-US"/>
        </w:rPr>
        <w:t xml:space="preserve">(2008). </w:t>
      </w:r>
      <w:r w:rsidRPr="00556791">
        <w:rPr>
          <w:rFonts w:eastAsia="Calibri"/>
          <w:lang w:eastAsia="en-US"/>
        </w:rPr>
        <w:t xml:space="preserve">Análise da produção científica sobre a </w:t>
      </w:r>
      <w:r w:rsidR="000F09E2" w:rsidRPr="00556791">
        <w:rPr>
          <w:rFonts w:eastAsia="Calibri"/>
          <w:lang w:eastAsia="en-US"/>
        </w:rPr>
        <w:t xml:space="preserve">síndrome de </w:t>
      </w:r>
      <w:proofErr w:type="spellStart"/>
      <w:r w:rsidR="000F09E2" w:rsidRPr="00556791">
        <w:rPr>
          <w:rFonts w:eastAsia="Calibri"/>
          <w:lang w:eastAsia="en-US"/>
        </w:rPr>
        <w:t>b</w:t>
      </w:r>
      <w:r w:rsidRPr="00556791">
        <w:rPr>
          <w:rFonts w:eastAsia="Calibri"/>
          <w:lang w:eastAsia="en-US"/>
        </w:rPr>
        <w:t>urnout</w:t>
      </w:r>
      <w:proofErr w:type="spellEnd"/>
      <w:r w:rsidRPr="00556791">
        <w:rPr>
          <w:rFonts w:eastAsia="Calibri"/>
          <w:lang w:eastAsia="en-US"/>
        </w:rPr>
        <w:t xml:space="preserve"> no Brasil. </w:t>
      </w:r>
      <w:proofErr w:type="spellStart"/>
      <w:proofErr w:type="gramStart"/>
      <w:r w:rsidR="000F09E2" w:rsidRPr="006657CE">
        <w:rPr>
          <w:rFonts w:eastAsia="Calibri"/>
          <w:i/>
          <w:lang w:val="en-US" w:eastAsia="en-US"/>
        </w:rPr>
        <w:t>Psico</w:t>
      </w:r>
      <w:proofErr w:type="spellEnd"/>
      <w:r w:rsidR="000F09E2" w:rsidRPr="006657CE">
        <w:rPr>
          <w:rFonts w:eastAsia="Calibri"/>
          <w:i/>
          <w:lang w:val="en-US" w:eastAsia="en-US"/>
        </w:rPr>
        <w:t>(</w:t>
      </w:r>
      <w:proofErr w:type="gramEnd"/>
      <w:r w:rsidR="000F09E2" w:rsidRPr="006657CE">
        <w:rPr>
          <w:rFonts w:eastAsia="Calibri"/>
          <w:i/>
          <w:lang w:val="en-US" w:eastAsia="en-US"/>
        </w:rPr>
        <w:t xml:space="preserve">Porto </w:t>
      </w:r>
      <w:proofErr w:type="spellStart"/>
      <w:r w:rsidR="000F09E2" w:rsidRPr="006657CE">
        <w:rPr>
          <w:rFonts w:eastAsia="Calibri"/>
          <w:i/>
          <w:lang w:val="en-US" w:eastAsia="en-US"/>
        </w:rPr>
        <w:t>Alegre</w:t>
      </w:r>
      <w:proofErr w:type="spellEnd"/>
      <w:r w:rsidR="000F09E2" w:rsidRPr="006657CE">
        <w:rPr>
          <w:rFonts w:eastAsia="Calibri"/>
          <w:i/>
          <w:lang w:val="en-US" w:eastAsia="en-US"/>
        </w:rPr>
        <w:t>)</w:t>
      </w:r>
      <w:r w:rsidR="000F09E2" w:rsidRPr="006657CE">
        <w:rPr>
          <w:rFonts w:eastAsia="Calibri"/>
          <w:lang w:val="en-US" w:eastAsia="en-US"/>
        </w:rPr>
        <w:t>,</w:t>
      </w:r>
      <w:r w:rsidRPr="006657CE">
        <w:rPr>
          <w:rFonts w:eastAsia="Calibri"/>
          <w:lang w:val="en-US" w:eastAsia="en-US"/>
        </w:rPr>
        <w:t xml:space="preserve"> 39(2)</w:t>
      </w:r>
      <w:r w:rsidR="000F09E2" w:rsidRPr="006657CE">
        <w:rPr>
          <w:rFonts w:eastAsia="Calibri"/>
          <w:lang w:val="en-US" w:eastAsia="en-US"/>
        </w:rPr>
        <w:t>,</w:t>
      </w:r>
      <w:r w:rsidRPr="006657CE">
        <w:rPr>
          <w:rFonts w:eastAsia="Calibri"/>
          <w:lang w:val="en-US" w:eastAsia="en-US"/>
        </w:rPr>
        <w:t>152-</w:t>
      </w:r>
      <w:r w:rsidR="000F09E2" w:rsidRPr="006657CE">
        <w:rPr>
          <w:rFonts w:eastAsia="Calibri"/>
          <w:lang w:val="en-US" w:eastAsia="en-US"/>
        </w:rPr>
        <w:t>1</w:t>
      </w:r>
      <w:r w:rsidRPr="006657CE">
        <w:rPr>
          <w:rFonts w:eastAsia="Calibri"/>
          <w:lang w:val="en-US" w:eastAsia="en-US"/>
        </w:rPr>
        <w:t xml:space="preserve">58. </w:t>
      </w:r>
    </w:p>
    <w:p w14:paraId="65B5A06A" w14:textId="77777777" w:rsidR="00C57E01" w:rsidRPr="00556791" w:rsidRDefault="005A1EE8" w:rsidP="006C419A">
      <w:pPr>
        <w:autoSpaceDE w:val="0"/>
        <w:autoSpaceDN w:val="0"/>
        <w:adjustRightInd w:val="0"/>
        <w:spacing w:line="480" w:lineRule="auto"/>
        <w:jc w:val="both"/>
        <w:rPr>
          <w:rFonts w:eastAsia="Calibri"/>
          <w:lang w:val="en-US" w:eastAsia="en-US"/>
        </w:rPr>
      </w:pPr>
      <w:proofErr w:type="gramStart"/>
      <w:r w:rsidRPr="00556791">
        <w:rPr>
          <w:rFonts w:eastAsia="Calibri"/>
          <w:lang w:val="en-US" w:eastAsia="en-US"/>
        </w:rPr>
        <w:lastRenderedPageBreak/>
        <w:t>C</w:t>
      </w:r>
      <w:r w:rsidR="003127D0" w:rsidRPr="00556791">
        <w:rPr>
          <w:rFonts w:eastAsia="Calibri"/>
          <w:lang w:val="en-US" w:eastAsia="en-US"/>
        </w:rPr>
        <w:t>osta</w:t>
      </w:r>
      <w:r w:rsidR="000F09E2" w:rsidRPr="00556791">
        <w:rPr>
          <w:rFonts w:eastAsia="Calibri"/>
          <w:lang w:val="en-US" w:eastAsia="en-US"/>
        </w:rPr>
        <w:t>,</w:t>
      </w:r>
      <w:r w:rsidRPr="00556791">
        <w:rPr>
          <w:rFonts w:eastAsia="Calibri"/>
          <w:lang w:val="en-US" w:eastAsia="en-US"/>
        </w:rPr>
        <w:t xml:space="preserve"> A</w:t>
      </w:r>
      <w:r w:rsidR="000F09E2" w:rsidRPr="00556791">
        <w:rPr>
          <w:rFonts w:eastAsia="Calibri"/>
          <w:lang w:val="en-US" w:eastAsia="en-US"/>
        </w:rPr>
        <w:t>.</w:t>
      </w:r>
      <w:r w:rsidRPr="00556791">
        <w:rPr>
          <w:rFonts w:eastAsia="Calibri"/>
          <w:lang w:val="en-US" w:eastAsia="en-US"/>
        </w:rPr>
        <w:t>L</w:t>
      </w:r>
      <w:r w:rsidR="000F09E2" w:rsidRPr="00556791">
        <w:rPr>
          <w:rFonts w:eastAsia="Calibri"/>
          <w:lang w:val="en-US" w:eastAsia="en-US"/>
        </w:rPr>
        <w:t>.</w:t>
      </w:r>
      <w:r w:rsidRPr="00556791">
        <w:rPr>
          <w:rFonts w:eastAsia="Calibri"/>
          <w:lang w:val="en-US" w:eastAsia="en-US"/>
        </w:rPr>
        <w:t>S.</w:t>
      </w:r>
      <w:r w:rsidR="000F09E2" w:rsidRPr="00556791">
        <w:rPr>
          <w:rFonts w:eastAsia="Calibri"/>
          <w:lang w:val="en-US" w:eastAsia="en-US"/>
        </w:rPr>
        <w:t xml:space="preserve"> (2007).</w:t>
      </w:r>
      <w:proofErr w:type="gramEnd"/>
      <w:r w:rsidRPr="00556791">
        <w:rPr>
          <w:rFonts w:eastAsia="Calibri"/>
          <w:lang w:val="en-US" w:eastAsia="en-US"/>
        </w:rPr>
        <w:t xml:space="preserve"> </w:t>
      </w:r>
      <w:r w:rsidR="003127D0" w:rsidRPr="00556791">
        <w:rPr>
          <w:rFonts w:eastAsia="Calibri"/>
          <w:lang w:val="en-US" w:eastAsia="en-US"/>
        </w:rPr>
        <w:t xml:space="preserve">Stress in nursing students: construction of determining factors. </w:t>
      </w:r>
      <w:proofErr w:type="spellStart"/>
      <w:r w:rsidR="000F09E2" w:rsidRPr="00556791">
        <w:rPr>
          <w:rFonts w:eastAsia="Calibri"/>
          <w:i/>
          <w:lang w:val="en-US" w:eastAsia="en-US"/>
        </w:rPr>
        <w:t>Revista</w:t>
      </w:r>
      <w:proofErr w:type="spellEnd"/>
      <w:r w:rsidR="000F09E2" w:rsidRPr="00556791">
        <w:rPr>
          <w:rFonts w:eastAsia="Calibri"/>
          <w:i/>
          <w:lang w:val="en-US" w:eastAsia="en-US"/>
        </w:rPr>
        <w:t xml:space="preserve"> </w:t>
      </w:r>
      <w:proofErr w:type="spellStart"/>
      <w:r w:rsidR="000F09E2" w:rsidRPr="00556791">
        <w:rPr>
          <w:rFonts w:eastAsia="Calibri"/>
          <w:i/>
          <w:lang w:val="en-US" w:eastAsia="en-US"/>
        </w:rPr>
        <w:t>Mineira</w:t>
      </w:r>
      <w:proofErr w:type="spellEnd"/>
      <w:r w:rsidR="000F09E2" w:rsidRPr="00556791">
        <w:rPr>
          <w:rFonts w:eastAsia="Calibri"/>
          <w:i/>
          <w:lang w:val="en-US" w:eastAsia="en-US"/>
        </w:rPr>
        <w:t xml:space="preserve"> de </w:t>
      </w:r>
      <w:proofErr w:type="spellStart"/>
      <w:r w:rsidR="000F09E2" w:rsidRPr="00556791">
        <w:rPr>
          <w:rFonts w:eastAsia="Calibri"/>
          <w:i/>
          <w:lang w:val="en-US" w:eastAsia="en-US"/>
        </w:rPr>
        <w:t>Enfermagem</w:t>
      </w:r>
      <w:proofErr w:type="spellEnd"/>
      <w:r w:rsidR="000F09E2" w:rsidRPr="00556791">
        <w:rPr>
          <w:rFonts w:eastAsia="Calibri"/>
          <w:lang w:val="en-US" w:eastAsia="en-US"/>
        </w:rPr>
        <w:t>,</w:t>
      </w:r>
      <w:r w:rsidR="00662D59" w:rsidRPr="00556791">
        <w:rPr>
          <w:rFonts w:eastAsia="Calibri"/>
          <w:lang w:val="en-US" w:eastAsia="en-US"/>
        </w:rPr>
        <w:t xml:space="preserve"> </w:t>
      </w:r>
      <w:r w:rsidR="003127D0" w:rsidRPr="00556791">
        <w:rPr>
          <w:rFonts w:eastAsia="Calibri"/>
          <w:lang w:val="en-US" w:eastAsia="en-US"/>
        </w:rPr>
        <w:t>11(</w:t>
      </w:r>
      <w:r w:rsidRPr="00556791">
        <w:rPr>
          <w:rFonts w:eastAsia="Calibri"/>
          <w:lang w:val="en-US" w:eastAsia="en-US"/>
        </w:rPr>
        <w:t>4</w:t>
      </w:r>
      <w:r w:rsidR="000F09E2" w:rsidRPr="00556791">
        <w:rPr>
          <w:rFonts w:eastAsia="Calibri"/>
          <w:lang w:val="en-US" w:eastAsia="en-US"/>
        </w:rPr>
        <w:t>),</w:t>
      </w:r>
      <w:r w:rsidR="003127D0" w:rsidRPr="00556791">
        <w:rPr>
          <w:rFonts w:eastAsia="Calibri"/>
          <w:lang w:val="en-US" w:eastAsia="en-US"/>
        </w:rPr>
        <w:t xml:space="preserve"> 414-</w:t>
      </w:r>
      <w:r w:rsidR="000F09E2" w:rsidRPr="00556791">
        <w:rPr>
          <w:rFonts w:eastAsia="Calibri"/>
          <w:lang w:val="en-US" w:eastAsia="en-US"/>
        </w:rPr>
        <w:t>41</w:t>
      </w:r>
      <w:r w:rsidR="003127D0" w:rsidRPr="00556791">
        <w:rPr>
          <w:rFonts w:eastAsia="Calibri"/>
          <w:lang w:val="en-US" w:eastAsia="en-US"/>
        </w:rPr>
        <w:t>9.</w:t>
      </w:r>
    </w:p>
    <w:p w14:paraId="03D7F0F5" w14:textId="77777777" w:rsidR="005A1EE8" w:rsidRPr="00556791" w:rsidRDefault="00925EDF" w:rsidP="006C419A">
      <w:pPr>
        <w:autoSpaceDE w:val="0"/>
        <w:autoSpaceDN w:val="0"/>
        <w:adjustRightInd w:val="0"/>
        <w:spacing w:line="480" w:lineRule="auto"/>
        <w:jc w:val="both"/>
        <w:rPr>
          <w:rFonts w:eastAsia="Calibri"/>
          <w:lang w:eastAsia="en-US"/>
        </w:rPr>
      </w:pPr>
      <w:r w:rsidRPr="00556791">
        <w:rPr>
          <w:rFonts w:eastAsia="Calibri"/>
          <w:lang w:val="en-US" w:eastAsia="en-US"/>
        </w:rPr>
        <w:t xml:space="preserve"> </w:t>
      </w:r>
      <w:r w:rsidR="000F09E2" w:rsidRPr="006657CE">
        <w:rPr>
          <w:rFonts w:eastAsia="Calibri"/>
          <w:lang w:eastAsia="en-US"/>
        </w:rPr>
        <w:t xml:space="preserve">Costa, A.L.S. </w:t>
      </w:r>
      <w:r w:rsidR="000F09E2" w:rsidRPr="00556791">
        <w:t xml:space="preserve">&amp; </w:t>
      </w:r>
      <w:proofErr w:type="spellStart"/>
      <w:r w:rsidR="005A1EE8" w:rsidRPr="006657CE">
        <w:rPr>
          <w:rFonts w:eastAsia="Calibri"/>
          <w:lang w:eastAsia="en-US"/>
        </w:rPr>
        <w:t>P</w:t>
      </w:r>
      <w:r w:rsidR="003127D0" w:rsidRPr="006657CE">
        <w:rPr>
          <w:rFonts w:eastAsia="Calibri"/>
          <w:lang w:eastAsia="en-US"/>
        </w:rPr>
        <w:t>olak</w:t>
      </w:r>
      <w:proofErr w:type="spellEnd"/>
      <w:r w:rsidR="000F09E2" w:rsidRPr="006657CE">
        <w:rPr>
          <w:rFonts w:eastAsia="Calibri"/>
          <w:lang w:eastAsia="en-US"/>
        </w:rPr>
        <w:t>,</w:t>
      </w:r>
      <w:r w:rsidR="003127D0" w:rsidRPr="006657CE">
        <w:rPr>
          <w:rFonts w:eastAsia="Calibri"/>
          <w:lang w:eastAsia="en-US"/>
        </w:rPr>
        <w:t xml:space="preserve"> </w:t>
      </w:r>
      <w:r w:rsidR="005A1EE8" w:rsidRPr="006657CE">
        <w:rPr>
          <w:rFonts w:eastAsia="Calibri"/>
          <w:lang w:eastAsia="en-US"/>
        </w:rPr>
        <w:t>C.</w:t>
      </w:r>
      <w:r w:rsidR="000F09E2" w:rsidRPr="006657CE">
        <w:rPr>
          <w:rFonts w:eastAsia="Calibri"/>
          <w:lang w:eastAsia="en-US"/>
        </w:rPr>
        <w:t xml:space="preserve"> (2009). </w:t>
      </w:r>
      <w:proofErr w:type="gramStart"/>
      <w:r w:rsidR="003127D0" w:rsidRPr="00556791">
        <w:rPr>
          <w:rFonts w:eastAsia="Calibri"/>
          <w:lang w:val="en-US" w:eastAsia="en-US"/>
        </w:rPr>
        <w:t>Construction and validation of an instrument for the assessment</w:t>
      </w:r>
      <w:r w:rsidR="000F09E2" w:rsidRPr="00556791">
        <w:rPr>
          <w:rFonts w:eastAsia="Calibri"/>
          <w:lang w:val="en-US" w:eastAsia="en-US"/>
        </w:rPr>
        <w:t xml:space="preserve"> </w:t>
      </w:r>
      <w:r w:rsidR="003127D0" w:rsidRPr="00556791">
        <w:rPr>
          <w:rFonts w:eastAsia="Calibri"/>
          <w:lang w:val="en-US" w:eastAsia="en-US"/>
        </w:rPr>
        <w:t xml:space="preserve">of stress among nursing students </w:t>
      </w:r>
      <w:r w:rsidR="000F09E2" w:rsidRPr="00556791">
        <w:rPr>
          <w:rFonts w:eastAsia="Calibri"/>
          <w:lang w:val="en-US" w:eastAsia="en-US"/>
        </w:rPr>
        <w:t>(AEEE).</w:t>
      </w:r>
      <w:proofErr w:type="gramEnd"/>
      <w:r w:rsidR="000F09E2" w:rsidRPr="00556791">
        <w:rPr>
          <w:rFonts w:eastAsia="Calibri"/>
          <w:lang w:val="en-US" w:eastAsia="en-US"/>
        </w:rPr>
        <w:t xml:space="preserve"> </w:t>
      </w:r>
      <w:r w:rsidR="003127D0" w:rsidRPr="00556791">
        <w:rPr>
          <w:rFonts w:eastAsia="Calibri"/>
          <w:i/>
          <w:lang w:eastAsia="en-US"/>
        </w:rPr>
        <w:t>Rev</w:t>
      </w:r>
      <w:r w:rsidR="000F09E2" w:rsidRPr="00556791">
        <w:rPr>
          <w:rFonts w:eastAsia="Calibri"/>
          <w:i/>
          <w:lang w:eastAsia="en-US"/>
        </w:rPr>
        <w:t>ista da</w:t>
      </w:r>
      <w:r w:rsidR="003127D0" w:rsidRPr="00556791">
        <w:rPr>
          <w:rFonts w:eastAsia="Calibri"/>
          <w:i/>
          <w:lang w:eastAsia="en-US"/>
        </w:rPr>
        <w:t xml:space="preserve"> Esc</w:t>
      </w:r>
      <w:r w:rsidR="000F09E2" w:rsidRPr="00556791">
        <w:rPr>
          <w:rFonts w:eastAsia="Calibri"/>
          <w:i/>
          <w:lang w:eastAsia="en-US"/>
        </w:rPr>
        <w:t>ola de</w:t>
      </w:r>
      <w:r w:rsidR="003127D0" w:rsidRPr="00556791">
        <w:rPr>
          <w:rFonts w:eastAsia="Calibri"/>
          <w:i/>
          <w:lang w:eastAsia="en-US"/>
        </w:rPr>
        <w:t xml:space="preserve"> Enferm</w:t>
      </w:r>
      <w:r w:rsidR="000F09E2" w:rsidRPr="00556791">
        <w:rPr>
          <w:rFonts w:eastAsia="Calibri"/>
          <w:i/>
          <w:lang w:eastAsia="en-US"/>
        </w:rPr>
        <w:t>agem da USP</w:t>
      </w:r>
      <w:r w:rsidR="000F09E2" w:rsidRPr="00556791">
        <w:rPr>
          <w:rFonts w:eastAsia="Calibri"/>
          <w:lang w:eastAsia="en-US"/>
        </w:rPr>
        <w:t xml:space="preserve">, </w:t>
      </w:r>
      <w:r w:rsidR="003127D0" w:rsidRPr="00556791">
        <w:rPr>
          <w:rFonts w:eastAsia="Calibri"/>
          <w:lang w:eastAsia="en-US"/>
        </w:rPr>
        <w:t>43(</w:t>
      </w:r>
      <w:proofErr w:type="spellStart"/>
      <w:r w:rsidR="00662D59" w:rsidRPr="00556791">
        <w:rPr>
          <w:rFonts w:eastAsia="Calibri"/>
          <w:lang w:eastAsia="en-US"/>
        </w:rPr>
        <w:t>Spec</w:t>
      </w:r>
      <w:proofErr w:type="spellEnd"/>
      <w:r w:rsidR="000F09E2" w:rsidRPr="00556791">
        <w:rPr>
          <w:rFonts w:eastAsia="Calibri"/>
          <w:lang w:eastAsia="en-US"/>
        </w:rPr>
        <w:t>),</w:t>
      </w:r>
      <w:r w:rsidR="003127D0" w:rsidRPr="00556791">
        <w:rPr>
          <w:rFonts w:eastAsia="Calibri"/>
          <w:lang w:eastAsia="en-US"/>
        </w:rPr>
        <w:t xml:space="preserve"> 1017-</w:t>
      </w:r>
      <w:r w:rsidR="000F09E2" w:rsidRPr="00556791">
        <w:rPr>
          <w:rFonts w:eastAsia="Calibri"/>
          <w:lang w:eastAsia="en-US"/>
        </w:rPr>
        <w:t>10</w:t>
      </w:r>
      <w:r w:rsidR="003127D0" w:rsidRPr="00556791">
        <w:rPr>
          <w:rFonts w:eastAsia="Calibri"/>
          <w:lang w:eastAsia="en-US"/>
        </w:rPr>
        <w:t>26.</w:t>
      </w:r>
      <w:r w:rsidR="00082F49" w:rsidRPr="00556791">
        <w:rPr>
          <w:rFonts w:eastAsia="Calibri"/>
          <w:lang w:eastAsia="en-US"/>
        </w:rPr>
        <w:t xml:space="preserve"> </w:t>
      </w:r>
    </w:p>
    <w:p w14:paraId="0E439071" w14:textId="77777777" w:rsidR="00C57E01" w:rsidRPr="00556791" w:rsidRDefault="00C57E01" w:rsidP="00C57E01">
      <w:pPr>
        <w:autoSpaceDE w:val="0"/>
        <w:autoSpaceDN w:val="0"/>
        <w:adjustRightInd w:val="0"/>
        <w:spacing w:line="480" w:lineRule="auto"/>
        <w:jc w:val="both"/>
        <w:rPr>
          <w:rFonts w:eastAsia="Calibri"/>
          <w:lang w:val="en-US" w:eastAsia="en-US"/>
        </w:rPr>
      </w:pPr>
      <w:proofErr w:type="spellStart"/>
      <w:r w:rsidRPr="00556791">
        <w:rPr>
          <w:rFonts w:eastAsia="Calibri"/>
          <w:lang w:eastAsia="en-US"/>
        </w:rPr>
        <w:t>Divaris</w:t>
      </w:r>
      <w:proofErr w:type="spellEnd"/>
      <w:r w:rsidR="000F09E2" w:rsidRPr="00556791">
        <w:rPr>
          <w:rFonts w:eastAsia="Calibri"/>
          <w:lang w:eastAsia="en-US"/>
        </w:rPr>
        <w:t>,</w:t>
      </w:r>
      <w:r w:rsidRPr="00556791">
        <w:rPr>
          <w:rFonts w:eastAsia="Calibri"/>
          <w:lang w:eastAsia="en-US"/>
        </w:rPr>
        <w:t xml:space="preserve"> K</w:t>
      </w:r>
      <w:r w:rsidR="000F09E2" w:rsidRPr="00556791">
        <w:rPr>
          <w:rFonts w:eastAsia="Calibri"/>
          <w:lang w:eastAsia="en-US"/>
        </w:rPr>
        <w:t>.</w:t>
      </w:r>
      <w:r w:rsidRPr="00556791">
        <w:rPr>
          <w:rFonts w:eastAsia="Calibri"/>
          <w:lang w:eastAsia="en-US"/>
        </w:rPr>
        <w:t xml:space="preserve">, </w:t>
      </w:r>
      <w:proofErr w:type="spellStart"/>
      <w:r w:rsidRPr="00556791">
        <w:rPr>
          <w:rFonts w:eastAsia="Calibri"/>
          <w:lang w:eastAsia="en-US"/>
        </w:rPr>
        <w:t>Polychronopoulou</w:t>
      </w:r>
      <w:proofErr w:type="spellEnd"/>
      <w:r w:rsidR="000F09E2" w:rsidRPr="00556791">
        <w:rPr>
          <w:rFonts w:eastAsia="Calibri"/>
          <w:lang w:eastAsia="en-US"/>
        </w:rPr>
        <w:t>,</w:t>
      </w:r>
      <w:r w:rsidRPr="00556791">
        <w:rPr>
          <w:rFonts w:eastAsia="Calibri"/>
          <w:lang w:eastAsia="en-US"/>
        </w:rPr>
        <w:t xml:space="preserve"> A</w:t>
      </w:r>
      <w:r w:rsidR="000F09E2" w:rsidRPr="00556791">
        <w:rPr>
          <w:rFonts w:eastAsia="Calibri"/>
          <w:lang w:eastAsia="en-US"/>
        </w:rPr>
        <w:t>.</w:t>
      </w:r>
      <w:r w:rsidRPr="00556791">
        <w:rPr>
          <w:rFonts w:eastAsia="Calibri"/>
          <w:lang w:eastAsia="en-US"/>
        </w:rPr>
        <w:t xml:space="preserve">, </w:t>
      </w:r>
      <w:proofErr w:type="spellStart"/>
      <w:r w:rsidRPr="00556791">
        <w:rPr>
          <w:rFonts w:eastAsia="Calibri"/>
          <w:lang w:eastAsia="en-US"/>
        </w:rPr>
        <w:t>Taoufik</w:t>
      </w:r>
      <w:proofErr w:type="spellEnd"/>
      <w:r w:rsidR="000F09E2" w:rsidRPr="00556791">
        <w:rPr>
          <w:rFonts w:eastAsia="Calibri"/>
          <w:lang w:eastAsia="en-US"/>
        </w:rPr>
        <w:t>,</w:t>
      </w:r>
      <w:r w:rsidRPr="00556791">
        <w:rPr>
          <w:rFonts w:eastAsia="Calibri"/>
          <w:lang w:eastAsia="en-US"/>
        </w:rPr>
        <w:t xml:space="preserve"> K</w:t>
      </w:r>
      <w:r w:rsidR="000F09E2" w:rsidRPr="00556791">
        <w:rPr>
          <w:rFonts w:eastAsia="Calibri"/>
          <w:lang w:eastAsia="en-US"/>
        </w:rPr>
        <w:t>.</w:t>
      </w:r>
      <w:r w:rsidRPr="00556791">
        <w:rPr>
          <w:rFonts w:eastAsia="Calibri"/>
          <w:lang w:eastAsia="en-US"/>
        </w:rPr>
        <w:t xml:space="preserve">, </w:t>
      </w:r>
      <w:proofErr w:type="spellStart"/>
      <w:r w:rsidRPr="00556791">
        <w:rPr>
          <w:rFonts w:eastAsia="Calibri"/>
          <w:lang w:eastAsia="en-US"/>
        </w:rPr>
        <w:t>Katsaros</w:t>
      </w:r>
      <w:proofErr w:type="spellEnd"/>
      <w:r w:rsidR="000F09E2" w:rsidRPr="00556791">
        <w:rPr>
          <w:rFonts w:eastAsia="Calibri"/>
          <w:lang w:eastAsia="en-US"/>
        </w:rPr>
        <w:t>,</w:t>
      </w:r>
      <w:r w:rsidRPr="00556791">
        <w:rPr>
          <w:rFonts w:eastAsia="Calibri"/>
          <w:lang w:eastAsia="en-US"/>
        </w:rPr>
        <w:t xml:space="preserve"> C</w:t>
      </w:r>
      <w:r w:rsidR="000F09E2" w:rsidRPr="00556791">
        <w:rPr>
          <w:rFonts w:eastAsia="Calibri"/>
          <w:lang w:eastAsia="en-US"/>
        </w:rPr>
        <w:t xml:space="preserve">. </w:t>
      </w:r>
      <w:r w:rsidR="000F09E2" w:rsidRPr="00556791">
        <w:t>&amp;</w:t>
      </w:r>
      <w:r w:rsidRPr="00556791">
        <w:rPr>
          <w:rFonts w:eastAsia="Calibri"/>
          <w:lang w:eastAsia="en-US"/>
        </w:rPr>
        <w:t xml:space="preserve"> </w:t>
      </w:r>
      <w:proofErr w:type="spellStart"/>
      <w:r w:rsidRPr="00556791">
        <w:rPr>
          <w:rFonts w:eastAsia="Calibri"/>
          <w:lang w:eastAsia="en-US"/>
        </w:rPr>
        <w:t>Eliades</w:t>
      </w:r>
      <w:proofErr w:type="spellEnd"/>
      <w:r w:rsidR="000F09E2" w:rsidRPr="00556791">
        <w:rPr>
          <w:rFonts w:eastAsia="Calibri"/>
          <w:lang w:eastAsia="en-US"/>
        </w:rPr>
        <w:t>,</w:t>
      </w:r>
      <w:r w:rsidRPr="00556791">
        <w:rPr>
          <w:rFonts w:eastAsia="Calibri"/>
          <w:lang w:eastAsia="en-US"/>
        </w:rPr>
        <w:t xml:space="preserve"> T. </w:t>
      </w:r>
      <w:r w:rsidR="000F09E2" w:rsidRPr="00556791">
        <w:rPr>
          <w:rFonts w:eastAsia="Calibri"/>
          <w:lang w:eastAsia="en-US"/>
        </w:rPr>
        <w:t xml:space="preserve">(2012). </w:t>
      </w:r>
      <w:r w:rsidRPr="00556791">
        <w:rPr>
          <w:rFonts w:eastAsia="Calibri"/>
          <w:lang w:val="en-US" w:eastAsia="en-US"/>
        </w:rPr>
        <w:t xml:space="preserve">Stress and burnout in postgraduate dental education. </w:t>
      </w:r>
      <w:proofErr w:type="gramStart"/>
      <w:r w:rsidR="000F09E2" w:rsidRPr="00556791">
        <w:rPr>
          <w:rFonts w:eastAsia="Calibri"/>
          <w:i/>
          <w:lang w:val="en-US" w:eastAsia="en-US"/>
        </w:rPr>
        <w:t>European Journal Of Dental Education</w:t>
      </w:r>
      <w:r w:rsidR="000F09E2" w:rsidRPr="00556791">
        <w:rPr>
          <w:rFonts w:eastAsia="Calibri"/>
          <w:lang w:val="en-US" w:eastAsia="en-US"/>
        </w:rPr>
        <w:t>,</w:t>
      </w:r>
      <w:r w:rsidRPr="00556791">
        <w:rPr>
          <w:rFonts w:eastAsia="Calibri"/>
          <w:lang w:val="en-US" w:eastAsia="en-US"/>
        </w:rPr>
        <w:t xml:space="preserve"> 16(1)</w:t>
      </w:r>
      <w:r w:rsidR="000F09E2" w:rsidRPr="00556791">
        <w:rPr>
          <w:rFonts w:eastAsia="Calibri"/>
          <w:lang w:val="en-US" w:eastAsia="en-US"/>
        </w:rPr>
        <w:t xml:space="preserve">, </w:t>
      </w:r>
      <w:r w:rsidRPr="00556791">
        <w:rPr>
          <w:rFonts w:eastAsia="Calibri"/>
          <w:lang w:val="en-US" w:eastAsia="en-US"/>
        </w:rPr>
        <w:t>35-42.</w:t>
      </w:r>
      <w:proofErr w:type="gramEnd"/>
      <w:r w:rsidRPr="00556791">
        <w:rPr>
          <w:rFonts w:eastAsia="Calibri"/>
          <w:lang w:val="en-US" w:eastAsia="en-US"/>
        </w:rPr>
        <w:t xml:space="preserve"> </w:t>
      </w:r>
    </w:p>
    <w:p w14:paraId="510903AF" w14:textId="77777777" w:rsidR="00C57E01" w:rsidRPr="00556791" w:rsidRDefault="00C57E01" w:rsidP="00C57E01">
      <w:pPr>
        <w:autoSpaceDE w:val="0"/>
        <w:autoSpaceDN w:val="0"/>
        <w:adjustRightInd w:val="0"/>
        <w:spacing w:line="480" w:lineRule="auto"/>
        <w:jc w:val="both"/>
        <w:rPr>
          <w:rFonts w:eastAsia="Calibri"/>
          <w:lang w:val="en-US" w:eastAsia="en-US"/>
        </w:rPr>
      </w:pPr>
      <w:proofErr w:type="spellStart"/>
      <w:r w:rsidRPr="00556791">
        <w:rPr>
          <w:rFonts w:eastAsia="Calibri"/>
          <w:lang w:val="en-US" w:eastAsia="en-US"/>
        </w:rPr>
        <w:t>Dyrbye</w:t>
      </w:r>
      <w:proofErr w:type="spellEnd"/>
      <w:r w:rsidR="005E438C" w:rsidRPr="00556791">
        <w:rPr>
          <w:rFonts w:eastAsia="Calibri"/>
          <w:lang w:val="en-US" w:eastAsia="en-US"/>
        </w:rPr>
        <w:t>,</w:t>
      </w:r>
      <w:r w:rsidRPr="00556791">
        <w:rPr>
          <w:rFonts w:eastAsia="Calibri"/>
          <w:lang w:val="en-US" w:eastAsia="en-US"/>
        </w:rPr>
        <w:t xml:space="preserve"> L</w:t>
      </w:r>
      <w:r w:rsidR="005E438C" w:rsidRPr="00556791">
        <w:rPr>
          <w:rFonts w:eastAsia="Calibri"/>
          <w:lang w:val="en-US" w:eastAsia="en-US"/>
        </w:rPr>
        <w:t>.</w:t>
      </w:r>
      <w:r w:rsidRPr="00556791">
        <w:rPr>
          <w:rFonts w:eastAsia="Calibri"/>
          <w:lang w:val="en-US" w:eastAsia="en-US"/>
        </w:rPr>
        <w:t>N</w:t>
      </w:r>
      <w:r w:rsidR="005E438C" w:rsidRPr="00556791">
        <w:rPr>
          <w:rFonts w:eastAsia="Calibri"/>
          <w:lang w:val="en-US" w:eastAsia="en-US"/>
        </w:rPr>
        <w:t xml:space="preserve">. </w:t>
      </w:r>
      <w:r w:rsidRPr="00556791">
        <w:rPr>
          <w:rFonts w:eastAsia="Calibri"/>
          <w:lang w:val="en-US" w:eastAsia="en-US"/>
        </w:rPr>
        <w:t>et al.</w:t>
      </w:r>
      <w:r w:rsidR="005E438C" w:rsidRPr="00556791">
        <w:rPr>
          <w:rFonts w:eastAsia="Calibri"/>
          <w:lang w:val="en-US" w:eastAsia="en-US"/>
        </w:rPr>
        <w:t xml:space="preserve"> (2008).</w:t>
      </w:r>
      <w:r w:rsidRPr="00556791">
        <w:rPr>
          <w:rFonts w:eastAsia="Calibri"/>
          <w:lang w:val="en-US" w:eastAsia="en-US"/>
        </w:rPr>
        <w:t xml:space="preserve"> </w:t>
      </w:r>
      <w:proofErr w:type="gramStart"/>
      <w:r w:rsidRPr="00556791">
        <w:rPr>
          <w:rFonts w:eastAsia="Calibri"/>
          <w:lang w:val="en-US" w:eastAsia="en-US"/>
        </w:rPr>
        <w:t>Burnout and suicidal ideation among U.S. medical students.</w:t>
      </w:r>
      <w:proofErr w:type="gramEnd"/>
      <w:r w:rsidRPr="00556791">
        <w:rPr>
          <w:rFonts w:eastAsia="Calibri"/>
          <w:lang w:val="en-US" w:eastAsia="en-US"/>
        </w:rPr>
        <w:t xml:space="preserve"> </w:t>
      </w:r>
      <w:r w:rsidR="005E438C" w:rsidRPr="00556791">
        <w:rPr>
          <w:rFonts w:eastAsia="Calibri"/>
          <w:i/>
          <w:lang w:val="en-US" w:eastAsia="en-US"/>
        </w:rPr>
        <w:t>Annals of Internal Medicine</w:t>
      </w:r>
      <w:r w:rsidR="005E438C" w:rsidRPr="00556791">
        <w:rPr>
          <w:rFonts w:eastAsia="Calibri"/>
          <w:lang w:val="en-US" w:eastAsia="en-US"/>
        </w:rPr>
        <w:t xml:space="preserve">, 149(5), </w:t>
      </w:r>
      <w:r w:rsidRPr="00556791">
        <w:rPr>
          <w:rFonts w:eastAsia="Calibri"/>
          <w:lang w:val="en-US" w:eastAsia="en-US"/>
        </w:rPr>
        <w:t>334-</w:t>
      </w:r>
      <w:r w:rsidR="005E438C" w:rsidRPr="00556791">
        <w:rPr>
          <w:rFonts w:eastAsia="Calibri"/>
          <w:lang w:val="en-US" w:eastAsia="en-US"/>
        </w:rPr>
        <w:t>3</w:t>
      </w:r>
      <w:r w:rsidRPr="00556791">
        <w:rPr>
          <w:rFonts w:eastAsia="Calibri"/>
          <w:lang w:val="en-US" w:eastAsia="en-US"/>
        </w:rPr>
        <w:t xml:space="preserve">41. </w:t>
      </w:r>
    </w:p>
    <w:p w14:paraId="61DF3919" w14:textId="77777777" w:rsidR="00C57E01" w:rsidRPr="00556791" w:rsidRDefault="00C57E01" w:rsidP="00C57E01">
      <w:pPr>
        <w:autoSpaceDE w:val="0"/>
        <w:autoSpaceDN w:val="0"/>
        <w:adjustRightInd w:val="0"/>
        <w:spacing w:line="480" w:lineRule="auto"/>
        <w:jc w:val="both"/>
        <w:rPr>
          <w:rFonts w:eastAsia="Calibri"/>
          <w:lang w:val="en-US" w:eastAsia="en-US"/>
        </w:rPr>
      </w:pPr>
      <w:proofErr w:type="spellStart"/>
      <w:r w:rsidRPr="00556791">
        <w:rPr>
          <w:lang w:val="en-US"/>
        </w:rPr>
        <w:t>Dyrbye</w:t>
      </w:r>
      <w:proofErr w:type="spellEnd"/>
      <w:r w:rsidR="005D27B9" w:rsidRPr="00556791">
        <w:rPr>
          <w:lang w:val="en-US"/>
        </w:rPr>
        <w:t>,</w:t>
      </w:r>
      <w:r w:rsidRPr="00556791">
        <w:rPr>
          <w:lang w:val="en-US"/>
        </w:rPr>
        <w:t xml:space="preserve"> L</w:t>
      </w:r>
      <w:r w:rsidR="005D27B9" w:rsidRPr="00556791">
        <w:rPr>
          <w:lang w:val="en-US"/>
        </w:rPr>
        <w:t>.</w:t>
      </w:r>
      <w:r w:rsidRPr="00556791">
        <w:rPr>
          <w:lang w:val="en-US"/>
        </w:rPr>
        <w:t>N</w:t>
      </w:r>
      <w:r w:rsidR="005D27B9" w:rsidRPr="00556791">
        <w:rPr>
          <w:lang w:val="en-US"/>
        </w:rPr>
        <w:t>.</w:t>
      </w:r>
      <w:r w:rsidRPr="00556791">
        <w:rPr>
          <w:lang w:val="en-US"/>
        </w:rPr>
        <w:t>,</w:t>
      </w:r>
      <w:r w:rsidR="005D27B9" w:rsidRPr="00556791">
        <w:rPr>
          <w:lang w:val="en-US"/>
        </w:rPr>
        <w:t xml:space="preserve"> et al.</w:t>
      </w:r>
      <w:r w:rsidRPr="00556791">
        <w:rPr>
          <w:lang w:val="en-US"/>
        </w:rPr>
        <w:t xml:space="preserve"> </w:t>
      </w:r>
      <w:r w:rsidR="005D27B9" w:rsidRPr="00556791">
        <w:rPr>
          <w:lang w:val="en-US"/>
        </w:rPr>
        <w:t xml:space="preserve">(2010). </w:t>
      </w:r>
      <w:r w:rsidRPr="00556791">
        <w:rPr>
          <w:lang w:val="en-US"/>
        </w:rPr>
        <w:t xml:space="preserve">Burnout and serious thoughts of dropping out of medical school: a multi-institutional study. </w:t>
      </w:r>
      <w:r w:rsidR="005D27B9" w:rsidRPr="00556791">
        <w:rPr>
          <w:i/>
          <w:lang w:val="en-US"/>
        </w:rPr>
        <w:t>Academic Medicine</w:t>
      </w:r>
      <w:r w:rsidR="005D27B9" w:rsidRPr="00556791">
        <w:rPr>
          <w:lang w:val="en-US"/>
        </w:rPr>
        <w:t>,</w:t>
      </w:r>
      <w:r w:rsidRPr="00556791">
        <w:rPr>
          <w:lang w:val="en-US"/>
        </w:rPr>
        <w:t xml:space="preserve"> 85(1)</w:t>
      </w:r>
      <w:r w:rsidR="005D27B9" w:rsidRPr="00556791">
        <w:rPr>
          <w:lang w:val="en-US"/>
        </w:rPr>
        <w:t xml:space="preserve">, </w:t>
      </w:r>
      <w:r w:rsidRPr="00556791">
        <w:rPr>
          <w:lang w:val="en-US"/>
        </w:rPr>
        <w:t xml:space="preserve">94-102. </w:t>
      </w:r>
    </w:p>
    <w:p w14:paraId="4B9E5CD5" w14:textId="77777777" w:rsidR="00C57E01" w:rsidRPr="00556791" w:rsidRDefault="00C57E01" w:rsidP="005D27B9">
      <w:pPr>
        <w:autoSpaceDE w:val="0"/>
        <w:autoSpaceDN w:val="0"/>
        <w:adjustRightInd w:val="0"/>
        <w:spacing w:line="480" w:lineRule="auto"/>
        <w:jc w:val="both"/>
        <w:rPr>
          <w:rFonts w:eastAsia="Calibri"/>
          <w:lang w:val="en-US" w:eastAsia="en-US"/>
        </w:rPr>
      </w:pPr>
      <w:r w:rsidRPr="00556791">
        <w:rPr>
          <w:rFonts w:eastAsia="Calibri"/>
          <w:lang w:val="en-US" w:eastAsia="en-US"/>
        </w:rPr>
        <w:t>Gibbons</w:t>
      </w:r>
      <w:r w:rsidR="005D27B9" w:rsidRPr="00556791">
        <w:rPr>
          <w:rFonts w:eastAsia="Calibri"/>
          <w:lang w:val="en-US" w:eastAsia="en-US"/>
        </w:rPr>
        <w:t>,</w:t>
      </w:r>
      <w:r w:rsidRPr="00556791">
        <w:rPr>
          <w:rFonts w:eastAsia="Calibri"/>
          <w:lang w:val="en-US" w:eastAsia="en-US"/>
        </w:rPr>
        <w:t xml:space="preserve"> C.</w:t>
      </w:r>
      <w:r w:rsidR="005D27B9" w:rsidRPr="00556791">
        <w:rPr>
          <w:rFonts w:eastAsia="Calibri"/>
          <w:lang w:val="en-US" w:eastAsia="en-US"/>
        </w:rPr>
        <w:t xml:space="preserve"> (2010).</w:t>
      </w:r>
      <w:r w:rsidRPr="00556791">
        <w:rPr>
          <w:rFonts w:eastAsia="Calibri"/>
          <w:lang w:val="en-US" w:eastAsia="en-US"/>
        </w:rPr>
        <w:t xml:space="preserve"> Stress, coping and </w:t>
      </w:r>
      <w:proofErr w:type="gramStart"/>
      <w:r w:rsidRPr="00556791">
        <w:rPr>
          <w:rFonts w:eastAsia="Calibri"/>
          <w:lang w:val="en-US" w:eastAsia="en-US"/>
        </w:rPr>
        <w:t>burn-out</w:t>
      </w:r>
      <w:proofErr w:type="gramEnd"/>
      <w:r w:rsidRPr="00556791">
        <w:rPr>
          <w:rFonts w:eastAsia="Calibri"/>
          <w:lang w:val="en-US" w:eastAsia="en-US"/>
        </w:rPr>
        <w:t xml:space="preserve"> in nu</w:t>
      </w:r>
      <w:r w:rsidR="005D27B9" w:rsidRPr="00556791">
        <w:rPr>
          <w:rFonts w:eastAsia="Calibri"/>
          <w:lang w:val="en-US" w:eastAsia="en-US"/>
        </w:rPr>
        <w:t xml:space="preserve">rsing students. </w:t>
      </w:r>
      <w:r w:rsidR="005D27B9" w:rsidRPr="00556791">
        <w:rPr>
          <w:rFonts w:eastAsia="Calibri"/>
          <w:i/>
          <w:lang w:val="en-US" w:eastAsia="en-US"/>
        </w:rPr>
        <w:t>International journal of nursing studies</w:t>
      </w:r>
      <w:r w:rsidR="005D27B9" w:rsidRPr="00556791">
        <w:rPr>
          <w:rFonts w:eastAsia="Calibri"/>
          <w:lang w:val="en-US" w:eastAsia="en-US"/>
        </w:rPr>
        <w:t>,</w:t>
      </w:r>
      <w:r w:rsidRPr="00556791">
        <w:rPr>
          <w:rFonts w:eastAsia="Calibri"/>
          <w:lang w:val="en-US" w:eastAsia="en-US"/>
        </w:rPr>
        <w:t xml:space="preserve"> 47(10)</w:t>
      </w:r>
      <w:r w:rsidR="005D27B9" w:rsidRPr="00556791">
        <w:rPr>
          <w:rFonts w:eastAsia="Calibri"/>
          <w:lang w:val="en-US" w:eastAsia="en-US"/>
        </w:rPr>
        <w:t xml:space="preserve">, </w:t>
      </w:r>
      <w:r w:rsidRPr="00556791">
        <w:rPr>
          <w:rFonts w:eastAsia="Calibri"/>
          <w:lang w:val="en-US" w:eastAsia="en-US"/>
        </w:rPr>
        <w:t>1299-</w:t>
      </w:r>
      <w:r w:rsidR="005D27B9" w:rsidRPr="00556791">
        <w:rPr>
          <w:rFonts w:eastAsia="Calibri"/>
          <w:lang w:val="en-US" w:eastAsia="en-US"/>
        </w:rPr>
        <w:t>1</w:t>
      </w:r>
      <w:r w:rsidRPr="00556791">
        <w:rPr>
          <w:rFonts w:eastAsia="Calibri"/>
          <w:lang w:val="en-US" w:eastAsia="en-US"/>
        </w:rPr>
        <w:t>309.</w:t>
      </w:r>
    </w:p>
    <w:p w14:paraId="155C2EAC" w14:textId="77777777" w:rsidR="00C57E01" w:rsidRPr="00556791" w:rsidRDefault="00C57E01" w:rsidP="00C57E01">
      <w:pPr>
        <w:autoSpaceDE w:val="0"/>
        <w:autoSpaceDN w:val="0"/>
        <w:adjustRightInd w:val="0"/>
        <w:spacing w:line="480" w:lineRule="auto"/>
        <w:jc w:val="both"/>
        <w:rPr>
          <w:rFonts w:eastAsia="Calibri"/>
          <w:lang w:val="en-US" w:eastAsia="en-US"/>
        </w:rPr>
      </w:pPr>
      <w:proofErr w:type="spellStart"/>
      <w:proofErr w:type="gramStart"/>
      <w:r w:rsidRPr="00556791">
        <w:rPr>
          <w:rFonts w:eastAsia="Calibri"/>
          <w:lang w:val="en-US" w:eastAsia="en-US"/>
        </w:rPr>
        <w:t>Juth</w:t>
      </w:r>
      <w:proofErr w:type="spellEnd"/>
      <w:r w:rsidR="005D27B9" w:rsidRPr="00556791">
        <w:rPr>
          <w:rFonts w:eastAsia="Calibri"/>
          <w:lang w:val="en-US" w:eastAsia="en-US"/>
        </w:rPr>
        <w:t>,</w:t>
      </w:r>
      <w:r w:rsidRPr="00556791">
        <w:rPr>
          <w:rFonts w:eastAsia="Calibri"/>
          <w:lang w:val="en-US" w:eastAsia="en-US"/>
        </w:rPr>
        <w:t xml:space="preserve"> V</w:t>
      </w:r>
      <w:r w:rsidR="005D27B9" w:rsidRPr="00556791">
        <w:rPr>
          <w:rFonts w:eastAsia="Calibri"/>
          <w:lang w:val="en-US" w:eastAsia="en-US"/>
        </w:rPr>
        <w:t>.</w:t>
      </w:r>
      <w:r w:rsidRPr="00556791">
        <w:rPr>
          <w:rFonts w:eastAsia="Calibri"/>
          <w:lang w:val="en-US" w:eastAsia="en-US"/>
        </w:rPr>
        <w:t>, Smyth</w:t>
      </w:r>
      <w:r w:rsidR="005D27B9" w:rsidRPr="00556791">
        <w:rPr>
          <w:rFonts w:eastAsia="Calibri"/>
          <w:lang w:val="en-US" w:eastAsia="en-US"/>
        </w:rPr>
        <w:t>,</w:t>
      </w:r>
      <w:r w:rsidRPr="00556791">
        <w:rPr>
          <w:rFonts w:eastAsia="Calibri"/>
          <w:lang w:val="en-US" w:eastAsia="en-US"/>
        </w:rPr>
        <w:t xml:space="preserve"> J</w:t>
      </w:r>
      <w:r w:rsidR="005D27B9" w:rsidRPr="00556791">
        <w:rPr>
          <w:rFonts w:eastAsia="Calibri"/>
          <w:lang w:val="en-US" w:eastAsia="en-US"/>
        </w:rPr>
        <w:t>.</w:t>
      </w:r>
      <w:r w:rsidRPr="00556791">
        <w:rPr>
          <w:rFonts w:eastAsia="Calibri"/>
          <w:lang w:val="en-US" w:eastAsia="en-US"/>
        </w:rPr>
        <w:t>M</w:t>
      </w:r>
      <w:r w:rsidR="005D27B9" w:rsidRPr="00556791">
        <w:rPr>
          <w:rFonts w:eastAsia="Calibri"/>
          <w:lang w:val="en-US" w:eastAsia="en-US"/>
        </w:rPr>
        <w:t xml:space="preserve">. </w:t>
      </w:r>
      <w:r w:rsidR="005D27B9" w:rsidRPr="00556791">
        <w:rPr>
          <w:lang w:val="en-US"/>
        </w:rPr>
        <w:t>&amp;</w:t>
      </w:r>
      <w:r w:rsidR="005D27B9" w:rsidRPr="00556791">
        <w:rPr>
          <w:rFonts w:eastAsia="Calibri"/>
          <w:lang w:val="en-US" w:eastAsia="en-US"/>
        </w:rPr>
        <w:t xml:space="preserve"> </w:t>
      </w:r>
      <w:proofErr w:type="spellStart"/>
      <w:r w:rsidRPr="00556791">
        <w:rPr>
          <w:rFonts w:eastAsia="Calibri"/>
          <w:lang w:val="en-US" w:eastAsia="en-US"/>
        </w:rPr>
        <w:t>Santuzzi</w:t>
      </w:r>
      <w:proofErr w:type="spellEnd"/>
      <w:r w:rsidR="005D27B9" w:rsidRPr="00556791">
        <w:rPr>
          <w:rFonts w:eastAsia="Calibri"/>
          <w:lang w:val="en-US" w:eastAsia="en-US"/>
        </w:rPr>
        <w:t>,</w:t>
      </w:r>
      <w:r w:rsidRPr="00556791">
        <w:rPr>
          <w:rFonts w:eastAsia="Calibri"/>
          <w:lang w:val="en-US" w:eastAsia="en-US"/>
        </w:rPr>
        <w:t xml:space="preserve"> A</w:t>
      </w:r>
      <w:r w:rsidR="005D27B9" w:rsidRPr="00556791">
        <w:rPr>
          <w:rFonts w:eastAsia="Calibri"/>
          <w:lang w:val="en-US" w:eastAsia="en-US"/>
        </w:rPr>
        <w:t>.</w:t>
      </w:r>
      <w:r w:rsidRPr="00556791">
        <w:rPr>
          <w:rFonts w:eastAsia="Calibri"/>
          <w:lang w:val="en-US" w:eastAsia="en-US"/>
        </w:rPr>
        <w:t xml:space="preserve">M. </w:t>
      </w:r>
      <w:r w:rsidR="005D27B9" w:rsidRPr="00556791">
        <w:rPr>
          <w:rFonts w:eastAsia="Calibri"/>
          <w:lang w:val="en-US" w:eastAsia="en-US"/>
        </w:rPr>
        <w:t>(2008).</w:t>
      </w:r>
      <w:proofErr w:type="gramEnd"/>
      <w:r w:rsidR="005D27B9" w:rsidRPr="00556791">
        <w:rPr>
          <w:rFonts w:eastAsia="Calibri"/>
          <w:lang w:val="en-US" w:eastAsia="en-US"/>
        </w:rPr>
        <w:t xml:space="preserve"> </w:t>
      </w:r>
      <w:r w:rsidRPr="00556791">
        <w:rPr>
          <w:rFonts w:eastAsia="Calibri"/>
          <w:lang w:val="en-US" w:eastAsia="en-US"/>
        </w:rPr>
        <w:t>How do you feel</w:t>
      </w:r>
      <w:proofErr w:type="gramStart"/>
      <w:r w:rsidRPr="00556791">
        <w:rPr>
          <w:rFonts w:eastAsia="Calibri"/>
          <w:lang w:val="en-US" w:eastAsia="en-US"/>
        </w:rPr>
        <w:t>?:</w:t>
      </w:r>
      <w:proofErr w:type="gramEnd"/>
      <w:r w:rsidRPr="00556791">
        <w:rPr>
          <w:rFonts w:eastAsia="Calibri"/>
          <w:lang w:val="en-US" w:eastAsia="en-US"/>
        </w:rPr>
        <w:t xml:space="preserve"> Self-esteem predicts affect, stress, social interaction, and symptom severity during daily life in patients with chr</w:t>
      </w:r>
      <w:r w:rsidR="005D27B9" w:rsidRPr="00556791">
        <w:rPr>
          <w:rFonts w:eastAsia="Calibri"/>
          <w:lang w:val="en-US" w:eastAsia="en-US"/>
        </w:rPr>
        <w:t xml:space="preserve">onic illness. </w:t>
      </w:r>
      <w:r w:rsidR="005D27B9" w:rsidRPr="00556791">
        <w:rPr>
          <w:rFonts w:eastAsia="Calibri"/>
          <w:i/>
          <w:lang w:val="en-US" w:eastAsia="en-US"/>
        </w:rPr>
        <w:t>Journal of Health Psychology</w:t>
      </w:r>
      <w:r w:rsidR="005D27B9" w:rsidRPr="00556791">
        <w:rPr>
          <w:rFonts w:eastAsia="Calibri"/>
          <w:lang w:val="en-US" w:eastAsia="en-US"/>
        </w:rPr>
        <w:t xml:space="preserve">, 13(7), </w:t>
      </w:r>
      <w:r w:rsidRPr="00556791">
        <w:rPr>
          <w:rFonts w:eastAsia="Calibri"/>
          <w:lang w:val="en-US" w:eastAsia="en-US"/>
        </w:rPr>
        <w:t>884-</w:t>
      </w:r>
      <w:r w:rsidR="005D27B9" w:rsidRPr="00556791">
        <w:rPr>
          <w:rFonts w:eastAsia="Calibri"/>
          <w:lang w:val="en-US" w:eastAsia="en-US"/>
        </w:rPr>
        <w:t>8</w:t>
      </w:r>
      <w:r w:rsidRPr="00556791">
        <w:rPr>
          <w:rFonts w:eastAsia="Calibri"/>
          <w:lang w:val="en-US" w:eastAsia="en-US"/>
        </w:rPr>
        <w:t>94.</w:t>
      </w:r>
      <w:r w:rsidRPr="00556791">
        <w:rPr>
          <w:lang w:val="en-US"/>
        </w:rPr>
        <w:t xml:space="preserve"> </w:t>
      </w:r>
    </w:p>
    <w:p w14:paraId="0C77476B" w14:textId="77777777" w:rsidR="007C4D86" w:rsidRPr="00556791" w:rsidRDefault="003127D0" w:rsidP="006C419A">
      <w:pPr>
        <w:autoSpaceDE w:val="0"/>
        <w:autoSpaceDN w:val="0"/>
        <w:adjustRightInd w:val="0"/>
        <w:spacing w:line="480" w:lineRule="auto"/>
        <w:jc w:val="both"/>
        <w:rPr>
          <w:rFonts w:eastAsia="Calibri"/>
          <w:lang w:val="en-US" w:eastAsia="en-US"/>
        </w:rPr>
      </w:pPr>
      <w:proofErr w:type="spellStart"/>
      <w:r w:rsidRPr="00556791">
        <w:rPr>
          <w:rFonts w:eastAsia="Calibri"/>
          <w:lang w:val="en-US" w:eastAsia="en-US"/>
        </w:rPr>
        <w:t>Killam</w:t>
      </w:r>
      <w:proofErr w:type="spellEnd"/>
      <w:r w:rsidR="005D27B9" w:rsidRPr="00556791">
        <w:rPr>
          <w:rFonts w:eastAsia="Calibri"/>
          <w:lang w:val="en-US" w:eastAsia="en-US"/>
        </w:rPr>
        <w:t>,</w:t>
      </w:r>
      <w:r w:rsidRPr="00556791">
        <w:rPr>
          <w:rFonts w:eastAsia="Calibri"/>
          <w:lang w:val="en-US" w:eastAsia="en-US"/>
        </w:rPr>
        <w:t xml:space="preserve"> L</w:t>
      </w:r>
      <w:r w:rsidR="005D27B9" w:rsidRPr="00556791">
        <w:rPr>
          <w:rFonts w:eastAsia="Calibri"/>
          <w:lang w:val="en-US" w:eastAsia="en-US"/>
        </w:rPr>
        <w:t>.</w:t>
      </w:r>
      <w:r w:rsidR="00BC14EC" w:rsidRPr="00556791">
        <w:rPr>
          <w:rFonts w:eastAsia="Calibri"/>
          <w:lang w:val="en-US" w:eastAsia="en-US"/>
        </w:rPr>
        <w:t>A</w:t>
      </w:r>
      <w:r w:rsidR="005D27B9" w:rsidRPr="00556791">
        <w:rPr>
          <w:rFonts w:eastAsia="Calibri"/>
          <w:lang w:val="en-US" w:eastAsia="en-US"/>
        </w:rPr>
        <w:t>.</w:t>
      </w:r>
      <w:r w:rsidR="00BC14EC" w:rsidRPr="00556791">
        <w:rPr>
          <w:rFonts w:eastAsia="Calibri"/>
          <w:lang w:val="en-US" w:eastAsia="en-US"/>
        </w:rPr>
        <w:t>,</w:t>
      </w:r>
      <w:r w:rsidR="005A1EE8" w:rsidRPr="00556791">
        <w:rPr>
          <w:rFonts w:eastAsia="Calibri"/>
          <w:lang w:val="en-US" w:eastAsia="en-US"/>
        </w:rPr>
        <w:t xml:space="preserve"> </w:t>
      </w:r>
      <w:proofErr w:type="spellStart"/>
      <w:r w:rsidR="00BC14EC" w:rsidRPr="00556791">
        <w:rPr>
          <w:rFonts w:eastAsia="Calibri"/>
          <w:lang w:val="en-US" w:eastAsia="en-US"/>
        </w:rPr>
        <w:t>Mossey</w:t>
      </w:r>
      <w:proofErr w:type="spellEnd"/>
      <w:r w:rsidR="005D27B9" w:rsidRPr="00556791">
        <w:rPr>
          <w:rFonts w:eastAsia="Calibri"/>
          <w:lang w:val="en-US" w:eastAsia="en-US"/>
        </w:rPr>
        <w:t>,</w:t>
      </w:r>
      <w:r w:rsidR="005A1EE8" w:rsidRPr="00556791">
        <w:rPr>
          <w:rFonts w:eastAsia="Calibri"/>
          <w:lang w:val="en-US" w:eastAsia="en-US"/>
        </w:rPr>
        <w:t xml:space="preserve"> S</w:t>
      </w:r>
      <w:r w:rsidR="005D27B9" w:rsidRPr="00556791">
        <w:rPr>
          <w:rFonts w:eastAsia="Calibri"/>
          <w:lang w:val="en-US" w:eastAsia="en-US"/>
        </w:rPr>
        <w:t>.</w:t>
      </w:r>
      <w:r w:rsidR="00BC14EC" w:rsidRPr="00556791">
        <w:rPr>
          <w:rFonts w:eastAsia="Calibri"/>
          <w:lang w:val="en-US" w:eastAsia="en-US"/>
        </w:rPr>
        <w:t>,</w:t>
      </w:r>
      <w:r w:rsidR="005A1EE8" w:rsidRPr="00556791">
        <w:rPr>
          <w:rFonts w:eastAsia="Calibri"/>
          <w:lang w:val="en-US" w:eastAsia="en-US"/>
        </w:rPr>
        <w:t xml:space="preserve"> </w:t>
      </w:r>
      <w:r w:rsidR="00BC14EC" w:rsidRPr="00556791">
        <w:rPr>
          <w:rFonts w:eastAsia="Calibri"/>
          <w:lang w:val="en-US" w:eastAsia="en-US"/>
        </w:rPr>
        <w:t>Montgomery</w:t>
      </w:r>
      <w:r w:rsidR="005D27B9" w:rsidRPr="00556791">
        <w:rPr>
          <w:rFonts w:eastAsia="Calibri"/>
          <w:lang w:val="en-US" w:eastAsia="en-US"/>
        </w:rPr>
        <w:t>,</w:t>
      </w:r>
      <w:r w:rsidR="005A1EE8" w:rsidRPr="00556791">
        <w:rPr>
          <w:rFonts w:eastAsia="Calibri"/>
          <w:lang w:val="en-US" w:eastAsia="en-US"/>
        </w:rPr>
        <w:t xml:space="preserve"> P</w:t>
      </w:r>
      <w:r w:rsidR="005D27B9" w:rsidRPr="00556791">
        <w:rPr>
          <w:rFonts w:eastAsia="Calibri"/>
          <w:lang w:val="en-US" w:eastAsia="en-US"/>
        </w:rPr>
        <w:t>.</w:t>
      </w:r>
      <w:r w:rsidR="005A1EE8" w:rsidRPr="00556791">
        <w:rPr>
          <w:rFonts w:eastAsia="Calibri"/>
          <w:lang w:val="en-US" w:eastAsia="en-US"/>
        </w:rPr>
        <w:t xml:space="preserve"> </w:t>
      </w:r>
      <w:r w:rsidR="005D27B9" w:rsidRPr="00556791">
        <w:rPr>
          <w:lang w:val="en-US"/>
        </w:rPr>
        <w:t>&amp;</w:t>
      </w:r>
      <w:r w:rsidR="005D27B9" w:rsidRPr="00556791">
        <w:rPr>
          <w:rFonts w:eastAsia="Calibri"/>
          <w:lang w:val="en-US" w:eastAsia="en-US"/>
        </w:rPr>
        <w:t xml:space="preserve"> </w:t>
      </w:r>
      <w:proofErr w:type="spellStart"/>
      <w:r w:rsidR="00BC14EC" w:rsidRPr="00556791">
        <w:rPr>
          <w:rFonts w:eastAsia="Calibri"/>
          <w:lang w:val="en-US" w:eastAsia="en-US"/>
        </w:rPr>
        <w:t>Timmermans</w:t>
      </w:r>
      <w:proofErr w:type="spellEnd"/>
      <w:r w:rsidR="005D27B9" w:rsidRPr="00556791">
        <w:rPr>
          <w:rFonts w:eastAsia="Calibri"/>
          <w:lang w:val="en-US" w:eastAsia="en-US"/>
        </w:rPr>
        <w:t>,</w:t>
      </w:r>
      <w:r w:rsidR="005A1EE8" w:rsidRPr="00556791">
        <w:rPr>
          <w:rFonts w:eastAsia="Calibri"/>
          <w:lang w:val="en-US" w:eastAsia="en-US"/>
        </w:rPr>
        <w:t xml:space="preserve"> K</w:t>
      </w:r>
      <w:r w:rsidR="005D27B9" w:rsidRPr="00556791">
        <w:rPr>
          <w:rFonts w:eastAsia="Calibri"/>
          <w:lang w:val="en-US" w:eastAsia="en-US"/>
        </w:rPr>
        <w:t>.</w:t>
      </w:r>
      <w:r w:rsidR="005A1EE8" w:rsidRPr="00556791">
        <w:rPr>
          <w:rFonts w:eastAsia="Calibri"/>
          <w:lang w:val="en-US" w:eastAsia="en-US"/>
        </w:rPr>
        <w:t>E.</w:t>
      </w:r>
      <w:r w:rsidR="005D27B9" w:rsidRPr="00556791">
        <w:rPr>
          <w:rFonts w:eastAsia="Calibri"/>
          <w:lang w:val="en-US" w:eastAsia="en-US"/>
        </w:rPr>
        <w:t xml:space="preserve"> (2013).</w:t>
      </w:r>
      <w:r w:rsidR="005A1EE8" w:rsidRPr="00556791">
        <w:rPr>
          <w:rFonts w:eastAsia="Calibri"/>
          <w:lang w:val="en-US" w:eastAsia="en-US"/>
        </w:rPr>
        <w:t xml:space="preserve"> First year nursing students' viewpoints about compromised clinical safety. </w:t>
      </w:r>
      <w:r w:rsidR="005D27B9" w:rsidRPr="00556791">
        <w:rPr>
          <w:rFonts w:eastAsia="Calibri"/>
          <w:i/>
          <w:lang w:val="en-US" w:eastAsia="en-US"/>
        </w:rPr>
        <w:t>Nurse Education Today</w:t>
      </w:r>
      <w:r w:rsidR="005D27B9" w:rsidRPr="00556791">
        <w:rPr>
          <w:rFonts w:eastAsia="Calibri"/>
          <w:lang w:val="en-US" w:eastAsia="en-US"/>
        </w:rPr>
        <w:t xml:space="preserve">, </w:t>
      </w:r>
      <w:r w:rsidR="00FB7481" w:rsidRPr="00556791">
        <w:rPr>
          <w:rFonts w:eastAsia="Calibri"/>
          <w:lang w:val="en-US" w:eastAsia="en-US"/>
        </w:rPr>
        <w:t>33(5</w:t>
      </w:r>
      <w:r w:rsidR="005D27B9" w:rsidRPr="00556791">
        <w:rPr>
          <w:rFonts w:eastAsia="Calibri"/>
          <w:lang w:val="en-US" w:eastAsia="en-US"/>
        </w:rPr>
        <w:t xml:space="preserve">), </w:t>
      </w:r>
      <w:r w:rsidR="00FB7481" w:rsidRPr="00556791">
        <w:rPr>
          <w:rFonts w:eastAsia="Calibri"/>
          <w:lang w:val="en-US" w:eastAsia="en-US"/>
        </w:rPr>
        <w:t>475-</w:t>
      </w:r>
      <w:r w:rsidR="005D27B9" w:rsidRPr="00556791">
        <w:rPr>
          <w:rFonts w:eastAsia="Calibri"/>
          <w:lang w:val="en-US" w:eastAsia="en-US"/>
        </w:rPr>
        <w:t>4</w:t>
      </w:r>
      <w:r w:rsidR="00FB7481" w:rsidRPr="00556791">
        <w:rPr>
          <w:rFonts w:eastAsia="Calibri"/>
          <w:lang w:val="en-US" w:eastAsia="en-US"/>
        </w:rPr>
        <w:t>80.</w:t>
      </w:r>
      <w:r w:rsidR="00AF6F78" w:rsidRPr="00556791">
        <w:rPr>
          <w:rFonts w:eastAsia="Calibri"/>
          <w:lang w:val="en-US" w:eastAsia="en-US"/>
        </w:rPr>
        <w:t xml:space="preserve"> </w:t>
      </w:r>
    </w:p>
    <w:p w14:paraId="56FB798F" w14:textId="77777777" w:rsidR="00C57E01" w:rsidRPr="00556791" w:rsidRDefault="00C57E01" w:rsidP="00C57E01">
      <w:pPr>
        <w:autoSpaceDE w:val="0"/>
        <w:autoSpaceDN w:val="0"/>
        <w:adjustRightInd w:val="0"/>
        <w:spacing w:line="480" w:lineRule="auto"/>
        <w:jc w:val="both"/>
        <w:rPr>
          <w:rFonts w:eastAsia="Calibri"/>
          <w:lang w:val="en-US" w:eastAsia="en-US"/>
        </w:rPr>
      </w:pPr>
      <w:r w:rsidRPr="00556791">
        <w:rPr>
          <w:rFonts w:eastAsia="Calibri"/>
          <w:lang w:val="en-US" w:eastAsia="en-US"/>
        </w:rPr>
        <w:t>Lazarus</w:t>
      </w:r>
      <w:r w:rsidR="005D27B9" w:rsidRPr="00556791">
        <w:rPr>
          <w:rFonts w:eastAsia="Calibri"/>
          <w:lang w:val="en-US" w:eastAsia="en-US"/>
        </w:rPr>
        <w:t>,</w:t>
      </w:r>
      <w:r w:rsidRPr="00556791">
        <w:rPr>
          <w:rFonts w:eastAsia="Calibri"/>
          <w:lang w:val="en-US" w:eastAsia="en-US"/>
        </w:rPr>
        <w:t xml:space="preserve"> R</w:t>
      </w:r>
      <w:r w:rsidR="005D27B9" w:rsidRPr="00556791">
        <w:rPr>
          <w:rFonts w:eastAsia="Calibri"/>
          <w:lang w:val="en-US" w:eastAsia="en-US"/>
        </w:rPr>
        <w:t>.</w:t>
      </w:r>
      <w:r w:rsidRPr="00556791">
        <w:rPr>
          <w:rFonts w:eastAsia="Calibri"/>
          <w:lang w:val="en-US" w:eastAsia="en-US"/>
        </w:rPr>
        <w:t>S</w:t>
      </w:r>
      <w:r w:rsidR="005D27B9" w:rsidRPr="00556791">
        <w:rPr>
          <w:rFonts w:eastAsia="Calibri"/>
          <w:lang w:val="en-US" w:eastAsia="en-US"/>
        </w:rPr>
        <w:t>.</w:t>
      </w:r>
      <w:r w:rsidRPr="00556791">
        <w:rPr>
          <w:rFonts w:eastAsia="Calibri"/>
          <w:lang w:val="en-US" w:eastAsia="en-US"/>
        </w:rPr>
        <w:t xml:space="preserve"> </w:t>
      </w:r>
      <w:r w:rsidR="005D27B9" w:rsidRPr="00556791">
        <w:rPr>
          <w:lang w:val="en-US"/>
        </w:rPr>
        <w:t xml:space="preserve">&amp; </w:t>
      </w:r>
      <w:proofErr w:type="spellStart"/>
      <w:r w:rsidRPr="00556791">
        <w:rPr>
          <w:rFonts w:eastAsia="Calibri"/>
          <w:lang w:val="en-US" w:eastAsia="en-US"/>
        </w:rPr>
        <w:t>Folkman</w:t>
      </w:r>
      <w:proofErr w:type="spellEnd"/>
      <w:r w:rsidR="005D27B9" w:rsidRPr="00556791">
        <w:rPr>
          <w:rFonts w:eastAsia="Calibri"/>
          <w:lang w:val="en-US" w:eastAsia="en-US"/>
        </w:rPr>
        <w:t>,</w:t>
      </w:r>
      <w:r w:rsidRPr="00556791">
        <w:rPr>
          <w:rFonts w:eastAsia="Calibri"/>
          <w:lang w:val="en-US" w:eastAsia="en-US"/>
        </w:rPr>
        <w:t xml:space="preserve"> S.</w:t>
      </w:r>
      <w:r w:rsidR="005D27B9" w:rsidRPr="00556791">
        <w:rPr>
          <w:rFonts w:eastAsia="Calibri"/>
          <w:lang w:val="en-US" w:eastAsia="en-US"/>
        </w:rPr>
        <w:t xml:space="preserve"> (1984).</w:t>
      </w:r>
      <w:r w:rsidRPr="00556791">
        <w:rPr>
          <w:rFonts w:eastAsia="Calibri"/>
          <w:lang w:val="en-US" w:eastAsia="en-US"/>
        </w:rPr>
        <w:t xml:space="preserve"> </w:t>
      </w:r>
      <w:proofErr w:type="gramStart"/>
      <w:r w:rsidRPr="00556791">
        <w:rPr>
          <w:rFonts w:eastAsia="Calibri"/>
          <w:i/>
          <w:lang w:val="en-US" w:eastAsia="en-US"/>
        </w:rPr>
        <w:t>Stress, appraisal, and coping</w:t>
      </w:r>
      <w:r w:rsidRPr="00556791">
        <w:rPr>
          <w:rFonts w:eastAsia="Calibri"/>
          <w:lang w:val="en-US" w:eastAsia="en-US"/>
        </w:rPr>
        <w:t>.</w:t>
      </w:r>
      <w:proofErr w:type="gramEnd"/>
      <w:r w:rsidRPr="00556791">
        <w:rPr>
          <w:rFonts w:eastAsia="Calibri"/>
          <w:lang w:val="en-US" w:eastAsia="en-US"/>
        </w:rPr>
        <w:t xml:space="preserve"> New </w:t>
      </w:r>
      <w:proofErr w:type="gramStart"/>
      <w:r w:rsidRPr="00556791">
        <w:rPr>
          <w:rFonts w:eastAsia="Calibri"/>
          <w:lang w:val="en-US" w:eastAsia="en-US"/>
        </w:rPr>
        <w:t>York</w:t>
      </w:r>
      <w:r w:rsidR="005D27B9" w:rsidRPr="00556791">
        <w:rPr>
          <w:rFonts w:eastAsia="Calibri"/>
          <w:lang w:val="en-US" w:eastAsia="en-US"/>
        </w:rPr>
        <w:t>(</w:t>
      </w:r>
      <w:proofErr w:type="gramEnd"/>
      <w:r w:rsidR="005D27B9" w:rsidRPr="00556791">
        <w:rPr>
          <w:rFonts w:eastAsia="Calibri"/>
          <w:lang w:val="en-US" w:eastAsia="en-US"/>
        </w:rPr>
        <w:t>NY): Springer</w:t>
      </w:r>
      <w:r w:rsidRPr="00556791">
        <w:rPr>
          <w:rFonts w:eastAsia="Calibri"/>
          <w:lang w:val="en-US" w:eastAsia="en-US"/>
        </w:rPr>
        <w:t>.</w:t>
      </w:r>
    </w:p>
    <w:p w14:paraId="08734ACE" w14:textId="77777777" w:rsidR="00C57E01" w:rsidRPr="00556791" w:rsidRDefault="00C57E01" w:rsidP="00C57E01">
      <w:pPr>
        <w:autoSpaceDE w:val="0"/>
        <w:autoSpaceDN w:val="0"/>
        <w:adjustRightInd w:val="0"/>
        <w:spacing w:line="480" w:lineRule="auto"/>
        <w:jc w:val="both"/>
        <w:rPr>
          <w:rFonts w:eastAsia="Calibri"/>
          <w:lang w:val="en-US" w:eastAsia="en-US"/>
        </w:rPr>
      </w:pPr>
      <w:r w:rsidRPr="00556791">
        <w:rPr>
          <w:rFonts w:eastAsia="Calibri"/>
          <w:lang w:val="en-US" w:eastAsia="en-US"/>
        </w:rPr>
        <w:t>Lo</w:t>
      </w:r>
      <w:r w:rsidR="005D27B9" w:rsidRPr="00556791">
        <w:rPr>
          <w:rFonts w:eastAsia="Calibri"/>
          <w:lang w:val="en-US" w:eastAsia="en-US"/>
        </w:rPr>
        <w:t>,</w:t>
      </w:r>
      <w:r w:rsidRPr="00556791">
        <w:rPr>
          <w:rFonts w:eastAsia="Calibri"/>
          <w:lang w:val="en-US" w:eastAsia="en-US"/>
        </w:rPr>
        <w:t xml:space="preserve"> R.</w:t>
      </w:r>
      <w:r w:rsidR="005D27B9" w:rsidRPr="00556791">
        <w:rPr>
          <w:rFonts w:eastAsia="Calibri"/>
          <w:lang w:val="en-US" w:eastAsia="en-US"/>
        </w:rPr>
        <w:t xml:space="preserve"> (2002).</w:t>
      </w:r>
      <w:r w:rsidRPr="00556791">
        <w:rPr>
          <w:rFonts w:eastAsia="Calibri"/>
          <w:lang w:val="en-US" w:eastAsia="en-US"/>
        </w:rPr>
        <w:t xml:space="preserve"> A longitudinal study of perceived level of stress, coping and self-esteem of u</w:t>
      </w:r>
      <w:r w:rsidR="005D27B9" w:rsidRPr="00556791">
        <w:rPr>
          <w:rFonts w:eastAsia="Calibri"/>
          <w:lang w:val="en-US" w:eastAsia="en-US"/>
        </w:rPr>
        <w:t>ndergraduate nursing students: A</w:t>
      </w:r>
      <w:r w:rsidRPr="00556791">
        <w:rPr>
          <w:rFonts w:eastAsia="Calibri"/>
          <w:lang w:val="en-US" w:eastAsia="en-US"/>
        </w:rPr>
        <w:t xml:space="preserve">n Australian case study. </w:t>
      </w:r>
      <w:r w:rsidRPr="00556791">
        <w:rPr>
          <w:rFonts w:eastAsia="Calibri"/>
          <w:i/>
          <w:lang w:val="en-US" w:eastAsia="en-US"/>
        </w:rPr>
        <w:t>J</w:t>
      </w:r>
      <w:r w:rsidR="005D27B9" w:rsidRPr="00556791">
        <w:rPr>
          <w:rFonts w:eastAsia="Calibri"/>
          <w:i/>
          <w:lang w:val="en-US" w:eastAsia="en-US"/>
        </w:rPr>
        <w:t>ournal of</w:t>
      </w:r>
      <w:r w:rsidRPr="00556791">
        <w:rPr>
          <w:rFonts w:eastAsia="Calibri"/>
          <w:i/>
          <w:lang w:val="en-US" w:eastAsia="en-US"/>
        </w:rPr>
        <w:t xml:space="preserve"> Adv</w:t>
      </w:r>
      <w:r w:rsidR="005D27B9" w:rsidRPr="00556791">
        <w:rPr>
          <w:rFonts w:eastAsia="Calibri"/>
          <w:i/>
          <w:lang w:val="en-US" w:eastAsia="en-US"/>
        </w:rPr>
        <w:t>anced</w:t>
      </w:r>
      <w:r w:rsidRPr="00556791">
        <w:rPr>
          <w:rFonts w:eastAsia="Calibri"/>
          <w:i/>
          <w:lang w:val="en-US" w:eastAsia="en-US"/>
        </w:rPr>
        <w:t xml:space="preserve"> Nurs</w:t>
      </w:r>
      <w:r w:rsidR="005D27B9" w:rsidRPr="00556791">
        <w:rPr>
          <w:rFonts w:eastAsia="Calibri"/>
          <w:i/>
          <w:lang w:val="en-US" w:eastAsia="en-US"/>
        </w:rPr>
        <w:t>ing,</w:t>
      </w:r>
      <w:r w:rsidRPr="00556791">
        <w:rPr>
          <w:rFonts w:eastAsia="Calibri"/>
          <w:lang w:val="en-US" w:eastAsia="en-US"/>
        </w:rPr>
        <w:t xml:space="preserve"> 39(2)</w:t>
      </w:r>
      <w:r w:rsidR="005D27B9" w:rsidRPr="00556791">
        <w:rPr>
          <w:rFonts w:eastAsia="Calibri"/>
          <w:lang w:val="en-US" w:eastAsia="en-US"/>
        </w:rPr>
        <w:t xml:space="preserve">, </w:t>
      </w:r>
      <w:r w:rsidRPr="00556791">
        <w:rPr>
          <w:rFonts w:eastAsia="Calibri"/>
          <w:lang w:val="en-US" w:eastAsia="en-US"/>
        </w:rPr>
        <w:t>119-</w:t>
      </w:r>
      <w:r w:rsidR="005D27B9" w:rsidRPr="00556791">
        <w:rPr>
          <w:rFonts w:eastAsia="Calibri"/>
          <w:lang w:val="en-US" w:eastAsia="en-US"/>
        </w:rPr>
        <w:t>1</w:t>
      </w:r>
      <w:r w:rsidRPr="00556791">
        <w:rPr>
          <w:rFonts w:eastAsia="Calibri"/>
          <w:lang w:val="en-US" w:eastAsia="en-US"/>
        </w:rPr>
        <w:t xml:space="preserve">26. </w:t>
      </w:r>
    </w:p>
    <w:p w14:paraId="4A096ADF" w14:textId="77777777" w:rsidR="00C57E01" w:rsidRPr="00556791" w:rsidRDefault="00C57E01" w:rsidP="00C57E01">
      <w:pPr>
        <w:spacing w:line="480" w:lineRule="auto"/>
        <w:jc w:val="both"/>
        <w:rPr>
          <w:lang w:val="en-US"/>
        </w:rPr>
      </w:pPr>
      <w:proofErr w:type="spellStart"/>
      <w:r w:rsidRPr="00556791">
        <w:rPr>
          <w:lang w:val="en-US"/>
        </w:rPr>
        <w:lastRenderedPageBreak/>
        <w:t>Maslach</w:t>
      </w:r>
      <w:proofErr w:type="spellEnd"/>
      <w:r w:rsidR="005D27B9" w:rsidRPr="00556791">
        <w:rPr>
          <w:lang w:val="en-US"/>
        </w:rPr>
        <w:t>,</w:t>
      </w:r>
      <w:r w:rsidRPr="00556791">
        <w:rPr>
          <w:lang w:val="en-US"/>
        </w:rPr>
        <w:t xml:space="preserve"> C. </w:t>
      </w:r>
      <w:r w:rsidR="005D27B9" w:rsidRPr="00556791">
        <w:rPr>
          <w:lang w:val="en-US"/>
        </w:rPr>
        <w:t xml:space="preserve">(2001). </w:t>
      </w:r>
      <w:r w:rsidRPr="00556791">
        <w:rPr>
          <w:lang w:val="en-US"/>
        </w:rPr>
        <w:t>What have we learned about burn</w:t>
      </w:r>
      <w:r w:rsidR="005D27B9" w:rsidRPr="00556791">
        <w:rPr>
          <w:lang w:val="en-US"/>
        </w:rPr>
        <w:t xml:space="preserve">out and health? </w:t>
      </w:r>
      <w:proofErr w:type="gramStart"/>
      <w:r w:rsidR="005D27B9" w:rsidRPr="00556791">
        <w:rPr>
          <w:i/>
          <w:lang w:val="en-US"/>
        </w:rPr>
        <w:t>Psychology &amp; health,</w:t>
      </w:r>
      <w:r w:rsidR="005D27B9" w:rsidRPr="00556791">
        <w:rPr>
          <w:lang w:val="en-US"/>
        </w:rPr>
        <w:t xml:space="preserve"> 16(5), </w:t>
      </w:r>
      <w:r w:rsidRPr="00556791">
        <w:rPr>
          <w:lang w:val="en-US"/>
        </w:rPr>
        <w:t>607-</w:t>
      </w:r>
      <w:r w:rsidR="005D27B9" w:rsidRPr="00556791">
        <w:rPr>
          <w:lang w:val="en-US"/>
        </w:rPr>
        <w:t>6</w:t>
      </w:r>
      <w:r w:rsidRPr="00556791">
        <w:rPr>
          <w:lang w:val="en-US"/>
        </w:rPr>
        <w:t>11.</w:t>
      </w:r>
      <w:proofErr w:type="gramEnd"/>
      <w:r w:rsidRPr="00556791">
        <w:rPr>
          <w:lang w:val="en-US"/>
        </w:rPr>
        <w:t xml:space="preserve"> </w:t>
      </w:r>
    </w:p>
    <w:p w14:paraId="6655C307" w14:textId="77777777" w:rsidR="00C57E01" w:rsidRPr="00556791" w:rsidRDefault="00C57E01" w:rsidP="0003429B">
      <w:pPr>
        <w:spacing w:line="480" w:lineRule="auto"/>
        <w:jc w:val="both"/>
        <w:rPr>
          <w:lang w:val="en-US"/>
        </w:rPr>
      </w:pPr>
      <w:proofErr w:type="spellStart"/>
      <w:proofErr w:type="gramStart"/>
      <w:r w:rsidRPr="00556791">
        <w:rPr>
          <w:lang w:val="en-US"/>
        </w:rPr>
        <w:t>Maslach</w:t>
      </w:r>
      <w:proofErr w:type="spellEnd"/>
      <w:r w:rsidR="005D27B9" w:rsidRPr="00556791">
        <w:rPr>
          <w:lang w:val="en-US"/>
        </w:rPr>
        <w:t>,</w:t>
      </w:r>
      <w:r w:rsidRPr="00556791">
        <w:rPr>
          <w:lang w:val="en-US"/>
        </w:rPr>
        <w:t xml:space="preserve"> C</w:t>
      </w:r>
      <w:r w:rsidR="005D27B9" w:rsidRPr="00556791">
        <w:rPr>
          <w:lang w:val="en-US"/>
        </w:rPr>
        <w:t>.</w:t>
      </w:r>
      <w:r w:rsidRPr="00556791">
        <w:rPr>
          <w:lang w:val="en-US"/>
        </w:rPr>
        <w:t xml:space="preserve">, </w:t>
      </w:r>
      <w:proofErr w:type="spellStart"/>
      <w:r w:rsidRPr="00556791">
        <w:rPr>
          <w:lang w:val="en-US"/>
        </w:rPr>
        <w:t>Schaufeli</w:t>
      </w:r>
      <w:proofErr w:type="spellEnd"/>
      <w:r w:rsidR="005D27B9" w:rsidRPr="00556791">
        <w:rPr>
          <w:lang w:val="en-US"/>
        </w:rPr>
        <w:t>,</w:t>
      </w:r>
      <w:r w:rsidRPr="00556791">
        <w:rPr>
          <w:lang w:val="en-US"/>
        </w:rPr>
        <w:t xml:space="preserve"> W</w:t>
      </w:r>
      <w:r w:rsidR="005D27B9" w:rsidRPr="00556791">
        <w:rPr>
          <w:lang w:val="en-US"/>
        </w:rPr>
        <w:t>.</w:t>
      </w:r>
      <w:r w:rsidRPr="00556791">
        <w:rPr>
          <w:lang w:val="en-US"/>
        </w:rPr>
        <w:t>B</w:t>
      </w:r>
      <w:r w:rsidR="005D27B9" w:rsidRPr="00556791">
        <w:rPr>
          <w:lang w:val="en-US"/>
        </w:rPr>
        <w:t>.</w:t>
      </w:r>
      <w:r w:rsidR="0003429B" w:rsidRPr="00556791">
        <w:rPr>
          <w:lang w:val="en-US"/>
        </w:rPr>
        <w:t xml:space="preserve"> &amp; </w:t>
      </w:r>
      <w:proofErr w:type="spellStart"/>
      <w:r w:rsidRPr="00556791">
        <w:rPr>
          <w:lang w:val="en-US"/>
        </w:rPr>
        <w:t>Leiter</w:t>
      </w:r>
      <w:proofErr w:type="spellEnd"/>
      <w:r w:rsidR="005D27B9" w:rsidRPr="00556791">
        <w:rPr>
          <w:lang w:val="en-US"/>
        </w:rPr>
        <w:t>,</w:t>
      </w:r>
      <w:r w:rsidRPr="00556791">
        <w:rPr>
          <w:lang w:val="en-US"/>
        </w:rPr>
        <w:t xml:space="preserve"> M</w:t>
      </w:r>
      <w:r w:rsidR="005D27B9" w:rsidRPr="00556791">
        <w:rPr>
          <w:lang w:val="en-US"/>
        </w:rPr>
        <w:t>.</w:t>
      </w:r>
      <w:r w:rsidRPr="00556791">
        <w:rPr>
          <w:lang w:val="en-US"/>
        </w:rPr>
        <w:t>P.</w:t>
      </w:r>
      <w:r w:rsidR="0003429B" w:rsidRPr="00556791">
        <w:rPr>
          <w:lang w:val="en-US"/>
        </w:rPr>
        <w:t xml:space="preserve"> (2001).</w:t>
      </w:r>
      <w:proofErr w:type="gramEnd"/>
      <w:r w:rsidRPr="00556791">
        <w:rPr>
          <w:lang w:val="en-US"/>
        </w:rPr>
        <w:t xml:space="preserve"> </w:t>
      </w:r>
      <w:r w:rsidR="0003429B" w:rsidRPr="00556791">
        <w:rPr>
          <w:lang w:val="en-US"/>
        </w:rPr>
        <w:t xml:space="preserve">Job Burnout. </w:t>
      </w:r>
      <w:r w:rsidR="0003429B" w:rsidRPr="00556791">
        <w:rPr>
          <w:i/>
          <w:lang w:val="en-US"/>
        </w:rPr>
        <w:t>Annual review of psychology</w:t>
      </w:r>
      <w:r w:rsidR="0003429B" w:rsidRPr="00556791">
        <w:rPr>
          <w:lang w:val="en-US"/>
        </w:rPr>
        <w:t>, 52(1),</w:t>
      </w:r>
      <w:r w:rsidRPr="00556791">
        <w:rPr>
          <w:lang w:val="en-US"/>
        </w:rPr>
        <w:t xml:space="preserve"> 397-422. </w:t>
      </w:r>
    </w:p>
    <w:p w14:paraId="0327D178" w14:textId="77777777" w:rsidR="005A1EE8" w:rsidRPr="00556791" w:rsidRDefault="00FB7481" w:rsidP="006C419A">
      <w:pPr>
        <w:autoSpaceDE w:val="0"/>
        <w:autoSpaceDN w:val="0"/>
        <w:adjustRightInd w:val="0"/>
        <w:spacing w:line="480" w:lineRule="auto"/>
        <w:jc w:val="both"/>
        <w:rPr>
          <w:rFonts w:eastAsia="Calibri"/>
          <w:lang w:val="en-US" w:eastAsia="en-US"/>
        </w:rPr>
      </w:pPr>
      <w:proofErr w:type="gramStart"/>
      <w:r w:rsidRPr="00556791">
        <w:rPr>
          <w:rFonts w:eastAsia="Calibri"/>
          <w:lang w:val="en-US" w:eastAsia="en-US"/>
        </w:rPr>
        <w:t>Montgomery</w:t>
      </w:r>
      <w:r w:rsidR="003B6674" w:rsidRPr="00556791">
        <w:rPr>
          <w:rFonts w:eastAsia="Calibri"/>
          <w:lang w:val="en-US" w:eastAsia="en-US"/>
        </w:rPr>
        <w:t>,</w:t>
      </w:r>
      <w:r w:rsidR="005A1EE8" w:rsidRPr="00556791">
        <w:rPr>
          <w:rFonts w:eastAsia="Calibri"/>
          <w:lang w:val="en-US" w:eastAsia="en-US"/>
        </w:rPr>
        <w:t xml:space="preserve"> P</w:t>
      </w:r>
      <w:r w:rsidR="003B6674" w:rsidRPr="00556791">
        <w:rPr>
          <w:rFonts w:eastAsia="Calibri"/>
          <w:lang w:val="en-US" w:eastAsia="en-US"/>
        </w:rPr>
        <w:t>.</w:t>
      </w:r>
      <w:r w:rsidRPr="00556791">
        <w:rPr>
          <w:rFonts w:eastAsia="Calibri"/>
          <w:lang w:val="en-US" w:eastAsia="en-US"/>
        </w:rPr>
        <w:t>,</w:t>
      </w:r>
      <w:r w:rsidR="005A1EE8" w:rsidRPr="00556791">
        <w:rPr>
          <w:rFonts w:eastAsia="Calibri"/>
          <w:lang w:val="en-US" w:eastAsia="en-US"/>
        </w:rPr>
        <w:t xml:space="preserve"> </w:t>
      </w:r>
      <w:proofErr w:type="spellStart"/>
      <w:r w:rsidR="005A1EE8" w:rsidRPr="00556791">
        <w:rPr>
          <w:rFonts w:eastAsia="Calibri"/>
          <w:lang w:val="en-US" w:eastAsia="en-US"/>
        </w:rPr>
        <w:t>M</w:t>
      </w:r>
      <w:r w:rsidRPr="00556791">
        <w:rPr>
          <w:rFonts w:eastAsia="Calibri"/>
          <w:lang w:val="en-US" w:eastAsia="en-US"/>
        </w:rPr>
        <w:t>ossey</w:t>
      </w:r>
      <w:proofErr w:type="spellEnd"/>
      <w:r w:rsidR="003B6674" w:rsidRPr="00556791">
        <w:rPr>
          <w:rFonts w:eastAsia="Calibri"/>
          <w:lang w:val="en-US" w:eastAsia="en-US"/>
        </w:rPr>
        <w:t>,</w:t>
      </w:r>
      <w:r w:rsidR="005A1EE8" w:rsidRPr="00556791">
        <w:rPr>
          <w:rFonts w:eastAsia="Calibri"/>
          <w:lang w:val="en-US" w:eastAsia="en-US"/>
        </w:rPr>
        <w:t xml:space="preserve"> S</w:t>
      </w:r>
      <w:r w:rsidR="003B6674" w:rsidRPr="00556791">
        <w:rPr>
          <w:rFonts w:eastAsia="Calibri"/>
          <w:lang w:val="en-US" w:eastAsia="en-US"/>
        </w:rPr>
        <w:t xml:space="preserve">. </w:t>
      </w:r>
      <w:r w:rsidR="003B6674" w:rsidRPr="00556791">
        <w:rPr>
          <w:lang w:val="en-US"/>
        </w:rPr>
        <w:t>&amp;</w:t>
      </w:r>
      <w:r w:rsidR="005A1EE8" w:rsidRPr="00556791">
        <w:rPr>
          <w:rFonts w:eastAsia="Calibri"/>
          <w:lang w:val="en-US" w:eastAsia="en-US"/>
        </w:rPr>
        <w:t xml:space="preserve"> </w:t>
      </w:r>
      <w:proofErr w:type="spellStart"/>
      <w:r w:rsidR="005A1EE8" w:rsidRPr="00556791">
        <w:rPr>
          <w:rFonts w:eastAsia="Calibri"/>
          <w:lang w:val="en-US" w:eastAsia="en-US"/>
        </w:rPr>
        <w:t>K</w:t>
      </w:r>
      <w:r w:rsidRPr="00556791">
        <w:rPr>
          <w:rFonts w:eastAsia="Calibri"/>
          <w:lang w:val="en-US" w:eastAsia="en-US"/>
        </w:rPr>
        <w:t>illam</w:t>
      </w:r>
      <w:proofErr w:type="spellEnd"/>
      <w:r w:rsidR="003B6674" w:rsidRPr="00556791">
        <w:rPr>
          <w:rFonts w:eastAsia="Calibri"/>
          <w:lang w:val="en-US" w:eastAsia="en-US"/>
        </w:rPr>
        <w:t>,</w:t>
      </w:r>
      <w:r w:rsidR="005A1EE8" w:rsidRPr="00556791">
        <w:rPr>
          <w:rFonts w:eastAsia="Calibri"/>
          <w:lang w:val="en-US" w:eastAsia="en-US"/>
        </w:rPr>
        <w:t xml:space="preserve"> L.</w:t>
      </w:r>
      <w:r w:rsidR="003B6674" w:rsidRPr="00556791">
        <w:rPr>
          <w:rFonts w:eastAsia="Calibri"/>
          <w:lang w:val="en-US" w:eastAsia="en-US"/>
        </w:rPr>
        <w:t xml:space="preserve"> (2013).</w:t>
      </w:r>
      <w:proofErr w:type="gramEnd"/>
      <w:r w:rsidR="005A1EE8" w:rsidRPr="00556791">
        <w:rPr>
          <w:rFonts w:eastAsia="Calibri"/>
          <w:lang w:val="en-US" w:eastAsia="en-US"/>
        </w:rPr>
        <w:t xml:space="preserve"> Views of second year nursing students on impediments to safety in the clinical setting: Q-methodology. </w:t>
      </w:r>
      <w:r w:rsidR="003B6674" w:rsidRPr="00556791">
        <w:rPr>
          <w:rFonts w:eastAsia="Calibri"/>
          <w:i/>
          <w:lang w:val="en-US" w:eastAsia="en-US"/>
        </w:rPr>
        <w:t>Journal of Nursing Education and Practice,</w:t>
      </w:r>
      <w:r w:rsidRPr="00556791">
        <w:rPr>
          <w:rFonts w:eastAsia="Calibri"/>
          <w:lang w:val="en-US" w:eastAsia="en-US"/>
        </w:rPr>
        <w:t xml:space="preserve"> </w:t>
      </w:r>
      <w:r w:rsidR="005A1EE8" w:rsidRPr="00556791">
        <w:rPr>
          <w:rFonts w:eastAsia="Calibri"/>
          <w:lang w:val="en-US" w:eastAsia="en-US"/>
        </w:rPr>
        <w:t>3</w:t>
      </w:r>
      <w:r w:rsidRPr="00556791">
        <w:rPr>
          <w:rFonts w:eastAsia="Calibri"/>
          <w:lang w:val="en-US" w:eastAsia="en-US"/>
        </w:rPr>
        <w:t>(</w:t>
      </w:r>
      <w:r w:rsidR="005A1EE8" w:rsidRPr="00556791">
        <w:rPr>
          <w:rFonts w:eastAsia="Calibri"/>
          <w:lang w:val="en-US" w:eastAsia="en-US"/>
        </w:rPr>
        <w:t>8</w:t>
      </w:r>
      <w:r w:rsidR="003B6674" w:rsidRPr="00556791">
        <w:rPr>
          <w:rFonts w:eastAsia="Calibri"/>
          <w:lang w:val="en-US" w:eastAsia="en-US"/>
        </w:rPr>
        <w:t>),</w:t>
      </w:r>
      <w:r w:rsidRPr="00556791">
        <w:rPr>
          <w:rFonts w:eastAsia="Calibri"/>
          <w:lang w:val="en-US" w:eastAsia="en-US"/>
        </w:rPr>
        <w:t xml:space="preserve"> 1-12</w:t>
      </w:r>
      <w:r w:rsidR="005A1EE8" w:rsidRPr="00556791">
        <w:rPr>
          <w:rFonts w:eastAsia="Calibri"/>
          <w:lang w:val="en-US" w:eastAsia="en-US"/>
        </w:rPr>
        <w:t>.</w:t>
      </w:r>
      <w:r w:rsidR="00AF6F78" w:rsidRPr="00556791">
        <w:rPr>
          <w:lang w:val="en-US"/>
        </w:rPr>
        <w:t xml:space="preserve"> </w:t>
      </w:r>
    </w:p>
    <w:p w14:paraId="299B879E" w14:textId="77777777" w:rsidR="007C4D86" w:rsidRPr="00556791" w:rsidRDefault="00662D59" w:rsidP="006C419A">
      <w:pPr>
        <w:autoSpaceDE w:val="0"/>
        <w:autoSpaceDN w:val="0"/>
        <w:adjustRightInd w:val="0"/>
        <w:spacing w:line="480" w:lineRule="auto"/>
        <w:jc w:val="both"/>
        <w:rPr>
          <w:rFonts w:eastAsia="Calibri"/>
          <w:lang w:eastAsia="en-US"/>
        </w:rPr>
      </w:pPr>
      <w:r w:rsidRPr="00556791">
        <w:rPr>
          <w:rFonts w:eastAsia="Calibri"/>
          <w:lang w:eastAsia="en-US"/>
        </w:rPr>
        <w:t>Moreira</w:t>
      </w:r>
      <w:r w:rsidR="003B6674" w:rsidRPr="00556791">
        <w:rPr>
          <w:rFonts w:eastAsia="Calibri"/>
          <w:lang w:eastAsia="en-US"/>
        </w:rPr>
        <w:t>,</w:t>
      </w:r>
      <w:r w:rsidRPr="00556791">
        <w:rPr>
          <w:rFonts w:eastAsia="Calibri"/>
          <w:lang w:eastAsia="en-US"/>
        </w:rPr>
        <w:t xml:space="preserve"> D</w:t>
      </w:r>
      <w:r w:rsidR="003B6674" w:rsidRPr="00556791">
        <w:rPr>
          <w:rFonts w:eastAsia="Calibri"/>
          <w:lang w:eastAsia="en-US"/>
        </w:rPr>
        <w:t>.</w:t>
      </w:r>
      <w:r w:rsidR="00D84D3C" w:rsidRPr="00556791">
        <w:rPr>
          <w:rFonts w:eastAsia="Calibri"/>
          <w:lang w:eastAsia="en-US"/>
        </w:rPr>
        <w:t>P</w:t>
      </w:r>
      <w:r w:rsidR="003B6674" w:rsidRPr="00556791">
        <w:rPr>
          <w:rFonts w:eastAsia="Calibri"/>
          <w:lang w:eastAsia="en-US"/>
        </w:rPr>
        <w:t>.</w:t>
      </w:r>
      <w:r w:rsidR="003B6674" w:rsidRPr="00556791">
        <w:t xml:space="preserve"> &amp; </w:t>
      </w:r>
      <w:proofErr w:type="spellStart"/>
      <w:r w:rsidRPr="00556791">
        <w:rPr>
          <w:rFonts w:eastAsia="Calibri"/>
          <w:lang w:eastAsia="en-US"/>
        </w:rPr>
        <w:t>Furegato</w:t>
      </w:r>
      <w:proofErr w:type="spellEnd"/>
      <w:r w:rsidR="003B6674" w:rsidRPr="00556791">
        <w:rPr>
          <w:rFonts w:eastAsia="Calibri"/>
          <w:lang w:eastAsia="en-US"/>
        </w:rPr>
        <w:t>,</w:t>
      </w:r>
      <w:r w:rsidR="00D84D3C" w:rsidRPr="00556791">
        <w:rPr>
          <w:rFonts w:eastAsia="Calibri"/>
          <w:lang w:eastAsia="en-US"/>
        </w:rPr>
        <w:t xml:space="preserve"> A</w:t>
      </w:r>
      <w:r w:rsidR="003B6674" w:rsidRPr="00556791">
        <w:rPr>
          <w:rFonts w:eastAsia="Calibri"/>
          <w:lang w:eastAsia="en-US"/>
        </w:rPr>
        <w:t>.</w:t>
      </w:r>
      <w:r w:rsidR="00D84D3C" w:rsidRPr="00556791">
        <w:rPr>
          <w:rFonts w:eastAsia="Calibri"/>
          <w:lang w:eastAsia="en-US"/>
        </w:rPr>
        <w:t>R</w:t>
      </w:r>
      <w:r w:rsidR="003B6674" w:rsidRPr="00556791">
        <w:rPr>
          <w:rFonts w:eastAsia="Calibri"/>
          <w:lang w:eastAsia="en-US"/>
        </w:rPr>
        <w:t>.</w:t>
      </w:r>
      <w:r w:rsidR="00D84D3C" w:rsidRPr="00556791">
        <w:rPr>
          <w:rFonts w:eastAsia="Calibri"/>
          <w:lang w:eastAsia="en-US"/>
        </w:rPr>
        <w:t>F.</w:t>
      </w:r>
      <w:r w:rsidR="00F658DA" w:rsidRPr="00556791">
        <w:t xml:space="preserve"> </w:t>
      </w:r>
      <w:r w:rsidR="003B6674" w:rsidRPr="00556791">
        <w:t xml:space="preserve">(2013). </w:t>
      </w:r>
      <w:proofErr w:type="gramStart"/>
      <w:r w:rsidR="00F658DA" w:rsidRPr="00556791">
        <w:rPr>
          <w:rFonts w:eastAsia="Calibri"/>
          <w:lang w:val="en-US" w:eastAsia="en-US"/>
        </w:rPr>
        <w:t>Stress and depression among students of the last semester in two nursing courses.</w:t>
      </w:r>
      <w:proofErr w:type="gramEnd"/>
      <w:r w:rsidR="00F658DA" w:rsidRPr="00556791">
        <w:rPr>
          <w:rFonts w:eastAsia="Calibri"/>
          <w:lang w:val="en-US" w:eastAsia="en-US"/>
        </w:rPr>
        <w:t xml:space="preserve"> </w:t>
      </w:r>
      <w:r w:rsidR="003B6674" w:rsidRPr="00556791">
        <w:rPr>
          <w:rFonts w:eastAsia="Calibri"/>
          <w:i/>
          <w:lang w:eastAsia="en-US"/>
        </w:rPr>
        <w:t>Revista Latino-Americana de Enfermagem</w:t>
      </w:r>
      <w:r w:rsidR="003B6674" w:rsidRPr="00556791">
        <w:rPr>
          <w:rFonts w:eastAsia="Calibri"/>
          <w:lang w:eastAsia="en-US"/>
        </w:rPr>
        <w:t xml:space="preserve">, </w:t>
      </w:r>
      <w:r w:rsidR="00D84D3C" w:rsidRPr="00556791">
        <w:rPr>
          <w:rFonts w:eastAsia="Calibri"/>
          <w:lang w:eastAsia="en-US"/>
        </w:rPr>
        <w:t>21</w:t>
      </w:r>
      <w:r w:rsidRPr="00556791">
        <w:rPr>
          <w:rFonts w:eastAsia="Calibri"/>
          <w:lang w:eastAsia="en-US"/>
        </w:rPr>
        <w:t>(</w:t>
      </w:r>
      <w:proofErr w:type="spellStart"/>
      <w:r w:rsidRPr="00556791">
        <w:rPr>
          <w:rFonts w:eastAsia="Calibri"/>
          <w:lang w:eastAsia="en-US"/>
        </w:rPr>
        <w:t>S</w:t>
      </w:r>
      <w:r w:rsidR="00D84D3C" w:rsidRPr="00556791">
        <w:rPr>
          <w:rFonts w:eastAsia="Calibri"/>
          <w:lang w:eastAsia="en-US"/>
        </w:rPr>
        <w:t>pec</w:t>
      </w:r>
      <w:proofErr w:type="spellEnd"/>
      <w:r w:rsidR="003B6674" w:rsidRPr="00556791">
        <w:rPr>
          <w:rFonts w:eastAsia="Calibri"/>
          <w:lang w:eastAsia="en-US"/>
        </w:rPr>
        <w:t xml:space="preserve">), </w:t>
      </w:r>
      <w:r w:rsidR="00D84D3C" w:rsidRPr="00556791">
        <w:rPr>
          <w:rFonts w:eastAsia="Calibri"/>
          <w:lang w:eastAsia="en-US"/>
        </w:rPr>
        <w:t>155-</w:t>
      </w:r>
      <w:r w:rsidR="003B6674" w:rsidRPr="00556791">
        <w:rPr>
          <w:rFonts w:eastAsia="Calibri"/>
          <w:lang w:eastAsia="en-US"/>
        </w:rPr>
        <w:t>1</w:t>
      </w:r>
      <w:r w:rsidR="00D84D3C" w:rsidRPr="00556791">
        <w:rPr>
          <w:rFonts w:eastAsia="Calibri"/>
          <w:lang w:eastAsia="en-US"/>
        </w:rPr>
        <w:t>62</w:t>
      </w:r>
      <w:r w:rsidRPr="00556791">
        <w:rPr>
          <w:rFonts w:eastAsia="Calibri"/>
          <w:lang w:eastAsia="en-US"/>
        </w:rPr>
        <w:t>.</w:t>
      </w:r>
      <w:r w:rsidR="00082F49" w:rsidRPr="00556791">
        <w:rPr>
          <w:rFonts w:eastAsia="Calibri"/>
          <w:lang w:eastAsia="en-US"/>
        </w:rPr>
        <w:t xml:space="preserve"> </w:t>
      </w:r>
    </w:p>
    <w:p w14:paraId="4EAE7385" w14:textId="77777777" w:rsidR="00556791" w:rsidRDefault="00C57E01" w:rsidP="00C57E01">
      <w:pPr>
        <w:autoSpaceDE w:val="0"/>
        <w:autoSpaceDN w:val="0"/>
        <w:adjustRightInd w:val="0"/>
        <w:spacing w:line="480" w:lineRule="auto"/>
        <w:jc w:val="both"/>
        <w:rPr>
          <w:rFonts w:eastAsia="Calibri"/>
          <w:lang w:val="en-US" w:eastAsia="en-US"/>
        </w:rPr>
      </w:pPr>
      <w:proofErr w:type="spellStart"/>
      <w:r w:rsidRPr="00556791">
        <w:rPr>
          <w:rFonts w:eastAsia="Calibri"/>
          <w:lang w:eastAsia="en-US"/>
        </w:rPr>
        <w:t>Yusoff</w:t>
      </w:r>
      <w:proofErr w:type="spellEnd"/>
      <w:r w:rsidR="00AC11FD" w:rsidRPr="00556791">
        <w:rPr>
          <w:rFonts w:eastAsia="Calibri"/>
          <w:lang w:eastAsia="en-US"/>
        </w:rPr>
        <w:t>,</w:t>
      </w:r>
      <w:r w:rsidRPr="00556791">
        <w:rPr>
          <w:rFonts w:eastAsia="Calibri"/>
          <w:lang w:eastAsia="en-US"/>
        </w:rPr>
        <w:t xml:space="preserve"> M</w:t>
      </w:r>
      <w:r w:rsidR="00AC11FD" w:rsidRPr="00556791">
        <w:rPr>
          <w:rFonts w:eastAsia="Calibri"/>
          <w:lang w:eastAsia="en-US"/>
        </w:rPr>
        <w:t>.</w:t>
      </w:r>
      <w:r w:rsidRPr="00556791">
        <w:rPr>
          <w:rFonts w:eastAsia="Calibri"/>
          <w:lang w:eastAsia="en-US"/>
        </w:rPr>
        <w:t>S</w:t>
      </w:r>
      <w:r w:rsidR="00AC11FD" w:rsidRPr="00556791">
        <w:rPr>
          <w:rFonts w:eastAsia="Calibri"/>
          <w:lang w:eastAsia="en-US"/>
        </w:rPr>
        <w:t>.</w:t>
      </w:r>
      <w:r w:rsidRPr="00556791">
        <w:rPr>
          <w:rFonts w:eastAsia="Calibri"/>
          <w:lang w:eastAsia="en-US"/>
        </w:rPr>
        <w:t xml:space="preserve">, Abdul </w:t>
      </w:r>
      <w:proofErr w:type="spellStart"/>
      <w:r w:rsidRPr="00556791">
        <w:rPr>
          <w:rFonts w:eastAsia="Calibri"/>
          <w:lang w:eastAsia="en-US"/>
        </w:rPr>
        <w:t>Rahim</w:t>
      </w:r>
      <w:proofErr w:type="spellEnd"/>
      <w:r w:rsidR="00AC11FD" w:rsidRPr="00556791">
        <w:rPr>
          <w:rFonts w:eastAsia="Calibri"/>
          <w:lang w:eastAsia="en-US"/>
        </w:rPr>
        <w:t>,</w:t>
      </w:r>
      <w:r w:rsidRPr="00556791">
        <w:rPr>
          <w:rFonts w:eastAsia="Calibri"/>
          <w:lang w:eastAsia="en-US"/>
        </w:rPr>
        <w:t xml:space="preserve"> A</w:t>
      </w:r>
      <w:r w:rsidR="00AC11FD" w:rsidRPr="00556791">
        <w:rPr>
          <w:rFonts w:eastAsia="Calibri"/>
          <w:lang w:eastAsia="en-US"/>
        </w:rPr>
        <w:t>.</w:t>
      </w:r>
      <w:r w:rsidRPr="00556791">
        <w:rPr>
          <w:rFonts w:eastAsia="Calibri"/>
          <w:lang w:eastAsia="en-US"/>
        </w:rPr>
        <w:t>F</w:t>
      </w:r>
      <w:r w:rsidR="00AC11FD" w:rsidRPr="00556791">
        <w:rPr>
          <w:rFonts w:eastAsia="Calibri"/>
          <w:lang w:eastAsia="en-US"/>
        </w:rPr>
        <w:t>.</w:t>
      </w:r>
      <w:r w:rsidRPr="00556791">
        <w:rPr>
          <w:rFonts w:eastAsia="Calibri"/>
          <w:lang w:eastAsia="en-US"/>
        </w:rPr>
        <w:t>, Baba</w:t>
      </w:r>
      <w:r w:rsidR="00AC11FD" w:rsidRPr="00556791">
        <w:rPr>
          <w:rFonts w:eastAsia="Calibri"/>
          <w:lang w:eastAsia="en-US"/>
        </w:rPr>
        <w:t>,</w:t>
      </w:r>
      <w:r w:rsidRPr="00556791">
        <w:rPr>
          <w:rFonts w:eastAsia="Calibri"/>
          <w:lang w:eastAsia="en-US"/>
        </w:rPr>
        <w:t xml:space="preserve"> A</w:t>
      </w:r>
      <w:r w:rsidR="00AC11FD" w:rsidRPr="00556791">
        <w:rPr>
          <w:rFonts w:eastAsia="Calibri"/>
          <w:lang w:eastAsia="en-US"/>
        </w:rPr>
        <w:t>.</w:t>
      </w:r>
      <w:r w:rsidRPr="00556791">
        <w:rPr>
          <w:rFonts w:eastAsia="Calibri"/>
          <w:lang w:eastAsia="en-US"/>
        </w:rPr>
        <w:t>A</w:t>
      </w:r>
      <w:r w:rsidR="00AC11FD" w:rsidRPr="00556791">
        <w:rPr>
          <w:rFonts w:eastAsia="Calibri"/>
          <w:lang w:eastAsia="en-US"/>
        </w:rPr>
        <w:t>.</w:t>
      </w:r>
      <w:r w:rsidRPr="00556791">
        <w:rPr>
          <w:rFonts w:eastAsia="Calibri"/>
          <w:lang w:eastAsia="en-US"/>
        </w:rPr>
        <w:t>, Ismail</w:t>
      </w:r>
      <w:r w:rsidR="00AC11FD" w:rsidRPr="00556791">
        <w:rPr>
          <w:rFonts w:eastAsia="Calibri"/>
          <w:lang w:eastAsia="en-US"/>
        </w:rPr>
        <w:t>,</w:t>
      </w:r>
      <w:r w:rsidRPr="00556791">
        <w:rPr>
          <w:rFonts w:eastAsia="Calibri"/>
          <w:lang w:eastAsia="en-US"/>
        </w:rPr>
        <w:t xml:space="preserve"> S</w:t>
      </w:r>
      <w:r w:rsidR="00AC11FD" w:rsidRPr="00556791">
        <w:rPr>
          <w:rFonts w:eastAsia="Calibri"/>
          <w:lang w:eastAsia="en-US"/>
        </w:rPr>
        <w:t>.</w:t>
      </w:r>
      <w:r w:rsidRPr="00556791">
        <w:rPr>
          <w:rFonts w:eastAsia="Calibri"/>
          <w:lang w:eastAsia="en-US"/>
        </w:rPr>
        <w:t>B</w:t>
      </w:r>
      <w:r w:rsidR="00AC11FD" w:rsidRPr="00556791">
        <w:rPr>
          <w:rFonts w:eastAsia="Calibri"/>
          <w:lang w:eastAsia="en-US"/>
        </w:rPr>
        <w:t>.</w:t>
      </w:r>
      <w:r w:rsidRPr="00556791">
        <w:rPr>
          <w:rFonts w:eastAsia="Calibri"/>
          <w:lang w:eastAsia="en-US"/>
        </w:rPr>
        <w:t xml:space="preserve">, </w:t>
      </w:r>
      <w:proofErr w:type="spellStart"/>
      <w:r w:rsidRPr="00556791">
        <w:rPr>
          <w:rFonts w:eastAsia="Calibri"/>
          <w:lang w:eastAsia="en-US"/>
        </w:rPr>
        <w:t>Mat</w:t>
      </w:r>
      <w:proofErr w:type="spellEnd"/>
      <w:r w:rsidRPr="00556791">
        <w:rPr>
          <w:rFonts w:eastAsia="Calibri"/>
          <w:lang w:eastAsia="en-US"/>
        </w:rPr>
        <w:t xml:space="preserve"> </w:t>
      </w:r>
      <w:proofErr w:type="spellStart"/>
      <w:r w:rsidRPr="00556791">
        <w:rPr>
          <w:rFonts w:eastAsia="Calibri"/>
          <w:lang w:eastAsia="en-US"/>
        </w:rPr>
        <w:t>Pa</w:t>
      </w:r>
      <w:proofErr w:type="spellEnd"/>
      <w:r w:rsidR="00AC11FD" w:rsidRPr="00556791">
        <w:rPr>
          <w:rFonts w:eastAsia="Calibri"/>
          <w:lang w:eastAsia="en-US"/>
        </w:rPr>
        <w:t>,</w:t>
      </w:r>
      <w:r w:rsidRPr="00556791">
        <w:rPr>
          <w:rFonts w:eastAsia="Calibri"/>
          <w:lang w:eastAsia="en-US"/>
        </w:rPr>
        <w:t xml:space="preserve"> M</w:t>
      </w:r>
      <w:r w:rsidR="00AC11FD" w:rsidRPr="00556791">
        <w:rPr>
          <w:rFonts w:eastAsia="Calibri"/>
          <w:lang w:eastAsia="en-US"/>
        </w:rPr>
        <w:t>.</w:t>
      </w:r>
      <w:r w:rsidRPr="00556791">
        <w:rPr>
          <w:rFonts w:eastAsia="Calibri"/>
          <w:lang w:eastAsia="en-US"/>
        </w:rPr>
        <w:t>N</w:t>
      </w:r>
      <w:r w:rsidR="00AC11FD" w:rsidRPr="00556791">
        <w:rPr>
          <w:rFonts w:eastAsia="Calibri"/>
          <w:lang w:eastAsia="en-US"/>
        </w:rPr>
        <w:t>.</w:t>
      </w:r>
      <w:r w:rsidRPr="00556791">
        <w:rPr>
          <w:rFonts w:eastAsia="Calibri"/>
          <w:lang w:eastAsia="en-US"/>
        </w:rPr>
        <w:t xml:space="preserve"> </w:t>
      </w:r>
      <w:r w:rsidR="002C6C47" w:rsidRPr="00556791">
        <w:t xml:space="preserve">&amp; </w:t>
      </w:r>
      <w:proofErr w:type="spellStart"/>
      <w:r w:rsidRPr="00556791">
        <w:rPr>
          <w:rFonts w:eastAsia="Calibri"/>
          <w:lang w:eastAsia="en-US"/>
        </w:rPr>
        <w:t>Esa</w:t>
      </w:r>
      <w:proofErr w:type="spellEnd"/>
      <w:r w:rsidR="002C6C47" w:rsidRPr="00556791">
        <w:rPr>
          <w:rFonts w:eastAsia="Calibri"/>
          <w:lang w:eastAsia="en-US"/>
        </w:rPr>
        <w:t>,</w:t>
      </w:r>
      <w:r w:rsidRPr="00556791">
        <w:rPr>
          <w:rFonts w:eastAsia="Calibri"/>
          <w:lang w:eastAsia="en-US"/>
        </w:rPr>
        <w:t xml:space="preserve"> A</w:t>
      </w:r>
      <w:r w:rsidR="002C6C47" w:rsidRPr="00556791">
        <w:rPr>
          <w:rFonts w:eastAsia="Calibri"/>
          <w:lang w:eastAsia="en-US"/>
        </w:rPr>
        <w:t xml:space="preserve">.R. (2013). </w:t>
      </w:r>
      <w:proofErr w:type="gramStart"/>
      <w:r w:rsidRPr="00556791">
        <w:rPr>
          <w:rFonts w:eastAsia="Calibri"/>
          <w:lang w:val="en-US" w:eastAsia="en-US"/>
        </w:rPr>
        <w:t>Prevalence and associated factors of stress, anxiety and depression among prospective medi</w:t>
      </w:r>
      <w:r w:rsidR="002C6C47" w:rsidRPr="00556791">
        <w:rPr>
          <w:rFonts w:eastAsia="Calibri"/>
          <w:lang w:val="en-US" w:eastAsia="en-US"/>
        </w:rPr>
        <w:t>cal students.</w:t>
      </w:r>
      <w:proofErr w:type="gramEnd"/>
      <w:r w:rsidR="002C6C47" w:rsidRPr="00556791">
        <w:rPr>
          <w:rFonts w:eastAsia="Calibri"/>
          <w:lang w:val="en-US" w:eastAsia="en-US"/>
        </w:rPr>
        <w:t xml:space="preserve"> </w:t>
      </w:r>
      <w:r w:rsidR="002C6C47" w:rsidRPr="00556791">
        <w:rPr>
          <w:rFonts w:eastAsia="Calibri"/>
          <w:i/>
          <w:lang w:val="en-US" w:eastAsia="en-US"/>
        </w:rPr>
        <w:t>Asian Journal of Psychiatry</w:t>
      </w:r>
      <w:r w:rsidR="002C6C47" w:rsidRPr="00556791">
        <w:rPr>
          <w:rFonts w:eastAsia="Calibri"/>
          <w:lang w:val="en-US" w:eastAsia="en-US"/>
        </w:rPr>
        <w:t xml:space="preserve">, 6(2), </w:t>
      </w:r>
      <w:r w:rsidRPr="00556791">
        <w:rPr>
          <w:rFonts w:eastAsia="Calibri"/>
          <w:lang w:val="en-US" w:eastAsia="en-US"/>
        </w:rPr>
        <w:t>128-</w:t>
      </w:r>
      <w:r w:rsidR="002C6C47" w:rsidRPr="00556791">
        <w:rPr>
          <w:rFonts w:eastAsia="Calibri"/>
          <w:lang w:val="en-US" w:eastAsia="en-US"/>
        </w:rPr>
        <w:t>1</w:t>
      </w:r>
      <w:r w:rsidRPr="00556791">
        <w:rPr>
          <w:rFonts w:eastAsia="Calibri"/>
          <w:lang w:val="en-US" w:eastAsia="en-US"/>
        </w:rPr>
        <w:t>33.</w:t>
      </w:r>
      <w:r w:rsidRPr="00B33A7D">
        <w:rPr>
          <w:rFonts w:eastAsia="Calibri"/>
          <w:lang w:val="en-US" w:eastAsia="en-US"/>
        </w:rPr>
        <w:t xml:space="preserve"> </w:t>
      </w:r>
    </w:p>
    <w:p w14:paraId="15928BDD" w14:textId="77777777" w:rsidR="00C57E01" w:rsidRPr="00B33A7D" w:rsidRDefault="002C6C47" w:rsidP="00C57E01">
      <w:pPr>
        <w:autoSpaceDE w:val="0"/>
        <w:autoSpaceDN w:val="0"/>
        <w:adjustRightInd w:val="0"/>
        <w:spacing w:line="480" w:lineRule="auto"/>
        <w:jc w:val="both"/>
        <w:rPr>
          <w:rFonts w:eastAsia="Calibri"/>
          <w:lang w:val="en-US" w:eastAsia="en-US"/>
        </w:rPr>
      </w:pPr>
      <w:proofErr w:type="gramStart"/>
      <w:r w:rsidRPr="00556791">
        <w:rPr>
          <w:rFonts w:eastAsia="Calibri"/>
          <w:lang w:val="en-US" w:eastAsia="en-US"/>
        </w:rPr>
        <w:t xml:space="preserve">Watson, R., </w:t>
      </w:r>
      <w:proofErr w:type="spellStart"/>
      <w:r w:rsidRPr="00556791">
        <w:rPr>
          <w:rFonts w:eastAsia="Calibri"/>
          <w:lang w:val="en-US" w:eastAsia="en-US"/>
        </w:rPr>
        <w:t>Deary</w:t>
      </w:r>
      <w:proofErr w:type="spellEnd"/>
      <w:r w:rsidRPr="00556791">
        <w:rPr>
          <w:rFonts w:eastAsia="Calibri"/>
          <w:lang w:val="en-US" w:eastAsia="en-US"/>
        </w:rPr>
        <w:t xml:space="preserve">, I., Thompson, D. </w:t>
      </w:r>
      <w:r w:rsidRPr="006657CE">
        <w:rPr>
          <w:lang w:val="en-US"/>
        </w:rPr>
        <w:t>&amp;</w:t>
      </w:r>
      <w:r w:rsidR="00C57E01" w:rsidRPr="00556791">
        <w:rPr>
          <w:rFonts w:eastAsia="Calibri"/>
          <w:lang w:val="en-US" w:eastAsia="en-US"/>
        </w:rPr>
        <w:t xml:space="preserve"> Li</w:t>
      </w:r>
      <w:r w:rsidRPr="00556791">
        <w:rPr>
          <w:rFonts w:eastAsia="Calibri"/>
          <w:lang w:val="en-US" w:eastAsia="en-US"/>
        </w:rPr>
        <w:t>,</w:t>
      </w:r>
      <w:r w:rsidR="00C57E01" w:rsidRPr="00556791">
        <w:rPr>
          <w:rFonts w:eastAsia="Calibri"/>
          <w:lang w:val="en-US" w:eastAsia="en-US"/>
        </w:rPr>
        <w:t xml:space="preserve"> G.</w:t>
      </w:r>
      <w:r w:rsidRPr="00556791">
        <w:rPr>
          <w:rFonts w:eastAsia="Calibri"/>
          <w:lang w:val="en-US" w:eastAsia="en-US"/>
        </w:rPr>
        <w:t xml:space="preserve"> (2008).</w:t>
      </w:r>
      <w:proofErr w:type="gramEnd"/>
      <w:r w:rsidR="00C57E01" w:rsidRPr="00556791">
        <w:rPr>
          <w:rFonts w:eastAsia="Calibri"/>
          <w:lang w:val="en-US" w:eastAsia="en-US"/>
        </w:rPr>
        <w:t xml:space="preserve"> A study of stress and burnout in nursing students in Hong Kong: A questionnaire survey.</w:t>
      </w:r>
      <w:r w:rsidR="00C57E01" w:rsidRPr="00556791">
        <w:rPr>
          <w:lang w:val="en-US"/>
        </w:rPr>
        <w:t xml:space="preserve"> </w:t>
      </w:r>
      <w:proofErr w:type="gramStart"/>
      <w:r w:rsidRPr="00556791">
        <w:rPr>
          <w:rFonts w:eastAsia="Calibri"/>
          <w:lang w:val="en-US" w:eastAsia="en-US"/>
        </w:rPr>
        <w:t>I</w:t>
      </w:r>
      <w:r w:rsidRPr="00556791">
        <w:rPr>
          <w:rFonts w:eastAsia="Calibri"/>
          <w:i/>
          <w:lang w:val="en-US" w:eastAsia="en-US"/>
        </w:rPr>
        <w:t>nternational Journal of Nursing Studies</w:t>
      </w:r>
      <w:r w:rsidR="00C57E01" w:rsidRPr="00556791">
        <w:rPr>
          <w:rFonts w:eastAsia="Calibri"/>
          <w:lang w:val="en-US" w:eastAsia="en-US"/>
        </w:rPr>
        <w:t>.</w:t>
      </w:r>
      <w:proofErr w:type="gramEnd"/>
      <w:r w:rsidR="00C57E01" w:rsidRPr="00556791">
        <w:rPr>
          <w:rFonts w:eastAsia="Calibri"/>
          <w:lang w:val="en-US" w:eastAsia="en-US"/>
        </w:rPr>
        <w:t xml:space="preserve"> </w:t>
      </w:r>
      <w:r w:rsidRPr="00556791">
        <w:rPr>
          <w:rFonts w:eastAsia="Calibri"/>
          <w:lang w:val="en-US" w:eastAsia="en-US"/>
        </w:rPr>
        <w:t xml:space="preserve">45(10), </w:t>
      </w:r>
      <w:r w:rsidR="00C57E01" w:rsidRPr="00556791">
        <w:rPr>
          <w:rFonts w:eastAsia="Calibri"/>
          <w:lang w:val="en-US" w:eastAsia="en-US"/>
        </w:rPr>
        <w:t>1534-</w:t>
      </w:r>
      <w:r w:rsidRPr="00556791">
        <w:rPr>
          <w:rFonts w:eastAsia="Calibri"/>
          <w:lang w:val="en-US" w:eastAsia="en-US"/>
        </w:rPr>
        <w:t>15</w:t>
      </w:r>
      <w:r w:rsidR="00C57E01" w:rsidRPr="00556791">
        <w:rPr>
          <w:rFonts w:eastAsia="Calibri"/>
          <w:lang w:val="en-US" w:eastAsia="en-US"/>
        </w:rPr>
        <w:t>42</w:t>
      </w:r>
      <w:r w:rsidR="00C57E01" w:rsidRPr="00B33A7D">
        <w:rPr>
          <w:rFonts w:eastAsia="Calibri"/>
          <w:lang w:val="en-US" w:eastAsia="en-US"/>
        </w:rPr>
        <w:t xml:space="preserve"> </w:t>
      </w:r>
    </w:p>
    <w:p w14:paraId="320C48E5" w14:textId="77777777" w:rsidR="00C57E01" w:rsidRPr="00B33A7D" w:rsidRDefault="00C57E01" w:rsidP="006C419A">
      <w:pPr>
        <w:spacing w:line="480" w:lineRule="auto"/>
        <w:jc w:val="both"/>
        <w:rPr>
          <w:lang w:val="en-US"/>
        </w:rPr>
      </w:pPr>
    </w:p>
    <w:sectPr w:rsidR="00C57E01" w:rsidRPr="00B33A7D" w:rsidSect="00CC6D63">
      <w:headerReference w:type="default" r:id="rId11"/>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718B25" w14:textId="77777777" w:rsidR="004405FD" w:rsidRDefault="004405FD" w:rsidP="007A2C00">
      <w:r>
        <w:separator/>
      </w:r>
    </w:p>
  </w:endnote>
  <w:endnote w:type="continuationSeparator" w:id="0">
    <w:p w14:paraId="6CE8201F" w14:textId="77777777" w:rsidR="004405FD" w:rsidRDefault="004405FD" w:rsidP="007A2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libri Light">
    <w:panose1 w:val="020F0302020204030204"/>
    <w:charset w:val="00"/>
    <w:family w:val="auto"/>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Verdana">
    <w:panose1 w:val="020B0604030504040204"/>
    <w:charset w:val="00"/>
    <w:family w:val="auto"/>
    <w:pitch w:val="variable"/>
    <w:sig w:usb0="A10006FF" w:usb1="4000205B" w:usb2="00000010" w:usb3="00000000" w:csb0="0000019F"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BB7E77" w14:textId="77777777" w:rsidR="004405FD" w:rsidRDefault="004405FD" w:rsidP="007A2C00">
      <w:r>
        <w:separator/>
      </w:r>
    </w:p>
  </w:footnote>
  <w:footnote w:type="continuationSeparator" w:id="0">
    <w:p w14:paraId="7AC85D26" w14:textId="77777777" w:rsidR="004405FD" w:rsidRDefault="004405FD" w:rsidP="007A2C0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4593A2" w14:textId="77777777" w:rsidR="004405FD" w:rsidRDefault="004405FD" w:rsidP="005840B4">
    <w:pPr>
      <w:pStyle w:val="Header"/>
      <w:jc w:val="right"/>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E26B8F"/>
    <w:multiLevelType w:val="hybridMultilevel"/>
    <w:tmpl w:val="2BF81E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481629C2"/>
    <w:multiLevelType w:val="hybridMultilevel"/>
    <w:tmpl w:val="DCAEA79C"/>
    <w:lvl w:ilvl="0" w:tplc="04160001">
      <w:start w:val="68"/>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5CFE3F16"/>
    <w:multiLevelType w:val="hybridMultilevel"/>
    <w:tmpl w:val="3656E28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activeWritingStyle w:appName="MSWord" w:lang="pt-BR" w:vendorID="64" w:dllVersion="131078" w:nlCheck="1" w:checkStyle="0"/>
  <w:activeWritingStyle w:appName="MSWord" w:lang="en-US" w:vendorID="64" w:dllVersion="131078" w:nlCheck="1" w:checkStyle="1"/>
  <w:activeWritingStyle w:appName="MSWord" w:lang="es-ES"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D40"/>
    <w:rsid w:val="000057F3"/>
    <w:rsid w:val="00005920"/>
    <w:rsid w:val="00006399"/>
    <w:rsid w:val="00007EAE"/>
    <w:rsid w:val="00010C76"/>
    <w:rsid w:val="000121F0"/>
    <w:rsid w:val="00012FC4"/>
    <w:rsid w:val="0001318A"/>
    <w:rsid w:val="000153C2"/>
    <w:rsid w:val="00015F75"/>
    <w:rsid w:val="00017193"/>
    <w:rsid w:val="0002422A"/>
    <w:rsid w:val="00024CBC"/>
    <w:rsid w:val="000277F9"/>
    <w:rsid w:val="00030007"/>
    <w:rsid w:val="000302A5"/>
    <w:rsid w:val="00031EB4"/>
    <w:rsid w:val="00033640"/>
    <w:rsid w:val="00033E61"/>
    <w:rsid w:val="0003429B"/>
    <w:rsid w:val="00041CCA"/>
    <w:rsid w:val="00042595"/>
    <w:rsid w:val="00043840"/>
    <w:rsid w:val="000472E2"/>
    <w:rsid w:val="0005653F"/>
    <w:rsid w:val="000567FC"/>
    <w:rsid w:val="00056C62"/>
    <w:rsid w:val="00057731"/>
    <w:rsid w:val="00057AB1"/>
    <w:rsid w:val="0006727B"/>
    <w:rsid w:val="000700D2"/>
    <w:rsid w:val="000706AA"/>
    <w:rsid w:val="000715B1"/>
    <w:rsid w:val="00071B7C"/>
    <w:rsid w:val="00072AB3"/>
    <w:rsid w:val="00073245"/>
    <w:rsid w:val="000757CC"/>
    <w:rsid w:val="00076022"/>
    <w:rsid w:val="00082F49"/>
    <w:rsid w:val="00083107"/>
    <w:rsid w:val="00087178"/>
    <w:rsid w:val="000927E8"/>
    <w:rsid w:val="00094C5C"/>
    <w:rsid w:val="000A6999"/>
    <w:rsid w:val="000A701B"/>
    <w:rsid w:val="000B5263"/>
    <w:rsid w:val="000C0B21"/>
    <w:rsid w:val="000C3AD9"/>
    <w:rsid w:val="000C7962"/>
    <w:rsid w:val="000D116F"/>
    <w:rsid w:val="000D16B4"/>
    <w:rsid w:val="000D3593"/>
    <w:rsid w:val="000D61C1"/>
    <w:rsid w:val="000D636B"/>
    <w:rsid w:val="000E0A00"/>
    <w:rsid w:val="000E15AE"/>
    <w:rsid w:val="000E199D"/>
    <w:rsid w:val="000E279D"/>
    <w:rsid w:val="000F09E2"/>
    <w:rsid w:val="000F191F"/>
    <w:rsid w:val="000F27F6"/>
    <w:rsid w:val="000F3134"/>
    <w:rsid w:val="000F3F3F"/>
    <w:rsid w:val="000F4C8C"/>
    <w:rsid w:val="00100D72"/>
    <w:rsid w:val="00100EFF"/>
    <w:rsid w:val="001013DA"/>
    <w:rsid w:val="00101B82"/>
    <w:rsid w:val="00101E47"/>
    <w:rsid w:val="00104501"/>
    <w:rsid w:val="001047FA"/>
    <w:rsid w:val="001048B4"/>
    <w:rsid w:val="00105FA1"/>
    <w:rsid w:val="0010755F"/>
    <w:rsid w:val="0011107D"/>
    <w:rsid w:val="001110B6"/>
    <w:rsid w:val="00115F74"/>
    <w:rsid w:val="00116D2E"/>
    <w:rsid w:val="00120FCF"/>
    <w:rsid w:val="00120FF6"/>
    <w:rsid w:val="001220C1"/>
    <w:rsid w:val="0012218F"/>
    <w:rsid w:val="001225D0"/>
    <w:rsid w:val="00124392"/>
    <w:rsid w:val="00131AAB"/>
    <w:rsid w:val="00131AE7"/>
    <w:rsid w:val="00132071"/>
    <w:rsid w:val="0013279C"/>
    <w:rsid w:val="00135121"/>
    <w:rsid w:val="00135E12"/>
    <w:rsid w:val="00140526"/>
    <w:rsid w:val="0014164E"/>
    <w:rsid w:val="0014328B"/>
    <w:rsid w:val="00146E5B"/>
    <w:rsid w:val="00151870"/>
    <w:rsid w:val="00151E25"/>
    <w:rsid w:val="001522C2"/>
    <w:rsid w:val="001529BE"/>
    <w:rsid w:val="00153C1E"/>
    <w:rsid w:val="00154A49"/>
    <w:rsid w:val="00156FCB"/>
    <w:rsid w:val="001615A3"/>
    <w:rsid w:val="0016261A"/>
    <w:rsid w:val="001634D0"/>
    <w:rsid w:val="0016479C"/>
    <w:rsid w:val="00164B64"/>
    <w:rsid w:val="00165DBE"/>
    <w:rsid w:val="001739EA"/>
    <w:rsid w:val="00173AB6"/>
    <w:rsid w:val="00173D3C"/>
    <w:rsid w:val="00174342"/>
    <w:rsid w:val="0017506C"/>
    <w:rsid w:val="00184287"/>
    <w:rsid w:val="00185102"/>
    <w:rsid w:val="0018518D"/>
    <w:rsid w:val="00186207"/>
    <w:rsid w:val="0019241F"/>
    <w:rsid w:val="00192EE0"/>
    <w:rsid w:val="00193EDD"/>
    <w:rsid w:val="001950AE"/>
    <w:rsid w:val="00195759"/>
    <w:rsid w:val="001A2D97"/>
    <w:rsid w:val="001A3779"/>
    <w:rsid w:val="001A3A6E"/>
    <w:rsid w:val="001A3E83"/>
    <w:rsid w:val="001B0EDB"/>
    <w:rsid w:val="001B37CD"/>
    <w:rsid w:val="001B6C13"/>
    <w:rsid w:val="001B7553"/>
    <w:rsid w:val="001B76DC"/>
    <w:rsid w:val="001B76E9"/>
    <w:rsid w:val="001C02CE"/>
    <w:rsid w:val="001C074E"/>
    <w:rsid w:val="001C1E91"/>
    <w:rsid w:val="001C4EC3"/>
    <w:rsid w:val="001C58C4"/>
    <w:rsid w:val="001C5BC6"/>
    <w:rsid w:val="001C782E"/>
    <w:rsid w:val="001D2C0B"/>
    <w:rsid w:val="001D3559"/>
    <w:rsid w:val="001D448D"/>
    <w:rsid w:val="001D5FC4"/>
    <w:rsid w:val="001D62D6"/>
    <w:rsid w:val="001D63E2"/>
    <w:rsid w:val="001E0CE1"/>
    <w:rsid w:val="001E7B51"/>
    <w:rsid w:val="001E7F10"/>
    <w:rsid w:val="001F2D58"/>
    <w:rsid w:val="001F3CA9"/>
    <w:rsid w:val="001F6823"/>
    <w:rsid w:val="001F7740"/>
    <w:rsid w:val="00204AC3"/>
    <w:rsid w:val="00204DCE"/>
    <w:rsid w:val="002079F8"/>
    <w:rsid w:val="00207E29"/>
    <w:rsid w:val="00215572"/>
    <w:rsid w:val="00216301"/>
    <w:rsid w:val="00220836"/>
    <w:rsid w:val="00221FE2"/>
    <w:rsid w:val="002230CE"/>
    <w:rsid w:val="00223E89"/>
    <w:rsid w:val="00223F32"/>
    <w:rsid w:val="002244AE"/>
    <w:rsid w:val="00225809"/>
    <w:rsid w:val="00226000"/>
    <w:rsid w:val="002311C6"/>
    <w:rsid w:val="00234FE5"/>
    <w:rsid w:val="00241880"/>
    <w:rsid w:val="00243282"/>
    <w:rsid w:val="0024394C"/>
    <w:rsid w:val="00245256"/>
    <w:rsid w:val="002452D8"/>
    <w:rsid w:val="002454EE"/>
    <w:rsid w:val="0024783E"/>
    <w:rsid w:val="00250EA3"/>
    <w:rsid w:val="002511AB"/>
    <w:rsid w:val="002532C9"/>
    <w:rsid w:val="0025510C"/>
    <w:rsid w:val="00255AB9"/>
    <w:rsid w:val="00256054"/>
    <w:rsid w:val="00260193"/>
    <w:rsid w:val="00261EDE"/>
    <w:rsid w:val="00264BB7"/>
    <w:rsid w:val="00267194"/>
    <w:rsid w:val="00267B70"/>
    <w:rsid w:val="00271321"/>
    <w:rsid w:val="00271410"/>
    <w:rsid w:val="00272483"/>
    <w:rsid w:val="00274AD0"/>
    <w:rsid w:val="002769F8"/>
    <w:rsid w:val="00280710"/>
    <w:rsid w:val="00283CAD"/>
    <w:rsid w:val="00284B7A"/>
    <w:rsid w:val="002851C9"/>
    <w:rsid w:val="00285CD0"/>
    <w:rsid w:val="00290342"/>
    <w:rsid w:val="00291718"/>
    <w:rsid w:val="00293923"/>
    <w:rsid w:val="00295197"/>
    <w:rsid w:val="002960F5"/>
    <w:rsid w:val="002963C0"/>
    <w:rsid w:val="0029744A"/>
    <w:rsid w:val="002978BC"/>
    <w:rsid w:val="002A02C2"/>
    <w:rsid w:val="002A117C"/>
    <w:rsid w:val="002A29FC"/>
    <w:rsid w:val="002A5248"/>
    <w:rsid w:val="002A52A1"/>
    <w:rsid w:val="002A7FE2"/>
    <w:rsid w:val="002B0C1F"/>
    <w:rsid w:val="002B1257"/>
    <w:rsid w:val="002B34AD"/>
    <w:rsid w:val="002B702C"/>
    <w:rsid w:val="002C44AE"/>
    <w:rsid w:val="002C6C47"/>
    <w:rsid w:val="002D187F"/>
    <w:rsid w:val="002D47D9"/>
    <w:rsid w:val="002D48C2"/>
    <w:rsid w:val="002D64AF"/>
    <w:rsid w:val="002D6A5E"/>
    <w:rsid w:val="002E1D45"/>
    <w:rsid w:val="002F02E1"/>
    <w:rsid w:val="002F1206"/>
    <w:rsid w:val="002F1C93"/>
    <w:rsid w:val="002F22B1"/>
    <w:rsid w:val="002F2A65"/>
    <w:rsid w:val="002F59A9"/>
    <w:rsid w:val="002F7584"/>
    <w:rsid w:val="00307BA7"/>
    <w:rsid w:val="003115BF"/>
    <w:rsid w:val="00312185"/>
    <w:rsid w:val="003127D0"/>
    <w:rsid w:val="0031388A"/>
    <w:rsid w:val="0031467F"/>
    <w:rsid w:val="00314A2F"/>
    <w:rsid w:val="003151FD"/>
    <w:rsid w:val="003154FB"/>
    <w:rsid w:val="003213BA"/>
    <w:rsid w:val="00322C43"/>
    <w:rsid w:val="003245F0"/>
    <w:rsid w:val="00326638"/>
    <w:rsid w:val="0033431E"/>
    <w:rsid w:val="00334D47"/>
    <w:rsid w:val="00334D4A"/>
    <w:rsid w:val="00335D08"/>
    <w:rsid w:val="00336002"/>
    <w:rsid w:val="00336D0C"/>
    <w:rsid w:val="00340266"/>
    <w:rsid w:val="003414E0"/>
    <w:rsid w:val="00342271"/>
    <w:rsid w:val="003450F7"/>
    <w:rsid w:val="00345376"/>
    <w:rsid w:val="00345915"/>
    <w:rsid w:val="003544AC"/>
    <w:rsid w:val="00355F25"/>
    <w:rsid w:val="0036160D"/>
    <w:rsid w:val="003632A8"/>
    <w:rsid w:val="00363DB0"/>
    <w:rsid w:val="003643F2"/>
    <w:rsid w:val="003667DA"/>
    <w:rsid w:val="003669BA"/>
    <w:rsid w:val="00366D71"/>
    <w:rsid w:val="00367B0F"/>
    <w:rsid w:val="003713E4"/>
    <w:rsid w:val="00371838"/>
    <w:rsid w:val="0037714D"/>
    <w:rsid w:val="00377D86"/>
    <w:rsid w:val="00380B45"/>
    <w:rsid w:val="00387331"/>
    <w:rsid w:val="00387FFC"/>
    <w:rsid w:val="00393831"/>
    <w:rsid w:val="003A2FC3"/>
    <w:rsid w:val="003A3664"/>
    <w:rsid w:val="003A3C8F"/>
    <w:rsid w:val="003A602F"/>
    <w:rsid w:val="003A6B2F"/>
    <w:rsid w:val="003B1AE0"/>
    <w:rsid w:val="003B30DD"/>
    <w:rsid w:val="003B6674"/>
    <w:rsid w:val="003C0BB0"/>
    <w:rsid w:val="003C1164"/>
    <w:rsid w:val="003C1441"/>
    <w:rsid w:val="003C3977"/>
    <w:rsid w:val="003C3E57"/>
    <w:rsid w:val="003C519F"/>
    <w:rsid w:val="003C54CC"/>
    <w:rsid w:val="003C7D36"/>
    <w:rsid w:val="003D01B5"/>
    <w:rsid w:val="003D6665"/>
    <w:rsid w:val="003E3F3B"/>
    <w:rsid w:val="003E49C2"/>
    <w:rsid w:val="003E5ABF"/>
    <w:rsid w:val="003E6C59"/>
    <w:rsid w:val="003E708F"/>
    <w:rsid w:val="003F01A8"/>
    <w:rsid w:val="003F197B"/>
    <w:rsid w:val="003F1CAA"/>
    <w:rsid w:val="003F34F0"/>
    <w:rsid w:val="003F7756"/>
    <w:rsid w:val="00400093"/>
    <w:rsid w:val="00405A5A"/>
    <w:rsid w:val="00405C80"/>
    <w:rsid w:val="004067FF"/>
    <w:rsid w:val="00406F7E"/>
    <w:rsid w:val="004122CF"/>
    <w:rsid w:val="00412471"/>
    <w:rsid w:val="00414F93"/>
    <w:rsid w:val="004152B8"/>
    <w:rsid w:val="004160C1"/>
    <w:rsid w:val="0041694F"/>
    <w:rsid w:val="00420E54"/>
    <w:rsid w:val="00421A8F"/>
    <w:rsid w:val="00421E3B"/>
    <w:rsid w:val="004225C5"/>
    <w:rsid w:val="0042322D"/>
    <w:rsid w:val="004239AD"/>
    <w:rsid w:val="0042579A"/>
    <w:rsid w:val="004316B5"/>
    <w:rsid w:val="0043309E"/>
    <w:rsid w:val="0043367C"/>
    <w:rsid w:val="0043437B"/>
    <w:rsid w:val="00435365"/>
    <w:rsid w:val="004357CC"/>
    <w:rsid w:val="00436585"/>
    <w:rsid w:val="004366EF"/>
    <w:rsid w:val="00436C7F"/>
    <w:rsid w:val="00437986"/>
    <w:rsid w:val="004405FD"/>
    <w:rsid w:val="0044181B"/>
    <w:rsid w:val="00442621"/>
    <w:rsid w:val="0044312E"/>
    <w:rsid w:val="00445DBC"/>
    <w:rsid w:val="004467E3"/>
    <w:rsid w:val="0044682C"/>
    <w:rsid w:val="00446C06"/>
    <w:rsid w:val="004525BE"/>
    <w:rsid w:val="004529FE"/>
    <w:rsid w:val="00461F5C"/>
    <w:rsid w:val="00464B3C"/>
    <w:rsid w:val="00467B4D"/>
    <w:rsid w:val="00470F7F"/>
    <w:rsid w:val="00471540"/>
    <w:rsid w:val="00472ECA"/>
    <w:rsid w:val="0047328B"/>
    <w:rsid w:val="0047723B"/>
    <w:rsid w:val="0047730D"/>
    <w:rsid w:val="00481A04"/>
    <w:rsid w:val="0048499E"/>
    <w:rsid w:val="0048513C"/>
    <w:rsid w:val="004863C4"/>
    <w:rsid w:val="004924B5"/>
    <w:rsid w:val="00497E93"/>
    <w:rsid w:val="004A055E"/>
    <w:rsid w:val="004A5492"/>
    <w:rsid w:val="004A725F"/>
    <w:rsid w:val="004B2D6B"/>
    <w:rsid w:val="004B4446"/>
    <w:rsid w:val="004B6ACD"/>
    <w:rsid w:val="004C475A"/>
    <w:rsid w:val="004C4DAC"/>
    <w:rsid w:val="004C6BA3"/>
    <w:rsid w:val="004C7091"/>
    <w:rsid w:val="004D19C4"/>
    <w:rsid w:val="004D1C1F"/>
    <w:rsid w:val="004D1E44"/>
    <w:rsid w:val="004D4BD0"/>
    <w:rsid w:val="004E5E9C"/>
    <w:rsid w:val="004E701F"/>
    <w:rsid w:val="004E70EF"/>
    <w:rsid w:val="004E7EF2"/>
    <w:rsid w:val="004F1C1A"/>
    <w:rsid w:val="004F4E77"/>
    <w:rsid w:val="004F709D"/>
    <w:rsid w:val="004F727C"/>
    <w:rsid w:val="00500F42"/>
    <w:rsid w:val="005040E3"/>
    <w:rsid w:val="00504788"/>
    <w:rsid w:val="0050729B"/>
    <w:rsid w:val="00510DD2"/>
    <w:rsid w:val="005110F5"/>
    <w:rsid w:val="00511CB4"/>
    <w:rsid w:val="0051273C"/>
    <w:rsid w:val="00513B44"/>
    <w:rsid w:val="00514463"/>
    <w:rsid w:val="00520FAA"/>
    <w:rsid w:val="005215B5"/>
    <w:rsid w:val="00522E0B"/>
    <w:rsid w:val="00522F0C"/>
    <w:rsid w:val="00524BAF"/>
    <w:rsid w:val="005251BC"/>
    <w:rsid w:val="00525610"/>
    <w:rsid w:val="005300C5"/>
    <w:rsid w:val="00532C34"/>
    <w:rsid w:val="0053478C"/>
    <w:rsid w:val="00534883"/>
    <w:rsid w:val="0053489C"/>
    <w:rsid w:val="005358F0"/>
    <w:rsid w:val="00536526"/>
    <w:rsid w:val="00536CB6"/>
    <w:rsid w:val="00543A75"/>
    <w:rsid w:val="00543E6F"/>
    <w:rsid w:val="005474F6"/>
    <w:rsid w:val="00550159"/>
    <w:rsid w:val="00551142"/>
    <w:rsid w:val="005535D4"/>
    <w:rsid w:val="005545F5"/>
    <w:rsid w:val="00555B32"/>
    <w:rsid w:val="00556791"/>
    <w:rsid w:val="00560305"/>
    <w:rsid w:val="00560579"/>
    <w:rsid w:val="00560A58"/>
    <w:rsid w:val="0056151A"/>
    <w:rsid w:val="00561542"/>
    <w:rsid w:val="00562643"/>
    <w:rsid w:val="005637F3"/>
    <w:rsid w:val="00565EC4"/>
    <w:rsid w:val="0056740F"/>
    <w:rsid w:val="00567535"/>
    <w:rsid w:val="00567E25"/>
    <w:rsid w:val="00571FDB"/>
    <w:rsid w:val="00572946"/>
    <w:rsid w:val="00572EE2"/>
    <w:rsid w:val="005736C1"/>
    <w:rsid w:val="00574AD9"/>
    <w:rsid w:val="005840B4"/>
    <w:rsid w:val="00584AE7"/>
    <w:rsid w:val="00585ACB"/>
    <w:rsid w:val="0058686D"/>
    <w:rsid w:val="00590793"/>
    <w:rsid w:val="00591D5B"/>
    <w:rsid w:val="005931FB"/>
    <w:rsid w:val="00594295"/>
    <w:rsid w:val="00596554"/>
    <w:rsid w:val="00597B2E"/>
    <w:rsid w:val="005A0EE0"/>
    <w:rsid w:val="005A1C27"/>
    <w:rsid w:val="005A1EE8"/>
    <w:rsid w:val="005A2148"/>
    <w:rsid w:val="005A357F"/>
    <w:rsid w:val="005A4470"/>
    <w:rsid w:val="005B0AA4"/>
    <w:rsid w:val="005B1735"/>
    <w:rsid w:val="005B52B1"/>
    <w:rsid w:val="005B6793"/>
    <w:rsid w:val="005B6F08"/>
    <w:rsid w:val="005B77B2"/>
    <w:rsid w:val="005B7D73"/>
    <w:rsid w:val="005C0E4D"/>
    <w:rsid w:val="005C106A"/>
    <w:rsid w:val="005C1227"/>
    <w:rsid w:val="005C42B3"/>
    <w:rsid w:val="005C4FD9"/>
    <w:rsid w:val="005C61C5"/>
    <w:rsid w:val="005C6523"/>
    <w:rsid w:val="005C6D0E"/>
    <w:rsid w:val="005D27B9"/>
    <w:rsid w:val="005D6CBF"/>
    <w:rsid w:val="005D7A04"/>
    <w:rsid w:val="005E32DE"/>
    <w:rsid w:val="005E438C"/>
    <w:rsid w:val="005E5FA3"/>
    <w:rsid w:val="005E63B9"/>
    <w:rsid w:val="005F149E"/>
    <w:rsid w:val="005F7EF0"/>
    <w:rsid w:val="0060279E"/>
    <w:rsid w:val="00602976"/>
    <w:rsid w:val="00604759"/>
    <w:rsid w:val="00606024"/>
    <w:rsid w:val="00622DE3"/>
    <w:rsid w:val="0062361B"/>
    <w:rsid w:val="006248BD"/>
    <w:rsid w:val="0063239C"/>
    <w:rsid w:val="006333D1"/>
    <w:rsid w:val="00635F86"/>
    <w:rsid w:val="006365F7"/>
    <w:rsid w:val="006417AF"/>
    <w:rsid w:val="00643C11"/>
    <w:rsid w:val="00644DC6"/>
    <w:rsid w:val="0065369B"/>
    <w:rsid w:val="006555B9"/>
    <w:rsid w:val="0065575F"/>
    <w:rsid w:val="00655C9F"/>
    <w:rsid w:val="00656A1C"/>
    <w:rsid w:val="00661AF0"/>
    <w:rsid w:val="00662D59"/>
    <w:rsid w:val="006657CE"/>
    <w:rsid w:val="00665A3D"/>
    <w:rsid w:val="006679DC"/>
    <w:rsid w:val="006702D7"/>
    <w:rsid w:val="006707E1"/>
    <w:rsid w:val="0067109A"/>
    <w:rsid w:val="00671127"/>
    <w:rsid w:val="00671DF4"/>
    <w:rsid w:val="0067263B"/>
    <w:rsid w:val="0067441E"/>
    <w:rsid w:val="00675714"/>
    <w:rsid w:val="0067605C"/>
    <w:rsid w:val="0067746F"/>
    <w:rsid w:val="00677F18"/>
    <w:rsid w:val="00680CE7"/>
    <w:rsid w:val="00685115"/>
    <w:rsid w:val="0068573B"/>
    <w:rsid w:val="006861FD"/>
    <w:rsid w:val="00692589"/>
    <w:rsid w:val="00693368"/>
    <w:rsid w:val="00694A9D"/>
    <w:rsid w:val="00695215"/>
    <w:rsid w:val="00697F8B"/>
    <w:rsid w:val="006A1CEA"/>
    <w:rsid w:val="006A2897"/>
    <w:rsid w:val="006A3896"/>
    <w:rsid w:val="006A5EC3"/>
    <w:rsid w:val="006A7D4C"/>
    <w:rsid w:val="006B30E7"/>
    <w:rsid w:val="006C0E02"/>
    <w:rsid w:val="006C25C4"/>
    <w:rsid w:val="006C338B"/>
    <w:rsid w:val="006C3C60"/>
    <w:rsid w:val="006C419A"/>
    <w:rsid w:val="006C4FB8"/>
    <w:rsid w:val="006C788F"/>
    <w:rsid w:val="006D001A"/>
    <w:rsid w:val="006D0903"/>
    <w:rsid w:val="006D122A"/>
    <w:rsid w:val="006D1D75"/>
    <w:rsid w:val="006D2D3C"/>
    <w:rsid w:val="006D33BF"/>
    <w:rsid w:val="006D58EA"/>
    <w:rsid w:val="006D6CE9"/>
    <w:rsid w:val="006D6E49"/>
    <w:rsid w:val="006D7B5F"/>
    <w:rsid w:val="006D7E72"/>
    <w:rsid w:val="006E11D8"/>
    <w:rsid w:val="006E4BCD"/>
    <w:rsid w:val="006E55E8"/>
    <w:rsid w:val="006E65EF"/>
    <w:rsid w:val="006E7639"/>
    <w:rsid w:val="006F1613"/>
    <w:rsid w:val="006F4C74"/>
    <w:rsid w:val="006F74B8"/>
    <w:rsid w:val="006F7A2B"/>
    <w:rsid w:val="00701CAA"/>
    <w:rsid w:val="00702704"/>
    <w:rsid w:val="00712183"/>
    <w:rsid w:val="00712472"/>
    <w:rsid w:val="00713440"/>
    <w:rsid w:val="00714363"/>
    <w:rsid w:val="00714C3D"/>
    <w:rsid w:val="0071527B"/>
    <w:rsid w:val="00716275"/>
    <w:rsid w:val="007210A8"/>
    <w:rsid w:val="007215CB"/>
    <w:rsid w:val="00722E7C"/>
    <w:rsid w:val="00723EEA"/>
    <w:rsid w:val="007254BB"/>
    <w:rsid w:val="00726EB3"/>
    <w:rsid w:val="00730262"/>
    <w:rsid w:val="007305F9"/>
    <w:rsid w:val="00732186"/>
    <w:rsid w:val="0073239C"/>
    <w:rsid w:val="00732AD5"/>
    <w:rsid w:val="007343AE"/>
    <w:rsid w:val="00735A8F"/>
    <w:rsid w:val="007377FC"/>
    <w:rsid w:val="00737FD4"/>
    <w:rsid w:val="00744314"/>
    <w:rsid w:val="0074782A"/>
    <w:rsid w:val="0075099A"/>
    <w:rsid w:val="00756F89"/>
    <w:rsid w:val="007600A4"/>
    <w:rsid w:val="00761BA3"/>
    <w:rsid w:val="00764F2A"/>
    <w:rsid w:val="007656C7"/>
    <w:rsid w:val="00765BBB"/>
    <w:rsid w:val="007675A2"/>
    <w:rsid w:val="007679B4"/>
    <w:rsid w:val="007714ED"/>
    <w:rsid w:val="00771D4E"/>
    <w:rsid w:val="007727C1"/>
    <w:rsid w:val="007731F5"/>
    <w:rsid w:val="00773A16"/>
    <w:rsid w:val="00776964"/>
    <w:rsid w:val="00781DB6"/>
    <w:rsid w:val="00782BF9"/>
    <w:rsid w:val="00792083"/>
    <w:rsid w:val="00792864"/>
    <w:rsid w:val="0079336F"/>
    <w:rsid w:val="00795137"/>
    <w:rsid w:val="00795C87"/>
    <w:rsid w:val="007964FB"/>
    <w:rsid w:val="007A203E"/>
    <w:rsid w:val="007A2B5A"/>
    <w:rsid w:val="007A2C00"/>
    <w:rsid w:val="007A460F"/>
    <w:rsid w:val="007A6707"/>
    <w:rsid w:val="007B1FE0"/>
    <w:rsid w:val="007B2AA4"/>
    <w:rsid w:val="007B4EC3"/>
    <w:rsid w:val="007B6A02"/>
    <w:rsid w:val="007C3A70"/>
    <w:rsid w:val="007C4D86"/>
    <w:rsid w:val="007C56DD"/>
    <w:rsid w:val="007C7360"/>
    <w:rsid w:val="007C79F0"/>
    <w:rsid w:val="007D038B"/>
    <w:rsid w:val="007D0BFF"/>
    <w:rsid w:val="007D2781"/>
    <w:rsid w:val="007D2F32"/>
    <w:rsid w:val="007D439B"/>
    <w:rsid w:val="007D5396"/>
    <w:rsid w:val="007D579B"/>
    <w:rsid w:val="007E016A"/>
    <w:rsid w:val="007E0547"/>
    <w:rsid w:val="007E0615"/>
    <w:rsid w:val="007E1449"/>
    <w:rsid w:val="007E2426"/>
    <w:rsid w:val="007E2615"/>
    <w:rsid w:val="007E32BC"/>
    <w:rsid w:val="007E73D6"/>
    <w:rsid w:val="007E7C82"/>
    <w:rsid w:val="007F1192"/>
    <w:rsid w:val="007F4E25"/>
    <w:rsid w:val="007F4F32"/>
    <w:rsid w:val="007F5ADE"/>
    <w:rsid w:val="007F6182"/>
    <w:rsid w:val="007F640C"/>
    <w:rsid w:val="007F6E50"/>
    <w:rsid w:val="0080161A"/>
    <w:rsid w:val="00801773"/>
    <w:rsid w:val="00802453"/>
    <w:rsid w:val="00805198"/>
    <w:rsid w:val="008055FD"/>
    <w:rsid w:val="00806548"/>
    <w:rsid w:val="00810F1E"/>
    <w:rsid w:val="00811D99"/>
    <w:rsid w:val="00814056"/>
    <w:rsid w:val="008142B8"/>
    <w:rsid w:val="008157A6"/>
    <w:rsid w:val="008213F2"/>
    <w:rsid w:val="008220A9"/>
    <w:rsid w:val="008220C6"/>
    <w:rsid w:val="008221DF"/>
    <w:rsid w:val="0082238A"/>
    <w:rsid w:val="0082552D"/>
    <w:rsid w:val="008259CB"/>
    <w:rsid w:val="00825A89"/>
    <w:rsid w:val="00827A35"/>
    <w:rsid w:val="0083060E"/>
    <w:rsid w:val="0083213C"/>
    <w:rsid w:val="00837840"/>
    <w:rsid w:val="008378C8"/>
    <w:rsid w:val="0084050E"/>
    <w:rsid w:val="00840A09"/>
    <w:rsid w:val="00840F21"/>
    <w:rsid w:val="008422D0"/>
    <w:rsid w:val="00845592"/>
    <w:rsid w:val="00845909"/>
    <w:rsid w:val="008476E0"/>
    <w:rsid w:val="0085064F"/>
    <w:rsid w:val="00860499"/>
    <w:rsid w:val="0086062A"/>
    <w:rsid w:val="00862288"/>
    <w:rsid w:val="0086363E"/>
    <w:rsid w:val="00865087"/>
    <w:rsid w:val="008659FF"/>
    <w:rsid w:val="00865FB8"/>
    <w:rsid w:val="00866B20"/>
    <w:rsid w:val="008677BD"/>
    <w:rsid w:val="008701FB"/>
    <w:rsid w:val="00873047"/>
    <w:rsid w:val="00875FFE"/>
    <w:rsid w:val="00877B9C"/>
    <w:rsid w:val="00877FF5"/>
    <w:rsid w:val="008803E4"/>
    <w:rsid w:val="00881009"/>
    <w:rsid w:val="008822AE"/>
    <w:rsid w:val="00882B4B"/>
    <w:rsid w:val="00884360"/>
    <w:rsid w:val="00885179"/>
    <w:rsid w:val="00896E9E"/>
    <w:rsid w:val="008A4D48"/>
    <w:rsid w:val="008B074A"/>
    <w:rsid w:val="008B0CF9"/>
    <w:rsid w:val="008B7E29"/>
    <w:rsid w:val="008C0BCA"/>
    <w:rsid w:val="008C490D"/>
    <w:rsid w:val="008C4DFA"/>
    <w:rsid w:val="008C51A3"/>
    <w:rsid w:val="008C69D6"/>
    <w:rsid w:val="008D0DFC"/>
    <w:rsid w:val="008D1C11"/>
    <w:rsid w:val="008D36E6"/>
    <w:rsid w:val="008D3923"/>
    <w:rsid w:val="008D393A"/>
    <w:rsid w:val="008D412C"/>
    <w:rsid w:val="008D4C83"/>
    <w:rsid w:val="008D57D0"/>
    <w:rsid w:val="008E0118"/>
    <w:rsid w:val="008E3552"/>
    <w:rsid w:val="008E3DA2"/>
    <w:rsid w:val="008E3DB2"/>
    <w:rsid w:val="008E6C69"/>
    <w:rsid w:val="008E7987"/>
    <w:rsid w:val="008E7AF7"/>
    <w:rsid w:val="008F7959"/>
    <w:rsid w:val="00904A1A"/>
    <w:rsid w:val="00905B38"/>
    <w:rsid w:val="00913DE1"/>
    <w:rsid w:val="009205E7"/>
    <w:rsid w:val="00920912"/>
    <w:rsid w:val="00921FD9"/>
    <w:rsid w:val="00924DC7"/>
    <w:rsid w:val="00925EDF"/>
    <w:rsid w:val="00927EC6"/>
    <w:rsid w:val="009336A4"/>
    <w:rsid w:val="0093499A"/>
    <w:rsid w:val="00935801"/>
    <w:rsid w:val="00935DB8"/>
    <w:rsid w:val="00940A72"/>
    <w:rsid w:val="0094189C"/>
    <w:rsid w:val="00942338"/>
    <w:rsid w:val="00943504"/>
    <w:rsid w:val="0094590E"/>
    <w:rsid w:val="009465D2"/>
    <w:rsid w:val="0095058E"/>
    <w:rsid w:val="00950F87"/>
    <w:rsid w:val="00952AF0"/>
    <w:rsid w:val="00953C22"/>
    <w:rsid w:val="0095474A"/>
    <w:rsid w:val="00954B88"/>
    <w:rsid w:val="009568C4"/>
    <w:rsid w:val="0096370F"/>
    <w:rsid w:val="00963806"/>
    <w:rsid w:val="009647B9"/>
    <w:rsid w:val="00965BDC"/>
    <w:rsid w:val="00966EC7"/>
    <w:rsid w:val="00966F77"/>
    <w:rsid w:val="00967D52"/>
    <w:rsid w:val="0097483F"/>
    <w:rsid w:val="0098006D"/>
    <w:rsid w:val="009806B8"/>
    <w:rsid w:val="00984F48"/>
    <w:rsid w:val="0098657D"/>
    <w:rsid w:val="009903F1"/>
    <w:rsid w:val="00997C2D"/>
    <w:rsid w:val="009A375C"/>
    <w:rsid w:val="009A4CA5"/>
    <w:rsid w:val="009A6049"/>
    <w:rsid w:val="009A68B7"/>
    <w:rsid w:val="009A7738"/>
    <w:rsid w:val="009A7B7F"/>
    <w:rsid w:val="009A7C39"/>
    <w:rsid w:val="009B1A7F"/>
    <w:rsid w:val="009B21CA"/>
    <w:rsid w:val="009B2F13"/>
    <w:rsid w:val="009B3A85"/>
    <w:rsid w:val="009B56A2"/>
    <w:rsid w:val="009B5D9A"/>
    <w:rsid w:val="009C0B4C"/>
    <w:rsid w:val="009C297A"/>
    <w:rsid w:val="009C7899"/>
    <w:rsid w:val="009D2C9A"/>
    <w:rsid w:val="009D324A"/>
    <w:rsid w:val="009D4176"/>
    <w:rsid w:val="009D5C4B"/>
    <w:rsid w:val="009D77C8"/>
    <w:rsid w:val="009E2515"/>
    <w:rsid w:val="009E48F7"/>
    <w:rsid w:val="009E52A0"/>
    <w:rsid w:val="009E6714"/>
    <w:rsid w:val="009E7FBD"/>
    <w:rsid w:val="009F02D1"/>
    <w:rsid w:val="009F28D0"/>
    <w:rsid w:val="009F3356"/>
    <w:rsid w:val="009F3511"/>
    <w:rsid w:val="009F429C"/>
    <w:rsid w:val="009F61A1"/>
    <w:rsid w:val="009F6F49"/>
    <w:rsid w:val="00A06278"/>
    <w:rsid w:val="00A065C9"/>
    <w:rsid w:val="00A104C8"/>
    <w:rsid w:val="00A118AC"/>
    <w:rsid w:val="00A13C44"/>
    <w:rsid w:val="00A13D24"/>
    <w:rsid w:val="00A16A6C"/>
    <w:rsid w:val="00A213FF"/>
    <w:rsid w:val="00A21C9A"/>
    <w:rsid w:val="00A2611B"/>
    <w:rsid w:val="00A26CDC"/>
    <w:rsid w:val="00A3155A"/>
    <w:rsid w:val="00A33074"/>
    <w:rsid w:val="00A34F09"/>
    <w:rsid w:val="00A35343"/>
    <w:rsid w:val="00A37924"/>
    <w:rsid w:val="00A43169"/>
    <w:rsid w:val="00A43DF4"/>
    <w:rsid w:val="00A4760A"/>
    <w:rsid w:val="00A47B8B"/>
    <w:rsid w:val="00A47C62"/>
    <w:rsid w:val="00A51269"/>
    <w:rsid w:val="00A51D8B"/>
    <w:rsid w:val="00A5223A"/>
    <w:rsid w:val="00A52504"/>
    <w:rsid w:val="00A55C87"/>
    <w:rsid w:val="00A573B1"/>
    <w:rsid w:val="00A607AA"/>
    <w:rsid w:val="00A62324"/>
    <w:rsid w:val="00A64921"/>
    <w:rsid w:val="00A67E64"/>
    <w:rsid w:val="00A7122D"/>
    <w:rsid w:val="00A733BF"/>
    <w:rsid w:val="00A7453A"/>
    <w:rsid w:val="00A813B5"/>
    <w:rsid w:val="00A8527A"/>
    <w:rsid w:val="00A92E5D"/>
    <w:rsid w:val="00A95C0A"/>
    <w:rsid w:val="00A97F69"/>
    <w:rsid w:val="00AA0C20"/>
    <w:rsid w:val="00AA11F0"/>
    <w:rsid w:val="00AA1A68"/>
    <w:rsid w:val="00AA1DF5"/>
    <w:rsid w:val="00AA1F97"/>
    <w:rsid w:val="00AA50A0"/>
    <w:rsid w:val="00AA531C"/>
    <w:rsid w:val="00AA5BFD"/>
    <w:rsid w:val="00AB4950"/>
    <w:rsid w:val="00AB5FA7"/>
    <w:rsid w:val="00AB69F3"/>
    <w:rsid w:val="00AC0FBA"/>
    <w:rsid w:val="00AC11FD"/>
    <w:rsid w:val="00AC2127"/>
    <w:rsid w:val="00AC2688"/>
    <w:rsid w:val="00AC56A4"/>
    <w:rsid w:val="00AC59F6"/>
    <w:rsid w:val="00AC71D7"/>
    <w:rsid w:val="00AD2656"/>
    <w:rsid w:val="00AD294D"/>
    <w:rsid w:val="00AD31A6"/>
    <w:rsid w:val="00AD4185"/>
    <w:rsid w:val="00AD7037"/>
    <w:rsid w:val="00AE2910"/>
    <w:rsid w:val="00AE5813"/>
    <w:rsid w:val="00AE639A"/>
    <w:rsid w:val="00AE7A5A"/>
    <w:rsid w:val="00AE7FB8"/>
    <w:rsid w:val="00AF3CC5"/>
    <w:rsid w:val="00AF6044"/>
    <w:rsid w:val="00AF6A3A"/>
    <w:rsid w:val="00AF6F78"/>
    <w:rsid w:val="00B01ADA"/>
    <w:rsid w:val="00B10437"/>
    <w:rsid w:val="00B10767"/>
    <w:rsid w:val="00B12CD6"/>
    <w:rsid w:val="00B173E5"/>
    <w:rsid w:val="00B24A2D"/>
    <w:rsid w:val="00B24A9D"/>
    <w:rsid w:val="00B25E99"/>
    <w:rsid w:val="00B271FF"/>
    <w:rsid w:val="00B3004C"/>
    <w:rsid w:val="00B31AE3"/>
    <w:rsid w:val="00B3326A"/>
    <w:rsid w:val="00B33A7D"/>
    <w:rsid w:val="00B41772"/>
    <w:rsid w:val="00B42F47"/>
    <w:rsid w:val="00B43445"/>
    <w:rsid w:val="00B47286"/>
    <w:rsid w:val="00B50B45"/>
    <w:rsid w:val="00B51009"/>
    <w:rsid w:val="00B544BE"/>
    <w:rsid w:val="00B55F5F"/>
    <w:rsid w:val="00B5673B"/>
    <w:rsid w:val="00B60CFD"/>
    <w:rsid w:val="00B65F5D"/>
    <w:rsid w:val="00B70104"/>
    <w:rsid w:val="00B70523"/>
    <w:rsid w:val="00B70BA0"/>
    <w:rsid w:val="00B70FA3"/>
    <w:rsid w:val="00B730BC"/>
    <w:rsid w:val="00B7494B"/>
    <w:rsid w:val="00B75422"/>
    <w:rsid w:val="00B81B40"/>
    <w:rsid w:val="00B8285D"/>
    <w:rsid w:val="00B85008"/>
    <w:rsid w:val="00B86E31"/>
    <w:rsid w:val="00B87A03"/>
    <w:rsid w:val="00B9220D"/>
    <w:rsid w:val="00B92637"/>
    <w:rsid w:val="00B92D63"/>
    <w:rsid w:val="00B93776"/>
    <w:rsid w:val="00B96EA3"/>
    <w:rsid w:val="00BA3312"/>
    <w:rsid w:val="00BA3568"/>
    <w:rsid w:val="00BA4E33"/>
    <w:rsid w:val="00BB2193"/>
    <w:rsid w:val="00BB23E4"/>
    <w:rsid w:val="00BB25B9"/>
    <w:rsid w:val="00BB3016"/>
    <w:rsid w:val="00BB4230"/>
    <w:rsid w:val="00BB5116"/>
    <w:rsid w:val="00BB52E1"/>
    <w:rsid w:val="00BB5CB7"/>
    <w:rsid w:val="00BB6D27"/>
    <w:rsid w:val="00BB71FC"/>
    <w:rsid w:val="00BC0FE4"/>
    <w:rsid w:val="00BC14EC"/>
    <w:rsid w:val="00BC2BA4"/>
    <w:rsid w:val="00BC2EC3"/>
    <w:rsid w:val="00BC360A"/>
    <w:rsid w:val="00BC3AF0"/>
    <w:rsid w:val="00BC3D23"/>
    <w:rsid w:val="00BC46E3"/>
    <w:rsid w:val="00BC7918"/>
    <w:rsid w:val="00BD1EB7"/>
    <w:rsid w:val="00BD39D3"/>
    <w:rsid w:val="00BD409C"/>
    <w:rsid w:val="00BD4C4C"/>
    <w:rsid w:val="00BD6785"/>
    <w:rsid w:val="00BD7FE0"/>
    <w:rsid w:val="00BE19B0"/>
    <w:rsid w:val="00BE1B08"/>
    <w:rsid w:val="00BE3BA9"/>
    <w:rsid w:val="00BE539F"/>
    <w:rsid w:val="00BE5BA9"/>
    <w:rsid w:val="00BE5C1A"/>
    <w:rsid w:val="00BE6D99"/>
    <w:rsid w:val="00BE7A57"/>
    <w:rsid w:val="00BF66C8"/>
    <w:rsid w:val="00C00A39"/>
    <w:rsid w:val="00C030F9"/>
    <w:rsid w:val="00C06EC7"/>
    <w:rsid w:val="00C0779C"/>
    <w:rsid w:val="00C07A30"/>
    <w:rsid w:val="00C07D26"/>
    <w:rsid w:val="00C101E7"/>
    <w:rsid w:val="00C10C33"/>
    <w:rsid w:val="00C126C0"/>
    <w:rsid w:val="00C1275D"/>
    <w:rsid w:val="00C1603C"/>
    <w:rsid w:val="00C16847"/>
    <w:rsid w:val="00C172BA"/>
    <w:rsid w:val="00C201E5"/>
    <w:rsid w:val="00C22893"/>
    <w:rsid w:val="00C238F8"/>
    <w:rsid w:val="00C305D0"/>
    <w:rsid w:val="00C3291B"/>
    <w:rsid w:val="00C36BA6"/>
    <w:rsid w:val="00C36F7E"/>
    <w:rsid w:val="00C415F5"/>
    <w:rsid w:val="00C43453"/>
    <w:rsid w:val="00C44B99"/>
    <w:rsid w:val="00C46878"/>
    <w:rsid w:val="00C46F01"/>
    <w:rsid w:val="00C50786"/>
    <w:rsid w:val="00C50DA4"/>
    <w:rsid w:val="00C53B15"/>
    <w:rsid w:val="00C54925"/>
    <w:rsid w:val="00C54B26"/>
    <w:rsid w:val="00C55B1A"/>
    <w:rsid w:val="00C573B3"/>
    <w:rsid w:val="00C57956"/>
    <w:rsid w:val="00C57E01"/>
    <w:rsid w:val="00C61F84"/>
    <w:rsid w:val="00C62B2C"/>
    <w:rsid w:val="00C639C6"/>
    <w:rsid w:val="00C63EAB"/>
    <w:rsid w:val="00C708D0"/>
    <w:rsid w:val="00C725E8"/>
    <w:rsid w:val="00C762B1"/>
    <w:rsid w:val="00C80628"/>
    <w:rsid w:val="00C83316"/>
    <w:rsid w:val="00C87503"/>
    <w:rsid w:val="00C878BF"/>
    <w:rsid w:val="00C87EA1"/>
    <w:rsid w:val="00C90932"/>
    <w:rsid w:val="00C914ED"/>
    <w:rsid w:val="00C925CF"/>
    <w:rsid w:val="00C943A2"/>
    <w:rsid w:val="00CA4844"/>
    <w:rsid w:val="00CA69F2"/>
    <w:rsid w:val="00CA6B57"/>
    <w:rsid w:val="00CB08C4"/>
    <w:rsid w:val="00CB2ED0"/>
    <w:rsid w:val="00CB5C06"/>
    <w:rsid w:val="00CB79D5"/>
    <w:rsid w:val="00CC1B06"/>
    <w:rsid w:val="00CC322C"/>
    <w:rsid w:val="00CC38AF"/>
    <w:rsid w:val="00CC3DF7"/>
    <w:rsid w:val="00CC414B"/>
    <w:rsid w:val="00CC6D63"/>
    <w:rsid w:val="00CD1C22"/>
    <w:rsid w:val="00CD2372"/>
    <w:rsid w:val="00CD6D8A"/>
    <w:rsid w:val="00CE06DF"/>
    <w:rsid w:val="00CE124C"/>
    <w:rsid w:val="00CE52B2"/>
    <w:rsid w:val="00CE6990"/>
    <w:rsid w:val="00CE7D7A"/>
    <w:rsid w:val="00CF157D"/>
    <w:rsid w:val="00CF3AB6"/>
    <w:rsid w:val="00CF53CD"/>
    <w:rsid w:val="00CF5F95"/>
    <w:rsid w:val="00CF62AE"/>
    <w:rsid w:val="00CF6EED"/>
    <w:rsid w:val="00D0200F"/>
    <w:rsid w:val="00D02010"/>
    <w:rsid w:val="00D04EE1"/>
    <w:rsid w:val="00D060D6"/>
    <w:rsid w:val="00D07BCA"/>
    <w:rsid w:val="00D10391"/>
    <w:rsid w:val="00D10832"/>
    <w:rsid w:val="00D10FA6"/>
    <w:rsid w:val="00D11739"/>
    <w:rsid w:val="00D11AAA"/>
    <w:rsid w:val="00D13A65"/>
    <w:rsid w:val="00D17363"/>
    <w:rsid w:val="00D215FC"/>
    <w:rsid w:val="00D21DD6"/>
    <w:rsid w:val="00D22AD6"/>
    <w:rsid w:val="00D2305D"/>
    <w:rsid w:val="00D240E9"/>
    <w:rsid w:val="00D25A14"/>
    <w:rsid w:val="00D26867"/>
    <w:rsid w:val="00D27261"/>
    <w:rsid w:val="00D307D5"/>
    <w:rsid w:val="00D31804"/>
    <w:rsid w:val="00D35818"/>
    <w:rsid w:val="00D40E6A"/>
    <w:rsid w:val="00D416AD"/>
    <w:rsid w:val="00D41892"/>
    <w:rsid w:val="00D45047"/>
    <w:rsid w:val="00D45775"/>
    <w:rsid w:val="00D53C2A"/>
    <w:rsid w:val="00D553F5"/>
    <w:rsid w:val="00D554A8"/>
    <w:rsid w:val="00D56FC2"/>
    <w:rsid w:val="00D57C42"/>
    <w:rsid w:val="00D62040"/>
    <w:rsid w:val="00D62E19"/>
    <w:rsid w:val="00D648CE"/>
    <w:rsid w:val="00D65183"/>
    <w:rsid w:val="00D6672C"/>
    <w:rsid w:val="00D66FE3"/>
    <w:rsid w:val="00D67083"/>
    <w:rsid w:val="00D76953"/>
    <w:rsid w:val="00D80796"/>
    <w:rsid w:val="00D82CD9"/>
    <w:rsid w:val="00D84D3C"/>
    <w:rsid w:val="00D86D3A"/>
    <w:rsid w:val="00D87E8F"/>
    <w:rsid w:val="00D87FA4"/>
    <w:rsid w:val="00D91931"/>
    <w:rsid w:val="00D92672"/>
    <w:rsid w:val="00D92A5D"/>
    <w:rsid w:val="00D950CF"/>
    <w:rsid w:val="00D95769"/>
    <w:rsid w:val="00D966C9"/>
    <w:rsid w:val="00D97130"/>
    <w:rsid w:val="00DA278A"/>
    <w:rsid w:val="00DA54F9"/>
    <w:rsid w:val="00DA6DA6"/>
    <w:rsid w:val="00DB0C9A"/>
    <w:rsid w:val="00DB29E7"/>
    <w:rsid w:val="00DB2A69"/>
    <w:rsid w:val="00DB2DB1"/>
    <w:rsid w:val="00DB3042"/>
    <w:rsid w:val="00DB412C"/>
    <w:rsid w:val="00DB590E"/>
    <w:rsid w:val="00DB658B"/>
    <w:rsid w:val="00DC0E86"/>
    <w:rsid w:val="00DC1110"/>
    <w:rsid w:val="00DC51BE"/>
    <w:rsid w:val="00DC770F"/>
    <w:rsid w:val="00DC7E5B"/>
    <w:rsid w:val="00DD763F"/>
    <w:rsid w:val="00DE11E8"/>
    <w:rsid w:val="00DE2C01"/>
    <w:rsid w:val="00DE4E95"/>
    <w:rsid w:val="00DE5091"/>
    <w:rsid w:val="00DE5157"/>
    <w:rsid w:val="00DF11E0"/>
    <w:rsid w:val="00DF28CD"/>
    <w:rsid w:val="00DF2BD2"/>
    <w:rsid w:val="00DF2DE4"/>
    <w:rsid w:val="00DF5006"/>
    <w:rsid w:val="00DF6E23"/>
    <w:rsid w:val="00DF734E"/>
    <w:rsid w:val="00E0199F"/>
    <w:rsid w:val="00E019DA"/>
    <w:rsid w:val="00E0405E"/>
    <w:rsid w:val="00E04B11"/>
    <w:rsid w:val="00E0764F"/>
    <w:rsid w:val="00E10D59"/>
    <w:rsid w:val="00E1184E"/>
    <w:rsid w:val="00E12A21"/>
    <w:rsid w:val="00E12F04"/>
    <w:rsid w:val="00E154CF"/>
    <w:rsid w:val="00E1633B"/>
    <w:rsid w:val="00E238A1"/>
    <w:rsid w:val="00E2572C"/>
    <w:rsid w:val="00E26716"/>
    <w:rsid w:val="00E3080E"/>
    <w:rsid w:val="00E30C30"/>
    <w:rsid w:val="00E3175B"/>
    <w:rsid w:val="00E36D4A"/>
    <w:rsid w:val="00E36F3F"/>
    <w:rsid w:val="00E43165"/>
    <w:rsid w:val="00E50535"/>
    <w:rsid w:val="00E5442D"/>
    <w:rsid w:val="00E61942"/>
    <w:rsid w:val="00E61ACC"/>
    <w:rsid w:val="00E62B93"/>
    <w:rsid w:val="00E62BD0"/>
    <w:rsid w:val="00E65BB0"/>
    <w:rsid w:val="00E728BC"/>
    <w:rsid w:val="00E75E33"/>
    <w:rsid w:val="00E76F70"/>
    <w:rsid w:val="00E807EA"/>
    <w:rsid w:val="00E84166"/>
    <w:rsid w:val="00E84176"/>
    <w:rsid w:val="00E8439E"/>
    <w:rsid w:val="00E85EF6"/>
    <w:rsid w:val="00E868AD"/>
    <w:rsid w:val="00E92980"/>
    <w:rsid w:val="00E93AD4"/>
    <w:rsid w:val="00E95A1F"/>
    <w:rsid w:val="00E96E41"/>
    <w:rsid w:val="00E97200"/>
    <w:rsid w:val="00EA43DE"/>
    <w:rsid w:val="00EA6C92"/>
    <w:rsid w:val="00EB0BE3"/>
    <w:rsid w:val="00EB2CEF"/>
    <w:rsid w:val="00EB38C6"/>
    <w:rsid w:val="00EB7561"/>
    <w:rsid w:val="00EC2F1F"/>
    <w:rsid w:val="00EC6C4C"/>
    <w:rsid w:val="00EC7B0A"/>
    <w:rsid w:val="00EC7C28"/>
    <w:rsid w:val="00ED11C0"/>
    <w:rsid w:val="00ED1388"/>
    <w:rsid w:val="00ED1BAE"/>
    <w:rsid w:val="00ED1D19"/>
    <w:rsid w:val="00ED1D92"/>
    <w:rsid w:val="00ED34A0"/>
    <w:rsid w:val="00ED4713"/>
    <w:rsid w:val="00ED7275"/>
    <w:rsid w:val="00EE03B6"/>
    <w:rsid w:val="00EE4018"/>
    <w:rsid w:val="00EE573A"/>
    <w:rsid w:val="00EE60D0"/>
    <w:rsid w:val="00EE6A7D"/>
    <w:rsid w:val="00EE7A2A"/>
    <w:rsid w:val="00EF0212"/>
    <w:rsid w:val="00EF0631"/>
    <w:rsid w:val="00EF56EB"/>
    <w:rsid w:val="00F0346C"/>
    <w:rsid w:val="00F03B74"/>
    <w:rsid w:val="00F05D40"/>
    <w:rsid w:val="00F07817"/>
    <w:rsid w:val="00F12722"/>
    <w:rsid w:val="00F15006"/>
    <w:rsid w:val="00F2113B"/>
    <w:rsid w:val="00F21ACC"/>
    <w:rsid w:val="00F228FC"/>
    <w:rsid w:val="00F22CBA"/>
    <w:rsid w:val="00F2581B"/>
    <w:rsid w:val="00F25D2C"/>
    <w:rsid w:val="00F2682B"/>
    <w:rsid w:val="00F31059"/>
    <w:rsid w:val="00F3138D"/>
    <w:rsid w:val="00F340F3"/>
    <w:rsid w:val="00F35739"/>
    <w:rsid w:val="00F35750"/>
    <w:rsid w:val="00F37D49"/>
    <w:rsid w:val="00F41404"/>
    <w:rsid w:val="00F42411"/>
    <w:rsid w:val="00F42F53"/>
    <w:rsid w:val="00F43862"/>
    <w:rsid w:val="00F443AA"/>
    <w:rsid w:val="00F44920"/>
    <w:rsid w:val="00F45EE7"/>
    <w:rsid w:val="00F46338"/>
    <w:rsid w:val="00F47ECE"/>
    <w:rsid w:val="00F50BFE"/>
    <w:rsid w:val="00F5263C"/>
    <w:rsid w:val="00F551A8"/>
    <w:rsid w:val="00F552FD"/>
    <w:rsid w:val="00F57DF3"/>
    <w:rsid w:val="00F64269"/>
    <w:rsid w:val="00F656AF"/>
    <w:rsid w:val="00F658DA"/>
    <w:rsid w:val="00F65F6F"/>
    <w:rsid w:val="00F67B89"/>
    <w:rsid w:val="00F7258D"/>
    <w:rsid w:val="00F7592D"/>
    <w:rsid w:val="00F807AC"/>
    <w:rsid w:val="00F82250"/>
    <w:rsid w:val="00F83CCB"/>
    <w:rsid w:val="00F90558"/>
    <w:rsid w:val="00F91D26"/>
    <w:rsid w:val="00F93BF0"/>
    <w:rsid w:val="00F96045"/>
    <w:rsid w:val="00F96DB3"/>
    <w:rsid w:val="00F9755A"/>
    <w:rsid w:val="00F97F09"/>
    <w:rsid w:val="00FA2245"/>
    <w:rsid w:val="00FA6418"/>
    <w:rsid w:val="00FA667B"/>
    <w:rsid w:val="00FB1320"/>
    <w:rsid w:val="00FB3D91"/>
    <w:rsid w:val="00FB3E29"/>
    <w:rsid w:val="00FB414B"/>
    <w:rsid w:val="00FB439B"/>
    <w:rsid w:val="00FB7481"/>
    <w:rsid w:val="00FB7D3E"/>
    <w:rsid w:val="00FC07E2"/>
    <w:rsid w:val="00FC1352"/>
    <w:rsid w:val="00FC1BC5"/>
    <w:rsid w:val="00FC5910"/>
    <w:rsid w:val="00FC5C03"/>
    <w:rsid w:val="00FC6B5C"/>
    <w:rsid w:val="00FC7662"/>
    <w:rsid w:val="00FD0E19"/>
    <w:rsid w:val="00FD14C6"/>
    <w:rsid w:val="00FD1AEA"/>
    <w:rsid w:val="00FD4051"/>
    <w:rsid w:val="00FD5724"/>
    <w:rsid w:val="00FD5E31"/>
    <w:rsid w:val="00FD668E"/>
    <w:rsid w:val="00FE096D"/>
    <w:rsid w:val="00FE3123"/>
    <w:rsid w:val="00FE3510"/>
    <w:rsid w:val="00FE4ADE"/>
    <w:rsid w:val="00FE6AB8"/>
    <w:rsid w:val="00FE7A72"/>
    <w:rsid w:val="00FF51BD"/>
    <w:rsid w:val="00FF5BEC"/>
    <w:rsid w:val="00FF7396"/>
  </w:rsids>
  <m:mathPr>
    <m:mathFont m:val="Cambria Math"/>
    <m:brkBin m:val="before"/>
    <m:brkBinSub m:val="--"/>
    <m:smallFrac/>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9"/>
    <o:shapelayout v:ext="edit">
      <o:idmap v:ext="edit" data="1"/>
    </o:shapelayout>
  </w:shapeDefaults>
  <w:decimalSymbol w:val=","/>
  <w:listSeparator w:val=";"/>
  <w14:docId w14:val="41F42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5D40"/>
    <w:rPr>
      <w:rFonts w:ascii="Times New Roman" w:eastAsia="Times New Roman" w:hAnsi="Times New Roman"/>
      <w:sz w:val="24"/>
      <w:szCs w:val="24"/>
    </w:rPr>
  </w:style>
  <w:style w:type="paragraph" w:styleId="Heading1">
    <w:name w:val="heading 1"/>
    <w:basedOn w:val="Normal"/>
    <w:next w:val="Normal"/>
    <w:link w:val="Heading1Char"/>
    <w:qFormat/>
    <w:rsid w:val="00F05D40"/>
    <w:pPr>
      <w:keepNext/>
      <w:spacing w:line="360" w:lineRule="auto"/>
      <w:jc w:val="both"/>
      <w:outlineLvl w:val="0"/>
    </w:pPr>
    <w:rPr>
      <w:b/>
      <w:sz w:val="28"/>
    </w:rPr>
  </w:style>
  <w:style w:type="paragraph" w:styleId="Heading3">
    <w:name w:val="heading 3"/>
    <w:basedOn w:val="Normal"/>
    <w:next w:val="Normal"/>
    <w:link w:val="Heading3Char"/>
    <w:uiPriority w:val="9"/>
    <w:semiHidden/>
    <w:unhideWhenUsed/>
    <w:qFormat/>
    <w:rsid w:val="000F09E2"/>
    <w:pPr>
      <w:keepNext/>
      <w:keepLines/>
      <w:spacing w:before="20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AB5FA7"/>
    <w:pPr>
      <w:keepNext/>
      <w:keepLines/>
      <w:spacing w:before="200"/>
      <w:outlineLvl w:val="3"/>
    </w:pPr>
    <w:rPr>
      <w:rFonts w:ascii="Cambria" w:hAnsi="Cambria"/>
      <w:b/>
      <w:bCs/>
      <w:i/>
      <w:iCs/>
      <w:color w:val="4F81BD"/>
    </w:rPr>
  </w:style>
  <w:style w:type="paragraph" w:styleId="Heading5">
    <w:name w:val="heading 5"/>
    <w:basedOn w:val="Normal"/>
    <w:next w:val="Normal"/>
    <w:link w:val="Heading5Char"/>
    <w:semiHidden/>
    <w:unhideWhenUsed/>
    <w:qFormat/>
    <w:rsid w:val="00F05D40"/>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05D40"/>
    <w:rPr>
      <w:rFonts w:ascii="Times New Roman" w:eastAsia="Times New Roman" w:hAnsi="Times New Roman" w:cs="Times New Roman"/>
      <w:b/>
      <w:sz w:val="28"/>
      <w:szCs w:val="24"/>
      <w:lang w:val="pt-BR" w:eastAsia="pt-BR"/>
    </w:rPr>
  </w:style>
  <w:style w:type="character" w:customStyle="1" w:styleId="Heading5Char">
    <w:name w:val="Heading 5 Char"/>
    <w:link w:val="Heading5"/>
    <w:semiHidden/>
    <w:rsid w:val="00F05D40"/>
    <w:rPr>
      <w:rFonts w:ascii="Calibri" w:eastAsia="Times New Roman" w:hAnsi="Calibri" w:cs="Times New Roman"/>
      <w:b/>
      <w:bCs/>
      <w:i/>
      <w:iCs/>
      <w:sz w:val="26"/>
      <w:szCs w:val="26"/>
      <w:lang w:val="pt-BR" w:eastAsia="pt-BR"/>
    </w:rPr>
  </w:style>
  <w:style w:type="paragraph" w:styleId="BodyTextIndent3">
    <w:name w:val="Body Text Indent 3"/>
    <w:basedOn w:val="Normal"/>
    <w:link w:val="BodyTextIndent3Char"/>
    <w:rsid w:val="00F05D40"/>
    <w:pPr>
      <w:suppressAutoHyphens/>
      <w:spacing w:line="480" w:lineRule="auto"/>
      <w:ind w:left="240" w:firstLine="611"/>
      <w:jc w:val="both"/>
    </w:pPr>
    <w:rPr>
      <w:szCs w:val="20"/>
      <w:lang w:eastAsia="ar-SA"/>
    </w:rPr>
  </w:style>
  <w:style w:type="character" w:customStyle="1" w:styleId="BodyTextIndent3Char">
    <w:name w:val="Body Text Indent 3 Char"/>
    <w:link w:val="BodyTextIndent3"/>
    <w:rsid w:val="00F05D40"/>
    <w:rPr>
      <w:rFonts w:ascii="Times New Roman" w:eastAsia="Times New Roman" w:hAnsi="Times New Roman" w:cs="Times New Roman"/>
      <w:sz w:val="24"/>
      <w:szCs w:val="20"/>
      <w:lang w:val="pt-BR" w:eastAsia="ar-SA"/>
    </w:rPr>
  </w:style>
  <w:style w:type="paragraph" w:customStyle="1" w:styleId="Subttulo3">
    <w:name w:val="Subtítulo3"/>
    <w:basedOn w:val="Normal"/>
    <w:rsid w:val="00F05D40"/>
    <w:pPr>
      <w:widowControl w:val="0"/>
      <w:spacing w:after="120"/>
      <w:jc w:val="both"/>
    </w:pPr>
    <w:rPr>
      <w:b/>
      <w:color w:val="000000"/>
      <w:szCs w:val="20"/>
    </w:rPr>
  </w:style>
  <w:style w:type="paragraph" w:styleId="Caption">
    <w:name w:val="caption"/>
    <w:basedOn w:val="Normal"/>
    <w:next w:val="Normal"/>
    <w:qFormat/>
    <w:rsid w:val="00F05D40"/>
    <w:rPr>
      <w:b/>
      <w:bCs/>
      <w:sz w:val="20"/>
      <w:szCs w:val="20"/>
    </w:rPr>
  </w:style>
  <w:style w:type="paragraph" w:customStyle="1" w:styleId="Default">
    <w:name w:val="Default"/>
    <w:rsid w:val="00F05D40"/>
    <w:pPr>
      <w:autoSpaceDE w:val="0"/>
      <w:autoSpaceDN w:val="0"/>
      <w:adjustRightInd w:val="0"/>
    </w:pPr>
    <w:rPr>
      <w:rFonts w:ascii="Times New Roman" w:hAnsi="Times New Roman"/>
      <w:color w:val="000000"/>
      <w:sz w:val="24"/>
      <w:szCs w:val="24"/>
    </w:rPr>
  </w:style>
  <w:style w:type="paragraph" w:styleId="BodyTextIndent">
    <w:name w:val="Body Text Indent"/>
    <w:basedOn w:val="Normal"/>
    <w:link w:val="BodyTextIndentChar"/>
    <w:uiPriority w:val="99"/>
    <w:semiHidden/>
    <w:unhideWhenUsed/>
    <w:rsid w:val="00057AB1"/>
    <w:pPr>
      <w:spacing w:after="120"/>
      <w:ind w:left="283"/>
    </w:pPr>
  </w:style>
  <w:style w:type="character" w:customStyle="1" w:styleId="BodyTextIndentChar">
    <w:name w:val="Body Text Indent Char"/>
    <w:link w:val="BodyTextIndent"/>
    <w:uiPriority w:val="99"/>
    <w:semiHidden/>
    <w:rsid w:val="00057AB1"/>
    <w:rPr>
      <w:rFonts w:ascii="Times New Roman" w:eastAsia="Times New Roman" w:hAnsi="Times New Roman" w:cs="Times New Roman"/>
      <w:sz w:val="24"/>
      <w:szCs w:val="24"/>
      <w:lang w:val="pt-BR" w:eastAsia="pt-BR"/>
    </w:rPr>
  </w:style>
  <w:style w:type="paragraph" w:styleId="NormalWeb">
    <w:name w:val="Normal (Web)"/>
    <w:basedOn w:val="Normal"/>
    <w:uiPriority w:val="99"/>
    <w:rsid w:val="00057AB1"/>
    <w:pPr>
      <w:spacing w:before="75" w:after="225"/>
      <w:jc w:val="both"/>
    </w:pPr>
  </w:style>
  <w:style w:type="character" w:styleId="Emphasis">
    <w:name w:val="Emphasis"/>
    <w:uiPriority w:val="20"/>
    <w:qFormat/>
    <w:rsid w:val="00057AB1"/>
    <w:rPr>
      <w:i/>
      <w:iCs/>
    </w:rPr>
  </w:style>
  <w:style w:type="character" w:customStyle="1" w:styleId="hps">
    <w:name w:val="hps"/>
    <w:rsid w:val="007A2C00"/>
    <w:rPr>
      <w:rFonts w:cs="Times New Roman"/>
    </w:rPr>
  </w:style>
  <w:style w:type="paragraph" w:styleId="FootnoteText">
    <w:name w:val="footnote text"/>
    <w:basedOn w:val="Normal"/>
    <w:link w:val="FootnoteTextChar"/>
    <w:uiPriority w:val="99"/>
    <w:rsid w:val="007A2C00"/>
    <w:rPr>
      <w:rFonts w:eastAsia="Calibri"/>
      <w:sz w:val="20"/>
      <w:szCs w:val="20"/>
    </w:rPr>
  </w:style>
  <w:style w:type="character" w:customStyle="1" w:styleId="FootnoteTextChar">
    <w:name w:val="Footnote Text Char"/>
    <w:link w:val="FootnoteText"/>
    <w:uiPriority w:val="99"/>
    <w:rsid w:val="007A2C00"/>
    <w:rPr>
      <w:rFonts w:ascii="Times New Roman" w:eastAsia="Calibri" w:hAnsi="Times New Roman" w:cs="Times New Roman"/>
      <w:sz w:val="20"/>
      <w:szCs w:val="20"/>
      <w:lang w:val="pt-BR" w:eastAsia="pt-BR"/>
    </w:rPr>
  </w:style>
  <w:style w:type="character" w:styleId="FootnoteReference">
    <w:name w:val="footnote reference"/>
    <w:uiPriority w:val="99"/>
    <w:rsid w:val="007A2C00"/>
    <w:rPr>
      <w:vertAlign w:val="superscript"/>
    </w:rPr>
  </w:style>
  <w:style w:type="character" w:styleId="Hyperlink">
    <w:name w:val="Hyperlink"/>
    <w:unhideWhenUsed/>
    <w:rsid w:val="007A2C00"/>
    <w:rPr>
      <w:color w:val="0000FF"/>
      <w:u w:val="single"/>
    </w:rPr>
  </w:style>
  <w:style w:type="paragraph" w:styleId="ListParagraph">
    <w:name w:val="List Paragraph"/>
    <w:basedOn w:val="Normal"/>
    <w:uiPriority w:val="34"/>
    <w:qFormat/>
    <w:rsid w:val="008D412C"/>
    <w:pPr>
      <w:ind w:left="720"/>
      <w:contextualSpacing/>
    </w:pPr>
  </w:style>
  <w:style w:type="character" w:customStyle="1" w:styleId="Heading4Char">
    <w:name w:val="Heading 4 Char"/>
    <w:link w:val="Heading4"/>
    <w:uiPriority w:val="9"/>
    <w:semiHidden/>
    <w:rsid w:val="00AB5FA7"/>
    <w:rPr>
      <w:rFonts w:ascii="Cambria" w:eastAsia="Times New Roman" w:hAnsi="Cambria" w:cs="Times New Roman"/>
      <w:b/>
      <w:bCs/>
      <w:i/>
      <w:iCs/>
      <w:color w:val="4F81BD"/>
      <w:sz w:val="24"/>
      <w:szCs w:val="24"/>
      <w:lang w:val="pt-BR" w:eastAsia="pt-BR"/>
    </w:rPr>
  </w:style>
  <w:style w:type="paragraph" w:styleId="NoSpacing">
    <w:name w:val="No Spacing"/>
    <w:uiPriority w:val="1"/>
    <w:qFormat/>
    <w:rsid w:val="00C914ED"/>
    <w:rPr>
      <w:rFonts w:ascii="Arial" w:hAnsi="Arial"/>
      <w:sz w:val="22"/>
      <w:szCs w:val="22"/>
      <w:lang w:eastAsia="en-US"/>
    </w:rPr>
  </w:style>
  <w:style w:type="character" w:customStyle="1" w:styleId="st">
    <w:name w:val="st"/>
    <w:basedOn w:val="DefaultParagraphFont"/>
    <w:rsid w:val="00D553F5"/>
  </w:style>
  <w:style w:type="paragraph" w:styleId="BalloonText">
    <w:name w:val="Balloon Text"/>
    <w:basedOn w:val="Normal"/>
    <w:link w:val="BalloonTextChar"/>
    <w:uiPriority w:val="99"/>
    <w:semiHidden/>
    <w:unhideWhenUsed/>
    <w:rsid w:val="00207E29"/>
    <w:rPr>
      <w:rFonts w:ascii="Tahoma" w:hAnsi="Tahoma"/>
      <w:sz w:val="16"/>
      <w:szCs w:val="16"/>
    </w:rPr>
  </w:style>
  <w:style w:type="character" w:customStyle="1" w:styleId="BalloonTextChar">
    <w:name w:val="Balloon Text Char"/>
    <w:link w:val="BalloonText"/>
    <w:uiPriority w:val="99"/>
    <w:semiHidden/>
    <w:rsid w:val="00207E29"/>
    <w:rPr>
      <w:rFonts w:ascii="Tahoma" w:eastAsia="Times New Roman" w:hAnsi="Tahoma" w:cs="Tahoma"/>
      <w:sz w:val="16"/>
      <w:szCs w:val="16"/>
      <w:lang w:val="pt-BR" w:eastAsia="pt-BR"/>
    </w:rPr>
  </w:style>
  <w:style w:type="table" w:styleId="TableGrid">
    <w:name w:val="Table Grid"/>
    <w:basedOn w:val="TableNormal"/>
    <w:uiPriority w:val="59"/>
    <w:rsid w:val="001221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3C54CC"/>
    <w:rPr>
      <w:rFonts w:ascii="Times New Roman" w:eastAsia="Times New Roman" w:hAnsi="Times New Roman"/>
      <w:sz w:val="24"/>
      <w:szCs w:val="24"/>
    </w:rPr>
  </w:style>
  <w:style w:type="paragraph" w:styleId="Header">
    <w:name w:val="header"/>
    <w:basedOn w:val="Normal"/>
    <w:link w:val="HeaderChar"/>
    <w:uiPriority w:val="99"/>
    <w:rsid w:val="00737FD4"/>
    <w:pPr>
      <w:tabs>
        <w:tab w:val="center" w:pos="4419"/>
        <w:tab w:val="right" w:pos="8838"/>
      </w:tabs>
    </w:pPr>
  </w:style>
  <w:style w:type="character" w:customStyle="1" w:styleId="HeaderChar">
    <w:name w:val="Header Char"/>
    <w:link w:val="Header"/>
    <w:uiPriority w:val="99"/>
    <w:rsid w:val="00737FD4"/>
    <w:rPr>
      <w:rFonts w:ascii="Times New Roman" w:eastAsia="Times New Roman" w:hAnsi="Times New Roman"/>
      <w:sz w:val="24"/>
      <w:szCs w:val="24"/>
      <w:lang w:val="pt-BR" w:eastAsia="pt-BR"/>
    </w:rPr>
  </w:style>
  <w:style w:type="paragraph" w:styleId="Footer">
    <w:name w:val="footer"/>
    <w:basedOn w:val="Normal"/>
    <w:link w:val="FooterChar"/>
    <w:uiPriority w:val="99"/>
    <w:unhideWhenUsed/>
    <w:rsid w:val="00AF3CC5"/>
    <w:pPr>
      <w:tabs>
        <w:tab w:val="center" w:pos="4252"/>
        <w:tab w:val="right" w:pos="8504"/>
      </w:tabs>
    </w:pPr>
    <w:rPr>
      <w:lang w:val="x-none" w:eastAsia="x-none"/>
    </w:rPr>
  </w:style>
  <w:style w:type="character" w:customStyle="1" w:styleId="FooterChar">
    <w:name w:val="Footer Char"/>
    <w:link w:val="Footer"/>
    <w:uiPriority w:val="99"/>
    <w:rsid w:val="00AF3CC5"/>
    <w:rPr>
      <w:rFonts w:ascii="Times New Roman" w:eastAsia="Times New Roman" w:hAnsi="Times New Roman"/>
      <w:sz w:val="24"/>
      <w:szCs w:val="24"/>
    </w:rPr>
  </w:style>
  <w:style w:type="character" w:styleId="CommentReference">
    <w:name w:val="annotation reference"/>
    <w:uiPriority w:val="99"/>
    <w:semiHidden/>
    <w:unhideWhenUsed/>
    <w:rsid w:val="00571FDB"/>
    <w:rPr>
      <w:sz w:val="16"/>
      <w:szCs w:val="16"/>
    </w:rPr>
  </w:style>
  <w:style w:type="paragraph" w:styleId="CommentText">
    <w:name w:val="annotation text"/>
    <w:basedOn w:val="Normal"/>
    <w:link w:val="CommentTextChar"/>
    <w:uiPriority w:val="99"/>
    <w:semiHidden/>
    <w:unhideWhenUsed/>
    <w:rsid w:val="00571FDB"/>
    <w:rPr>
      <w:sz w:val="20"/>
      <w:szCs w:val="20"/>
      <w:lang w:val="x-none" w:eastAsia="x-none"/>
    </w:rPr>
  </w:style>
  <w:style w:type="character" w:customStyle="1" w:styleId="CommentTextChar">
    <w:name w:val="Comment Text Char"/>
    <w:link w:val="CommentText"/>
    <w:uiPriority w:val="99"/>
    <w:semiHidden/>
    <w:rsid w:val="00571FDB"/>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571FDB"/>
    <w:rPr>
      <w:b/>
      <w:bCs/>
    </w:rPr>
  </w:style>
  <w:style w:type="character" w:customStyle="1" w:styleId="CommentSubjectChar">
    <w:name w:val="Comment Subject Char"/>
    <w:link w:val="CommentSubject"/>
    <w:uiPriority w:val="99"/>
    <w:semiHidden/>
    <w:rsid w:val="00571FDB"/>
    <w:rPr>
      <w:rFonts w:ascii="Times New Roman" w:eastAsia="Times New Roman" w:hAnsi="Times New Roman"/>
      <w:b/>
      <w:bCs/>
    </w:rPr>
  </w:style>
  <w:style w:type="character" w:styleId="Strong">
    <w:name w:val="Strong"/>
    <w:uiPriority w:val="22"/>
    <w:qFormat/>
    <w:rsid w:val="0036160D"/>
    <w:rPr>
      <w:b/>
      <w:bCs/>
    </w:rPr>
  </w:style>
  <w:style w:type="character" w:customStyle="1" w:styleId="Heading3Char">
    <w:name w:val="Heading 3 Char"/>
    <w:basedOn w:val="DefaultParagraphFont"/>
    <w:link w:val="Heading3"/>
    <w:uiPriority w:val="9"/>
    <w:semiHidden/>
    <w:rsid w:val="000F09E2"/>
    <w:rPr>
      <w:rFonts w:asciiTheme="majorHAnsi" w:eastAsiaTheme="majorEastAsia" w:hAnsiTheme="majorHAnsi" w:cstheme="majorBidi"/>
      <w:b/>
      <w:bCs/>
      <w:color w:val="5B9BD5" w:themeColor="accent1"/>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5D40"/>
    <w:rPr>
      <w:rFonts w:ascii="Times New Roman" w:eastAsia="Times New Roman" w:hAnsi="Times New Roman"/>
      <w:sz w:val="24"/>
      <w:szCs w:val="24"/>
    </w:rPr>
  </w:style>
  <w:style w:type="paragraph" w:styleId="Heading1">
    <w:name w:val="heading 1"/>
    <w:basedOn w:val="Normal"/>
    <w:next w:val="Normal"/>
    <w:link w:val="Heading1Char"/>
    <w:qFormat/>
    <w:rsid w:val="00F05D40"/>
    <w:pPr>
      <w:keepNext/>
      <w:spacing w:line="360" w:lineRule="auto"/>
      <w:jc w:val="both"/>
      <w:outlineLvl w:val="0"/>
    </w:pPr>
    <w:rPr>
      <w:b/>
      <w:sz w:val="28"/>
    </w:rPr>
  </w:style>
  <w:style w:type="paragraph" w:styleId="Heading3">
    <w:name w:val="heading 3"/>
    <w:basedOn w:val="Normal"/>
    <w:next w:val="Normal"/>
    <w:link w:val="Heading3Char"/>
    <w:uiPriority w:val="9"/>
    <w:semiHidden/>
    <w:unhideWhenUsed/>
    <w:qFormat/>
    <w:rsid w:val="000F09E2"/>
    <w:pPr>
      <w:keepNext/>
      <w:keepLines/>
      <w:spacing w:before="20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AB5FA7"/>
    <w:pPr>
      <w:keepNext/>
      <w:keepLines/>
      <w:spacing w:before="200"/>
      <w:outlineLvl w:val="3"/>
    </w:pPr>
    <w:rPr>
      <w:rFonts w:ascii="Cambria" w:hAnsi="Cambria"/>
      <w:b/>
      <w:bCs/>
      <w:i/>
      <w:iCs/>
      <w:color w:val="4F81BD"/>
    </w:rPr>
  </w:style>
  <w:style w:type="paragraph" w:styleId="Heading5">
    <w:name w:val="heading 5"/>
    <w:basedOn w:val="Normal"/>
    <w:next w:val="Normal"/>
    <w:link w:val="Heading5Char"/>
    <w:semiHidden/>
    <w:unhideWhenUsed/>
    <w:qFormat/>
    <w:rsid w:val="00F05D40"/>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05D40"/>
    <w:rPr>
      <w:rFonts w:ascii="Times New Roman" w:eastAsia="Times New Roman" w:hAnsi="Times New Roman" w:cs="Times New Roman"/>
      <w:b/>
      <w:sz w:val="28"/>
      <w:szCs w:val="24"/>
      <w:lang w:val="pt-BR" w:eastAsia="pt-BR"/>
    </w:rPr>
  </w:style>
  <w:style w:type="character" w:customStyle="1" w:styleId="Heading5Char">
    <w:name w:val="Heading 5 Char"/>
    <w:link w:val="Heading5"/>
    <w:semiHidden/>
    <w:rsid w:val="00F05D40"/>
    <w:rPr>
      <w:rFonts w:ascii="Calibri" w:eastAsia="Times New Roman" w:hAnsi="Calibri" w:cs="Times New Roman"/>
      <w:b/>
      <w:bCs/>
      <w:i/>
      <w:iCs/>
      <w:sz w:val="26"/>
      <w:szCs w:val="26"/>
      <w:lang w:val="pt-BR" w:eastAsia="pt-BR"/>
    </w:rPr>
  </w:style>
  <w:style w:type="paragraph" w:styleId="BodyTextIndent3">
    <w:name w:val="Body Text Indent 3"/>
    <w:basedOn w:val="Normal"/>
    <w:link w:val="BodyTextIndent3Char"/>
    <w:rsid w:val="00F05D40"/>
    <w:pPr>
      <w:suppressAutoHyphens/>
      <w:spacing w:line="480" w:lineRule="auto"/>
      <w:ind w:left="240" w:firstLine="611"/>
      <w:jc w:val="both"/>
    </w:pPr>
    <w:rPr>
      <w:szCs w:val="20"/>
      <w:lang w:eastAsia="ar-SA"/>
    </w:rPr>
  </w:style>
  <w:style w:type="character" w:customStyle="1" w:styleId="BodyTextIndent3Char">
    <w:name w:val="Body Text Indent 3 Char"/>
    <w:link w:val="BodyTextIndent3"/>
    <w:rsid w:val="00F05D40"/>
    <w:rPr>
      <w:rFonts w:ascii="Times New Roman" w:eastAsia="Times New Roman" w:hAnsi="Times New Roman" w:cs="Times New Roman"/>
      <w:sz w:val="24"/>
      <w:szCs w:val="20"/>
      <w:lang w:val="pt-BR" w:eastAsia="ar-SA"/>
    </w:rPr>
  </w:style>
  <w:style w:type="paragraph" w:customStyle="1" w:styleId="Subttulo3">
    <w:name w:val="Subtítulo3"/>
    <w:basedOn w:val="Normal"/>
    <w:rsid w:val="00F05D40"/>
    <w:pPr>
      <w:widowControl w:val="0"/>
      <w:spacing w:after="120"/>
      <w:jc w:val="both"/>
    </w:pPr>
    <w:rPr>
      <w:b/>
      <w:color w:val="000000"/>
      <w:szCs w:val="20"/>
    </w:rPr>
  </w:style>
  <w:style w:type="paragraph" w:styleId="Caption">
    <w:name w:val="caption"/>
    <w:basedOn w:val="Normal"/>
    <w:next w:val="Normal"/>
    <w:qFormat/>
    <w:rsid w:val="00F05D40"/>
    <w:rPr>
      <w:b/>
      <w:bCs/>
      <w:sz w:val="20"/>
      <w:szCs w:val="20"/>
    </w:rPr>
  </w:style>
  <w:style w:type="paragraph" w:customStyle="1" w:styleId="Default">
    <w:name w:val="Default"/>
    <w:rsid w:val="00F05D40"/>
    <w:pPr>
      <w:autoSpaceDE w:val="0"/>
      <w:autoSpaceDN w:val="0"/>
      <w:adjustRightInd w:val="0"/>
    </w:pPr>
    <w:rPr>
      <w:rFonts w:ascii="Times New Roman" w:hAnsi="Times New Roman"/>
      <w:color w:val="000000"/>
      <w:sz w:val="24"/>
      <w:szCs w:val="24"/>
    </w:rPr>
  </w:style>
  <w:style w:type="paragraph" w:styleId="BodyTextIndent">
    <w:name w:val="Body Text Indent"/>
    <w:basedOn w:val="Normal"/>
    <w:link w:val="BodyTextIndentChar"/>
    <w:uiPriority w:val="99"/>
    <w:semiHidden/>
    <w:unhideWhenUsed/>
    <w:rsid w:val="00057AB1"/>
    <w:pPr>
      <w:spacing w:after="120"/>
      <w:ind w:left="283"/>
    </w:pPr>
  </w:style>
  <w:style w:type="character" w:customStyle="1" w:styleId="BodyTextIndentChar">
    <w:name w:val="Body Text Indent Char"/>
    <w:link w:val="BodyTextIndent"/>
    <w:uiPriority w:val="99"/>
    <w:semiHidden/>
    <w:rsid w:val="00057AB1"/>
    <w:rPr>
      <w:rFonts w:ascii="Times New Roman" w:eastAsia="Times New Roman" w:hAnsi="Times New Roman" w:cs="Times New Roman"/>
      <w:sz w:val="24"/>
      <w:szCs w:val="24"/>
      <w:lang w:val="pt-BR" w:eastAsia="pt-BR"/>
    </w:rPr>
  </w:style>
  <w:style w:type="paragraph" w:styleId="NormalWeb">
    <w:name w:val="Normal (Web)"/>
    <w:basedOn w:val="Normal"/>
    <w:uiPriority w:val="99"/>
    <w:rsid w:val="00057AB1"/>
    <w:pPr>
      <w:spacing w:before="75" w:after="225"/>
      <w:jc w:val="both"/>
    </w:pPr>
  </w:style>
  <w:style w:type="character" w:styleId="Emphasis">
    <w:name w:val="Emphasis"/>
    <w:uiPriority w:val="20"/>
    <w:qFormat/>
    <w:rsid w:val="00057AB1"/>
    <w:rPr>
      <w:i/>
      <w:iCs/>
    </w:rPr>
  </w:style>
  <w:style w:type="character" w:customStyle="1" w:styleId="hps">
    <w:name w:val="hps"/>
    <w:rsid w:val="007A2C00"/>
    <w:rPr>
      <w:rFonts w:cs="Times New Roman"/>
    </w:rPr>
  </w:style>
  <w:style w:type="paragraph" w:styleId="FootnoteText">
    <w:name w:val="footnote text"/>
    <w:basedOn w:val="Normal"/>
    <w:link w:val="FootnoteTextChar"/>
    <w:uiPriority w:val="99"/>
    <w:rsid w:val="007A2C00"/>
    <w:rPr>
      <w:rFonts w:eastAsia="Calibri"/>
      <w:sz w:val="20"/>
      <w:szCs w:val="20"/>
    </w:rPr>
  </w:style>
  <w:style w:type="character" w:customStyle="1" w:styleId="FootnoteTextChar">
    <w:name w:val="Footnote Text Char"/>
    <w:link w:val="FootnoteText"/>
    <w:uiPriority w:val="99"/>
    <w:rsid w:val="007A2C00"/>
    <w:rPr>
      <w:rFonts w:ascii="Times New Roman" w:eastAsia="Calibri" w:hAnsi="Times New Roman" w:cs="Times New Roman"/>
      <w:sz w:val="20"/>
      <w:szCs w:val="20"/>
      <w:lang w:val="pt-BR" w:eastAsia="pt-BR"/>
    </w:rPr>
  </w:style>
  <w:style w:type="character" w:styleId="FootnoteReference">
    <w:name w:val="footnote reference"/>
    <w:uiPriority w:val="99"/>
    <w:rsid w:val="007A2C00"/>
    <w:rPr>
      <w:vertAlign w:val="superscript"/>
    </w:rPr>
  </w:style>
  <w:style w:type="character" w:styleId="Hyperlink">
    <w:name w:val="Hyperlink"/>
    <w:unhideWhenUsed/>
    <w:rsid w:val="007A2C00"/>
    <w:rPr>
      <w:color w:val="0000FF"/>
      <w:u w:val="single"/>
    </w:rPr>
  </w:style>
  <w:style w:type="paragraph" w:styleId="ListParagraph">
    <w:name w:val="List Paragraph"/>
    <w:basedOn w:val="Normal"/>
    <w:uiPriority w:val="34"/>
    <w:qFormat/>
    <w:rsid w:val="008D412C"/>
    <w:pPr>
      <w:ind w:left="720"/>
      <w:contextualSpacing/>
    </w:pPr>
  </w:style>
  <w:style w:type="character" w:customStyle="1" w:styleId="Heading4Char">
    <w:name w:val="Heading 4 Char"/>
    <w:link w:val="Heading4"/>
    <w:uiPriority w:val="9"/>
    <w:semiHidden/>
    <w:rsid w:val="00AB5FA7"/>
    <w:rPr>
      <w:rFonts w:ascii="Cambria" w:eastAsia="Times New Roman" w:hAnsi="Cambria" w:cs="Times New Roman"/>
      <w:b/>
      <w:bCs/>
      <w:i/>
      <w:iCs/>
      <w:color w:val="4F81BD"/>
      <w:sz w:val="24"/>
      <w:szCs w:val="24"/>
      <w:lang w:val="pt-BR" w:eastAsia="pt-BR"/>
    </w:rPr>
  </w:style>
  <w:style w:type="paragraph" w:styleId="NoSpacing">
    <w:name w:val="No Spacing"/>
    <w:uiPriority w:val="1"/>
    <w:qFormat/>
    <w:rsid w:val="00C914ED"/>
    <w:rPr>
      <w:rFonts w:ascii="Arial" w:hAnsi="Arial"/>
      <w:sz w:val="22"/>
      <w:szCs w:val="22"/>
      <w:lang w:eastAsia="en-US"/>
    </w:rPr>
  </w:style>
  <w:style w:type="character" w:customStyle="1" w:styleId="st">
    <w:name w:val="st"/>
    <w:basedOn w:val="DefaultParagraphFont"/>
    <w:rsid w:val="00D553F5"/>
  </w:style>
  <w:style w:type="paragraph" w:styleId="BalloonText">
    <w:name w:val="Balloon Text"/>
    <w:basedOn w:val="Normal"/>
    <w:link w:val="BalloonTextChar"/>
    <w:uiPriority w:val="99"/>
    <w:semiHidden/>
    <w:unhideWhenUsed/>
    <w:rsid w:val="00207E29"/>
    <w:rPr>
      <w:rFonts w:ascii="Tahoma" w:hAnsi="Tahoma"/>
      <w:sz w:val="16"/>
      <w:szCs w:val="16"/>
    </w:rPr>
  </w:style>
  <w:style w:type="character" w:customStyle="1" w:styleId="BalloonTextChar">
    <w:name w:val="Balloon Text Char"/>
    <w:link w:val="BalloonText"/>
    <w:uiPriority w:val="99"/>
    <w:semiHidden/>
    <w:rsid w:val="00207E29"/>
    <w:rPr>
      <w:rFonts w:ascii="Tahoma" w:eastAsia="Times New Roman" w:hAnsi="Tahoma" w:cs="Tahoma"/>
      <w:sz w:val="16"/>
      <w:szCs w:val="16"/>
      <w:lang w:val="pt-BR" w:eastAsia="pt-BR"/>
    </w:rPr>
  </w:style>
  <w:style w:type="table" w:styleId="TableGrid">
    <w:name w:val="Table Grid"/>
    <w:basedOn w:val="TableNormal"/>
    <w:uiPriority w:val="59"/>
    <w:rsid w:val="001221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3C54CC"/>
    <w:rPr>
      <w:rFonts w:ascii="Times New Roman" w:eastAsia="Times New Roman" w:hAnsi="Times New Roman"/>
      <w:sz w:val="24"/>
      <w:szCs w:val="24"/>
    </w:rPr>
  </w:style>
  <w:style w:type="paragraph" w:styleId="Header">
    <w:name w:val="header"/>
    <w:basedOn w:val="Normal"/>
    <w:link w:val="HeaderChar"/>
    <w:uiPriority w:val="99"/>
    <w:rsid w:val="00737FD4"/>
    <w:pPr>
      <w:tabs>
        <w:tab w:val="center" w:pos="4419"/>
        <w:tab w:val="right" w:pos="8838"/>
      </w:tabs>
    </w:pPr>
  </w:style>
  <w:style w:type="character" w:customStyle="1" w:styleId="HeaderChar">
    <w:name w:val="Header Char"/>
    <w:link w:val="Header"/>
    <w:uiPriority w:val="99"/>
    <w:rsid w:val="00737FD4"/>
    <w:rPr>
      <w:rFonts w:ascii="Times New Roman" w:eastAsia="Times New Roman" w:hAnsi="Times New Roman"/>
      <w:sz w:val="24"/>
      <w:szCs w:val="24"/>
      <w:lang w:val="pt-BR" w:eastAsia="pt-BR"/>
    </w:rPr>
  </w:style>
  <w:style w:type="paragraph" w:styleId="Footer">
    <w:name w:val="footer"/>
    <w:basedOn w:val="Normal"/>
    <w:link w:val="FooterChar"/>
    <w:uiPriority w:val="99"/>
    <w:unhideWhenUsed/>
    <w:rsid w:val="00AF3CC5"/>
    <w:pPr>
      <w:tabs>
        <w:tab w:val="center" w:pos="4252"/>
        <w:tab w:val="right" w:pos="8504"/>
      </w:tabs>
    </w:pPr>
    <w:rPr>
      <w:lang w:val="x-none" w:eastAsia="x-none"/>
    </w:rPr>
  </w:style>
  <w:style w:type="character" w:customStyle="1" w:styleId="FooterChar">
    <w:name w:val="Footer Char"/>
    <w:link w:val="Footer"/>
    <w:uiPriority w:val="99"/>
    <w:rsid w:val="00AF3CC5"/>
    <w:rPr>
      <w:rFonts w:ascii="Times New Roman" w:eastAsia="Times New Roman" w:hAnsi="Times New Roman"/>
      <w:sz w:val="24"/>
      <w:szCs w:val="24"/>
    </w:rPr>
  </w:style>
  <w:style w:type="character" w:styleId="CommentReference">
    <w:name w:val="annotation reference"/>
    <w:uiPriority w:val="99"/>
    <w:semiHidden/>
    <w:unhideWhenUsed/>
    <w:rsid w:val="00571FDB"/>
    <w:rPr>
      <w:sz w:val="16"/>
      <w:szCs w:val="16"/>
    </w:rPr>
  </w:style>
  <w:style w:type="paragraph" w:styleId="CommentText">
    <w:name w:val="annotation text"/>
    <w:basedOn w:val="Normal"/>
    <w:link w:val="CommentTextChar"/>
    <w:uiPriority w:val="99"/>
    <w:semiHidden/>
    <w:unhideWhenUsed/>
    <w:rsid w:val="00571FDB"/>
    <w:rPr>
      <w:sz w:val="20"/>
      <w:szCs w:val="20"/>
      <w:lang w:val="x-none" w:eastAsia="x-none"/>
    </w:rPr>
  </w:style>
  <w:style w:type="character" w:customStyle="1" w:styleId="CommentTextChar">
    <w:name w:val="Comment Text Char"/>
    <w:link w:val="CommentText"/>
    <w:uiPriority w:val="99"/>
    <w:semiHidden/>
    <w:rsid w:val="00571FDB"/>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571FDB"/>
    <w:rPr>
      <w:b/>
      <w:bCs/>
    </w:rPr>
  </w:style>
  <w:style w:type="character" w:customStyle="1" w:styleId="CommentSubjectChar">
    <w:name w:val="Comment Subject Char"/>
    <w:link w:val="CommentSubject"/>
    <w:uiPriority w:val="99"/>
    <w:semiHidden/>
    <w:rsid w:val="00571FDB"/>
    <w:rPr>
      <w:rFonts w:ascii="Times New Roman" w:eastAsia="Times New Roman" w:hAnsi="Times New Roman"/>
      <w:b/>
      <w:bCs/>
    </w:rPr>
  </w:style>
  <w:style w:type="character" w:styleId="Strong">
    <w:name w:val="Strong"/>
    <w:uiPriority w:val="22"/>
    <w:qFormat/>
    <w:rsid w:val="0036160D"/>
    <w:rPr>
      <w:b/>
      <w:bCs/>
    </w:rPr>
  </w:style>
  <w:style w:type="character" w:customStyle="1" w:styleId="Heading3Char">
    <w:name w:val="Heading 3 Char"/>
    <w:basedOn w:val="DefaultParagraphFont"/>
    <w:link w:val="Heading3"/>
    <w:uiPriority w:val="9"/>
    <w:semiHidden/>
    <w:rsid w:val="000F09E2"/>
    <w:rPr>
      <w:rFonts w:asciiTheme="majorHAnsi" w:eastAsiaTheme="majorEastAsia" w:hAnsiTheme="majorHAnsi" w:cstheme="majorBidi"/>
      <w:b/>
      <w:bCs/>
      <w:color w:val="5B9BD5" w:themeColor="accen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799048">
      <w:bodyDiv w:val="1"/>
      <w:marLeft w:val="0"/>
      <w:marRight w:val="0"/>
      <w:marTop w:val="0"/>
      <w:marBottom w:val="0"/>
      <w:divBdr>
        <w:top w:val="none" w:sz="0" w:space="0" w:color="auto"/>
        <w:left w:val="none" w:sz="0" w:space="0" w:color="auto"/>
        <w:bottom w:val="none" w:sz="0" w:space="0" w:color="auto"/>
        <w:right w:val="none" w:sz="0" w:space="0" w:color="auto"/>
      </w:divBdr>
    </w:div>
    <w:div w:id="115875896">
      <w:bodyDiv w:val="1"/>
      <w:marLeft w:val="0"/>
      <w:marRight w:val="0"/>
      <w:marTop w:val="0"/>
      <w:marBottom w:val="0"/>
      <w:divBdr>
        <w:top w:val="none" w:sz="0" w:space="0" w:color="auto"/>
        <w:left w:val="none" w:sz="0" w:space="0" w:color="auto"/>
        <w:bottom w:val="none" w:sz="0" w:space="0" w:color="auto"/>
        <w:right w:val="none" w:sz="0" w:space="0" w:color="auto"/>
      </w:divBdr>
    </w:div>
    <w:div w:id="196820475">
      <w:bodyDiv w:val="1"/>
      <w:marLeft w:val="0"/>
      <w:marRight w:val="0"/>
      <w:marTop w:val="0"/>
      <w:marBottom w:val="0"/>
      <w:divBdr>
        <w:top w:val="none" w:sz="0" w:space="0" w:color="auto"/>
        <w:left w:val="none" w:sz="0" w:space="0" w:color="auto"/>
        <w:bottom w:val="none" w:sz="0" w:space="0" w:color="auto"/>
        <w:right w:val="none" w:sz="0" w:space="0" w:color="auto"/>
      </w:divBdr>
    </w:div>
    <w:div w:id="426579261">
      <w:bodyDiv w:val="1"/>
      <w:marLeft w:val="0"/>
      <w:marRight w:val="0"/>
      <w:marTop w:val="0"/>
      <w:marBottom w:val="0"/>
      <w:divBdr>
        <w:top w:val="none" w:sz="0" w:space="0" w:color="auto"/>
        <w:left w:val="none" w:sz="0" w:space="0" w:color="auto"/>
        <w:bottom w:val="none" w:sz="0" w:space="0" w:color="auto"/>
        <w:right w:val="none" w:sz="0" w:space="0" w:color="auto"/>
      </w:divBdr>
    </w:div>
    <w:div w:id="452408653">
      <w:bodyDiv w:val="1"/>
      <w:marLeft w:val="0"/>
      <w:marRight w:val="0"/>
      <w:marTop w:val="0"/>
      <w:marBottom w:val="0"/>
      <w:divBdr>
        <w:top w:val="none" w:sz="0" w:space="0" w:color="auto"/>
        <w:left w:val="none" w:sz="0" w:space="0" w:color="auto"/>
        <w:bottom w:val="none" w:sz="0" w:space="0" w:color="auto"/>
        <w:right w:val="none" w:sz="0" w:space="0" w:color="auto"/>
      </w:divBdr>
    </w:div>
    <w:div w:id="538737326">
      <w:bodyDiv w:val="1"/>
      <w:marLeft w:val="0"/>
      <w:marRight w:val="0"/>
      <w:marTop w:val="0"/>
      <w:marBottom w:val="0"/>
      <w:divBdr>
        <w:top w:val="none" w:sz="0" w:space="0" w:color="auto"/>
        <w:left w:val="none" w:sz="0" w:space="0" w:color="auto"/>
        <w:bottom w:val="none" w:sz="0" w:space="0" w:color="auto"/>
        <w:right w:val="none" w:sz="0" w:space="0" w:color="auto"/>
      </w:divBdr>
    </w:div>
    <w:div w:id="578173930">
      <w:bodyDiv w:val="1"/>
      <w:marLeft w:val="0"/>
      <w:marRight w:val="0"/>
      <w:marTop w:val="0"/>
      <w:marBottom w:val="0"/>
      <w:divBdr>
        <w:top w:val="none" w:sz="0" w:space="0" w:color="auto"/>
        <w:left w:val="none" w:sz="0" w:space="0" w:color="auto"/>
        <w:bottom w:val="none" w:sz="0" w:space="0" w:color="auto"/>
        <w:right w:val="none" w:sz="0" w:space="0" w:color="auto"/>
      </w:divBdr>
    </w:div>
    <w:div w:id="582373925">
      <w:bodyDiv w:val="1"/>
      <w:marLeft w:val="0"/>
      <w:marRight w:val="0"/>
      <w:marTop w:val="0"/>
      <w:marBottom w:val="0"/>
      <w:divBdr>
        <w:top w:val="none" w:sz="0" w:space="0" w:color="auto"/>
        <w:left w:val="none" w:sz="0" w:space="0" w:color="auto"/>
        <w:bottom w:val="none" w:sz="0" w:space="0" w:color="auto"/>
        <w:right w:val="none" w:sz="0" w:space="0" w:color="auto"/>
      </w:divBdr>
    </w:div>
    <w:div w:id="592475788">
      <w:bodyDiv w:val="1"/>
      <w:marLeft w:val="0"/>
      <w:marRight w:val="0"/>
      <w:marTop w:val="0"/>
      <w:marBottom w:val="0"/>
      <w:divBdr>
        <w:top w:val="none" w:sz="0" w:space="0" w:color="auto"/>
        <w:left w:val="none" w:sz="0" w:space="0" w:color="auto"/>
        <w:bottom w:val="none" w:sz="0" w:space="0" w:color="auto"/>
        <w:right w:val="none" w:sz="0" w:space="0" w:color="auto"/>
      </w:divBdr>
    </w:div>
    <w:div w:id="655032751">
      <w:bodyDiv w:val="1"/>
      <w:marLeft w:val="0"/>
      <w:marRight w:val="0"/>
      <w:marTop w:val="0"/>
      <w:marBottom w:val="0"/>
      <w:divBdr>
        <w:top w:val="none" w:sz="0" w:space="0" w:color="auto"/>
        <w:left w:val="none" w:sz="0" w:space="0" w:color="auto"/>
        <w:bottom w:val="none" w:sz="0" w:space="0" w:color="auto"/>
        <w:right w:val="none" w:sz="0" w:space="0" w:color="auto"/>
      </w:divBdr>
    </w:div>
    <w:div w:id="766541283">
      <w:bodyDiv w:val="1"/>
      <w:marLeft w:val="0"/>
      <w:marRight w:val="0"/>
      <w:marTop w:val="0"/>
      <w:marBottom w:val="0"/>
      <w:divBdr>
        <w:top w:val="none" w:sz="0" w:space="0" w:color="auto"/>
        <w:left w:val="none" w:sz="0" w:space="0" w:color="auto"/>
        <w:bottom w:val="none" w:sz="0" w:space="0" w:color="auto"/>
        <w:right w:val="none" w:sz="0" w:space="0" w:color="auto"/>
      </w:divBdr>
    </w:div>
    <w:div w:id="927694672">
      <w:bodyDiv w:val="1"/>
      <w:marLeft w:val="0"/>
      <w:marRight w:val="0"/>
      <w:marTop w:val="0"/>
      <w:marBottom w:val="0"/>
      <w:divBdr>
        <w:top w:val="none" w:sz="0" w:space="0" w:color="auto"/>
        <w:left w:val="none" w:sz="0" w:space="0" w:color="auto"/>
        <w:bottom w:val="none" w:sz="0" w:space="0" w:color="auto"/>
        <w:right w:val="none" w:sz="0" w:space="0" w:color="auto"/>
      </w:divBdr>
    </w:div>
    <w:div w:id="936249798">
      <w:bodyDiv w:val="1"/>
      <w:marLeft w:val="0"/>
      <w:marRight w:val="0"/>
      <w:marTop w:val="0"/>
      <w:marBottom w:val="0"/>
      <w:divBdr>
        <w:top w:val="none" w:sz="0" w:space="0" w:color="auto"/>
        <w:left w:val="none" w:sz="0" w:space="0" w:color="auto"/>
        <w:bottom w:val="none" w:sz="0" w:space="0" w:color="auto"/>
        <w:right w:val="none" w:sz="0" w:space="0" w:color="auto"/>
      </w:divBdr>
    </w:div>
    <w:div w:id="957418161">
      <w:bodyDiv w:val="1"/>
      <w:marLeft w:val="0"/>
      <w:marRight w:val="0"/>
      <w:marTop w:val="0"/>
      <w:marBottom w:val="0"/>
      <w:divBdr>
        <w:top w:val="none" w:sz="0" w:space="0" w:color="auto"/>
        <w:left w:val="none" w:sz="0" w:space="0" w:color="auto"/>
        <w:bottom w:val="none" w:sz="0" w:space="0" w:color="auto"/>
        <w:right w:val="none" w:sz="0" w:space="0" w:color="auto"/>
      </w:divBdr>
    </w:div>
    <w:div w:id="1014184477">
      <w:bodyDiv w:val="1"/>
      <w:marLeft w:val="0"/>
      <w:marRight w:val="0"/>
      <w:marTop w:val="0"/>
      <w:marBottom w:val="0"/>
      <w:divBdr>
        <w:top w:val="none" w:sz="0" w:space="0" w:color="auto"/>
        <w:left w:val="none" w:sz="0" w:space="0" w:color="auto"/>
        <w:bottom w:val="none" w:sz="0" w:space="0" w:color="auto"/>
        <w:right w:val="none" w:sz="0" w:space="0" w:color="auto"/>
      </w:divBdr>
    </w:div>
    <w:div w:id="1115172992">
      <w:bodyDiv w:val="1"/>
      <w:marLeft w:val="0"/>
      <w:marRight w:val="0"/>
      <w:marTop w:val="0"/>
      <w:marBottom w:val="0"/>
      <w:divBdr>
        <w:top w:val="none" w:sz="0" w:space="0" w:color="auto"/>
        <w:left w:val="none" w:sz="0" w:space="0" w:color="auto"/>
        <w:bottom w:val="none" w:sz="0" w:space="0" w:color="auto"/>
        <w:right w:val="none" w:sz="0" w:space="0" w:color="auto"/>
      </w:divBdr>
    </w:div>
    <w:div w:id="1162503839">
      <w:bodyDiv w:val="1"/>
      <w:marLeft w:val="0"/>
      <w:marRight w:val="0"/>
      <w:marTop w:val="0"/>
      <w:marBottom w:val="0"/>
      <w:divBdr>
        <w:top w:val="none" w:sz="0" w:space="0" w:color="auto"/>
        <w:left w:val="none" w:sz="0" w:space="0" w:color="auto"/>
        <w:bottom w:val="none" w:sz="0" w:space="0" w:color="auto"/>
        <w:right w:val="none" w:sz="0" w:space="0" w:color="auto"/>
      </w:divBdr>
    </w:div>
    <w:div w:id="1228421313">
      <w:bodyDiv w:val="1"/>
      <w:marLeft w:val="0"/>
      <w:marRight w:val="0"/>
      <w:marTop w:val="0"/>
      <w:marBottom w:val="0"/>
      <w:divBdr>
        <w:top w:val="none" w:sz="0" w:space="0" w:color="auto"/>
        <w:left w:val="none" w:sz="0" w:space="0" w:color="auto"/>
        <w:bottom w:val="none" w:sz="0" w:space="0" w:color="auto"/>
        <w:right w:val="none" w:sz="0" w:space="0" w:color="auto"/>
      </w:divBdr>
    </w:div>
    <w:div w:id="1264415011">
      <w:bodyDiv w:val="1"/>
      <w:marLeft w:val="0"/>
      <w:marRight w:val="0"/>
      <w:marTop w:val="0"/>
      <w:marBottom w:val="0"/>
      <w:divBdr>
        <w:top w:val="none" w:sz="0" w:space="0" w:color="auto"/>
        <w:left w:val="none" w:sz="0" w:space="0" w:color="auto"/>
        <w:bottom w:val="none" w:sz="0" w:space="0" w:color="auto"/>
        <w:right w:val="none" w:sz="0" w:space="0" w:color="auto"/>
      </w:divBdr>
    </w:div>
    <w:div w:id="1315066749">
      <w:bodyDiv w:val="1"/>
      <w:marLeft w:val="0"/>
      <w:marRight w:val="0"/>
      <w:marTop w:val="0"/>
      <w:marBottom w:val="0"/>
      <w:divBdr>
        <w:top w:val="none" w:sz="0" w:space="0" w:color="auto"/>
        <w:left w:val="none" w:sz="0" w:space="0" w:color="auto"/>
        <w:bottom w:val="none" w:sz="0" w:space="0" w:color="auto"/>
        <w:right w:val="none" w:sz="0" w:space="0" w:color="auto"/>
      </w:divBdr>
    </w:div>
    <w:div w:id="1466117535">
      <w:bodyDiv w:val="1"/>
      <w:marLeft w:val="0"/>
      <w:marRight w:val="0"/>
      <w:marTop w:val="0"/>
      <w:marBottom w:val="0"/>
      <w:divBdr>
        <w:top w:val="none" w:sz="0" w:space="0" w:color="auto"/>
        <w:left w:val="none" w:sz="0" w:space="0" w:color="auto"/>
        <w:bottom w:val="none" w:sz="0" w:space="0" w:color="auto"/>
        <w:right w:val="none" w:sz="0" w:space="0" w:color="auto"/>
      </w:divBdr>
    </w:div>
    <w:div w:id="1473979448">
      <w:bodyDiv w:val="1"/>
      <w:marLeft w:val="0"/>
      <w:marRight w:val="0"/>
      <w:marTop w:val="0"/>
      <w:marBottom w:val="0"/>
      <w:divBdr>
        <w:top w:val="none" w:sz="0" w:space="0" w:color="auto"/>
        <w:left w:val="none" w:sz="0" w:space="0" w:color="auto"/>
        <w:bottom w:val="none" w:sz="0" w:space="0" w:color="auto"/>
        <w:right w:val="none" w:sz="0" w:space="0" w:color="auto"/>
      </w:divBdr>
    </w:div>
    <w:div w:id="1854562946">
      <w:bodyDiv w:val="1"/>
      <w:marLeft w:val="0"/>
      <w:marRight w:val="0"/>
      <w:marTop w:val="0"/>
      <w:marBottom w:val="0"/>
      <w:divBdr>
        <w:top w:val="none" w:sz="0" w:space="0" w:color="auto"/>
        <w:left w:val="none" w:sz="0" w:space="0" w:color="auto"/>
        <w:bottom w:val="none" w:sz="0" w:space="0" w:color="auto"/>
        <w:right w:val="none" w:sz="0" w:space="0" w:color="auto"/>
      </w:divBdr>
    </w:div>
    <w:div w:id="1873614220">
      <w:bodyDiv w:val="1"/>
      <w:marLeft w:val="0"/>
      <w:marRight w:val="0"/>
      <w:marTop w:val="0"/>
      <w:marBottom w:val="0"/>
      <w:divBdr>
        <w:top w:val="none" w:sz="0" w:space="0" w:color="auto"/>
        <w:left w:val="none" w:sz="0" w:space="0" w:color="auto"/>
        <w:bottom w:val="none" w:sz="0" w:space="0" w:color="auto"/>
        <w:right w:val="none" w:sz="0" w:space="0" w:color="auto"/>
      </w:divBdr>
      <w:divsChild>
        <w:div w:id="288631323">
          <w:marLeft w:val="0"/>
          <w:marRight w:val="0"/>
          <w:marTop w:val="0"/>
          <w:marBottom w:val="0"/>
          <w:divBdr>
            <w:top w:val="none" w:sz="0" w:space="0" w:color="auto"/>
            <w:left w:val="none" w:sz="0" w:space="0" w:color="auto"/>
            <w:bottom w:val="none" w:sz="0" w:space="0" w:color="auto"/>
            <w:right w:val="none" w:sz="0" w:space="0" w:color="auto"/>
          </w:divBdr>
          <w:divsChild>
            <w:div w:id="924072944">
              <w:marLeft w:val="0"/>
              <w:marRight w:val="0"/>
              <w:marTop w:val="0"/>
              <w:marBottom w:val="0"/>
              <w:divBdr>
                <w:top w:val="none" w:sz="0" w:space="0" w:color="auto"/>
                <w:left w:val="none" w:sz="0" w:space="0" w:color="auto"/>
                <w:bottom w:val="none" w:sz="0" w:space="0" w:color="auto"/>
                <w:right w:val="none" w:sz="0" w:space="0" w:color="auto"/>
              </w:divBdr>
              <w:divsChild>
                <w:div w:id="201845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3273304">
      <w:bodyDiv w:val="1"/>
      <w:marLeft w:val="0"/>
      <w:marRight w:val="0"/>
      <w:marTop w:val="0"/>
      <w:marBottom w:val="0"/>
      <w:divBdr>
        <w:top w:val="none" w:sz="0" w:space="0" w:color="auto"/>
        <w:left w:val="none" w:sz="0" w:space="0" w:color="auto"/>
        <w:bottom w:val="none" w:sz="0" w:space="0" w:color="auto"/>
        <w:right w:val="none" w:sz="0" w:space="0" w:color="auto"/>
      </w:divBdr>
    </w:div>
    <w:div w:id="1994870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wmf"/><Relationship Id="rId10" Type="http://schemas.openxmlformats.org/officeDocument/2006/relationships/oleObject" Target="embeddings/Microsoft_Equation1.bin"/></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284AF4-BDD8-D742-9FF8-08AC87327A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480</TotalTime>
  <Pages>15</Pages>
  <Words>4028</Words>
  <Characters>22966</Characters>
  <Application>Microsoft Macintosh Word</Application>
  <DocSecurity>0</DocSecurity>
  <Lines>191</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26941</CharactersWithSpaces>
  <SharedDoc>false</SharedDoc>
  <HLinks>
    <vt:vector size="54" baseType="variant">
      <vt:variant>
        <vt:i4>5242970</vt:i4>
      </vt:variant>
      <vt:variant>
        <vt:i4>36</vt:i4>
      </vt:variant>
      <vt:variant>
        <vt:i4>0</vt:i4>
      </vt:variant>
      <vt:variant>
        <vt:i4>5</vt:i4>
      </vt:variant>
      <vt:variant>
        <vt:lpwstr>http://pepsic.bvsalud.org/pdf/aletheia/n19/n19a05.pdf</vt:lpwstr>
      </vt:variant>
      <vt:variant>
        <vt:lpwstr/>
      </vt:variant>
      <vt:variant>
        <vt:i4>5636182</vt:i4>
      </vt:variant>
      <vt:variant>
        <vt:i4>33</vt:i4>
      </vt:variant>
      <vt:variant>
        <vt:i4>0</vt:i4>
      </vt:variant>
      <vt:variant>
        <vt:i4>5</vt:i4>
      </vt:variant>
      <vt:variant>
        <vt:lpwstr>http://www.scielo.br/pdf/pusf/v11n2/v11n2a05.pdf</vt:lpwstr>
      </vt:variant>
      <vt:variant>
        <vt:lpwstr/>
      </vt:variant>
      <vt:variant>
        <vt:i4>1376282</vt:i4>
      </vt:variant>
      <vt:variant>
        <vt:i4>30</vt:i4>
      </vt:variant>
      <vt:variant>
        <vt:i4>0</vt:i4>
      </vt:variant>
      <vt:variant>
        <vt:i4>5</vt:i4>
      </vt:variant>
      <vt:variant>
        <vt:lpwstr>http://revistaseletronicas.pucrs.br/ojs/index.php/revistapsico/article/viewFile/1461/3035</vt:lpwstr>
      </vt:variant>
      <vt:variant>
        <vt:lpwstr/>
      </vt:variant>
      <vt:variant>
        <vt:i4>7471173</vt:i4>
      </vt:variant>
      <vt:variant>
        <vt:i4>27</vt:i4>
      </vt:variant>
      <vt:variant>
        <vt:i4>0</vt:i4>
      </vt:variant>
      <vt:variant>
        <vt:i4>5</vt:i4>
      </vt:variant>
      <vt:variant>
        <vt:lpwstr>http://www.scielo.br/scielo.php?pid=S1415-790X2012000100014&amp;script=sci_arttext</vt:lpwstr>
      </vt:variant>
      <vt:variant>
        <vt:lpwstr/>
      </vt:variant>
      <vt:variant>
        <vt:i4>1441820</vt:i4>
      </vt:variant>
      <vt:variant>
        <vt:i4>24</vt:i4>
      </vt:variant>
      <vt:variant>
        <vt:i4>0</vt:i4>
      </vt:variant>
      <vt:variant>
        <vt:i4>5</vt:i4>
      </vt:variant>
      <vt:variant>
        <vt:lpwstr>http://revistaseletronicas.pucrs.br/ojs/index.php/revistapsico/article/viewFile/1412/1111</vt:lpwstr>
      </vt:variant>
      <vt:variant>
        <vt:lpwstr/>
      </vt:variant>
      <vt:variant>
        <vt:i4>2359304</vt:i4>
      </vt:variant>
      <vt:variant>
        <vt:i4>21</vt:i4>
      </vt:variant>
      <vt:variant>
        <vt:i4>0</vt:i4>
      </vt:variant>
      <vt:variant>
        <vt:i4>5</vt:i4>
      </vt:variant>
      <vt:variant>
        <vt:lpwstr>http://www.scielo.br/pdf/rlae/v21nspe/pt_20.pdf</vt:lpwstr>
      </vt:variant>
      <vt:variant>
        <vt:lpwstr/>
      </vt:variant>
      <vt:variant>
        <vt:i4>5570606</vt:i4>
      </vt:variant>
      <vt:variant>
        <vt:i4>18</vt:i4>
      </vt:variant>
      <vt:variant>
        <vt:i4>0</vt:i4>
      </vt:variant>
      <vt:variant>
        <vt:i4>5</vt:i4>
      </vt:variant>
      <vt:variant>
        <vt:lpwstr>http://www.scielo.br/pdf/rlae/v16n5/pt_02.pdf</vt:lpwstr>
      </vt:variant>
      <vt:variant>
        <vt:lpwstr/>
      </vt:variant>
      <vt:variant>
        <vt:i4>7536704</vt:i4>
      </vt:variant>
      <vt:variant>
        <vt:i4>15</vt:i4>
      </vt:variant>
      <vt:variant>
        <vt:i4>0</vt:i4>
      </vt:variant>
      <vt:variant>
        <vt:i4>5</vt:i4>
      </vt:variant>
      <vt:variant>
        <vt:lpwstr>http://www.scielo.br/pdf/reeusp/v43nspe/en_a05v43ns.pdf</vt:lpwstr>
      </vt:variant>
      <vt:variant>
        <vt:lpwstr/>
      </vt:variant>
      <vt:variant>
        <vt:i4>2228228</vt:i4>
      </vt:variant>
      <vt:variant>
        <vt:i4>12</vt:i4>
      </vt:variant>
      <vt:variant>
        <vt:i4>0</vt:i4>
      </vt:variant>
      <vt:variant>
        <vt:i4>5</vt:i4>
      </vt:variant>
      <vt:variant>
        <vt:lpwstr>http://www.enf.ufmg.br/site_novo/modules/mastop_publish/files/files_4c0e3fb0d9783.pdf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Rodrigo</dc:creator>
  <cp:lastModifiedBy>Rodrigo Silva</cp:lastModifiedBy>
  <cp:revision>50</cp:revision>
  <cp:lastPrinted>2011-11-11T13:49:00Z</cp:lastPrinted>
  <dcterms:created xsi:type="dcterms:W3CDTF">2014-01-28T23:55:00Z</dcterms:created>
  <dcterms:modified xsi:type="dcterms:W3CDTF">2016-06-29T16:07:00Z</dcterms:modified>
</cp:coreProperties>
</file>