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6D117" w14:textId="07B6DA1A" w:rsidR="009D72AF" w:rsidRPr="00162ACE" w:rsidRDefault="009D72AF" w:rsidP="009D72AF">
      <w:pPr>
        <w:spacing w:line="480" w:lineRule="auto"/>
        <w:ind w:firstLine="709"/>
        <w:jc w:val="center"/>
        <w:rPr>
          <w:rFonts w:ascii="Times New Roman" w:hAnsi="Times New Roman" w:cs="Times New Roman"/>
          <w:sz w:val="24"/>
          <w:szCs w:val="24"/>
          <w:lang w:val="es-ES"/>
        </w:rPr>
      </w:pPr>
      <w:bookmarkStart w:id="0" w:name="_GoBack"/>
      <w:bookmarkEnd w:id="0"/>
    </w:p>
    <w:p w14:paraId="54700AE3" w14:textId="77777777" w:rsidR="009D72AF" w:rsidRPr="00162ACE" w:rsidRDefault="009D72AF" w:rsidP="009D72AF">
      <w:pPr>
        <w:spacing w:line="480" w:lineRule="auto"/>
        <w:ind w:firstLine="709"/>
        <w:jc w:val="center"/>
        <w:rPr>
          <w:rFonts w:ascii="Times New Roman" w:hAnsi="Times New Roman" w:cs="Times New Roman"/>
          <w:sz w:val="24"/>
          <w:szCs w:val="24"/>
          <w:lang w:val="es-ES"/>
        </w:rPr>
      </w:pPr>
      <w:r w:rsidRPr="00162ACE">
        <w:rPr>
          <w:rFonts w:ascii="Times New Roman" w:hAnsi="Times New Roman" w:cs="Times New Roman"/>
          <w:sz w:val="24"/>
          <w:szCs w:val="24"/>
          <w:lang w:val="es-ES"/>
        </w:rPr>
        <w:t>Validación inicial de la escala revisada de Consideració</w:t>
      </w:r>
      <w:r>
        <w:rPr>
          <w:rFonts w:ascii="Times New Roman" w:hAnsi="Times New Roman" w:cs="Times New Roman"/>
          <w:sz w:val="24"/>
          <w:szCs w:val="24"/>
          <w:lang w:val="es-ES"/>
        </w:rPr>
        <w:t>n de las Consecuencias Futuras</w:t>
      </w:r>
    </w:p>
    <w:p w14:paraId="695E94C2" w14:textId="77777777" w:rsidR="009D72AF" w:rsidRPr="009E4589" w:rsidRDefault="009D72AF" w:rsidP="009D72AF">
      <w:pPr>
        <w:spacing w:line="480" w:lineRule="auto"/>
        <w:ind w:firstLine="709"/>
        <w:jc w:val="center"/>
        <w:rPr>
          <w:rFonts w:ascii="Times New Roman" w:hAnsi="Times New Roman" w:cs="Times New Roman"/>
          <w:sz w:val="24"/>
          <w:szCs w:val="24"/>
          <w:lang w:val="es-ES"/>
        </w:rPr>
      </w:pPr>
      <w:r>
        <w:rPr>
          <w:rFonts w:ascii="Times New Roman" w:hAnsi="Times New Roman" w:cs="Times New Roman"/>
          <w:sz w:val="24"/>
          <w:szCs w:val="24"/>
          <w:lang w:val="es-ES"/>
        </w:rPr>
        <w:t>Lucía A</w:t>
      </w:r>
      <w:r w:rsidRPr="00162ACE">
        <w:rPr>
          <w:rFonts w:ascii="Times New Roman" w:hAnsi="Times New Roman" w:cs="Times New Roman"/>
          <w:sz w:val="24"/>
          <w:szCs w:val="24"/>
          <w:lang w:val="es-ES"/>
        </w:rPr>
        <w:t>lvare</w:t>
      </w:r>
      <w:r>
        <w:rPr>
          <w:rFonts w:ascii="Times New Roman" w:hAnsi="Times New Roman" w:cs="Times New Roman"/>
          <w:sz w:val="24"/>
          <w:szCs w:val="24"/>
          <w:lang w:val="es-ES"/>
        </w:rPr>
        <w:t>z-Nuñez</w:t>
      </w:r>
      <w:r w:rsidRPr="009E4589">
        <w:rPr>
          <w:rFonts w:ascii="Times New Roman" w:hAnsi="Times New Roman" w:cs="Times New Roman"/>
          <w:sz w:val="24"/>
          <w:szCs w:val="24"/>
          <w:lang w:val="es-ES"/>
        </w:rPr>
        <w:t>, Hugo Selma &amp; Alejandro Vásquez Echeverría</w:t>
      </w:r>
    </w:p>
    <w:p w14:paraId="6C7DBEB3" w14:textId="77777777" w:rsidR="009D72AF" w:rsidRPr="00162ACE" w:rsidRDefault="009D72AF" w:rsidP="009D72AF">
      <w:pPr>
        <w:spacing w:line="480" w:lineRule="auto"/>
        <w:ind w:firstLine="709"/>
        <w:jc w:val="center"/>
        <w:rPr>
          <w:rFonts w:ascii="Times New Roman" w:hAnsi="Times New Roman" w:cs="Times New Roman"/>
          <w:sz w:val="24"/>
          <w:szCs w:val="24"/>
          <w:lang w:val="es-ES"/>
        </w:rPr>
      </w:pPr>
      <w:r w:rsidRPr="00162ACE">
        <w:rPr>
          <w:rFonts w:ascii="Times New Roman" w:hAnsi="Times New Roman" w:cs="Times New Roman"/>
          <w:sz w:val="24"/>
          <w:szCs w:val="24"/>
          <w:lang w:val="es-ES"/>
        </w:rPr>
        <w:t>Facultad de Psicología, Universidad de la República</w:t>
      </w:r>
    </w:p>
    <w:p w14:paraId="2F09CC45" w14:textId="77777777" w:rsidR="009D72AF" w:rsidRPr="00162ACE" w:rsidRDefault="009D72AF" w:rsidP="009D72AF">
      <w:pPr>
        <w:spacing w:line="480" w:lineRule="auto"/>
        <w:ind w:firstLine="709"/>
        <w:jc w:val="center"/>
        <w:rPr>
          <w:rFonts w:ascii="Times New Roman" w:hAnsi="Times New Roman" w:cs="Times New Roman"/>
          <w:sz w:val="24"/>
          <w:szCs w:val="24"/>
          <w:lang w:val="es-ES"/>
        </w:rPr>
      </w:pPr>
    </w:p>
    <w:p w14:paraId="25EE34A1" w14:textId="77777777" w:rsidR="009D72AF" w:rsidRPr="00162ACE" w:rsidRDefault="009D72AF" w:rsidP="009D72AF">
      <w:pPr>
        <w:spacing w:line="480" w:lineRule="auto"/>
        <w:rPr>
          <w:rFonts w:ascii="Times New Roman" w:hAnsi="Times New Roman" w:cs="Times New Roman"/>
          <w:sz w:val="24"/>
          <w:szCs w:val="24"/>
          <w:lang w:val="es-ES"/>
        </w:rPr>
      </w:pPr>
      <w:r w:rsidRPr="00162ACE">
        <w:rPr>
          <w:rFonts w:ascii="Times New Roman" w:hAnsi="Times New Roman" w:cs="Times New Roman"/>
          <w:sz w:val="24"/>
          <w:szCs w:val="24"/>
          <w:lang w:val="es-ES"/>
        </w:rPr>
        <w:t xml:space="preserve">La correspondencia relativa a este artículo puede ser enviada a: </w:t>
      </w:r>
    </w:p>
    <w:p w14:paraId="3E65DBDB" w14:textId="77777777" w:rsidR="009D72AF" w:rsidRPr="00162ACE" w:rsidRDefault="009D72AF" w:rsidP="009D72AF">
      <w:pPr>
        <w:spacing w:line="480" w:lineRule="auto"/>
        <w:rPr>
          <w:rFonts w:ascii="Times New Roman" w:hAnsi="Times New Roman" w:cs="Times New Roman"/>
          <w:sz w:val="24"/>
          <w:szCs w:val="24"/>
          <w:lang w:val="es-ES"/>
        </w:rPr>
      </w:pPr>
      <w:r w:rsidRPr="00162ACE">
        <w:rPr>
          <w:rFonts w:ascii="Times New Roman" w:hAnsi="Times New Roman" w:cs="Times New Roman"/>
          <w:sz w:val="24"/>
          <w:szCs w:val="24"/>
          <w:lang w:val="es-ES"/>
        </w:rPr>
        <w:t>Alejandro Vásquez Echeverría. Instituto de Fundamentos y Métodos en Psicología. Facultad de Psicología, Universidad de la República. Tristán Narvaja 1676, Montevideo, Uruguay. Correo e.: avasquez@psico.edu.uy</w:t>
      </w:r>
    </w:p>
    <w:p w14:paraId="64B03274" w14:textId="77777777" w:rsidR="009D72AF" w:rsidRDefault="009D72AF" w:rsidP="009D72AF"/>
    <w:p w14:paraId="1767D519" w14:textId="568C7A6F" w:rsidR="009D72AF" w:rsidRDefault="009D72AF">
      <w:pPr>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6641DC8C" w14:textId="77777777" w:rsidR="009D72AF" w:rsidRDefault="009D72AF">
      <w:pPr>
        <w:rPr>
          <w:rFonts w:ascii="Times New Roman" w:hAnsi="Times New Roman" w:cs="Times New Roman"/>
          <w:sz w:val="24"/>
          <w:szCs w:val="24"/>
          <w:lang w:val="es-ES"/>
        </w:rPr>
      </w:pPr>
    </w:p>
    <w:p w14:paraId="62CEB475" w14:textId="658E1927" w:rsidR="002A5708" w:rsidRPr="00162ACE" w:rsidRDefault="007A1B67" w:rsidP="007A1F80">
      <w:pPr>
        <w:spacing w:line="480" w:lineRule="auto"/>
        <w:jc w:val="center"/>
        <w:rPr>
          <w:rFonts w:ascii="Times New Roman" w:hAnsi="Times New Roman" w:cs="Times New Roman"/>
          <w:sz w:val="24"/>
          <w:szCs w:val="24"/>
          <w:lang w:val="es-ES"/>
        </w:rPr>
      </w:pPr>
      <w:r w:rsidRPr="00162ACE">
        <w:rPr>
          <w:rFonts w:ascii="Times New Roman" w:hAnsi="Times New Roman" w:cs="Times New Roman"/>
          <w:sz w:val="24"/>
          <w:szCs w:val="24"/>
          <w:lang w:val="es-ES"/>
        </w:rPr>
        <w:t>Resumen</w:t>
      </w:r>
    </w:p>
    <w:p w14:paraId="2EEDCBAA" w14:textId="77777777" w:rsidR="007A1B67" w:rsidRPr="00162ACE" w:rsidRDefault="008A630C" w:rsidP="00162ACE">
      <w:pPr>
        <w:spacing w:line="480" w:lineRule="auto"/>
        <w:rPr>
          <w:rFonts w:ascii="Times New Roman" w:hAnsi="Times New Roman" w:cs="Times New Roman"/>
          <w:sz w:val="24"/>
          <w:szCs w:val="24"/>
          <w:lang w:val="es-ES"/>
        </w:rPr>
      </w:pPr>
      <w:r w:rsidRPr="00162ACE">
        <w:rPr>
          <w:rFonts w:ascii="Times New Roman" w:hAnsi="Times New Roman" w:cs="Times New Roman"/>
          <w:sz w:val="24"/>
          <w:szCs w:val="24"/>
        </w:rPr>
        <w:t xml:space="preserve">La Escala de </w:t>
      </w:r>
      <w:r w:rsidR="007A1B67" w:rsidRPr="00162ACE">
        <w:rPr>
          <w:rFonts w:ascii="Times New Roman" w:hAnsi="Times New Roman" w:cs="Times New Roman"/>
          <w:sz w:val="24"/>
          <w:szCs w:val="24"/>
        </w:rPr>
        <w:t>Consideración de</w:t>
      </w:r>
      <w:r w:rsidR="007A1B67" w:rsidRPr="00162ACE">
        <w:rPr>
          <w:rFonts w:ascii="Times New Roman" w:hAnsi="Times New Roman" w:cs="Times New Roman"/>
          <w:sz w:val="24"/>
          <w:szCs w:val="24"/>
          <w:lang w:val="es-ES"/>
        </w:rPr>
        <w:t xml:space="preserve"> las Consecuencias Futuras (CFC) </w:t>
      </w:r>
      <w:r w:rsidR="003B6C99">
        <w:rPr>
          <w:rFonts w:ascii="Times New Roman" w:hAnsi="Times New Roman" w:cs="Times New Roman"/>
          <w:sz w:val="24"/>
          <w:szCs w:val="24"/>
          <w:lang w:val="es-ES"/>
        </w:rPr>
        <w:t>evalúa</w:t>
      </w:r>
      <w:r w:rsidR="007A1B67" w:rsidRPr="00162ACE">
        <w:rPr>
          <w:rFonts w:ascii="Times New Roman" w:hAnsi="Times New Roman" w:cs="Times New Roman"/>
          <w:sz w:val="24"/>
          <w:szCs w:val="24"/>
        </w:rPr>
        <w:t xml:space="preserve"> el grado que las personas son influenciadas por las consecuencias inmediatas o distantes de sus comportamientos. El objetivo de este estudio es realizar </w:t>
      </w:r>
      <w:r w:rsidR="003B6C99">
        <w:rPr>
          <w:rFonts w:ascii="Times New Roman" w:hAnsi="Times New Roman" w:cs="Times New Roman"/>
          <w:sz w:val="24"/>
          <w:szCs w:val="24"/>
        </w:rPr>
        <w:t>una</w:t>
      </w:r>
      <w:r w:rsidR="003B6C99" w:rsidRPr="00162ACE">
        <w:rPr>
          <w:rFonts w:ascii="Times New Roman" w:hAnsi="Times New Roman" w:cs="Times New Roman"/>
          <w:sz w:val="24"/>
          <w:szCs w:val="24"/>
        </w:rPr>
        <w:t xml:space="preserve"> </w:t>
      </w:r>
      <w:r w:rsidR="007A1B67" w:rsidRPr="00162ACE">
        <w:rPr>
          <w:rFonts w:ascii="Times New Roman" w:hAnsi="Times New Roman" w:cs="Times New Roman"/>
          <w:sz w:val="24"/>
          <w:szCs w:val="24"/>
        </w:rPr>
        <w:t xml:space="preserve">validación </w:t>
      </w:r>
      <w:r w:rsidR="003B6C99">
        <w:rPr>
          <w:rFonts w:ascii="Times New Roman" w:hAnsi="Times New Roman" w:cs="Times New Roman"/>
          <w:sz w:val="24"/>
          <w:szCs w:val="24"/>
        </w:rPr>
        <w:t xml:space="preserve">inicial </w:t>
      </w:r>
      <w:r w:rsidR="007A1B67" w:rsidRPr="00162ACE">
        <w:rPr>
          <w:rFonts w:ascii="Times New Roman" w:hAnsi="Times New Roman" w:cs="Times New Roman"/>
          <w:sz w:val="24"/>
          <w:szCs w:val="24"/>
        </w:rPr>
        <w:t xml:space="preserve">de </w:t>
      </w:r>
      <w:r w:rsidR="003B6C99">
        <w:rPr>
          <w:rFonts w:ascii="Times New Roman" w:hAnsi="Times New Roman" w:cs="Times New Roman"/>
          <w:sz w:val="24"/>
          <w:szCs w:val="24"/>
        </w:rPr>
        <w:t xml:space="preserve">versión en castellano de la </w:t>
      </w:r>
      <w:r w:rsidR="007A1B67" w:rsidRPr="00162ACE">
        <w:rPr>
          <w:rFonts w:ascii="Times New Roman" w:hAnsi="Times New Roman" w:cs="Times New Roman"/>
          <w:sz w:val="24"/>
          <w:szCs w:val="24"/>
        </w:rPr>
        <w:t xml:space="preserve"> escala CFC-14 en </w:t>
      </w:r>
      <w:r w:rsidR="003B6C99">
        <w:rPr>
          <w:rFonts w:ascii="Times New Roman" w:hAnsi="Times New Roman" w:cs="Times New Roman"/>
          <w:sz w:val="24"/>
          <w:szCs w:val="24"/>
        </w:rPr>
        <w:t>una muestra aleatoria</w:t>
      </w:r>
      <w:r w:rsidR="007A1B67" w:rsidRPr="00162ACE">
        <w:rPr>
          <w:rFonts w:ascii="Times New Roman" w:hAnsi="Times New Roman" w:cs="Times New Roman"/>
          <w:sz w:val="24"/>
          <w:szCs w:val="24"/>
        </w:rPr>
        <w:t xml:space="preserve">, y comprobar su validez predictiva respecto al consumo de sustancias psicoactivas y del nivel educativo. Los resultados demuestran que la escala tiene una consistencia interna </w:t>
      </w:r>
      <w:r w:rsidR="00E1208D" w:rsidRPr="00162ACE">
        <w:rPr>
          <w:rFonts w:ascii="Times New Roman" w:hAnsi="Times New Roman" w:cs="Times New Roman"/>
          <w:sz w:val="24"/>
          <w:szCs w:val="24"/>
        </w:rPr>
        <w:t>aceptable</w:t>
      </w:r>
      <w:r w:rsidR="007A1B67" w:rsidRPr="00162ACE">
        <w:rPr>
          <w:rFonts w:ascii="Times New Roman" w:hAnsi="Times New Roman" w:cs="Times New Roman"/>
          <w:sz w:val="24"/>
          <w:szCs w:val="24"/>
        </w:rPr>
        <w:t>,</w:t>
      </w:r>
      <w:r w:rsidR="00E1208D" w:rsidRPr="00162ACE">
        <w:rPr>
          <w:rFonts w:ascii="Times New Roman" w:hAnsi="Times New Roman" w:cs="Times New Roman"/>
          <w:sz w:val="24"/>
          <w:szCs w:val="24"/>
        </w:rPr>
        <w:t xml:space="preserve"> pero no se logran indicadores satisfactorios para la </w:t>
      </w:r>
      <w:r w:rsidR="007A1B67" w:rsidRPr="00162ACE">
        <w:rPr>
          <w:rFonts w:ascii="Times New Roman" w:hAnsi="Times New Roman" w:cs="Times New Roman"/>
          <w:sz w:val="24"/>
          <w:szCs w:val="24"/>
        </w:rPr>
        <w:t>estructura de dos factores. Se comprueba que a mayor CFC</w:t>
      </w:r>
      <w:r w:rsidR="004E3274" w:rsidRPr="00162ACE">
        <w:rPr>
          <w:rFonts w:ascii="Times New Roman" w:hAnsi="Times New Roman" w:cs="Times New Roman"/>
          <w:sz w:val="24"/>
          <w:szCs w:val="24"/>
        </w:rPr>
        <w:t>-F</w:t>
      </w:r>
      <w:r w:rsidR="007A1B67" w:rsidRPr="00162ACE">
        <w:rPr>
          <w:rFonts w:ascii="Times New Roman" w:hAnsi="Times New Roman" w:cs="Times New Roman"/>
          <w:sz w:val="24"/>
          <w:szCs w:val="24"/>
        </w:rPr>
        <w:t xml:space="preserve"> menor consumo de sustancias psicoactivas y mayor nivel educativo.</w:t>
      </w:r>
      <w:r w:rsidRPr="00162ACE">
        <w:rPr>
          <w:rFonts w:ascii="Times New Roman" w:hAnsi="Times New Roman" w:cs="Times New Roman"/>
          <w:sz w:val="24"/>
          <w:szCs w:val="24"/>
        </w:rPr>
        <w:t xml:space="preserve"> </w:t>
      </w:r>
      <w:r w:rsidR="00E1208D" w:rsidRPr="00162ACE">
        <w:rPr>
          <w:rFonts w:ascii="Times New Roman" w:hAnsi="Times New Roman" w:cs="Times New Roman"/>
          <w:sz w:val="24"/>
          <w:szCs w:val="24"/>
          <w:lang w:val="es-ES"/>
        </w:rPr>
        <w:t>Los resultados son interpretados a la luz de las características aleatorias de la muestra</w:t>
      </w:r>
      <w:r w:rsidR="00BC369D" w:rsidRPr="00162ACE">
        <w:rPr>
          <w:rFonts w:ascii="Times New Roman" w:hAnsi="Times New Roman" w:cs="Times New Roman"/>
          <w:sz w:val="24"/>
          <w:szCs w:val="24"/>
          <w:lang w:val="es-ES"/>
        </w:rPr>
        <w:t xml:space="preserve"> y las posibles fuentes de error</w:t>
      </w:r>
      <w:r w:rsidR="00E1208D" w:rsidRPr="00162ACE">
        <w:rPr>
          <w:rFonts w:ascii="Times New Roman" w:hAnsi="Times New Roman" w:cs="Times New Roman"/>
          <w:sz w:val="24"/>
          <w:szCs w:val="24"/>
          <w:lang w:val="es-ES"/>
        </w:rPr>
        <w:t>.</w:t>
      </w:r>
    </w:p>
    <w:p w14:paraId="73AB0675" w14:textId="77777777" w:rsidR="007A1B67" w:rsidRPr="00162ACE" w:rsidRDefault="007A1B67"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i/>
          <w:sz w:val="24"/>
          <w:szCs w:val="24"/>
          <w:lang w:val="es-ES"/>
        </w:rPr>
        <w:t>Palabras Claves:</w:t>
      </w:r>
      <w:r w:rsidRPr="00162ACE">
        <w:rPr>
          <w:rFonts w:ascii="Times New Roman" w:hAnsi="Times New Roman" w:cs="Times New Roman"/>
          <w:sz w:val="24"/>
          <w:szCs w:val="24"/>
          <w:lang w:val="es-ES"/>
        </w:rPr>
        <w:t xml:space="preserve"> Consideración de las consecuencias futuras,</w:t>
      </w:r>
      <w:r w:rsidR="00D4459C" w:rsidRPr="00162ACE">
        <w:rPr>
          <w:rFonts w:ascii="Times New Roman" w:hAnsi="Times New Roman" w:cs="Times New Roman"/>
          <w:sz w:val="24"/>
          <w:szCs w:val="24"/>
          <w:lang w:val="es-ES"/>
        </w:rPr>
        <w:t xml:space="preserve"> validación</w:t>
      </w:r>
      <w:r w:rsidR="00CD3444" w:rsidRPr="00162ACE">
        <w:rPr>
          <w:rFonts w:ascii="Times New Roman" w:hAnsi="Times New Roman" w:cs="Times New Roman"/>
          <w:sz w:val="24"/>
          <w:szCs w:val="24"/>
          <w:lang w:val="es-ES"/>
        </w:rPr>
        <w:t>, uso</w:t>
      </w:r>
      <w:r w:rsidR="00B212F9" w:rsidRPr="00162ACE">
        <w:rPr>
          <w:rFonts w:ascii="Times New Roman" w:hAnsi="Times New Roman" w:cs="Times New Roman"/>
          <w:sz w:val="24"/>
          <w:szCs w:val="24"/>
          <w:lang w:val="es-ES"/>
        </w:rPr>
        <w:t xml:space="preserve"> de sustancias</w:t>
      </w:r>
      <w:r w:rsidRPr="00162ACE">
        <w:rPr>
          <w:rFonts w:ascii="Times New Roman" w:hAnsi="Times New Roman" w:cs="Times New Roman"/>
          <w:sz w:val="24"/>
          <w:szCs w:val="24"/>
          <w:lang w:val="es-ES"/>
        </w:rPr>
        <w:t xml:space="preserve">, </w:t>
      </w:r>
      <w:r w:rsidR="00D622DA" w:rsidRPr="00162ACE">
        <w:rPr>
          <w:rFonts w:ascii="Times New Roman" w:hAnsi="Times New Roman" w:cs="Times New Roman"/>
          <w:sz w:val="24"/>
          <w:szCs w:val="24"/>
          <w:lang w:val="es-ES"/>
        </w:rPr>
        <w:t>educación</w:t>
      </w:r>
      <w:r w:rsidR="00D4459C" w:rsidRPr="00162ACE">
        <w:rPr>
          <w:rFonts w:ascii="Times New Roman" w:hAnsi="Times New Roman" w:cs="Times New Roman"/>
          <w:sz w:val="24"/>
          <w:szCs w:val="24"/>
          <w:lang w:val="es-ES"/>
        </w:rPr>
        <w:t>.</w:t>
      </w:r>
    </w:p>
    <w:p w14:paraId="03239E35" w14:textId="77777777" w:rsidR="006E2174" w:rsidRPr="00162ACE" w:rsidRDefault="006E2174" w:rsidP="00162ACE">
      <w:pPr>
        <w:spacing w:line="480" w:lineRule="auto"/>
        <w:ind w:firstLine="709"/>
        <w:rPr>
          <w:rFonts w:ascii="Times New Roman" w:hAnsi="Times New Roman" w:cs="Times New Roman"/>
          <w:sz w:val="24"/>
          <w:szCs w:val="24"/>
          <w:lang w:val="es-ES"/>
        </w:rPr>
      </w:pPr>
    </w:p>
    <w:p w14:paraId="087919B8" w14:textId="77777777" w:rsidR="002A5708" w:rsidRPr="00162ACE" w:rsidRDefault="002A5708" w:rsidP="00162ACE">
      <w:pPr>
        <w:spacing w:line="480" w:lineRule="auto"/>
        <w:ind w:firstLine="709"/>
        <w:jc w:val="center"/>
        <w:rPr>
          <w:rFonts w:ascii="Times New Roman" w:hAnsi="Times New Roman" w:cs="Times New Roman"/>
          <w:sz w:val="24"/>
          <w:szCs w:val="24"/>
          <w:lang w:val="en-GB"/>
        </w:rPr>
      </w:pPr>
      <w:r w:rsidRPr="00162ACE">
        <w:rPr>
          <w:rFonts w:ascii="Times New Roman" w:hAnsi="Times New Roman" w:cs="Times New Roman"/>
          <w:sz w:val="24"/>
          <w:szCs w:val="24"/>
          <w:lang w:val="en-GB"/>
        </w:rPr>
        <w:t>Abstract</w:t>
      </w:r>
    </w:p>
    <w:p w14:paraId="28DC5FBF" w14:textId="77777777" w:rsidR="009173B5" w:rsidRPr="00162ACE" w:rsidRDefault="009173B5" w:rsidP="009173B5">
      <w:pPr>
        <w:spacing w:line="480" w:lineRule="auto"/>
        <w:rPr>
          <w:rFonts w:ascii="Times New Roman" w:hAnsi="Times New Roman" w:cs="Times New Roman"/>
          <w:sz w:val="24"/>
          <w:szCs w:val="24"/>
          <w:lang w:val="en-GB"/>
        </w:rPr>
      </w:pPr>
      <w:r w:rsidRPr="00162ACE">
        <w:rPr>
          <w:rFonts w:ascii="Times New Roman" w:hAnsi="Times New Roman" w:cs="Times New Roman"/>
          <w:sz w:val="24"/>
          <w:szCs w:val="24"/>
          <w:lang w:val="en-GB"/>
        </w:rPr>
        <w:t>The Consideration of Future Consequences (CFC) Scale measures the degree that people are influence by the immediate or distant consequences of their behaviour. The aim of this study is to validate the</w:t>
      </w:r>
      <w:r>
        <w:rPr>
          <w:rFonts w:ascii="Times New Roman" w:hAnsi="Times New Roman" w:cs="Times New Roman"/>
          <w:sz w:val="24"/>
          <w:szCs w:val="24"/>
          <w:lang w:val="en-GB"/>
        </w:rPr>
        <w:t xml:space="preserve"> CFC -14 scale in spanish </w:t>
      </w:r>
      <w:r w:rsidRPr="007B4112">
        <w:rPr>
          <w:rFonts w:ascii="Times New Roman" w:hAnsi="Times New Roman" w:cs="Times New Roman"/>
          <w:sz w:val="24"/>
          <w:szCs w:val="24"/>
          <w:lang w:val="en-GB"/>
        </w:rPr>
        <w:t>in a random sample</w:t>
      </w:r>
      <w:r w:rsidRPr="00162ACE">
        <w:rPr>
          <w:rFonts w:ascii="Times New Roman" w:hAnsi="Times New Roman" w:cs="Times New Roman"/>
          <w:sz w:val="24"/>
          <w:szCs w:val="24"/>
          <w:lang w:val="en-GB"/>
        </w:rPr>
        <w:t>, and test their predictive validity with the use of psychoactive substances and educational level. The results show that the scale has a good internal consistency, but we could not achieve satisfactory indicators for the two factor solution. In addition, people with high score in CFC-F has less consumption of psychoactive substances and higher educational level. Results are interpreted taking into account the randomization of the sample and possible error measurement.</w:t>
      </w:r>
    </w:p>
    <w:p w14:paraId="2951D9D3" w14:textId="77777777" w:rsidR="009173B5" w:rsidRPr="00162ACE" w:rsidRDefault="009173B5" w:rsidP="009173B5">
      <w:pPr>
        <w:spacing w:line="480" w:lineRule="auto"/>
        <w:ind w:firstLine="709"/>
        <w:rPr>
          <w:rFonts w:ascii="Times New Roman" w:hAnsi="Times New Roman" w:cs="Times New Roman"/>
          <w:sz w:val="24"/>
          <w:szCs w:val="24"/>
          <w:lang w:val="en-GB"/>
        </w:rPr>
      </w:pPr>
      <w:r w:rsidRPr="00162ACE">
        <w:rPr>
          <w:rFonts w:ascii="Times New Roman" w:hAnsi="Times New Roman" w:cs="Times New Roman"/>
          <w:i/>
          <w:sz w:val="24"/>
          <w:szCs w:val="24"/>
          <w:lang w:val="en-GB"/>
        </w:rPr>
        <w:lastRenderedPageBreak/>
        <w:t>Keywords:</w:t>
      </w:r>
      <w:r w:rsidRPr="00162ACE">
        <w:rPr>
          <w:rFonts w:ascii="Times New Roman" w:hAnsi="Times New Roman" w:cs="Times New Roman"/>
          <w:sz w:val="24"/>
          <w:szCs w:val="24"/>
          <w:lang w:val="en-GB"/>
        </w:rPr>
        <w:t xml:space="preserve"> Consideration of future consequences, validation, drug use, education.</w:t>
      </w:r>
    </w:p>
    <w:p w14:paraId="441E4E21" w14:textId="77777777" w:rsidR="007A1B67" w:rsidRPr="00162ACE" w:rsidRDefault="007A1B67" w:rsidP="00162ACE">
      <w:pPr>
        <w:spacing w:line="480" w:lineRule="auto"/>
        <w:jc w:val="center"/>
        <w:rPr>
          <w:rFonts w:ascii="Times New Roman" w:hAnsi="Times New Roman" w:cs="Times New Roman"/>
          <w:color w:val="FF0000"/>
          <w:sz w:val="24"/>
          <w:szCs w:val="24"/>
        </w:rPr>
      </w:pPr>
      <w:r w:rsidRPr="00162ACE">
        <w:rPr>
          <w:rFonts w:ascii="Times New Roman" w:hAnsi="Times New Roman" w:cs="Times New Roman"/>
          <w:sz w:val="24"/>
          <w:szCs w:val="24"/>
        </w:rPr>
        <w:t>Introducción</w:t>
      </w:r>
    </w:p>
    <w:p w14:paraId="59A81B58" w14:textId="77777777" w:rsidR="007A1B67" w:rsidRPr="00162ACE" w:rsidRDefault="007A1B67"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La </w:t>
      </w:r>
      <w:r w:rsidR="002E0472" w:rsidRPr="00162ACE">
        <w:rPr>
          <w:rFonts w:ascii="Times New Roman" w:hAnsi="Times New Roman" w:cs="Times New Roman"/>
          <w:sz w:val="24"/>
          <w:szCs w:val="24"/>
        </w:rPr>
        <w:t>e</w:t>
      </w:r>
      <w:r w:rsidRPr="00162ACE">
        <w:rPr>
          <w:rFonts w:ascii="Times New Roman" w:hAnsi="Times New Roman" w:cs="Times New Roman"/>
          <w:sz w:val="24"/>
          <w:szCs w:val="24"/>
        </w:rPr>
        <w:t xml:space="preserve">scala Consideración de las Consecuencias Futuras (en adelante </w:t>
      </w:r>
      <w:r w:rsidR="00B212F9" w:rsidRPr="00162ACE">
        <w:rPr>
          <w:rFonts w:ascii="Times New Roman" w:hAnsi="Times New Roman" w:cs="Times New Roman"/>
          <w:sz w:val="24"/>
          <w:szCs w:val="24"/>
        </w:rPr>
        <w:t xml:space="preserve">Escala </w:t>
      </w:r>
      <w:r w:rsidRPr="00162ACE">
        <w:rPr>
          <w:rFonts w:ascii="Times New Roman" w:hAnsi="Times New Roman" w:cs="Times New Roman"/>
          <w:sz w:val="24"/>
          <w:szCs w:val="24"/>
        </w:rPr>
        <w:t xml:space="preserve">CFC) es un instrumento desarrollado y validado </w:t>
      </w:r>
      <w:r w:rsidR="00B212F9" w:rsidRPr="00162ACE">
        <w:rPr>
          <w:rFonts w:ascii="Times New Roman" w:hAnsi="Times New Roman" w:cs="Times New Roman"/>
          <w:sz w:val="24"/>
          <w:szCs w:val="24"/>
        </w:rPr>
        <w:t xml:space="preserve">originalmente </w:t>
      </w:r>
      <w:r w:rsidRPr="00162ACE">
        <w:rPr>
          <w:rFonts w:ascii="Times New Roman" w:hAnsi="Times New Roman" w:cs="Times New Roman"/>
          <w:sz w:val="24"/>
          <w:szCs w:val="24"/>
        </w:rPr>
        <w:t>por Strathman, Gleicher, Boninger</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&amp; Edwards (1994). Indaga en qué grado las personas son influenciadas por los resultados inmediatos o lejanos de sus conductas. A través de ella, se puede explicar cómo las personas resuelven dilemas temporales de corto y largo plazo. El instrumento </w:t>
      </w:r>
      <w:r w:rsidR="00B212F9" w:rsidRPr="00162ACE">
        <w:rPr>
          <w:rFonts w:ascii="Times New Roman" w:hAnsi="Times New Roman" w:cs="Times New Roman"/>
          <w:sz w:val="24"/>
          <w:szCs w:val="24"/>
        </w:rPr>
        <w:t xml:space="preserve">original </w:t>
      </w:r>
      <w:r w:rsidRPr="00162ACE">
        <w:rPr>
          <w:rFonts w:ascii="Times New Roman" w:hAnsi="Times New Roman" w:cs="Times New Roman"/>
          <w:sz w:val="24"/>
          <w:szCs w:val="24"/>
        </w:rPr>
        <w:t>creado por Strathman, et al. (1994) consta de 12 ítems y posee una concepción unidimensional. Joireman, Balliet, Sprott, Spangenberg, &amp;</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Schultz (2008) han planteado que una solución de dos factores es más apropiada, proponiendo dos subescalas: </w:t>
      </w:r>
      <w:r w:rsidR="008A630C" w:rsidRPr="00162ACE">
        <w:rPr>
          <w:rFonts w:ascii="Times New Roman" w:hAnsi="Times New Roman" w:cs="Times New Roman"/>
          <w:sz w:val="24"/>
          <w:szCs w:val="24"/>
        </w:rPr>
        <w:t>una que evalúa la consideración de las consecuencias inmediatas</w:t>
      </w:r>
      <w:r w:rsidRPr="00162ACE">
        <w:rPr>
          <w:rFonts w:ascii="Times New Roman" w:hAnsi="Times New Roman" w:cs="Times New Roman"/>
          <w:sz w:val="24"/>
          <w:szCs w:val="24"/>
        </w:rPr>
        <w:t xml:space="preserve"> (en adelante CFC-I) y </w:t>
      </w:r>
      <w:r w:rsidR="008A630C" w:rsidRPr="00162ACE">
        <w:rPr>
          <w:rFonts w:ascii="Times New Roman" w:hAnsi="Times New Roman" w:cs="Times New Roman"/>
          <w:sz w:val="24"/>
          <w:szCs w:val="24"/>
        </w:rPr>
        <w:t>la segunda que evalúa la consideración de las consecuencias futuras</w:t>
      </w:r>
      <w:r w:rsidRPr="00162ACE">
        <w:rPr>
          <w:rFonts w:ascii="Times New Roman" w:hAnsi="Times New Roman" w:cs="Times New Roman"/>
          <w:sz w:val="24"/>
          <w:szCs w:val="24"/>
        </w:rPr>
        <w:t xml:space="preserve"> (en adelante CFC-F)</w:t>
      </w:r>
      <w:r w:rsidR="00EA2909"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 xml:space="preserve">Sin embargo, el debate sobre la estructura factorial de la Escala CFC sigue abierto. </w:t>
      </w:r>
      <w:r w:rsidR="00E1208D" w:rsidRPr="00162ACE">
        <w:rPr>
          <w:rFonts w:ascii="Times New Roman" w:hAnsi="Times New Roman" w:cs="Times New Roman"/>
          <w:sz w:val="24"/>
          <w:szCs w:val="24"/>
        </w:rPr>
        <w:t xml:space="preserve">Por </w:t>
      </w:r>
      <w:r w:rsidR="008A630C" w:rsidRPr="00162ACE">
        <w:rPr>
          <w:rFonts w:ascii="Times New Roman" w:hAnsi="Times New Roman" w:cs="Times New Roman"/>
          <w:sz w:val="24"/>
          <w:szCs w:val="24"/>
        </w:rPr>
        <w:t>ejemplo</w:t>
      </w:r>
      <w:r w:rsidR="00E1208D" w:rsidRPr="00162ACE">
        <w:rPr>
          <w:rFonts w:ascii="Times New Roman" w:hAnsi="Times New Roman" w:cs="Times New Roman"/>
          <w:sz w:val="24"/>
          <w:szCs w:val="24"/>
        </w:rPr>
        <w:t xml:space="preserve">, recientemente </w:t>
      </w:r>
      <w:r w:rsidR="00E86791" w:rsidRPr="00162ACE">
        <w:rPr>
          <w:rFonts w:ascii="Times New Roman" w:hAnsi="Times New Roman" w:cs="Times New Roman"/>
          <w:sz w:val="24"/>
          <w:szCs w:val="24"/>
        </w:rPr>
        <w:t xml:space="preserve">Zhang, Kong, Zhang &amp; Li (2015) </w:t>
      </w:r>
      <w:r w:rsidR="00E1208D" w:rsidRPr="00162ACE">
        <w:rPr>
          <w:rFonts w:ascii="Times New Roman" w:hAnsi="Times New Roman" w:cs="Times New Roman"/>
          <w:sz w:val="24"/>
          <w:szCs w:val="24"/>
        </w:rPr>
        <w:t>plantearon</w:t>
      </w:r>
      <w:r w:rsidR="00E86791" w:rsidRPr="00162ACE">
        <w:rPr>
          <w:rFonts w:ascii="Times New Roman" w:hAnsi="Times New Roman" w:cs="Times New Roman"/>
          <w:sz w:val="24"/>
          <w:szCs w:val="24"/>
        </w:rPr>
        <w:t xml:space="preserve"> que una solución de cuatro factores es más apropiada</w:t>
      </w:r>
      <w:r w:rsidR="00E1208D" w:rsidRPr="00162ACE">
        <w:rPr>
          <w:rFonts w:ascii="Times New Roman" w:hAnsi="Times New Roman" w:cs="Times New Roman"/>
          <w:sz w:val="24"/>
          <w:szCs w:val="24"/>
        </w:rPr>
        <w:t>. En cuanto a la cantidad de ítems</w:t>
      </w:r>
      <w:r w:rsidRPr="00162ACE">
        <w:rPr>
          <w:rFonts w:ascii="Times New Roman" w:hAnsi="Times New Roman" w:cs="Times New Roman"/>
          <w:sz w:val="24"/>
          <w:szCs w:val="24"/>
        </w:rPr>
        <w:t>, Joireman, Shaffer, Balliet, &amp;</w:t>
      </w:r>
      <w:r w:rsidR="00D3778A" w:rsidRPr="00162ACE">
        <w:rPr>
          <w:rFonts w:ascii="Times New Roman" w:hAnsi="Times New Roman" w:cs="Times New Roman"/>
          <w:sz w:val="24"/>
          <w:szCs w:val="24"/>
        </w:rPr>
        <w:t xml:space="preserve"> </w:t>
      </w:r>
      <w:r w:rsidRPr="00162ACE">
        <w:rPr>
          <w:rFonts w:ascii="Times New Roman" w:hAnsi="Times New Roman" w:cs="Times New Roman"/>
          <w:sz w:val="24"/>
          <w:szCs w:val="24"/>
        </w:rPr>
        <w:t>Strathman (2012) propusieron la ampliación de la escala de 12 a 14 ítems, agregando dos en la sub</w:t>
      </w:r>
      <w:r w:rsidR="002E0472" w:rsidRPr="00162ACE">
        <w:rPr>
          <w:rFonts w:ascii="Times New Roman" w:hAnsi="Times New Roman" w:cs="Times New Roman"/>
          <w:sz w:val="24"/>
          <w:szCs w:val="24"/>
        </w:rPr>
        <w:t>e</w:t>
      </w:r>
      <w:r w:rsidR="00E1208D" w:rsidRPr="00162ACE">
        <w:rPr>
          <w:rFonts w:ascii="Times New Roman" w:hAnsi="Times New Roman" w:cs="Times New Roman"/>
          <w:sz w:val="24"/>
          <w:szCs w:val="24"/>
        </w:rPr>
        <w:t>scala CFC-F</w:t>
      </w:r>
      <w:r w:rsidRPr="00162ACE">
        <w:rPr>
          <w:rFonts w:ascii="Times New Roman" w:hAnsi="Times New Roman" w:cs="Times New Roman"/>
          <w:sz w:val="24"/>
          <w:szCs w:val="24"/>
        </w:rPr>
        <w:t xml:space="preserve"> con el objetivo de mejorar su confiabilidad. </w:t>
      </w:r>
    </w:p>
    <w:p w14:paraId="212DEEEA" w14:textId="1A61BF80" w:rsidR="007A1B67" w:rsidRPr="00162ACE" w:rsidRDefault="002E0472" w:rsidP="00AC08D5">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Existen versiones de la </w:t>
      </w:r>
      <w:r w:rsidR="005B537E" w:rsidRPr="00162ACE">
        <w:rPr>
          <w:rFonts w:ascii="Times New Roman" w:hAnsi="Times New Roman" w:cs="Times New Roman"/>
          <w:sz w:val="24"/>
          <w:szCs w:val="24"/>
        </w:rPr>
        <w:t>E</w:t>
      </w:r>
      <w:r w:rsidR="007A1B67" w:rsidRPr="00162ACE">
        <w:rPr>
          <w:rFonts w:ascii="Times New Roman" w:hAnsi="Times New Roman" w:cs="Times New Roman"/>
          <w:sz w:val="24"/>
          <w:szCs w:val="24"/>
        </w:rPr>
        <w:t xml:space="preserve">scala CFC traducidas </w:t>
      </w:r>
      <w:r w:rsidR="00B212F9" w:rsidRPr="00162ACE">
        <w:rPr>
          <w:rFonts w:ascii="Times New Roman" w:hAnsi="Times New Roman" w:cs="Times New Roman"/>
          <w:sz w:val="24"/>
          <w:szCs w:val="24"/>
        </w:rPr>
        <w:t xml:space="preserve">y validadas </w:t>
      </w:r>
      <w:r w:rsidR="007A1B67" w:rsidRPr="00162ACE">
        <w:rPr>
          <w:rFonts w:ascii="Times New Roman" w:hAnsi="Times New Roman" w:cs="Times New Roman"/>
          <w:sz w:val="24"/>
          <w:szCs w:val="24"/>
        </w:rPr>
        <w:t xml:space="preserve">a </w:t>
      </w:r>
      <w:r w:rsidR="001A7042" w:rsidRPr="00162ACE">
        <w:rPr>
          <w:rFonts w:ascii="Times New Roman" w:hAnsi="Times New Roman" w:cs="Times New Roman"/>
          <w:sz w:val="24"/>
          <w:szCs w:val="24"/>
        </w:rPr>
        <w:t>diferentes</w:t>
      </w:r>
      <w:r w:rsidR="007A1B67" w:rsidRPr="00162ACE">
        <w:rPr>
          <w:rFonts w:ascii="Times New Roman" w:hAnsi="Times New Roman" w:cs="Times New Roman"/>
          <w:sz w:val="24"/>
          <w:szCs w:val="24"/>
        </w:rPr>
        <w:t xml:space="preserve"> idiomas </w:t>
      </w:r>
      <w:r w:rsidR="00B212F9" w:rsidRPr="00162ACE">
        <w:rPr>
          <w:rFonts w:ascii="Times New Roman" w:hAnsi="Times New Roman" w:cs="Times New Roman"/>
          <w:sz w:val="24"/>
          <w:szCs w:val="24"/>
        </w:rPr>
        <w:t xml:space="preserve">o culturas </w:t>
      </w:r>
      <w:r w:rsidR="007A1B67" w:rsidRPr="00162ACE">
        <w:rPr>
          <w:rFonts w:ascii="Times New Roman" w:hAnsi="Times New Roman" w:cs="Times New Roman"/>
          <w:sz w:val="24"/>
          <w:szCs w:val="24"/>
        </w:rPr>
        <w:t>(</w:t>
      </w:r>
      <w:r w:rsidR="00BF6970" w:rsidRPr="00162ACE">
        <w:rPr>
          <w:rFonts w:ascii="Times New Roman" w:hAnsi="Times New Roman" w:cs="Times New Roman"/>
          <w:sz w:val="24"/>
          <w:szCs w:val="24"/>
        </w:rPr>
        <w:t>e</w:t>
      </w:r>
      <w:r w:rsidR="00BF6970" w:rsidRPr="00AC08D5">
        <w:rPr>
          <w:rFonts w:ascii="Times New Roman" w:hAnsi="Times New Roman" w:cs="Times New Roman"/>
          <w:sz w:val="24"/>
          <w:szCs w:val="24"/>
        </w:rPr>
        <w:t xml:space="preserve">.g., </w:t>
      </w:r>
      <w:r w:rsidR="001A7042" w:rsidRPr="00AC08D5">
        <w:rPr>
          <w:rFonts w:ascii="Times New Roman" w:hAnsi="Times New Roman" w:cs="Times New Roman"/>
          <w:sz w:val="24"/>
          <w:szCs w:val="24"/>
        </w:rPr>
        <w:t>en Portugal</w:t>
      </w:r>
      <w:r w:rsidR="00125C54" w:rsidRPr="00AC08D5">
        <w:rPr>
          <w:rFonts w:ascii="Times New Roman" w:hAnsi="Times New Roman" w:cs="Times New Roman"/>
          <w:sz w:val="24"/>
          <w:szCs w:val="24"/>
        </w:rPr>
        <w:t>:</w:t>
      </w:r>
      <w:r w:rsidR="008A2919" w:rsidRPr="00AC08D5">
        <w:rPr>
          <w:rFonts w:ascii="Times New Roman" w:hAnsi="Times New Roman" w:cs="Times New Roman"/>
          <w:sz w:val="24"/>
          <w:szCs w:val="24"/>
        </w:rPr>
        <w:t xml:space="preserve"> Vásquez Echev</w:t>
      </w:r>
      <w:r w:rsidR="00125C54" w:rsidRPr="00AC08D5">
        <w:rPr>
          <w:rFonts w:ascii="Times New Roman" w:hAnsi="Times New Roman" w:cs="Times New Roman"/>
          <w:sz w:val="24"/>
          <w:szCs w:val="24"/>
        </w:rPr>
        <w:t xml:space="preserve">erría, Esteves, Gomes &amp; Ortuño, </w:t>
      </w:r>
      <w:r w:rsidR="008A2919" w:rsidRPr="00AC08D5">
        <w:rPr>
          <w:rFonts w:ascii="Times New Roman" w:hAnsi="Times New Roman" w:cs="Times New Roman"/>
          <w:sz w:val="24"/>
          <w:szCs w:val="24"/>
        </w:rPr>
        <w:t>2015</w:t>
      </w:r>
      <w:r w:rsidR="00125C54" w:rsidRPr="00AC08D5">
        <w:rPr>
          <w:rFonts w:ascii="Times New Roman" w:hAnsi="Times New Roman" w:cs="Times New Roman"/>
          <w:sz w:val="24"/>
          <w:szCs w:val="24"/>
        </w:rPr>
        <w:t>;</w:t>
      </w:r>
      <w:r w:rsidR="001A7042" w:rsidRPr="00AC08D5">
        <w:rPr>
          <w:rFonts w:ascii="Times New Roman" w:hAnsi="Times New Roman" w:cs="Times New Roman"/>
          <w:sz w:val="24"/>
          <w:szCs w:val="24"/>
        </w:rPr>
        <w:t xml:space="preserve"> en Irlanda</w:t>
      </w:r>
      <w:r w:rsidR="00125C54" w:rsidRPr="00AC08D5">
        <w:rPr>
          <w:rFonts w:ascii="Times New Roman" w:hAnsi="Times New Roman" w:cs="Times New Roman"/>
          <w:sz w:val="24"/>
          <w:szCs w:val="24"/>
        </w:rPr>
        <w:t>:</w:t>
      </w:r>
      <w:r w:rsidR="008A630C" w:rsidRPr="00AC08D5">
        <w:rPr>
          <w:rFonts w:ascii="Times New Roman" w:hAnsi="Times New Roman" w:cs="Times New Roman"/>
          <w:sz w:val="24"/>
          <w:szCs w:val="24"/>
        </w:rPr>
        <w:t xml:space="preserve"> </w:t>
      </w:r>
      <w:r w:rsidR="00125C54" w:rsidRPr="00AC08D5">
        <w:rPr>
          <w:rFonts w:ascii="Times New Roman" w:hAnsi="Times New Roman" w:cs="Times New Roman"/>
          <w:sz w:val="24"/>
          <w:szCs w:val="24"/>
        </w:rPr>
        <w:t>McKay, Percy</w:t>
      </w:r>
      <w:r w:rsidR="00CD3444" w:rsidRPr="00AC08D5">
        <w:rPr>
          <w:rFonts w:ascii="Times New Roman" w:hAnsi="Times New Roman" w:cs="Times New Roman"/>
          <w:sz w:val="24"/>
          <w:szCs w:val="24"/>
        </w:rPr>
        <w:t xml:space="preserve"> </w:t>
      </w:r>
      <w:r w:rsidR="00125C54" w:rsidRPr="00AC08D5">
        <w:rPr>
          <w:rFonts w:ascii="Times New Roman" w:hAnsi="Times New Roman" w:cs="Times New Roman"/>
          <w:sz w:val="24"/>
          <w:szCs w:val="24"/>
        </w:rPr>
        <w:t>&amp; Cole, 2013</w:t>
      </w:r>
      <w:r w:rsidR="00AC08D5">
        <w:rPr>
          <w:rFonts w:ascii="Times New Roman" w:hAnsi="Times New Roman" w:cs="Times New Roman"/>
          <w:sz w:val="24"/>
          <w:szCs w:val="24"/>
        </w:rPr>
        <w:t xml:space="preserve">, en  Italia: </w:t>
      </w:r>
      <w:r w:rsidR="00AC08D5" w:rsidRPr="00AC08D5">
        <w:rPr>
          <w:rFonts w:ascii="Times New Roman" w:hAnsi="Times New Roman" w:cs="Times New Roman"/>
          <w:sz w:val="24"/>
          <w:szCs w:val="24"/>
        </w:rPr>
        <w:t>Nigro, Cosenza, Ciccarelli &amp; Joireman, 2016</w:t>
      </w:r>
      <w:r w:rsidR="00125C54" w:rsidRPr="00AC08D5">
        <w:rPr>
          <w:rFonts w:ascii="Times New Roman" w:hAnsi="Times New Roman" w:cs="Times New Roman"/>
          <w:sz w:val="24"/>
          <w:szCs w:val="24"/>
        </w:rPr>
        <w:t xml:space="preserve">). </w:t>
      </w:r>
      <w:r w:rsidR="00E1208D" w:rsidRPr="00162ACE">
        <w:rPr>
          <w:rFonts w:ascii="Times New Roman" w:hAnsi="Times New Roman" w:cs="Times New Roman"/>
          <w:sz w:val="24"/>
          <w:szCs w:val="24"/>
        </w:rPr>
        <w:t>P</w:t>
      </w:r>
      <w:r w:rsidR="007A1B67" w:rsidRPr="00162ACE">
        <w:rPr>
          <w:rFonts w:ascii="Times New Roman" w:hAnsi="Times New Roman" w:cs="Times New Roman"/>
          <w:sz w:val="24"/>
          <w:szCs w:val="24"/>
        </w:rPr>
        <w:t xml:space="preserve">ara el caso del </w:t>
      </w:r>
      <w:r w:rsidR="00E1208D" w:rsidRPr="00162ACE">
        <w:rPr>
          <w:rFonts w:ascii="Times New Roman" w:hAnsi="Times New Roman" w:cs="Times New Roman"/>
          <w:sz w:val="24"/>
          <w:szCs w:val="24"/>
        </w:rPr>
        <w:t>castellano</w:t>
      </w:r>
      <w:r w:rsidR="007A1B67" w:rsidRPr="00162ACE">
        <w:rPr>
          <w:rFonts w:ascii="Times New Roman" w:hAnsi="Times New Roman" w:cs="Times New Roman"/>
          <w:sz w:val="24"/>
          <w:szCs w:val="24"/>
        </w:rPr>
        <w:t>,</w:t>
      </w:r>
      <w:r w:rsidR="00612D77" w:rsidRPr="00162ACE">
        <w:rPr>
          <w:rFonts w:ascii="Times New Roman" w:hAnsi="Times New Roman" w:cs="Times New Roman"/>
          <w:sz w:val="24"/>
          <w:szCs w:val="24"/>
        </w:rPr>
        <w:t xml:space="preserve"> Vásquez Echev</w:t>
      </w:r>
      <w:r w:rsidR="00E1208D" w:rsidRPr="00162ACE">
        <w:rPr>
          <w:rFonts w:ascii="Times New Roman" w:hAnsi="Times New Roman" w:cs="Times New Roman"/>
          <w:sz w:val="24"/>
          <w:szCs w:val="24"/>
        </w:rPr>
        <w:t xml:space="preserve">erría, Martín, Esteves, Ortuño y </w:t>
      </w:r>
      <w:r w:rsidR="00612D77" w:rsidRPr="00162ACE">
        <w:rPr>
          <w:rFonts w:ascii="Times New Roman" w:hAnsi="Times New Roman" w:cs="Times New Roman"/>
          <w:sz w:val="24"/>
          <w:szCs w:val="24"/>
        </w:rPr>
        <w:t>Joireman (aceptado)</w:t>
      </w:r>
      <w:r w:rsidR="007A1B67" w:rsidRPr="00162ACE">
        <w:rPr>
          <w:rFonts w:ascii="Times New Roman" w:hAnsi="Times New Roman" w:cs="Times New Roman"/>
          <w:sz w:val="24"/>
          <w:szCs w:val="24"/>
        </w:rPr>
        <w:t xml:space="preserve"> han mostrado su poder predictivo, aceptables valores de validez interna de la </w:t>
      </w:r>
      <w:r w:rsidRPr="00162ACE">
        <w:rPr>
          <w:rFonts w:ascii="Times New Roman" w:hAnsi="Times New Roman" w:cs="Times New Roman"/>
          <w:sz w:val="24"/>
          <w:szCs w:val="24"/>
        </w:rPr>
        <w:t>e</w:t>
      </w:r>
      <w:r w:rsidR="007A1B67" w:rsidRPr="00162ACE">
        <w:rPr>
          <w:rFonts w:ascii="Times New Roman" w:hAnsi="Times New Roman" w:cs="Times New Roman"/>
          <w:sz w:val="24"/>
          <w:szCs w:val="24"/>
        </w:rPr>
        <w:t>scala CFC-12, así como su estructura de dos factores. Aún no se poseen estudios de validación de la escala CFC-1</w:t>
      </w:r>
      <w:r w:rsidR="00B212F9" w:rsidRPr="00162ACE">
        <w:rPr>
          <w:rFonts w:ascii="Times New Roman" w:hAnsi="Times New Roman" w:cs="Times New Roman"/>
          <w:sz w:val="24"/>
          <w:szCs w:val="24"/>
        </w:rPr>
        <w:t xml:space="preserve">4 en población de habla hispana. </w:t>
      </w:r>
    </w:p>
    <w:p w14:paraId="7A3348B7" w14:textId="77777777" w:rsidR="00E74185" w:rsidRPr="00162ACE" w:rsidRDefault="007A1B67"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lastRenderedPageBreak/>
        <w:t>Sobre la validez discr</w:t>
      </w:r>
      <w:r w:rsidR="002E0472" w:rsidRPr="00162ACE">
        <w:rPr>
          <w:rFonts w:ascii="Times New Roman" w:hAnsi="Times New Roman" w:cs="Times New Roman"/>
          <w:sz w:val="24"/>
          <w:szCs w:val="24"/>
        </w:rPr>
        <w:t>iminante de la e</w:t>
      </w:r>
      <w:r w:rsidRPr="00162ACE">
        <w:rPr>
          <w:rFonts w:ascii="Times New Roman" w:hAnsi="Times New Roman" w:cs="Times New Roman"/>
          <w:sz w:val="24"/>
          <w:szCs w:val="24"/>
        </w:rPr>
        <w:t>scala CFC Joireman, Strathman</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&amp;</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Balliet (2006) organizaron cuatros dominios de comportamiento relacionado a la escala: </w:t>
      </w:r>
      <w:r w:rsidR="00244DFA" w:rsidRPr="00162ACE">
        <w:rPr>
          <w:rFonts w:ascii="Times New Roman" w:hAnsi="Times New Roman" w:cs="Times New Roman"/>
          <w:i/>
          <w:sz w:val="24"/>
          <w:szCs w:val="24"/>
        </w:rPr>
        <w:t xml:space="preserve">(a) </w:t>
      </w:r>
      <w:r w:rsidRPr="00162ACE">
        <w:rPr>
          <w:rFonts w:ascii="Times New Roman" w:hAnsi="Times New Roman" w:cs="Times New Roman"/>
          <w:i/>
          <w:sz w:val="24"/>
          <w:szCs w:val="24"/>
        </w:rPr>
        <w:t xml:space="preserve">Comportamientos de salud, Conductas de Riesgo y Logros Académicos </w:t>
      </w:r>
      <w:r w:rsidRPr="00162ACE">
        <w:rPr>
          <w:rFonts w:ascii="Times New Roman" w:hAnsi="Times New Roman" w:cs="Times New Roman"/>
          <w:sz w:val="24"/>
          <w:szCs w:val="24"/>
        </w:rPr>
        <w:t>(</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 xml:space="preserve">Beenstock, </w:t>
      </w:r>
      <w:r w:rsidR="00EA2909" w:rsidRPr="00162ACE">
        <w:rPr>
          <w:rFonts w:ascii="Times New Roman" w:hAnsi="Times New Roman" w:cs="Times New Roman"/>
          <w:sz w:val="24"/>
          <w:szCs w:val="24"/>
        </w:rPr>
        <w:t>Adams &amp; White, 2011</w:t>
      </w:r>
      <w:r w:rsidR="008A630C" w:rsidRPr="00162ACE">
        <w:rPr>
          <w:rFonts w:ascii="Times New Roman" w:hAnsi="Times New Roman" w:cs="Times New Roman"/>
          <w:sz w:val="24"/>
          <w:szCs w:val="24"/>
        </w:rPr>
        <w:t>),</w:t>
      </w:r>
      <w:r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w:t>
      </w:r>
      <w:r w:rsidRPr="00162ACE">
        <w:rPr>
          <w:rFonts w:ascii="Times New Roman" w:hAnsi="Times New Roman" w:cs="Times New Roman"/>
          <w:i/>
          <w:sz w:val="24"/>
          <w:szCs w:val="24"/>
        </w:rPr>
        <w:t>b) Agresión</w:t>
      </w:r>
      <w:r w:rsidRPr="00162ACE">
        <w:rPr>
          <w:rFonts w:ascii="Times New Roman" w:hAnsi="Times New Roman" w:cs="Times New Roman"/>
          <w:sz w:val="24"/>
          <w:szCs w:val="24"/>
        </w:rPr>
        <w:t xml:space="preserve"> (</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Joireman, Becker</w:t>
      </w:r>
      <w:r w:rsidR="008A630C" w:rsidRPr="00162ACE">
        <w:rPr>
          <w:rFonts w:ascii="Times New Roman" w:hAnsi="Times New Roman" w:cs="Times New Roman"/>
          <w:sz w:val="24"/>
          <w:szCs w:val="24"/>
        </w:rPr>
        <w:t>, Barbosa-Leiker, &amp;</w:t>
      </w:r>
      <w:r w:rsidR="00CD3444"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Duell, 2005);</w:t>
      </w:r>
      <w:r w:rsidRPr="00162ACE">
        <w:rPr>
          <w:rFonts w:ascii="Times New Roman" w:hAnsi="Times New Roman" w:cs="Times New Roman"/>
          <w:sz w:val="24"/>
          <w:szCs w:val="24"/>
        </w:rPr>
        <w:t xml:space="preserve"> </w:t>
      </w:r>
      <w:r w:rsidRPr="00162ACE">
        <w:rPr>
          <w:rFonts w:ascii="Times New Roman" w:hAnsi="Times New Roman" w:cs="Times New Roman"/>
          <w:i/>
          <w:sz w:val="24"/>
          <w:szCs w:val="24"/>
        </w:rPr>
        <w:t>(c) Comportamiento Organizacional Prosocial</w:t>
      </w:r>
      <w:r w:rsidR="008A630C" w:rsidRPr="00162ACE">
        <w:rPr>
          <w:rFonts w:ascii="Times New Roman" w:hAnsi="Times New Roman" w:cs="Times New Roman"/>
          <w:i/>
          <w:sz w:val="24"/>
          <w:szCs w:val="24"/>
        </w:rPr>
        <w:t xml:space="preserve"> </w:t>
      </w:r>
      <w:r w:rsidRPr="00162ACE">
        <w:rPr>
          <w:rFonts w:ascii="Times New Roman" w:hAnsi="Times New Roman" w:cs="Times New Roman"/>
          <w:sz w:val="24"/>
          <w:szCs w:val="24"/>
        </w:rPr>
        <w:t>(</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Balliet</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&amp;</w:t>
      </w:r>
      <w:r w:rsidR="008A630C" w:rsidRPr="00162ACE">
        <w:rPr>
          <w:rFonts w:ascii="Times New Roman" w:hAnsi="Times New Roman" w:cs="Times New Roman"/>
          <w:sz w:val="24"/>
          <w:szCs w:val="24"/>
        </w:rPr>
        <w:t xml:space="preserve"> Ferris 2013) y</w:t>
      </w:r>
      <w:r w:rsidRPr="00162ACE">
        <w:rPr>
          <w:rFonts w:ascii="Times New Roman" w:hAnsi="Times New Roman" w:cs="Times New Roman"/>
          <w:sz w:val="24"/>
          <w:szCs w:val="24"/>
        </w:rPr>
        <w:t xml:space="preserve"> </w:t>
      </w:r>
      <w:r w:rsidRPr="00162ACE">
        <w:rPr>
          <w:rFonts w:ascii="Times New Roman" w:hAnsi="Times New Roman" w:cs="Times New Roman"/>
          <w:i/>
          <w:sz w:val="24"/>
          <w:szCs w:val="24"/>
        </w:rPr>
        <w:t>(d) Actitudes y conductas proambientales</w:t>
      </w:r>
      <w:r w:rsidRPr="00162ACE">
        <w:rPr>
          <w:rFonts w:ascii="Times New Roman" w:hAnsi="Times New Roman" w:cs="Times New Roman"/>
          <w:sz w:val="24"/>
          <w:szCs w:val="24"/>
        </w:rPr>
        <w:t xml:space="preserve"> (</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Lindsay &amp;</w:t>
      </w:r>
      <w:r w:rsidR="008A630C"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Strathman, 1997). En relación al primer dominio, Adams (2012) señala que los comportamientos relacionados al cuidado de la salud implican costos inmediatos </w:t>
      </w:r>
      <w:r w:rsidR="004E3274" w:rsidRPr="00162ACE">
        <w:rPr>
          <w:rFonts w:ascii="Times New Roman" w:hAnsi="Times New Roman" w:cs="Times New Roman"/>
          <w:sz w:val="24"/>
          <w:szCs w:val="24"/>
        </w:rPr>
        <w:t>en términos de tiempo, dinero y</w:t>
      </w:r>
      <w:r w:rsidRPr="00162ACE">
        <w:rPr>
          <w:rFonts w:ascii="Times New Roman" w:hAnsi="Times New Roman" w:cs="Times New Roman"/>
          <w:sz w:val="24"/>
          <w:szCs w:val="24"/>
        </w:rPr>
        <w:t xml:space="preserve"> diversas gratificaciones dejadas de lado para lograr beneficios a largo plazo. Es así que la forma en que un individuo considere y </w:t>
      </w:r>
      <w:r w:rsidR="008A630C" w:rsidRPr="00162ACE">
        <w:rPr>
          <w:rFonts w:ascii="Times New Roman" w:hAnsi="Times New Roman" w:cs="Times New Roman"/>
          <w:sz w:val="24"/>
          <w:szCs w:val="24"/>
        </w:rPr>
        <w:t>anticipe</w:t>
      </w:r>
      <w:r w:rsidRPr="00162ACE">
        <w:rPr>
          <w:rFonts w:ascii="Times New Roman" w:hAnsi="Times New Roman" w:cs="Times New Roman"/>
          <w:sz w:val="24"/>
          <w:szCs w:val="24"/>
        </w:rPr>
        <w:t xml:space="preserve"> las consecuencias futuras de sus acciones incidirá en sus comportamientos saludables. Adams (2012) también señala </w:t>
      </w:r>
      <w:r w:rsidR="008A630C" w:rsidRPr="00162ACE">
        <w:rPr>
          <w:rFonts w:ascii="Times New Roman" w:hAnsi="Times New Roman" w:cs="Times New Roman"/>
          <w:sz w:val="24"/>
          <w:szCs w:val="24"/>
        </w:rPr>
        <w:t>que la orientación hacia el f</w:t>
      </w:r>
      <w:r w:rsidRPr="00162ACE">
        <w:rPr>
          <w:rFonts w:ascii="Times New Roman" w:hAnsi="Times New Roman" w:cs="Times New Roman"/>
          <w:sz w:val="24"/>
          <w:szCs w:val="24"/>
        </w:rPr>
        <w:t xml:space="preserve">uturo se asocia </w:t>
      </w:r>
      <w:r w:rsidR="008A630C" w:rsidRPr="00162ACE">
        <w:rPr>
          <w:rFonts w:ascii="Times New Roman" w:hAnsi="Times New Roman" w:cs="Times New Roman"/>
          <w:sz w:val="24"/>
          <w:szCs w:val="24"/>
        </w:rPr>
        <w:t xml:space="preserve">a conductas de salud </w:t>
      </w:r>
      <w:r w:rsidRPr="00162ACE">
        <w:rPr>
          <w:rFonts w:ascii="Times New Roman" w:hAnsi="Times New Roman" w:cs="Times New Roman"/>
          <w:sz w:val="24"/>
          <w:szCs w:val="24"/>
        </w:rPr>
        <w:t xml:space="preserve">con no fumar, </w:t>
      </w:r>
      <w:r w:rsidR="008A630C" w:rsidRPr="00162ACE">
        <w:rPr>
          <w:rFonts w:ascii="Times New Roman" w:hAnsi="Times New Roman" w:cs="Times New Roman"/>
          <w:sz w:val="24"/>
          <w:szCs w:val="24"/>
        </w:rPr>
        <w:t xml:space="preserve">o la </w:t>
      </w:r>
      <w:r w:rsidRPr="00162ACE">
        <w:rPr>
          <w:rFonts w:ascii="Times New Roman" w:hAnsi="Times New Roman" w:cs="Times New Roman"/>
          <w:sz w:val="24"/>
          <w:szCs w:val="24"/>
        </w:rPr>
        <w:t>actividad física regular.</w:t>
      </w:r>
    </w:p>
    <w:p w14:paraId="1C79A026" w14:textId="77777777" w:rsidR="007A1B67" w:rsidRPr="00162ACE" w:rsidRDefault="007A1B67" w:rsidP="00162ACE">
      <w:pPr>
        <w:spacing w:line="480" w:lineRule="auto"/>
        <w:ind w:firstLine="709"/>
        <w:jc w:val="center"/>
        <w:rPr>
          <w:rFonts w:ascii="Times New Roman" w:hAnsi="Times New Roman" w:cs="Times New Roman"/>
          <w:b/>
          <w:sz w:val="24"/>
          <w:szCs w:val="24"/>
        </w:rPr>
      </w:pPr>
      <w:r w:rsidRPr="00162ACE">
        <w:rPr>
          <w:rFonts w:ascii="Times New Roman" w:hAnsi="Times New Roman" w:cs="Times New Roman"/>
          <w:b/>
          <w:sz w:val="24"/>
          <w:szCs w:val="24"/>
        </w:rPr>
        <w:t>Este estudio</w:t>
      </w:r>
    </w:p>
    <w:p w14:paraId="5DA16A5F" w14:textId="77777777" w:rsidR="00AC08D5" w:rsidRDefault="007A1B67" w:rsidP="00AC08D5">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Es objetivo de este trabajo presentar indicado</w:t>
      </w:r>
      <w:r w:rsidR="002E0472" w:rsidRPr="00162ACE">
        <w:rPr>
          <w:rFonts w:ascii="Times New Roman" w:hAnsi="Times New Roman" w:cs="Times New Roman"/>
          <w:sz w:val="24"/>
          <w:szCs w:val="24"/>
        </w:rPr>
        <w:t>res iniciales de validez de la e</w:t>
      </w:r>
      <w:r w:rsidRPr="00162ACE">
        <w:rPr>
          <w:rFonts w:ascii="Times New Roman" w:hAnsi="Times New Roman" w:cs="Times New Roman"/>
          <w:sz w:val="24"/>
          <w:szCs w:val="24"/>
        </w:rPr>
        <w:t xml:space="preserve">scala CFC-14 en español, comprobar su validez interna, la estabilidad de la estructura de dos factores y demostrar su validez predictiva respecto al consumo de sustancias psicoactivas y nivel educativo. La mayoría de las investigaciones </w:t>
      </w:r>
      <w:r w:rsidR="003B6C99">
        <w:rPr>
          <w:rFonts w:ascii="Times New Roman" w:hAnsi="Times New Roman" w:cs="Times New Roman"/>
          <w:sz w:val="24"/>
          <w:szCs w:val="24"/>
        </w:rPr>
        <w:t>publicadas que analizan la estructura factorial de la Escala CFC han empleado</w:t>
      </w:r>
      <w:r w:rsidR="008A630C" w:rsidRPr="00162ACE">
        <w:rPr>
          <w:rFonts w:ascii="Times New Roman" w:hAnsi="Times New Roman" w:cs="Times New Roman"/>
          <w:sz w:val="24"/>
          <w:szCs w:val="24"/>
        </w:rPr>
        <w:t xml:space="preserve"> muestras por conveniencia. </w:t>
      </w:r>
      <w:r w:rsidR="003B6C99">
        <w:rPr>
          <w:rFonts w:ascii="Times New Roman" w:hAnsi="Times New Roman" w:cs="Times New Roman"/>
          <w:sz w:val="24"/>
          <w:szCs w:val="24"/>
        </w:rPr>
        <w:t>De hecho</w:t>
      </w:r>
      <w:r w:rsidR="00FE3920" w:rsidRPr="00162ACE">
        <w:rPr>
          <w:rFonts w:ascii="Times New Roman" w:hAnsi="Times New Roman" w:cs="Times New Roman"/>
          <w:sz w:val="24"/>
          <w:szCs w:val="24"/>
        </w:rPr>
        <w:t>, la gran parte de las citadas en este trabajo</w:t>
      </w:r>
      <w:r w:rsidR="00E1208D" w:rsidRPr="00162ACE">
        <w:rPr>
          <w:rFonts w:ascii="Times New Roman" w:hAnsi="Times New Roman" w:cs="Times New Roman"/>
          <w:sz w:val="24"/>
          <w:szCs w:val="24"/>
        </w:rPr>
        <w:t>, se han realizado con muestra</w:t>
      </w:r>
      <w:r w:rsidR="008A630C" w:rsidRPr="00162ACE">
        <w:rPr>
          <w:rFonts w:ascii="Times New Roman" w:hAnsi="Times New Roman" w:cs="Times New Roman"/>
          <w:sz w:val="24"/>
          <w:szCs w:val="24"/>
        </w:rPr>
        <w:t>s</w:t>
      </w:r>
      <w:r w:rsidR="00E1208D" w:rsidRPr="00162ACE">
        <w:rPr>
          <w:rFonts w:ascii="Times New Roman" w:hAnsi="Times New Roman" w:cs="Times New Roman"/>
          <w:sz w:val="24"/>
          <w:szCs w:val="24"/>
        </w:rPr>
        <w:t xml:space="preserve"> de estudiantes universitarios. A los efectos de mejorar la representatividad de la </w:t>
      </w:r>
      <w:r w:rsidR="001A7042" w:rsidRPr="00162ACE">
        <w:rPr>
          <w:rFonts w:ascii="Times New Roman" w:hAnsi="Times New Roman" w:cs="Times New Roman"/>
          <w:sz w:val="24"/>
          <w:szCs w:val="24"/>
        </w:rPr>
        <w:t>población</w:t>
      </w:r>
      <w:r w:rsidR="00C27307" w:rsidRPr="00162ACE">
        <w:rPr>
          <w:rFonts w:ascii="Times New Roman" w:hAnsi="Times New Roman" w:cs="Times New Roman"/>
          <w:sz w:val="24"/>
          <w:szCs w:val="24"/>
        </w:rPr>
        <w:t xml:space="preserve"> </w:t>
      </w:r>
      <w:r w:rsidR="00FE3920" w:rsidRPr="00162ACE">
        <w:rPr>
          <w:rFonts w:ascii="Times New Roman" w:hAnsi="Times New Roman" w:cs="Times New Roman"/>
          <w:sz w:val="24"/>
          <w:szCs w:val="24"/>
        </w:rPr>
        <w:t>con la que se realiza la validación de la Escala CFC</w:t>
      </w:r>
      <w:r w:rsidR="00745114" w:rsidRPr="00162ACE">
        <w:rPr>
          <w:rFonts w:ascii="Times New Roman" w:hAnsi="Times New Roman" w:cs="Times New Roman"/>
          <w:sz w:val="24"/>
          <w:szCs w:val="24"/>
        </w:rPr>
        <w:t>, hemos decidido</w:t>
      </w:r>
      <w:r w:rsidR="001A7042" w:rsidRPr="00162ACE">
        <w:rPr>
          <w:rFonts w:ascii="Times New Roman" w:hAnsi="Times New Roman" w:cs="Times New Roman"/>
          <w:sz w:val="24"/>
          <w:szCs w:val="24"/>
        </w:rPr>
        <w:t xml:space="preserve"> realizar un muestreo aleatorio</w:t>
      </w:r>
      <w:r w:rsidRPr="00162ACE">
        <w:rPr>
          <w:rFonts w:ascii="Times New Roman" w:hAnsi="Times New Roman" w:cs="Times New Roman"/>
          <w:sz w:val="24"/>
          <w:szCs w:val="24"/>
        </w:rPr>
        <w:t xml:space="preserve">, </w:t>
      </w:r>
      <w:r w:rsidR="00745114" w:rsidRPr="00162ACE">
        <w:rPr>
          <w:rFonts w:ascii="Times New Roman" w:hAnsi="Times New Roman" w:cs="Times New Roman"/>
          <w:sz w:val="24"/>
          <w:szCs w:val="24"/>
        </w:rPr>
        <w:t>dentro de</w:t>
      </w:r>
      <w:r w:rsidRPr="00162ACE">
        <w:rPr>
          <w:rFonts w:ascii="Times New Roman" w:hAnsi="Times New Roman" w:cs="Times New Roman"/>
          <w:sz w:val="24"/>
          <w:szCs w:val="24"/>
        </w:rPr>
        <w:t xml:space="preserve"> tres barrios </w:t>
      </w:r>
      <w:r w:rsidR="00745114" w:rsidRPr="00162ACE">
        <w:rPr>
          <w:rFonts w:ascii="Times New Roman" w:hAnsi="Times New Roman" w:cs="Times New Roman"/>
          <w:sz w:val="24"/>
          <w:szCs w:val="24"/>
        </w:rPr>
        <w:t>montevideanos que presentan diferencias socio-demográficas marcadas</w:t>
      </w:r>
      <w:r w:rsidRPr="00162ACE">
        <w:rPr>
          <w:rFonts w:ascii="Times New Roman" w:hAnsi="Times New Roman" w:cs="Times New Roman"/>
          <w:sz w:val="24"/>
          <w:szCs w:val="24"/>
        </w:rPr>
        <w:t>.</w:t>
      </w:r>
      <w:r w:rsidR="006D7DD9"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La hipótesis planteada es que las personas con alta puntuación en CFC-F reportan menor consumo de sustancias psicoactivas y mayor nivel educativo que los que puntúan alto en CFC-I. </w:t>
      </w:r>
      <w:r w:rsidR="003B6C99">
        <w:rPr>
          <w:rFonts w:ascii="Times New Roman" w:hAnsi="Times New Roman" w:cs="Times New Roman"/>
          <w:sz w:val="24"/>
          <w:szCs w:val="24"/>
        </w:rPr>
        <w:lastRenderedPageBreak/>
        <w:t xml:space="preserve">Asimismo se espera que se mantengan los indicadores de confiabilidad y estructura factorial de las versiones en inglés e italiano de la Escala CFC-14. </w:t>
      </w:r>
    </w:p>
    <w:p w14:paraId="198ECA0C" w14:textId="147AAC0F" w:rsidR="007A1B67" w:rsidRPr="00162ACE" w:rsidRDefault="00A02D8C" w:rsidP="00AC08D5">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Método</w:t>
      </w:r>
    </w:p>
    <w:p w14:paraId="15E9DD7E" w14:textId="77777777" w:rsidR="00A02D8C" w:rsidRPr="00162ACE" w:rsidRDefault="00A02D8C" w:rsidP="00162ACE">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Participantes</w:t>
      </w:r>
    </w:p>
    <w:p w14:paraId="47E2E7EA" w14:textId="77777777" w:rsidR="00C14849" w:rsidRPr="00162ACE" w:rsidRDefault="007A1B67"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Se empleó una muestra aleator</w:t>
      </w:r>
      <w:r w:rsidR="008A630C" w:rsidRPr="00162ACE">
        <w:rPr>
          <w:rFonts w:ascii="Times New Roman" w:hAnsi="Times New Roman" w:cs="Times New Roman"/>
          <w:sz w:val="24"/>
          <w:szCs w:val="24"/>
        </w:rPr>
        <w:t>ia en tres barrios</w:t>
      </w:r>
      <w:r w:rsidR="007448BE"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de Montevideo. P</w:t>
      </w:r>
      <w:r w:rsidRPr="00162ACE">
        <w:rPr>
          <w:rFonts w:ascii="Times New Roman" w:hAnsi="Times New Roman" w:cs="Times New Roman"/>
          <w:sz w:val="24"/>
          <w:szCs w:val="24"/>
        </w:rPr>
        <w:t>articiparon 188 personas de entre 18 y 86 años de edad (</w:t>
      </w:r>
      <w:r w:rsidRPr="00162ACE">
        <w:rPr>
          <w:rFonts w:ascii="Times New Roman" w:hAnsi="Times New Roman" w:cs="Times New Roman"/>
          <w:i/>
          <w:sz w:val="24"/>
          <w:szCs w:val="24"/>
        </w:rPr>
        <w:t>M=</w:t>
      </w:r>
      <w:r w:rsidRPr="00162ACE">
        <w:rPr>
          <w:rFonts w:ascii="Times New Roman" w:hAnsi="Times New Roman" w:cs="Times New Roman"/>
          <w:sz w:val="24"/>
          <w:szCs w:val="24"/>
        </w:rPr>
        <w:t xml:space="preserve"> 43,45; </w:t>
      </w:r>
      <w:r w:rsidRPr="00162ACE">
        <w:rPr>
          <w:rFonts w:ascii="Times New Roman" w:hAnsi="Times New Roman" w:cs="Times New Roman"/>
          <w:i/>
          <w:sz w:val="24"/>
          <w:szCs w:val="24"/>
        </w:rPr>
        <w:t>DE=</w:t>
      </w:r>
      <w:r w:rsidRPr="00162ACE">
        <w:rPr>
          <w:rFonts w:ascii="Times New Roman" w:hAnsi="Times New Roman" w:cs="Times New Roman"/>
          <w:sz w:val="24"/>
          <w:szCs w:val="24"/>
        </w:rPr>
        <w:t xml:space="preserve"> 16,48), de los cuales 109 son mujeres (</w:t>
      </w:r>
      <w:r w:rsidRPr="00162ACE">
        <w:rPr>
          <w:rFonts w:ascii="Times New Roman" w:hAnsi="Times New Roman" w:cs="Times New Roman"/>
          <w:i/>
          <w:sz w:val="24"/>
          <w:szCs w:val="24"/>
        </w:rPr>
        <w:t>M=</w:t>
      </w:r>
      <w:r w:rsidRPr="00162ACE">
        <w:rPr>
          <w:rFonts w:ascii="Times New Roman" w:hAnsi="Times New Roman" w:cs="Times New Roman"/>
          <w:sz w:val="24"/>
          <w:szCs w:val="24"/>
        </w:rPr>
        <w:t xml:space="preserve"> 43,65; </w:t>
      </w:r>
      <w:r w:rsidRPr="00162ACE">
        <w:rPr>
          <w:rFonts w:ascii="Times New Roman" w:hAnsi="Times New Roman" w:cs="Times New Roman"/>
          <w:i/>
          <w:sz w:val="24"/>
          <w:szCs w:val="24"/>
        </w:rPr>
        <w:t>DE=</w:t>
      </w:r>
      <w:r w:rsidRPr="00162ACE">
        <w:rPr>
          <w:rFonts w:ascii="Times New Roman" w:hAnsi="Times New Roman" w:cs="Times New Roman"/>
          <w:sz w:val="24"/>
          <w:szCs w:val="24"/>
        </w:rPr>
        <w:t xml:space="preserve"> 16,82) y 7</w:t>
      </w:r>
      <w:r w:rsidR="00DA7C61" w:rsidRPr="00162ACE">
        <w:rPr>
          <w:rFonts w:ascii="Times New Roman" w:hAnsi="Times New Roman" w:cs="Times New Roman"/>
          <w:sz w:val="24"/>
          <w:szCs w:val="24"/>
        </w:rPr>
        <w:t>9 hombres (</w:t>
      </w:r>
      <w:r w:rsidR="00DA7C61" w:rsidRPr="00162ACE">
        <w:rPr>
          <w:rFonts w:ascii="Times New Roman" w:hAnsi="Times New Roman" w:cs="Times New Roman"/>
          <w:i/>
          <w:sz w:val="24"/>
          <w:szCs w:val="24"/>
        </w:rPr>
        <w:t>M=</w:t>
      </w:r>
      <w:r w:rsidR="00DA7C61" w:rsidRPr="00162ACE">
        <w:rPr>
          <w:rFonts w:ascii="Times New Roman" w:hAnsi="Times New Roman" w:cs="Times New Roman"/>
          <w:sz w:val="24"/>
          <w:szCs w:val="24"/>
        </w:rPr>
        <w:t xml:space="preserve"> 43,16; </w:t>
      </w:r>
      <w:r w:rsidR="00DA7C61" w:rsidRPr="00162ACE">
        <w:rPr>
          <w:rFonts w:ascii="Times New Roman" w:hAnsi="Times New Roman" w:cs="Times New Roman"/>
          <w:i/>
          <w:sz w:val="24"/>
          <w:szCs w:val="24"/>
        </w:rPr>
        <w:t>DE=</w:t>
      </w:r>
      <w:r w:rsidR="00DA7C61" w:rsidRPr="00162ACE">
        <w:rPr>
          <w:rFonts w:ascii="Times New Roman" w:hAnsi="Times New Roman" w:cs="Times New Roman"/>
          <w:sz w:val="24"/>
          <w:szCs w:val="24"/>
        </w:rPr>
        <w:t xml:space="preserve"> 16,08). </w:t>
      </w:r>
      <w:r w:rsidR="00C14849" w:rsidRPr="00162ACE">
        <w:rPr>
          <w:rFonts w:ascii="Times New Roman" w:hAnsi="Times New Roman" w:cs="Times New Roman"/>
          <w:sz w:val="24"/>
          <w:szCs w:val="24"/>
        </w:rPr>
        <w:t>La cantidad de personas encuestadas por barrio difiere</w:t>
      </w:r>
      <w:r w:rsidR="00FE3920" w:rsidRPr="00162ACE">
        <w:rPr>
          <w:rFonts w:ascii="Times New Roman" w:hAnsi="Times New Roman" w:cs="Times New Roman"/>
          <w:sz w:val="24"/>
          <w:szCs w:val="24"/>
        </w:rPr>
        <w:t xml:space="preserve">. Los barrios </w:t>
      </w:r>
      <w:r w:rsidR="00C14849" w:rsidRPr="00162ACE">
        <w:rPr>
          <w:rFonts w:ascii="Times New Roman" w:hAnsi="Times New Roman" w:cs="Times New Roman"/>
          <w:sz w:val="24"/>
          <w:szCs w:val="24"/>
        </w:rPr>
        <w:t xml:space="preserve">presentan diferencias socioculturales </w:t>
      </w:r>
      <w:r w:rsidR="007129A8" w:rsidRPr="00162ACE">
        <w:rPr>
          <w:rFonts w:ascii="Times New Roman" w:hAnsi="Times New Roman" w:cs="Times New Roman"/>
          <w:sz w:val="24"/>
          <w:szCs w:val="24"/>
        </w:rPr>
        <w:t xml:space="preserve">entre sí </w:t>
      </w:r>
      <w:r w:rsidR="00C14849" w:rsidRPr="00162ACE">
        <w:rPr>
          <w:rFonts w:ascii="Times New Roman" w:hAnsi="Times New Roman" w:cs="Times New Roman"/>
          <w:sz w:val="24"/>
          <w:szCs w:val="24"/>
        </w:rPr>
        <w:t>(ver tabla 1).</w:t>
      </w:r>
    </w:p>
    <w:p w14:paraId="66E7DE3D" w14:textId="77777777" w:rsidR="008F72AF" w:rsidRPr="00162ACE" w:rsidRDefault="00FE3920"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En la T</w:t>
      </w:r>
      <w:r w:rsidR="008F72AF" w:rsidRPr="00162ACE">
        <w:rPr>
          <w:rFonts w:ascii="Times New Roman" w:hAnsi="Times New Roman" w:cs="Times New Roman"/>
          <w:sz w:val="24"/>
          <w:szCs w:val="24"/>
        </w:rPr>
        <w:t xml:space="preserve">abla 1 se </w:t>
      </w:r>
      <w:r w:rsidR="008A630C" w:rsidRPr="00162ACE">
        <w:rPr>
          <w:rFonts w:ascii="Times New Roman" w:hAnsi="Times New Roman" w:cs="Times New Roman"/>
          <w:sz w:val="24"/>
          <w:szCs w:val="24"/>
        </w:rPr>
        <w:t>observa</w:t>
      </w:r>
      <w:r w:rsidR="008F72AF" w:rsidRPr="00162ACE">
        <w:rPr>
          <w:rFonts w:ascii="Times New Roman" w:hAnsi="Times New Roman" w:cs="Times New Roman"/>
          <w:sz w:val="24"/>
          <w:szCs w:val="24"/>
        </w:rPr>
        <w:t xml:space="preserve"> una media por barrios de: </w:t>
      </w:r>
      <w:r w:rsidR="00DD14BB" w:rsidRPr="00162ACE">
        <w:rPr>
          <w:rFonts w:ascii="Times New Roman" w:hAnsi="Times New Roman" w:cs="Times New Roman"/>
          <w:sz w:val="24"/>
          <w:szCs w:val="24"/>
        </w:rPr>
        <w:t>cantidad de personas</w:t>
      </w:r>
      <w:r w:rsidR="007448BE" w:rsidRPr="00162ACE">
        <w:rPr>
          <w:rFonts w:ascii="Times New Roman" w:hAnsi="Times New Roman" w:cs="Times New Roman"/>
          <w:sz w:val="24"/>
          <w:szCs w:val="24"/>
        </w:rPr>
        <w:t xml:space="preserve"> </w:t>
      </w:r>
      <w:r w:rsidR="00DD14BB" w:rsidRPr="00162ACE">
        <w:rPr>
          <w:rFonts w:ascii="Times New Roman" w:hAnsi="Times New Roman" w:cs="Times New Roman"/>
          <w:sz w:val="24"/>
          <w:szCs w:val="24"/>
        </w:rPr>
        <w:t xml:space="preserve">encuestadas, </w:t>
      </w:r>
      <w:r w:rsidR="008F72AF" w:rsidRPr="00162ACE">
        <w:rPr>
          <w:rFonts w:ascii="Times New Roman" w:hAnsi="Times New Roman" w:cs="Times New Roman"/>
          <w:sz w:val="24"/>
          <w:szCs w:val="24"/>
        </w:rPr>
        <w:t>edad en años, nivel edu</w:t>
      </w:r>
      <w:r w:rsidR="00DD14BB" w:rsidRPr="00162ACE">
        <w:rPr>
          <w:rFonts w:ascii="Times New Roman" w:hAnsi="Times New Roman" w:cs="Times New Roman"/>
          <w:sz w:val="24"/>
          <w:szCs w:val="24"/>
        </w:rPr>
        <w:t xml:space="preserve">cativo (mayor nivel alcanzado) y </w:t>
      </w:r>
      <w:r w:rsidR="008F72AF" w:rsidRPr="00162ACE">
        <w:rPr>
          <w:rFonts w:ascii="Times New Roman" w:hAnsi="Times New Roman" w:cs="Times New Roman"/>
          <w:sz w:val="24"/>
          <w:szCs w:val="24"/>
        </w:rPr>
        <w:t>estatus socioeconómico (sumatoria de los bienes declarados) de cada participante. La Teja es un barrio de clase obrera, La Unión de clas</w:t>
      </w:r>
      <w:r w:rsidR="00745114" w:rsidRPr="00162ACE">
        <w:rPr>
          <w:rFonts w:ascii="Times New Roman" w:hAnsi="Times New Roman" w:cs="Times New Roman"/>
          <w:sz w:val="24"/>
          <w:szCs w:val="24"/>
        </w:rPr>
        <w:t>e media y Malvín de clase media-</w:t>
      </w:r>
      <w:r w:rsidR="008F72AF" w:rsidRPr="00162ACE">
        <w:rPr>
          <w:rFonts w:ascii="Times New Roman" w:hAnsi="Times New Roman" w:cs="Times New Roman"/>
          <w:sz w:val="24"/>
          <w:szCs w:val="24"/>
        </w:rPr>
        <w:t xml:space="preserve">alta. Se perdió información del barrio de residencia de dos participantes, casos que igualmente se incluyen en los análisis </w:t>
      </w:r>
      <w:r w:rsidRPr="00162ACE">
        <w:rPr>
          <w:rFonts w:ascii="Times New Roman" w:hAnsi="Times New Roman" w:cs="Times New Roman"/>
          <w:sz w:val="24"/>
          <w:szCs w:val="24"/>
        </w:rPr>
        <w:t>factoriales y de validez interna</w:t>
      </w:r>
      <w:r w:rsidR="008F72AF" w:rsidRPr="00162ACE">
        <w:rPr>
          <w:rFonts w:ascii="Times New Roman" w:hAnsi="Times New Roman" w:cs="Times New Roman"/>
          <w:sz w:val="24"/>
          <w:szCs w:val="24"/>
        </w:rPr>
        <w:t xml:space="preserve">. </w:t>
      </w:r>
    </w:p>
    <w:p w14:paraId="6845A904" w14:textId="77777777" w:rsidR="001A7042" w:rsidRPr="00162ACE" w:rsidRDefault="00FC514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Tabla 1</w:t>
      </w:r>
    </w:p>
    <w:p w14:paraId="5371FD02" w14:textId="77777777" w:rsidR="007A1B67" w:rsidRPr="00162ACE" w:rsidRDefault="001A7042" w:rsidP="00162ACE">
      <w:pPr>
        <w:spacing w:line="360" w:lineRule="auto"/>
        <w:rPr>
          <w:rFonts w:ascii="Times New Roman" w:hAnsi="Times New Roman" w:cs="Times New Roman"/>
          <w:i/>
          <w:sz w:val="24"/>
          <w:szCs w:val="24"/>
        </w:rPr>
      </w:pPr>
      <w:r w:rsidRPr="00162ACE">
        <w:rPr>
          <w:rFonts w:ascii="Times New Roman" w:hAnsi="Times New Roman" w:cs="Times New Roman"/>
          <w:i/>
          <w:sz w:val="24"/>
          <w:szCs w:val="24"/>
        </w:rPr>
        <w:t xml:space="preserve">Caracterización socio-demográfica </w:t>
      </w:r>
      <w:r w:rsidR="007625C5" w:rsidRPr="00162ACE">
        <w:rPr>
          <w:rFonts w:ascii="Times New Roman" w:hAnsi="Times New Roman" w:cs="Times New Roman"/>
          <w:i/>
          <w:sz w:val="24"/>
          <w:szCs w:val="24"/>
        </w:rPr>
        <w:t xml:space="preserve">de la </w:t>
      </w:r>
      <w:r w:rsidRPr="00162ACE">
        <w:rPr>
          <w:rFonts w:ascii="Times New Roman" w:hAnsi="Times New Roman" w:cs="Times New Roman"/>
          <w:i/>
          <w:sz w:val="24"/>
          <w:szCs w:val="24"/>
        </w:rPr>
        <w:t>muestra según barrio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B17296" w:rsidRPr="00162ACE" w14:paraId="0A5CFA56" w14:textId="77777777" w:rsidTr="00A02D8C">
        <w:tc>
          <w:tcPr>
            <w:tcW w:w="1803" w:type="dxa"/>
            <w:tcBorders>
              <w:top w:val="single" w:sz="4" w:space="0" w:color="auto"/>
              <w:bottom w:val="single" w:sz="4" w:space="0" w:color="auto"/>
            </w:tcBorders>
          </w:tcPr>
          <w:p w14:paraId="5704078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Barrios</w:t>
            </w:r>
          </w:p>
        </w:tc>
        <w:tc>
          <w:tcPr>
            <w:tcW w:w="1803" w:type="dxa"/>
            <w:tcBorders>
              <w:top w:val="single" w:sz="4" w:space="0" w:color="auto"/>
              <w:bottom w:val="single" w:sz="4" w:space="0" w:color="auto"/>
            </w:tcBorders>
          </w:tcPr>
          <w:p w14:paraId="50A26D2F"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N</w:t>
            </w:r>
          </w:p>
        </w:tc>
        <w:tc>
          <w:tcPr>
            <w:tcW w:w="1803" w:type="dxa"/>
            <w:tcBorders>
              <w:top w:val="single" w:sz="4" w:space="0" w:color="auto"/>
              <w:bottom w:val="single" w:sz="4" w:space="0" w:color="auto"/>
            </w:tcBorders>
          </w:tcPr>
          <w:p w14:paraId="0243906D"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E</w:t>
            </w:r>
          </w:p>
        </w:tc>
        <w:tc>
          <w:tcPr>
            <w:tcW w:w="1803" w:type="dxa"/>
            <w:tcBorders>
              <w:top w:val="single" w:sz="4" w:space="0" w:color="auto"/>
              <w:bottom w:val="single" w:sz="4" w:space="0" w:color="auto"/>
            </w:tcBorders>
          </w:tcPr>
          <w:p w14:paraId="75084BB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NE</w:t>
            </w:r>
          </w:p>
        </w:tc>
        <w:tc>
          <w:tcPr>
            <w:tcW w:w="1804" w:type="dxa"/>
            <w:tcBorders>
              <w:top w:val="single" w:sz="4" w:space="0" w:color="auto"/>
              <w:bottom w:val="single" w:sz="4" w:space="0" w:color="auto"/>
            </w:tcBorders>
          </w:tcPr>
          <w:p w14:paraId="5A4E5698"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ES</w:t>
            </w:r>
            <w:r w:rsidR="00FE3920" w:rsidRPr="00162ACE">
              <w:rPr>
                <w:rFonts w:ascii="Times New Roman" w:hAnsi="Times New Roman" w:cs="Times New Roman"/>
                <w:sz w:val="24"/>
                <w:szCs w:val="24"/>
              </w:rPr>
              <w:t>E</w:t>
            </w:r>
          </w:p>
        </w:tc>
      </w:tr>
      <w:tr w:rsidR="00B17296" w:rsidRPr="00162ACE" w14:paraId="7C6D38EE" w14:textId="77777777" w:rsidTr="00B17296">
        <w:tc>
          <w:tcPr>
            <w:tcW w:w="1803" w:type="dxa"/>
            <w:tcBorders>
              <w:top w:val="single" w:sz="4" w:space="0" w:color="auto"/>
            </w:tcBorders>
          </w:tcPr>
          <w:p w14:paraId="2BFC650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La Teja</w:t>
            </w:r>
          </w:p>
        </w:tc>
        <w:tc>
          <w:tcPr>
            <w:tcW w:w="1803" w:type="dxa"/>
            <w:tcBorders>
              <w:top w:val="single" w:sz="4" w:space="0" w:color="auto"/>
            </w:tcBorders>
          </w:tcPr>
          <w:p w14:paraId="0CBD52DB"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52</w:t>
            </w:r>
          </w:p>
        </w:tc>
        <w:tc>
          <w:tcPr>
            <w:tcW w:w="1803" w:type="dxa"/>
            <w:tcBorders>
              <w:top w:val="single" w:sz="4" w:space="0" w:color="auto"/>
            </w:tcBorders>
          </w:tcPr>
          <w:p w14:paraId="562058B3"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43,00</w:t>
            </w:r>
          </w:p>
        </w:tc>
        <w:tc>
          <w:tcPr>
            <w:tcW w:w="1803" w:type="dxa"/>
            <w:tcBorders>
              <w:top w:val="single" w:sz="4" w:space="0" w:color="auto"/>
            </w:tcBorders>
          </w:tcPr>
          <w:p w14:paraId="31F7AD42"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6,71</w:t>
            </w:r>
          </w:p>
        </w:tc>
        <w:tc>
          <w:tcPr>
            <w:tcW w:w="1804" w:type="dxa"/>
            <w:tcBorders>
              <w:top w:val="single" w:sz="4" w:space="0" w:color="auto"/>
            </w:tcBorders>
          </w:tcPr>
          <w:p w14:paraId="05BE9BD7"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8,65</w:t>
            </w:r>
          </w:p>
        </w:tc>
      </w:tr>
      <w:tr w:rsidR="00B17296" w:rsidRPr="00162ACE" w14:paraId="29B74D66" w14:textId="77777777" w:rsidTr="00B17296">
        <w:tc>
          <w:tcPr>
            <w:tcW w:w="1803" w:type="dxa"/>
          </w:tcPr>
          <w:p w14:paraId="052DFAA6"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La Unión</w:t>
            </w:r>
          </w:p>
        </w:tc>
        <w:tc>
          <w:tcPr>
            <w:tcW w:w="1803" w:type="dxa"/>
          </w:tcPr>
          <w:p w14:paraId="4FF57344"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90</w:t>
            </w:r>
          </w:p>
        </w:tc>
        <w:tc>
          <w:tcPr>
            <w:tcW w:w="1803" w:type="dxa"/>
          </w:tcPr>
          <w:p w14:paraId="1653E40D"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43,27</w:t>
            </w:r>
          </w:p>
        </w:tc>
        <w:tc>
          <w:tcPr>
            <w:tcW w:w="1803" w:type="dxa"/>
          </w:tcPr>
          <w:p w14:paraId="2B60933A"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7,62</w:t>
            </w:r>
          </w:p>
        </w:tc>
        <w:tc>
          <w:tcPr>
            <w:tcW w:w="1804" w:type="dxa"/>
          </w:tcPr>
          <w:p w14:paraId="32FCDD01"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9,66</w:t>
            </w:r>
          </w:p>
        </w:tc>
      </w:tr>
      <w:tr w:rsidR="00B17296" w:rsidRPr="00162ACE" w14:paraId="120DC72E" w14:textId="77777777" w:rsidTr="00B17296">
        <w:tc>
          <w:tcPr>
            <w:tcW w:w="1803" w:type="dxa"/>
            <w:tcBorders>
              <w:bottom w:val="single" w:sz="4" w:space="0" w:color="auto"/>
            </w:tcBorders>
          </w:tcPr>
          <w:p w14:paraId="78211A51"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Malvín</w:t>
            </w:r>
          </w:p>
        </w:tc>
        <w:tc>
          <w:tcPr>
            <w:tcW w:w="1803" w:type="dxa"/>
            <w:tcBorders>
              <w:bottom w:val="single" w:sz="4" w:space="0" w:color="auto"/>
            </w:tcBorders>
          </w:tcPr>
          <w:p w14:paraId="28FB9495"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44</w:t>
            </w:r>
          </w:p>
        </w:tc>
        <w:tc>
          <w:tcPr>
            <w:tcW w:w="1803" w:type="dxa"/>
            <w:tcBorders>
              <w:bottom w:val="single" w:sz="4" w:space="0" w:color="auto"/>
            </w:tcBorders>
          </w:tcPr>
          <w:p w14:paraId="567FD50B"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44,36</w:t>
            </w:r>
          </w:p>
        </w:tc>
        <w:tc>
          <w:tcPr>
            <w:tcW w:w="1803" w:type="dxa"/>
            <w:tcBorders>
              <w:bottom w:val="single" w:sz="4" w:space="0" w:color="auto"/>
            </w:tcBorders>
          </w:tcPr>
          <w:p w14:paraId="011CFAB1"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8,84</w:t>
            </w:r>
          </w:p>
        </w:tc>
        <w:tc>
          <w:tcPr>
            <w:tcW w:w="1804" w:type="dxa"/>
            <w:tcBorders>
              <w:bottom w:val="single" w:sz="4" w:space="0" w:color="auto"/>
            </w:tcBorders>
          </w:tcPr>
          <w:p w14:paraId="4FC9F6C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10,57</w:t>
            </w:r>
          </w:p>
        </w:tc>
      </w:tr>
      <w:tr w:rsidR="00B17296" w:rsidRPr="00162ACE" w14:paraId="2D9801ED" w14:textId="77777777" w:rsidTr="00B17296">
        <w:tc>
          <w:tcPr>
            <w:tcW w:w="9016" w:type="dxa"/>
            <w:gridSpan w:val="5"/>
            <w:tcBorders>
              <w:top w:val="single" w:sz="4" w:space="0" w:color="auto"/>
            </w:tcBorders>
          </w:tcPr>
          <w:p w14:paraId="359EF133"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i/>
                <w:sz w:val="24"/>
                <w:szCs w:val="24"/>
              </w:rPr>
              <w:t>Notas.</w:t>
            </w:r>
            <w:r w:rsidR="00161E42" w:rsidRPr="00162ACE">
              <w:rPr>
                <w:rFonts w:ascii="Times New Roman" w:hAnsi="Times New Roman" w:cs="Times New Roman"/>
                <w:i/>
                <w:sz w:val="24"/>
                <w:szCs w:val="24"/>
              </w:rPr>
              <w:t xml:space="preserve"> </w:t>
            </w:r>
            <w:r w:rsidRPr="00162ACE">
              <w:rPr>
                <w:rFonts w:ascii="Times New Roman" w:hAnsi="Times New Roman" w:cs="Times New Roman"/>
                <w:sz w:val="24"/>
                <w:szCs w:val="24"/>
                <w:lang w:eastAsia="es-UY"/>
              </w:rPr>
              <w:t>E = Edad; NE = Nivel Educativo; ES</w:t>
            </w:r>
            <w:r w:rsidR="00FE3920" w:rsidRPr="00162ACE">
              <w:rPr>
                <w:rFonts w:ascii="Times New Roman" w:hAnsi="Times New Roman" w:cs="Times New Roman"/>
                <w:sz w:val="24"/>
                <w:szCs w:val="24"/>
                <w:lang w:eastAsia="es-UY"/>
              </w:rPr>
              <w:t>E</w:t>
            </w:r>
            <w:r w:rsidRPr="00162ACE">
              <w:rPr>
                <w:rFonts w:ascii="Times New Roman" w:hAnsi="Times New Roman" w:cs="Times New Roman"/>
                <w:sz w:val="24"/>
                <w:szCs w:val="24"/>
                <w:lang w:eastAsia="es-UY"/>
              </w:rPr>
              <w:t xml:space="preserve"> =  Estatus socioeconómico</w:t>
            </w:r>
          </w:p>
        </w:tc>
      </w:tr>
    </w:tbl>
    <w:p w14:paraId="3B8EB71E" w14:textId="77777777" w:rsidR="00DC37EA" w:rsidRPr="00162ACE" w:rsidRDefault="00DC37EA" w:rsidP="00E74185">
      <w:pPr>
        <w:spacing w:line="480" w:lineRule="auto"/>
        <w:ind w:firstLine="709"/>
        <w:rPr>
          <w:rFonts w:ascii="Times New Roman" w:hAnsi="Times New Roman" w:cs="Times New Roman"/>
          <w:sz w:val="24"/>
          <w:szCs w:val="24"/>
        </w:rPr>
      </w:pPr>
    </w:p>
    <w:p w14:paraId="6D13C174" w14:textId="77777777" w:rsidR="008F72AF" w:rsidRPr="00162ACE" w:rsidRDefault="008F72AF">
      <w:pPr>
        <w:rPr>
          <w:rFonts w:ascii="Times New Roman" w:hAnsi="Times New Roman" w:cs="Times New Roman"/>
          <w:i/>
          <w:color w:val="FF0000"/>
          <w:sz w:val="24"/>
          <w:szCs w:val="24"/>
        </w:rPr>
      </w:pPr>
      <w:r w:rsidRPr="00162ACE">
        <w:rPr>
          <w:rFonts w:ascii="Times New Roman" w:hAnsi="Times New Roman" w:cs="Times New Roman"/>
          <w:i/>
          <w:color w:val="FF0000"/>
          <w:sz w:val="24"/>
          <w:szCs w:val="24"/>
        </w:rPr>
        <w:br w:type="page"/>
      </w:r>
    </w:p>
    <w:p w14:paraId="29F16AE4" w14:textId="77777777" w:rsidR="00745114" w:rsidRPr="00162ACE" w:rsidRDefault="00745114" w:rsidP="00162ACE">
      <w:pPr>
        <w:spacing w:line="480" w:lineRule="auto"/>
        <w:rPr>
          <w:rFonts w:ascii="Times New Roman" w:hAnsi="Times New Roman" w:cs="Times New Roman"/>
          <w:i/>
          <w:sz w:val="24"/>
          <w:szCs w:val="24"/>
        </w:rPr>
      </w:pPr>
      <w:r w:rsidRPr="00162ACE">
        <w:rPr>
          <w:rFonts w:ascii="Times New Roman" w:hAnsi="Times New Roman" w:cs="Times New Roman"/>
          <w:b/>
          <w:sz w:val="24"/>
          <w:szCs w:val="24"/>
        </w:rPr>
        <w:lastRenderedPageBreak/>
        <w:t xml:space="preserve">Instrumentos </w:t>
      </w:r>
    </w:p>
    <w:p w14:paraId="2D9E6819" w14:textId="77777777" w:rsidR="00DD14BB"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t xml:space="preserve">Cuestionario sociodemográfico Ad-hoc. </w:t>
      </w:r>
      <w:r w:rsidRPr="00162ACE">
        <w:rPr>
          <w:rFonts w:ascii="Times New Roman" w:hAnsi="Times New Roman" w:cs="Times New Roman"/>
          <w:sz w:val="24"/>
          <w:szCs w:val="24"/>
        </w:rPr>
        <w:t xml:space="preserve">Se </w:t>
      </w:r>
      <w:r w:rsidR="00125C54" w:rsidRPr="00162ACE">
        <w:rPr>
          <w:rFonts w:ascii="Times New Roman" w:hAnsi="Times New Roman" w:cs="Times New Roman"/>
          <w:sz w:val="24"/>
          <w:szCs w:val="24"/>
        </w:rPr>
        <w:t>recolectó</w:t>
      </w:r>
      <w:r w:rsidR="008A630C" w:rsidRPr="00162ACE">
        <w:rPr>
          <w:rFonts w:ascii="Times New Roman" w:hAnsi="Times New Roman" w:cs="Times New Roman"/>
          <w:sz w:val="24"/>
          <w:szCs w:val="24"/>
        </w:rPr>
        <w:t xml:space="preserve"> </w:t>
      </w:r>
      <w:r w:rsidR="00125C54" w:rsidRPr="00162ACE">
        <w:rPr>
          <w:rFonts w:ascii="Times New Roman" w:hAnsi="Times New Roman" w:cs="Times New Roman"/>
          <w:sz w:val="24"/>
          <w:szCs w:val="24"/>
        </w:rPr>
        <w:t xml:space="preserve">información sobre el </w:t>
      </w:r>
      <w:r w:rsidRPr="00162ACE">
        <w:rPr>
          <w:rFonts w:ascii="Times New Roman" w:hAnsi="Times New Roman" w:cs="Times New Roman"/>
          <w:sz w:val="24"/>
          <w:szCs w:val="24"/>
        </w:rPr>
        <w:t>sexo, edad, nivel e</w:t>
      </w:r>
      <w:r w:rsidR="00125C54" w:rsidRPr="00162ACE">
        <w:rPr>
          <w:rFonts w:ascii="Times New Roman" w:hAnsi="Times New Roman" w:cs="Times New Roman"/>
          <w:sz w:val="24"/>
          <w:szCs w:val="24"/>
        </w:rPr>
        <w:t>ducativo del participante</w:t>
      </w:r>
      <w:r w:rsidRPr="00162ACE">
        <w:rPr>
          <w:rFonts w:ascii="Times New Roman" w:hAnsi="Times New Roman" w:cs="Times New Roman"/>
          <w:sz w:val="24"/>
          <w:szCs w:val="24"/>
        </w:rPr>
        <w:t xml:space="preserve">. </w:t>
      </w:r>
      <w:r w:rsidR="00DD14BB" w:rsidRPr="00162ACE">
        <w:rPr>
          <w:rFonts w:ascii="Times New Roman" w:hAnsi="Times New Roman" w:cs="Times New Roman"/>
          <w:sz w:val="24"/>
          <w:szCs w:val="24"/>
        </w:rPr>
        <w:t>Sobre el nivel educativo los participantes debían contestar si el máximo nivel alcanzado era: primaria, secundaria, liceo, enseñanza terciaria, estudios terciarios universitarios o estudios de posgrados; señalando si estaba incompleto o completo</w:t>
      </w:r>
      <w:r w:rsidR="003F3B43" w:rsidRPr="00162ACE">
        <w:rPr>
          <w:rFonts w:ascii="Times New Roman" w:hAnsi="Times New Roman" w:cs="Times New Roman"/>
          <w:sz w:val="24"/>
          <w:szCs w:val="24"/>
        </w:rPr>
        <w:t xml:space="preserve"> (0</w:t>
      </w:r>
      <w:r w:rsidR="008A630C" w:rsidRPr="00162ACE">
        <w:rPr>
          <w:rFonts w:ascii="Times New Roman" w:hAnsi="Times New Roman" w:cs="Times New Roman"/>
          <w:sz w:val="24"/>
          <w:szCs w:val="24"/>
        </w:rPr>
        <w:t>=</w:t>
      </w:r>
      <w:r w:rsidR="003F3B43" w:rsidRPr="00162ACE">
        <w:rPr>
          <w:rFonts w:ascii="Times New Roman" w:hAnsi="Times New Roman" w:cs="Times New Roman"/>
          <w:sz w:val="24"/>
          <w:szCs w:val="24"/>
        </w:rPr>
        <w:t xml:space="preserve"> analfabeto, 1= primaria incompleta, 2= primaria completa, 3=secundaria incompleta, 4= secundaria completa, 5= enseñanza técnica incompleta, 6= enseñanza técnica completa, 7= universidad incompleta, 8= universidad completa, 9= posgrado incompleto, 10= posgrado completo).</w:t>
      </w:r>
    </w:p>
    <w:p w14:paraId="310C548F" w14:textId="4A4EC6BC" w:rsidR="00745114"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t xml:space="preserve">Cuestionario de consumo de sustancias </w:t>
      </w:r>
      <w:r w:rsidR="003B6C99">
        <w:rPr>
          <w:rFonts w:ascii="Times New Roman" w:hAnsi="Times New Roman" w:cs="Times New Roman"/>
          <w:i/>
          <w:sz w:val="24"/>
          <w:szCs w:val="24"/>
        </w:rPr>
        <w:t>a</w:t>
      </w:r>
      <w:r w:rsidRPr="00162ACE">
        <w:rPr>
          <w:rFonts w:ascii="Times New Roman" w:hAnsi="Times New Roman" w:cs="Times New Roman"/>
          <w:i/>
          <w:sz w:val="24"/>
          <w:szCs w:val="24"/>
        </w:rPr>
        <w:t>d-hoc</w:t>
      </w:r>
      <w:r w:rsidRPr="00162ACE">
        <w:rPr>
          <w:rFonts w:ascii="Times New Roman" w:hAnsi="Times New Roman" w:cs="Times New Roman"/>
          <w:sz w:val="24"/>
          <w:szCs w:val="24"/>
        </w:rPr>
        <w:t xml:space="preserve">. Se preguntó el tipo de sustancias consumidas, </w:t>
      </w:r>
      <w:r w:rsidR="008A630C" w:rsidRPr="00162ACE">
        <w:rPr>
          <w:rFonts w:ascii="Times New Roman" w:hAnsi="Times New Roman" w:cs="Times New Roman"/>
          <w:sz w:val="24"/>
          <w:szCs w:val="24"/>
        </w:rPr>
        <w:t>dentro de las siguientes opciones</w:t>
      </w:r>
      <w:r w:rsidRPr="00162ACE">
        <w:rPr>
          <w:rFonts w:ascii="Times New Roman" w:hAnsi="Times New Roman" w:cs="Times New Roman"/>
          <w:sz w:val="24"/>
          <w:szCs w:val="24"/>
        </w:rPr>
        <w:t>: bebidas alcohólicas, tabaco, marihuana, cocaína y pasta base de cocaína</w:t>
      </w:r>
      <w:r w:rsidR="001A4E5D" w:rsidRPr="00162ACE">
        <w:rPr>
          <w:rFonts w:ascii="Times New Roman" w:hAnsi="Times New Roman" w:cs="Times New Roman"/>
          <w:sz w:val="24"/>
          <w:szCs w:val="24"/>
        </w:rPr>
        <w:t>.</w:t>
      </w:r>
      <w:r w:rsidR="008A630C" w:rsidRPr="00162ACE">
        <w:rPr>
          <w:rFonts w:ascii="Times New Roman" w:hAnsi="Times New Roman" w:cs="Times New Roman"/>
          <w:sz w:val="24"/>
          <w:szCs w:val="24"/>
        </w:rPr>
        <w:t xml:space="preserve"> Para cada sustancia</w:t>
      </w:r>
      <w:r w:rsidRPr="00162ACE">
        <w:rPr>
          <w:rFonts w:ascii="Times New Roman" w:hAnsi="Times New Roman" w:cs="Times New Roman"/>
          <w:sz w:val="24"/>
          <w:szCs w:val="24"/>
        </w:rPr>
        <w:t xml:space="preserve"> las personas debían respon</w:t>
      </w:r>
      <w:r w:rsidR="00DD14BB" w:rsidRPr="00162ACE">
        <w:rPr>
          <w:rFonts w:ascii="Times New Roman" w:hAnsi="Times New Roman" w:cs="Times New Roman"/>
          <w:sz w:val="24"/>
          <w:szCs w:val="24"/>
        </w:rPr>
        <w:t>der cuál era la frecuencia de</w:t>
      </w:r>
      <w:r w:rsidRPr="00162ACE">
        <w:rPr>
          <w:rFonts w:ascii="Times New Roman" w:hAnsi="Times New Roman" w:cs="Times New Roman"/>
          <w:sz w:val="24"/>
          <w:szCs w:val="24"/>
        </w:rPr>
        <w:t xml:space="preserve"> consumo, utilizando la siguiente escala: 0= Nunca, 1=Algunas veces, 2= Fines de semana y 3= Todos los días.  </w:t>
      </w:r>
      <w:r w:rsidR="00750F91" w:rsidRPr="00162ACE">
        <w:rPr>
          <w:rFonts w:ascii="Times New Roman" w:hAnsi="Times New Roman" w:cs="Times New Roman"/>
          <w:sz w:val="24"/>
          <w:szCs w:val="24"/>
        </w:rPr>
        <w:t xml:space="preserve">Para las bebidas alcohólicas se realizó una sumatoria de las opciones brindadas (cerveza, vino, tragos </w:t>
      </w:r>
      <w:r w:rsidR="003B6C99">
        <w:rPr>
          <w:rFonts w:ascii="Times New Roman" w:hAnsi="Times New Roman" w:cs="Times New Roman"/>
          <w:sz w:val="24"/>
          <w:szCs w:val="24"/>
        </w:rPr>
        <w:t>destilados</w:t>
      </w:r>
      <w:r w:rsidR="00750F91" w:rsidRPr="00162ACE">
        <w:rPr>
          <w:rFonts w:ascii="Times New Roman" w:hAnsi="Times New Roman" w:cs="Times New Roman"/>
          <w:sz w:val="24"/>
          <w:szCs w:val="24"/>
        </w:rPr>
        <w:t>, otros)</w:t>
      </w:r>
      <w:r w:rsidR="00125C54" w:rsidRPr="00162ACE">
        <w:rPr>
          <w:rFonts w:ascii="Times New Roman" w:hAnsi="Times New Roman" w:cs="Times New Roman"/>
          <w:sz w:val="24"/>
          <w:szCs w:val="24"/>
        </w:rPr>
        <w:t>, por lo que el rango para la variable c</w:t>
      </w:r>
      <w:r w:rsidR="00DD14BB" w:rsidRPr="00162ACE">
        <w:rPr>
          <w:rFonts w:ascii="Times New Roman" w:hAnsi="Times New Roman" w:cs="Times New Roman"/>
          <w:sz w:val="24"/>
          <w:szCs w:val="24"/>
        </w:rPr>
        <w:t>onsumo de alcohol fue de 0 a 12.</w:t>
      </w:r>
    </w:p>
    <w:p w14:paraId="4114C4BF" w14:textId="0D579CCE" w:rsidR="00745114"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t xml:space="preserve">Escala de Consideración de las Consecuencias Futuras de 14 ítems (CFC-14).  </w:t>
      </w:r>
      <w:r w:rsidRPr="00162ACE">
        <w:rPr>
          <w:rFonts w:ascii="Times New Roman" w:hAnsi="Times New Roman" w:cs="Times New Roman"/>
          <w:sz w:val="24"/>
          <w:szCs w:val="24"/>
        </w:rPr>
        <w:t>Escala desarrollada por Strathman, et al. (1994) y adaptada al español por Vásquez</w:t>
      </w:r>
      <w:r w:rsidR="0027284D">
        <w:rPr>
          <w:rFonts w:ascii="Times New Roman" w:hAnsi="Times New Roman" w:cs="Times New Roman"/>
          <w:sz w:val="24"/>
          <w:szCs w:val="24"/>
        </w:rPr>
        <w:t xml:space="preserve"> </w:t>
      </w:r>
      <w:r w:rsidRPr="00162ACE">
        <w:rPr>
          <w:rFonts w:ascii="Times New Roman" w:hAnsi="Times New Roman" w:cs="Times New Roman"/>
          <w:sz w:val="24"/>
          <w:szCs w:val="24"/>
        </w:rPr>
        <w:t xml:space="preserve">Echeverría et al. (aceptado). La misma consta de dos subescalas: CFC Inmediato y CFC Futuro. En el estudio de Vásquez Echeverría et al. (aceptado) los alfas de Cronbach </w:t>
      </w:r>
      <w:r w:rsidR="00CD3444" w:rsidRPr="00162ACE">
        <w:rPr>
          <w:rFonts w:ascii="Times New Roman" w:hAnsi="Times New Roman" w:cs="Times New Roman"/>
          <w:sz w:val="24"/>
          <w:szCs w:val="24"/>
        </w:rPr>
        <w:t>fueron de</w:t>
      </w:r>
      <w:r w:rsidRPr="00162ACE">
        <w:rPr>
          <w:rFonts w:ascii="Times New Roman" w:hAnsi="Times New Roman" w:cs="Times New Roman"/>
          <w:sz w:val="24"/>
          <w:szCs w:val="24"/>
        </w:rPr>
        <w:t xml:space="preserve"> 0,74</w:t>
      </w:r>
      <w:r w:rsidR="008A630C" w:rsidRPr="00162ACE">
        <w:rPr>
          <w:rFonts w:ascii="Times New Roman" w:hAnsi="Times New Roman" w:cs="Times New Roman"/>
          <w:sz w:val="24"/>
          <w:szCs w:val="24"/>
        </w:rPr>
        <w:t xml:space="preserve"> para la subescala CFC-I</w:t>
      </w:r>
      <w:r w:rsidRPr="00162ACE">
        <w:rPr>
          <w:rFonts w:ascii="Times New Roman" w:hAnsi="Times New Roman" w:cs="Times New Roman"/>
          <w:sz w:val="24"/>
          <w:szCs w:val="24"/>
        </w:rPr>
        <w:t xml:space="preserve"> y </w:t>
      </w:r>
      <w:r w:rsidR="008A630C" w:rsidRPr="00162ACE">
        <w:rPr>
          <w:rFonts w:ascii="Times New Roman" w:hAnsi="Times New Roman" w:cs="Times New Roman"/>
          <w:sz w:val="24"/>
          <w:szCs w:val="24"/>
        </w:rPr>
        <w:t xml:space="preserve">de </w:t>
      </w:r>
      <w:r w:rsidRPr="00162ACE">
        <w:rPr>
          <w:rFonts w:ascii="Times New Roman" w:hAnsi="Times New Roman" w:cs="Times New Roman"/>
          <w:sz w:val="24"/>
          <w:szCs w:val="24"/>
        </w:rPr>
        <w:t>0,60</w:t>
      </w:r>
      <w:r w:rsidR="008A630C" w:rsidRPr="00162ACE">
        <w:rPr>
          <w:rFonts w:ascii="Times New Roman" w:hAnsi="Times New Roman" w:cs="Times New Roman"/>
          <w:sz w:val="24"/>
          <w:szCs w:val="24"/>
        </w:rPr>
        <w:t xml:space="preserve"> para la de CFC-F</w:t>
      </w:r>
      <w:r w:rsidRPr="00162ACE">
        <w:rPr>
          <w:rFonts w:ascii="Times New Roman" w:hAnsi="Times New Roman" w:cs="Times New Roman"/>
          <w:sz w:val="24"/>
          <w:szCs w:val="24"/>
        </w:rPr>
        <w:t xml:space="preserve">. La escala CFC-14 está compuesta por 14 ítems, evaluados con una escala de tipo Likert de 7 puntos: 1= Nada característico y 7 = Totalmente característico. </w:t>
      </w:r>
    </w:p>
    <w:p w14:paraId="54CCA236" w14:textId="77777777" w:rsidR="00DD14BB"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lastRenderedPageBreak/>
        <w:t>Adaptación de la versión CFC-12 a CFC-14</w:t>
      </w:r>
      <w:r w:rsidRPr="00162ACE">
        <w:rPr>
          <w:rFonts w:ascii="Times New Roman" w:hAnsi="Times New Roman" w:cs="Times New Roman"/>
          <w:sz w:val="24"/>
          <w:szCs w:val="24"/>
        </w:rPr>
        <w:t xml:space="preserve">. </w:t>
      </w:r>
      <w:r w:rsidRPr="00162ACE">
        <w:rPr>
          <w:rFonts w:ascii="Times New Roman" w:hAnsi="Times New Roman" w:cs="Times New Roman"/>
          <w:sz w:val="24"/>
          <w:szCs w:val="24"/>
          <w:highlight w:val="white"/>
        </w:rPr>
        <w:t xml:space="preserve">En este proceso se utilizaron los 12 ítems en español de la escala CFC-12 adaptada por </w:t>
      </w:r>
      <w:r w:rsidRPr="00162ACE">
        <w:rPr>
          <w:rFonts w:ascii="Times New Roman" w:hAnsi="Times New Roman" w:cs="Times New Roman"/>
          <w:sz w:val="24"/>
          <w:szCs w:val="24"/>
        </w:rPr>
        <w:t xml:space="preserve">Vásquez Echeverría et al. (aceptado), </w:t>
      </w:r>
      <w:r w:rsidRPr="00162ACE">
        <w:rPr>
          <w:rFonts w:ascii="Times New Roman" w:hAnsi="Times New Roman" w:cs="Times New Roman"/>
          <w:sz w:val="24"/>
          <w:szCs w:val="24"/>
          <w:highlight w:val="white"/>
        </w:rPr>
        <w:t xml:space="preserve">y se tradujeron los dos nuevos ítems agregados a la subescala de Futuro por </w:t>
      </w:r>
      <w:r w:rsidRPr="00162ACE">
        <w:rPr>
          <w:rFonts w:ascii="Times New Roman" w:hAnsi="Times New Roman" w:cs="Times New Roman"/>
          <w:sz w:val="24"/>
          <w:szCs w:val="24"/>
        </w:rPr>
        <w:t xml:space="preserve">Joireman, et al. (2012). </w:t>
      </w:r>
    </w:p>
    <w:p w14:paraId="4977CEC1" w14:textId="77777777" w:rsidR="00A02D8C" w:rsidRPr="00162ACE" w:rsidRDefault="007A1B67" w:rsidP="00162ACE">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Procedimiento</w:t>
      </w:r>
    </w:p>
    <w:p w14:paraId="1443937D" w14:textId="77777777" w:rsidR="009A6765" w:rsidRPr="00162ACE" w:rsidRDefault="003613AD"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Para la obtención de la muestra se </w:t>
      </w:r>
      <w:r w:rsidR="00745114" w:rsidRPr="00162ACE">
        <w:rPr>
          <w:rFonts w:ascii="Times New Roman" w:hAnsi="Times New Roman" w:cs="Times New Roman"/>
          <w:sz w:val="24"/>
          <w:szCs w:val="24"/>
        </w:rPr>
        <w:t>seleccionaron</w:t>
      </w:r>
      <w:r w:rsidR="00C27307" w:rsidRPr="00162ACE">
        <w:rPr>
          <w:rFonts w:ascii="Times New Roman" w:hAnsi="Times New Roman" w:cs="Times New Roman"/>
          <w:sz w:val="24"/>
          <w:szCs w:val="24"/>
        </w:rPr>
        <w:t xml:space="preserve"> </w:t>
      </w:r>
      <w:r w:rsidR="00687AE0" w:rsidRPr="00162ACE">
        <w:rPr>
          <w:rFonts w:ascii="Times New Roman" w:hAnsi="Times New Roman" w:cs="Times New Roman"/>
          <w:sz w:val="24"/>
          <w:szCs w:val="24"/>
        </w:rPr>
        <w:t>tres barrios de Montevideo</w:t>
      </w:r>
      <w:r w:rsidR="00576316" w:rsidRPr="00162ACE">
        <w:rPr>
          <w:rFonts w:ascii="Times New Roman" w:hAnsi="Times New Roman" w:cs="Times New Roman"/>
          <w:sz w:val="24"/>
          <w:szCs w:val="24"/>
        </w:rPr>
        <w:t xml:space="preserve"> (La Teja, Uni</w:t>
      </w:r>
      <w:r w:rsidR="00D4689B" w:rsidRPr="00162ACE">
        <w:rPr>
          <w:rFonts w:ascii="Times New Roman" w:hAnsi="Times New Roman" w:cs="Times New Roman"/>
          <w:sz w:val="24"/>
          <w:szCs w:val="24"/>
        </w:rPr>
        <w:t>ón y Malví</w:t>
      </w:r>
      <w:r w:rsidR="00576316" w:rsidRPr="00162ACE">
        <w:rPr>
          <w:rFonts w:ascii="Times New Roman" w:hAnsi="Times New Roman" w:cs="Times New Roman"/>
          <w:sz w:val="24"/>
          <w:szCs w:val="24"/>
        </w:rPr>
        <w:t>n)</w:t>
      </w:r>
      <w:r w:rsidR="00CD3444" w:rsidRPr="00162ACE">
        <w:rPr>
          <w:rFonts w:ascii="Times New Roman" w:hAnsi="Times New Roman" w:cs="Times New Roman"/>
          <w:sz w:val="24"/>
          <w:szCs w:val="24"/>
        </w:rPr>
        <w:t xml:space="preserve"> </w:t>
      </w:r>
      <w:r w:rsidR="00DD14BB" w:rsidRPr="00162ACE">
        <w:rPr>
          <w:rFonts w:ascii="Times New Roman" w:hAnsi="Times New Roman" w:cs="Times New Roman"/>
          <w:sz w:val="24"/>
          <w:szCs w:val="24"/>
        </w:rPr>
        <w:t xml:space="preserve">los cuales </w:t>
      </w:r>
      <w:r w:rsidR="00FE3920" w:rsidRPr="00162ACE">
        <w:rPr>
          <w:rFonts w:ascii="Times New Roman" w:hAnsi="Times New Roman" w:cs="Times New Roman"/>
          <w:sz w:val="24"/>
          <w:szCs w:val="24"/>
        </w:rPr>
        <w:t>difieren en cuanto a</w:t>
      </w:r>
      <w:r w:rsidR="00DD14BB" w:rsidRPr="00162ACE">
        <w:rPr>
          <w:rFonts w:ascii="Times New Roman" w:hAnsi="Times New Roman" w:cs="Times New Roman"/>
          <w:sz w:val="24"/>
          <w:szCs w:val="24"/>
        </w:rPr>
        <w:t xml:space="preserve"> su</w:t>
      </w:r>
      <w:r w:rsidR="00FE3920" w:rsidRPr="00162ACE">
        <w:rPr>
          <w:rFonts w:ascii="Times New Roman" w:hAnsi="Times New Roman" w:cs="Times New Roman"/>
          <w:sz w:val="24"/>
          <w:szCs w:val="24"/>
        </w:rPr>
        <w:t xml:space="preserve"> perfil socio-demográfico</w:t>
      </w:r>
      <w:r w:rsidR="009A6765" w:rsidRPr="00162ACE">
        <w:rPr>
          <w:rFonts w:ascii="Times New Roman" w:hAnsi="Times New Roman" w:cs="Times New Roman"/>
          <w:sz w:val="24"/>
          <w:szCs w:val="24"/>
        </w:rPr>
        <w:t xml:space="preserve">. </w:t>
      </w:r>
      <w:r w:rsidR="00FE3920" w:rsidRPr="00162ACE">
        <w:rPr>
          <w:rFonts w:ascii="Times New Roman" w:hAnsi="Times New Roman" w:cs="Times New Roman"/>
          <w:sz w:val="24"/>
          <w:szCs w:val="24"/>
        </w:rPr>
        <w:t>Dentro de</w:t>
      </w:r>
      <w:r w:rsidR="00687AE0" w:rsidRPr="00162ACE">
        <w:rPr>
          <w:rFonts w:ascii="Times New Roman" w:hAnsi="Times New Roman" w:cs="Times New Roman"/>
          <w:sz w:val="24"/>
          <w:szCs w:val="24"/>
        </w:rPr>
        <w:t xml:space="preserve"> los mismos</w:t>
      </w:r>
      <w:r w:rsidR="009A6765" w:rsidRPr="00162ACE">
        <w:rPr>
          <w:rFonts w:ascii="Times New Roman" w:hAnsi="Times New Roman" w:cs="Times New Roman"/>
          <w:sz w:val="24"/>
          <w:szCs w:val="24"/>
        </w:rPr>
        <w:t xml:space="preserve">, se sortearon 58 </w:t>
      </w:r>
      <w:r w:rsidR="00687AE0" w:rsidRPr="00162ACE">
        <w:rPr>
          <w:rFonts w:ascii="Times New Roman" w:hAnsi="Times New Roman" w:cs="Times New Roman"/>
          <w:sz w:val="24"/>
          <w:szCs w:val="24"/>
        </w:rPr>
        <w:t>secciones</w:t>
      </w:r>
      <w:r w:rsidR="009A6765" w:rsidRPr="00162ACE">
        <w:rPr>
          <w:rFonts w:ascii="Times New Roman" w:hAnsi="Times New Roman" w:cs="Times New Roman"/>
          <w:sz w:val="24"/>
          <w:szCs w:val="24"/>
        </w:rPr>
        <w:t xml:space="preserve"> censales</w:t>
      </w:r>
      <w:r w:rsidR="00745114" w:rsidRPr="00162ACE">
        <w:rPr>
          <w:rFonts w:ascii="Times New Roman" w:hAnsi="Times New Roman" w:cs="Times New Roman"/>
          <w:sz w:val="24"/>
          <w:szCs w:val="24"/>
        </w:rPr>
        <w:t xml:space="preserve"> definidas por el Instituto Nacional de Estadística</w:t>
      </w:r>
      <w:r w:rsidR="009A6765" w:rsidRPr="00162ACE">
        <w:rPr>
          <w:rFonts w:ascii="Times New Roman" w:hAnsi="Times New Roman" w:cs="Times New Roman"/>
          <w:sz w:val="24"/>
          <w:szCs w:val="24"/>
        </w:rPr>
        <w:t xml:space="preserve"> (equivalentes aproximados a una manzana cada una). </w:t>
      </w:r>
      <w:r w:rsidR="00181C0A" w:rsidRPr="00162ACE">
        <w:rPr>
          <w:rFonts w:ascii="Times New Roman" w:hAnsi="Times New Roman" w:cs="Times New Roman"/>
          <w:sz w:val="24"/>
          <w:szCs w:val="24"/>
        </w:rPr>
        <w:t xml:space="preserve">En cada sección censal se aplicó el protocolo a </w:t>
      </w:r>
      <w:r w:rsidR="00745114" w:rsidRPr="00162ACE">
        <w:rPr>
          <w:rFonts w:ascii="Times New Roman" w:hAnsi="Times New Roman" w:cs="Times New Roman"/>
          <w:sz w:val="24"/>
          <w:szCs w:val="24"/>
        </w:rPr>
        <w:t>cuatro</w:t>
      </w:r>
      <w:r w:rsidR="00C27307" w:rsidRPr="00162ACE">
        <w:rPr>
          <w:rFonts w:ascii="Times New Roman" w:hAnsi="Times New Roman" w:cs="Times New Roman"/>
          <w:sz w:val="24"/>
          <w:szCs w:val="24"/>
        </w:rPr>
        <w:t xml:space="preserve"> </w:t>
      </w:r>
      <w:r w:rsidR="00973928" w:rsidRPr="00162ACE">
        <w:rPr>
          <w:rFonts w:ascii="Times New Roman" w:hAnsi="Times New Roman" w:cs="Times New Roman"/>
          <w:sz w:val="24"/>
          <w:szCs w:val="24"/>
        </w:rPr>
        <w:t>participantes</w:t>
      </w:r>
      <w:r w:rsidR="00181C0A" w:rsidRPr="00162ACE">
        <w:rPr>
          <w:rFonts w:ascii="Times New Roman" w:hAnsi="Times New Roman" w:cs="Times New Roman"/>
          <w:sz w:val="24"/>
          <w:szCs w:val="24"/>
        </w:rPr>
        <w:t xml:space="preserve"> de forma individual, en </w:t>
      </w:r>
      <w:r w:rsidR="00973928" w:rsidRPr="00162ACE">
        <w:rPr>
          <w:rFonts w:ascii="Times New Roman" w:hAnsi="Times New Roman" w:cs="Times New Roman"/>
          <w:sz w:val="24"/>
          <w:szCs w:val="24"/>
        </w:rPr>
        <w:t>sus</w:t>
      </w:r>
      <w:r w:rsidR="00C27307" w:rsidRPr="00162ACE">
        <w:rPr>
          <w:rFonts w:ascii="Times New Roman" w:hAnsi="Times New Roman" w:cs="Times New Roman"/>
          <w:sz w:val="24"/>
          <w:szCs w:val="24"/>
        </w:rPr>
        <w:t xml:space="preserve"> </w:t>
      </w:r>
      <w:r w:rsidR="009A6765" w:rsidRPr="00162ACE">
        <w:rPr>
          <w:rFonts w:ascii="Times New Roman" w:hAnsi="Times New Roman" w:cs="Times New Roman"/>
          <w:sz w:val="24"/>
          <w:szCs w:val="24"/>
        </w:rPr>
        <w:t>domicilios, previa firma del Consentimiento Informado</w:t>
      </w:r>
      <w:r w:rsidR="00973928" w:rsidRPr="00162ACE">
        <w:rPr>
          <w:rFonts w:ascii="Times New Roman" w:hAnsi="Times New Roman" w:cs="Times New Roman"/>
          <w:sz w:val="24"/>
          <w:szCs w:val="24"/>
        </w:rPr>
        <w:t xml:space="preserve"> aprobado por el Comité de Ética de la Facultad de Psicología-UdelaR</w:t>
      </w:r>
      <w:r w:rsidR="009A6765" w:rsidRPr="00162ACE">
        <w:rPr>
          <w:rFonts w:ascii="Times New Roman" w:hAnsi="Times New Roman" w:cs="Times New Roman"/>
          <w:sz w:val="24"/>
          <w:szCs w:val="24"/>
        </w:rPr>
        <w:t>.  No hubo compensación económica o de otro tipo.</w:t>
      </w:r>
    </w:p>
    <w:p w14:paraId="7F7DDFEC" w14:textId="4B2AEED1" w:rsidR="00181C0A" w:rsidRPr="00162ACE" w:rsidRDefault="00181C0A" w:rsidP="00162ACE">
      <w:pPr>
        <w:spacing w:line="480" w:lineRule="auto"/>
        <w:ind w:firstLine="708"/>
        <w:rPr>
          <w:rFonts w:ascii="Times New Roman" w:hAnsi="Times New Roman" w:cs="Times New Roman"/>
          <w:sz w:val="24"/>
          <w:szCs w:val="24"/>
        </w:rPr>
      </w:pPr>
      <w:r w:rsidRPr="00162ACE">
        <w:rPr>
          <w:rFonts w:ascii="Times New Roman" w:hAnsi="Times New Roman" w:cs="Times New Roman"/>
          <w:sz w:val="24"/>
          <w:szCs w:val="24"/>
        </w:rPr>
        <w:t xml:space="preserve">Para la recolección de datos primero se visitó los </w:t>
      </w:r>
      <w:r w:rsidR="009A6765" w:rsidRPr="00162ACE">
        <w:rPr>
          <w:rFonts w:ascii="Times New Roman" w:hAnsi="Times New Roman" w:cs="Times New Roman"/>
          <w:sz w:val="24"/>
          <w:szCs w:val="24"/>
        </w:rPr>
        <w:t>domicilios de los potenciales participant</w:t>
      </w:r>
      <w:r w:rsidRPr="00162ACE">
        <w:rPr>
          <w:rFonts w:ascii="Times New Roman" w:hAnsi="Times New Roman" w:cs="Times New Roman"/>
          <w:sz w:val="24"/>
          <w:szCs w:val="24"/>
        </w:rPr>
        <w:t xml:space="preserve">es </w:t>
      </w:r>
      <w:r w:rsidR="00973928" w:rsidRPr="00162ACE">
        <w:rPr>
          <w:rFonts w:ascii="Times New Roman" w:hAnsi="Times New Roman" w:cs="Times New Roman"/>
          <w:sz w:val="24"/>
          <w:szCs w:val="24"/>
        </w:rPr>
        <w:t>comenzando desde una esquina de la manzana sorteada (</w:t>
      </w:r>
      <w:r w:rsidR="003B6C99">
        <w:rPr>
          <w:rFonts w:ascii="Times New Roman" w:hAnsi="Times New Roman" w:cs="Times New Roman"/>
          <w:sz w:val="24"/>
          <w:szCs w:val="24"/>
        </w:rPr>
        <w:t>t</w:t>
      </w:r>
      <w:r w:rsidR="00973928" w:rsidRPr="00162ACE">
        <w:rPr>
          <w:rFonts w:ascii="Times New Roman" w:hAnsi="Times New Roman" w:cs="Times New Roman"/>
          <w:sz w:val="24"/>
          <w:szCs w:val="24"/>
        </w:rPr>
        <w:t>itular). S</w:t>
      </w:r>
      <w:r w:rsidRPr="00162ACE">
        <w:rPr>
          <w:rFonts w:ascii="Times New Roman" w:hAnsi="Times New Roman" w:cs="Times New Roman"/>
          <w:sz w:val="24"/>
          <w:szCs w:val="24"/>
        </w:rPr>
        <w:t>e visitaba a</w:t>
      </w:r>
      <w:r w:rsidR="009A6765" w:rsidRPr="00162ACE">
        <w:rPr>
          <w:rFonts w:ascii="Times New Roman" w:hAnsi="Times New Roman" w:cs="Times New Roman"/>
          <w:sz w:val="24"/>
          <w:szCs w:val="24"/>
        </w:rPr>
        <w:t xml:space="preserve"> todos los domicilios en sentido horario</w:t>
      </w:r>
      <w:r w:rsidR="00763200" w:rsidRPr="00162ACE">
        <w:rPr>
          <w:rFonts w:ascii="Times New Roman" w:hAnsi="Times New Roman" w:cs="Times New Roman"/>
          <w:sz w:val="24"/>
          <w:szCs w:val="24"/>
        </w:rPr>
        <w:t xml:space="preserve">, hasta </w:t>
      </w:r>
      <w:r w:rsidR="00745114" w:rsidRPr="00162ACE">
        <w:rPr>
          <w:rFonts w:ascii="Times New Roman" w:hAnsi="Times New Roman" w:cs="Times New Roman"/>
          <w:sz w:val="24"/>
          <w:szCs w:val="24"/>
        </w:rPr>
        <w:t>obtenerlos cuatro cuestionarios completados</w:t>
      </w:r>
      <w:r w:rsidRPr="00162ACE">
        <w:rPr>
          <w:rFonts w:ascii="Times New Roman" w:hAnsi="Times New Roman" w:cs="Times New Roman"/>
          <w:sz w:val="24"/>
          <w:szCs w:val="24"/>
        </w:rPr>
        <w:t>.</w:t>
      </w:r>
      <w:r w:rsidR="00763200" w:rsidRPr="00162ACE">
        <w:rPr>
          <w:rFonts w:ascii="Times New Roman" w:hAnsi="Times New Roman" w:cs="Times New Roman"/>
          <w:sz w:val="24"/>
          <w:szCs w:val="24"/>
        </w:rPr>
        <w:t xml:space="preserve"> En caso de no </w:t>
      </w:r>
      <w:r w:rsidR="00745114" w:rsidRPr="00162ACE">
        <w:rPr>
          <w:rFonts w:ascii="Times New Roman" w:hAnsi="Times New Roman" w:cs="Times New Roman"/>
          <w:sz w:val="24"/>
          <w:szCs w:val="24"/>
        </w:rPr>
        <w:t>llegar a estos cuatro</w:t>
      </w:r>
      <w:r w:rsidR="00C27307" w:rsidRPr="00162ACE">
        <w:rPr>
          <w:rFonts w:ascii="Times New Roman" w:hAnsi="Times New Roman" w:cs="Times New Roman"/>
          <w:sz w:val="24"/>
          <w:szCs w:val="24"/>
        </w:rPr>
        <w:t xml:space="preserve"> </w:t>
      </w:r>
      <w:r w:rsidR="00745114" w:rsidRPr="00162ACE">
        <w:rPr>
          <w:rFonts w:ascii="Times New Roman" w:hAnsi="Times New Roman" w:cs="Times New Roman"/>
          <w:sz w:val="24"/>
          <w:szCs w:val="24"/>
        </w:rPr>
        <w:t xml:space="preserve">cuestionarios </w:t>
      </w:r>
      <w:r w:rsidR="00763200" w:rsidRPr="00162ACE">
        <w:rPr>
          <w:rFonts w:ascii="Times New Roman" w:hAnsi="Times New Roman" w:cs="Times New Roman"/>
          <w:sz w:val="24"/>
          <w:szCs w:val="24"/>
        </w:rPr>
        <w:t>en l</w:t>
      </w:r>
      <w:r w:rsidRPr="00162ACE">
        <w:rPr>
          <w:rFonts w:ascii="Times New Roman" w:hAnsi="Times New Roman" w:cs="Times New Roman"/>
          <w:sz w:val="24"/>
          <w:szCs w:val="24"/>
        </w:rPr>
        <w:t>a manzana sorteada, se realizaba el mismo procedimiento en las</w:t>
      </w:r>
      <w:r w:rsidR="00763200" w:rsidRPr="00162ACE">
        <w:rPr>
          <w:rFonts w:ascii="Times New Roman" w:hAnsi="Times New Roman" w:cs="Times New Roman"/>
          <w:sz w:val="24"/>
          <w:szCs w:val="24"/>
        </w:rPr>
        <w:t xml:space="preserve"> manzanas aledañas (</w:t>
      </w:r>
      <w:r w:rsidR="00973928" w:rsidRPr="00162ACE">
        <w:rPr>
          <w:rFonts w:ascii="Times New Roman" w:hAnsi="Times New Roman" w:cs="Times New Roman"/>
          <w:sz w:val="24"/>
          <w:szCs w:val="24"/>
        </w:rPr>
        <w:t>Suplentes) a la sorteada</w:t>
      </w:r>
      <w:r w:rsidR="00763200" w:rsidRPr="00162ACE">
        <w:rPr>
          <w:rFonts w:ascii="Times New Roman" w:hAnsi="Times New Roman" w:cs="Times New Roman"/>
          <w:sz w:val="24"/>
          <w:szCs w:val="24"/>
        </w:rPr>
        <w:t xml:space="preserve">, </w:t>
      </w:r>
      <w:r w:rsidR="008B437C" w:rsidRPr="00162ACE">
        <w:rPr>
          <w:rFonts w:ascii="Times New Roman" w:hAnsi="Times New Roman" w:cs="Times New Roman"/>
          <w:sz w:val="24"/>
          <w:szCs w:val="24"/>
        </w:rPr>
        <w:t>hasta completar</w:t>
      </w:r>
      <w:r w:rsidRPr="00162ACE">
        <w:rPr>
          <w:rFonts w:ascii="Times New Roman" w:hAnsi="Times New Roman" w:cs="Times New Roman"/>
          <w:sz w:val="24"/>
          <w:szCs w:val="24"/>
        </w:rPr>
        <w:t xml:space="preserve"> los </w:t>
      </w:r>
      <w:r w:rsidR="00973928" w:rsidRPr="00162ACE">
        <w:rPr>
          <w:rFonts w:ascii="Times New Roman" w:hAnsi="Times New Roman" w:cs="Times New Roman"/>
          <w:sz w:val="24"/>
          <w:szCs w:val="24"/>
        </w:rPr>
        <w:t>cuatro participantes</w:t>
      </w:r>
      <w:r w:rsidRPr="00162ACE">
        <w:rPr>
          <w:rFonts w:ascii="Times New Roman" w:hAnsi="Times New Roman" w:cs="Times New Roman"/>
          <w:sz w:val="24"/>
          <w:szCs w:val="24"/>
        </w:rPr>
        <w:t xml:space="preserve"> necesarios.</w:t>
      </w:r>
    </w:p>
    <w:p w14:paraId="1B0465CF" w14:textId="77777777" w:rsidR="00DD14BB" w:rsidRPr="00162ACE" w:rsidRDefault="00BA6952" w:rsidP="00162ACE">
      <w:pPr>
        <w:spacing w:line="480" w:lineRule="auto"/>
        <w:ind w:firstLine="708"/>
        <w:rPr>
          <w:rFonts w:ascii="Times New Roman" w:hAnsi="Times New Roman" w:cs="Times New Roman"/>
          <w:sz w:val="24"/>
          <w:szCs w:val="24"/>
        </w:rPr>
      </w:pPr>
      <w:r w:rsidRPr="00162ACE">
        <w:rPr>
          <w:rFonts w:ascii="Times New Roman" w:hAnsi="Times New Roman" w:cs="Times New Roman"/>
          <w:sz w:val="24"/>
          <w:szCs w:val="24"/>
        </w:rPr>
        <w:t xml:space="preserve">Los participantes que </w:t>
      </w:r>
      <w:r w:rsidR="00D4689B" w:rsidRPr="00162ACE">
        <w:rPr>
          <w:rFonts w:ascii="Times New Roman" w:hAnsi="Times New Roman" w:cs="Times New Roman"/>
          <w:sz w:val="24"/>
          <w:szCs w:val="24"/>
        </w:rPr>
        <w:t>accedían</w:t>
      </w:r>
      <w:r w:rsidRPr="00162ACE">
        <w:rPr>
          <w:rFonts w:ascii="Times New Roman" w:hAnsi="Times New Roman" w:cs="Times New Roman"/>
          <w:sz w:val="24"/>
          <w:szCs w:val="24"/>
        </w:rPr>
        <w:t xml:space="preserve"> a participar firmaban el consentimiento informado y se les aplicaba de forma oral el Cuest</w:t>
      </w:r>
      <w:r w:rsidR="00DD14BB" w:rsidRPr="00162ACE">
        <w:rPr>
          <w:rFonts w:ascii="Times New Roman" w:hAnsi="Times New Roman" w:cs="Times New Roman"/>
          <w:sz w:val="24"/>
          <w:szCs w:val="24"/>
        </w:rPr>
        <w:t>ionario Sociodemográfico Ad-hoc y</w:t>
      </w:r>
      <w:r w:rsidRPr="00162ACE">
        <w:rPr>
          <w:rFonts w:ascii="Times New Roman" w:hAnsi="Times New Roman" w:cs="Times New Roman"/>
          <w:sz w:val="24"/>
          <w:szCs w:val="24"/>
        </w:rPr>
        <w:t xml:space="preserve"> Cuestionario de C</w:t>
      </w:r>
      <w:r w:rsidR="00DD14BB" w:rsidRPr="00162ACE">
        <w:rPr>
          <w:rFonts w:ascii="Times New Roman" w:hAnsi="Times New Roman" w:cs="Times New Roman"/>
          <w:sz w:val="24"/>
          <w:szCs w:val="24"/>
        </w:rPr>
        <w:t>onsumo de Sustancias Ad-hoc</w:t>
      </w:r>
      <w:r w:rsidRPr="00162ACE">
        <w:rPr>
          <w:rFonts w:ascii="Times New Roman" w:hAnsi="Times New Roman" w:cs="Times New Roman"/>
          <w:sz w:val="24"/>
          <w:szCs w:val="24"/>
        </w:rPr>
        <w:t xml:space="preserve">. Posteriormente se les entregaba la </w:t>
      </w:r>
      <w:r w:rsidR="00DD14BB" w:rsidRPr="00162ACE">
        <w:rPr>
          <w:rFonts w:ascii="Times New Roman" w:hAnsi="Times New Roman" w:cs="Times New Roman"/>
          <w:sz w:val="24"/>
          <w:szCs w:val="24"/>
        </w:rPr>
        <w:t>E</w:t>
      </w:r>
      <w:r w:rsidRPr="00162ACE">
        <w:rPr>
          <w:rFonts w:ascii="Times New Roman" w:hAnsi="Times New Roman" w:cs="Times New Roman"/>
          <w:sz w:val="24"/>
          <w:szCs w:val="24"/>
        </w:rPr>
        <w:t>scala CFC-14 para que lo completaran</w:t>
      </w:r>
      <w:r w:rsidR="00DD14BB" w:rsidRPr="00162ACE">
        <w:rPr>
          <w:rFonts w:ascii="Times New Roman" w:hAnsi="Times New Roman" w:cs="Times New Roman"/>
          <w:sz w:val="24"/>
          <w:szCs w:val="24"/>
        </w:rPr>
        <w:t>,</w:t>
      </w:r>
      <w:r w:rsidRPr="00162ACE">
        <w:rPr>
          <w:rFonts w:ascii="Times New Roman" w:hAnsi="Times New Roman" w:cs="Times New Roman"/>
          <w:sz w:val="24"/>
          <w:szCs w:val="24"/>
        </w:rPr>
        <w:t xml:space="preserve"> y en un plazo no mayor a 24 horas se pasaba a retirar el Protocolo completo (en ese la</w:t>
      </w:r>
      <w:r w:rsidR="00745114" w:rsidRPr="00162ACE">
        <w:rPr>
          <w:rFonts w:ascii="Times New Roman" w:hAnsi="Times New Roman" w:cs="Times New Roman"/>
          <w:sz w:val="24"/>
          <w:szCs w:val="24"/>
        </w:rPr>
        <w:t>pso se visitaba otros domicilio, repitiendo el procedimiento descrito).  Al retirarse el p</w:t>
      </w:r>
      <w:r w:rsidRPr="00162ACE">
        <w:rPr>
          <w:rFonts w:ascii="Times New Roman" w:hAnsi="Times New Roman" w:cs="Times New Roman"/>
          <w:sz w:val="24"/>
          <w:szCs w:val="24"/>
        </w:rPr>
        <w:t xml:space="preserve">rotocolo completo se verificaba que no hubiera campos sin completar. </w:t>
      </w:r>
      <w:r w:rsidR="00FE3920" w:rsidRPr="00162ACE">
        <w:rPr>
          <w:rFonts w:ascii="Times New Roman" w:hAnsi="Times New Roman" w:cs="Times New Roman"/>
          <w:sz w:val="24"/>
          <w:szCs w:val="24"/>
        </w:rPr>
        <w:t xml:space="preserve">Las razones de </w:t>
      </w:r>
      <w:r w:rsidR="00FE3920" w:rsidRPr="00162ACE">
        <w:rPr>
          <w:rFonts w:ascii="Times New Roman" w:hAnsi="Times New Roman" w:cs="Times New Roman"/>
          <w:sz w:val="24"/>
          <w:szCs w:val="24"/>
        </w:rPr>
        <w:lastRenderedPageBreak/>
        <w:t xml:space="preserve">rechazo más frecuentes fueron ausencia de personas en el hogar o imposibilidad de completarlo. </w:t>
      </w:r>
    </w:p>
    <w:p w14:paraId="12C28075" w14:textId="77777777" w:rsidR="00A02D8C" w:rsidRPr="00162ACE" w:rsidRDefault="007A1B67" w:rsidP="00162ACE">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Tratamiento de los datos</w:t>
      </w:r>
    </w:p>
    <w:p w14:paraId="4AC6BC34" w14:textId="77777777" w:rsidR="00745114" w:rsidRPr="00162ACE" w:rsidRDefault="007A1B67" w:rsidP="00162ACE">
      <w:pPr>
        <w:spacing w:line="480" w:lineRule="auto"/>
        <w:ind w:firstLine="708"/>
        <w:rPr>
          <w:rFonts w:ascii="Times New Roman" w:hAnsi="Times New Roman" w:cs="Times New Roman"/>
          <w:sz w:val="24"/>
          <w:szCs w:val="24"/>
          <w:u w:val="single"/>
        </w:rPr>
      </w:pPr>
      <w:r w:rsidRPr="00162ACE">
        <w:rPr>
          <w:rFonts w:ascii="Times New Roman" w:hAnsi="Times New Roman" w:cs="Times New Roman"/>
          <w:sz w:val="24"/>
          <w:szCs w:val="24"/>
        </w:rPr>
        <w:t>Se realizó un análisis de valores extremos multivariados mediante el cálculo de la distancia de Mahalanobis, por el cual se excluyeron 10 participantes que presentaban una probabilidad de D</w:t>
      </w:r>
      <w:r w:rsidRPr="00162ACE">
        <w:rPr>
          <w:rFonts w:ascii="Times New Roman" w:hAnsi="Times New Roman" w:cs="Times New Roman"/>
          <w:sz w:val="24"/>
          <w:szCs w:val="24"/>
          <w:vertAlign w:val="superscript"/>
        </w:rPr>
        <w:t>2</w:t>
      </w:r>
      <w:r w:rsidRPr="00162ACE">
        <w:rPr>
          <w:rFonts w:ascii="Times New Roman" w:hAnsi="Times New Roman" w:cs="Times New Roman"/>
          <w:sz w:val="24"/>
          <w:szCs w:val="24"/>
        </w:rPr>
        <w:t>&lt; a 0,01. También fueron eliminadas las respuestas de nueve participantes, por repetir 10 o más veces la misma respuesta consecutiva.</w:t>
      </w:r>
    </w:p>
    <w:p w14:paraId="452EFD78" w14:textId="77777777" w:rsidR="007A1B67" w:rsidRPr="00162ACE" w:rsidRDefault="007A1B67" w:rsidP="00162ACE">
      <w:pPr>
        <w:spacing w:line="480" w:lineRule="auto"/>
        <w:ind w:firstLine="709"/>
        <w:jc w:val="center"/>
        <w:rPr>
          <w:rFonts w:ascii="Times New Roman" w:hAnsi="Times New Roman" w:cs="Times New Roman"/>
          <w:b/>
          <w:sz w:val="24"/>
          <w:szCs w:val="24"/>
        </w:rPr>
      </w:pPr>
      <w:r w:rsidRPr="00162ACE">
        <w:rPr>
          <w:rFonts w:ascii="Times New Roman" w:hAnsi="Times New Roman" w:cs="Times New Roman"/>
          <w:b/>
          <w:sz w:val="24"/>
          <w:szCs w:val="24"/>
        </w:rPr>
        <w:t>Resultados</w:t>
      </w:r>
    </w:p>
    <w:p w14:paraId="36BEB19F" w14:textId="77777777" w:rsidR="007A1B67" w:rsidRPr="00162ACE" w:rsidRDefault="007A1B67" w:rsidP="00162ACE">
      <w:pPr>
        <w:spacing w:after="200" w:line="480" w:lineRule="auto"/>
        <w:rPr>
          <w:rFonts w:ascii="Times New Roman" w:hAnsi="Times New Roman" w:cs="Times New Roman"/>
          <w:i/>
          <w:sz w:val="24"/>
          <w:szCs w:val="24"/>
        </w:rPr>
      </w:pPr>
      <w:r w:rsidRPr="00162ACE">
        <w:rPr>
          <w:rFonts w:ascii="Times New Roman" w:hAnsi="Times New Roman" w:cs="Times New Roman"/>
          <w:i/>
          <w:sz w:val="24"/>
          <w:szCs w:val="24"/>
        </w:rPr>
        <w:t>Estadísticos descriptivos y análisis de consistencia interna</w:t>
      </w:r>
    </w:p>
    <w:p w14:paraId="4CB0F01C" w14:textId="77777777" w:rsidR="007A1B67" w:rsidRPr="00162ACE" w:rsidRDefault="00FC514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En la Tabla 2</w:t>
      </w:r>
      <w:r w:rsidR="007A1B67" w:rsidRPr="00162ACE">
        <w:rPr>
          <w:rFonts w:ascii="Times New Roman" w:hAnsi="Times New Roman" w:cs="Times New Roman"/>
          <w:sz w:val="24"/>
          <w:szCs w:val="24"/>
        </w:rPr>
        <w:t xml:space="preserve"> se presentan los resultados descriptivos y las correlaciones inter-ítem</w:t>
      </w:r>
      <w:r w:rsidR="00973928" w:rsidRPr="00162ACE">
        <w:rPr>
          <w:rFonts w:ascii="Times New Roman" w:hAnsi="Times New Roman" w:cs="Times New Roman"/>
          <w:sz w:val="24"/>
          <w:szCs w:val="24"/>
        </w:rPr>
        <w:t xml:space="preserve"> de</w:t>
      </w:r>
      <w:r w:rsidR="002E0472" w:rsidRPr="00162ACE">
        <w:rPr>
          <w:rFonts w:ascii="Times New Roman" w:hAnsi="Times New Roman" w:cs="Times New Roman"/>
          <w:sz w:val="24"/>
          <w:szCs w:val="24"/>
        </w:rPr>
        <w:t xml:space="preserve"> la </w:t>
      </w:r>
      <w:r w:rsidR="00DD14BB" w:rsidRPr="00162ACE">
        <w:rPr>
          <w:rFonts w:ascii="Times New Roman" w:hAnsi="Times New Roman" w:cs="Times New Roman"/>
          <w:sz w:val="24"/>
          <w:szCs w:val="24"/>
        </w:rPr>
        <w:t>E</w:t>
      </w:r>
      <w:r w:rsidR="007A1B67" w:rsidRPr="00162ACE">
        <w:rPr>
          <w:rFonts w:ascii="Times New Roman" w:hAnsi="Times New Roman" w:cs="Times New Roman"/>
          <w:sz w:val="24"/>
          <w:szCs w:val="24"/>
        </w:rPr>
        <w:t>scala CFC. No se obse</w:t>
      </w:r>
      <w:r w:rsidR="00D1615E" w:rsidRPr="00162ACE">
        <w:rPr>
          <w:rFonts w:ascii="Times New Roman" w:hAnsi="Times New Roman" w:cs="Times New Roman"/>
          <w:sz w:val="24"/>
          <w:szCs w:val="24"/>
        </w:rPr>
        <w:t>rvan distorsiones graves en la c</w:t>
      </w:r>
      <w:r w:rsidR="007A1B67" w:rsidRPr="00162ACE">
        <w:rPr>
          <w:rFonts w:ascii="Times New Roman" w:hAnsi="Times New Roman" w:cs="Times New Roman"/>
          <w:sz w:val="24"/>
          <w:szCs w:val="24"/>
        </w:rPr>
        <w:t>urtosis y simetría. Cabe aclarar que se utilizó todo el rango de respuesta likert en los 14 ítems.</w:t>
      </w:r>
    </w:p>
    <w:p w14:paraId="3AF849B9" w14:textId="77777777" w:rsidR="00E74185" w:rsidRPr="00162ACE" w:rsidRDefault="00E74185" w:rsidP="00162ACE">
      <w:pPr>
        <w:spacing w:line="480" w:lineRule="auto"/>
        <w:ind w:firstLine="709"/>
        <w:rPr>
          <w:rFonts w:ascii="Times New Roman" w:hAnsi="Times New Roman" w:cs="Times New Roman"/>
          <w:color w:val="000000"/>
          <w:sz w:val="24"/>
          <w:szCs w:val="24"/>
        </w:rPr>
      </w:pPr>
      <w:r w:rsidRPr="00162ACE">
        <w:rPr>
          <w:rFonts w:ascii="Times New Roman" w:hAnsi="Times New Roman" w:cs="Times New Roman"/>
          <w:sz w:val="24"/>
          <w:szCs w:val="24"/>
        </w:rPr>
        <w:t>El alfa de Cronbach para la escala CFC-I es de 0,66; el ítem 5 es el único que cuando se elimina provoca suba en el alfa (0,67). La confiabilidad total de CFC-F es de 0,61; en este caso si algún ítem es eliminado la misma desciende. La media de correlación inter-ítem de CFC-I es de 0,22. El ítem 5 es el que presenta menor correlación con los ítems de esta subescala, la media de correlación inter-ítem aumenta 0,03 si dicho ítem es eliminado. La media de correlación i</w:t>
      </w:r>
      <w:r w:rsidRPr="00162ACE">
        <w:rPr>
          <w:rFonts w:ascii="Times New Roman" w:hAnsi="Times New Roman" w:cs="Times New Roman"/>
          <w:color w:val="000000"/>
          <w:sz w:val="24"/>
          <w:szCs w:val="24"/>
        </w:rPr>
        <w:t xml:space="preserve">nter-ítem de CFC-F es de 0,19. </w:t>
      </w:r>
    </w:p>
    <w:p w14:paraId="62311918" w14:textId="77777777" w:rsidR="00A02D8C" w:rsidRPr="00162ACE" w:rsidRDefault="00A02D8C" w:rsidP="00162ACE">
      <w:pPr>
        <w:spacing w:line="480" w:lineRule="auto"/>
        <w:rPr>
          <w:rFonts w:ascii="Times New Roman" w:eastAsia="Calibri" w:hAnsi="Times New Roman" w:cs="Times New Roman"/>
          <w:sz w:val="24"/>
          <w:szCs w:val="24"/>
        </w:rPr>
        <w:sectPr w:rsidR="00A02D8C" w:rsidRPr="00162ACE" w:rsidSect="007A1B67">
          <w:headerReference w:type="default" r:id="rId8"/>
          <w:footerReference w:type="default" r:id="rId9"/>
          <w:headerReference w:type="first" r:id="rId10"/>
          <w:pgSz w:w="11906" w:h="16838"/>
          <w:pgMar w:top="1440" w:right="1440" w:bottom="1440" w:left="1440" w:header="708" w:footer="708" w:gutter="0"/>
          <w:cols w:space="708"/>
          <w:titlePg/>
          <w:docGrid w:linePitch="360"/>
        </w:sectPr>
      </w:pPr>
    </w:p>
    <w:p w14:paraId="109C9439" w14:textId="77777777" w:rsidR="00A02D8C" w:rsidRPr="00162ACE" w:rsidRDefault="00A02D8C"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lastRenderedPageBreak/>
        <w:t>Tabla 2</w:t>
      </w:r>
    </w:p>
    <w:p w14:paraId="61EF14C3" w14:textId="77777777" w:rsidR="007A1B67" w:rsidRPr="00162ACE" w:rsidRDefault="00973928" w:rsidP="00162ACE">
      <w:pPr>
        <w:tabs>
          <w:tab w:val="left" w:pos="7033"/>
        </w:tabs>
        <w:autoSpaceDE w:val="0"/>
        <w:autoSpaceDN w:val="0"/>
        <w:adjustRightInd w:val="0"/>
        <w:spacing w:after="0" w:line="360" w:lineRule="auto"/>
        <w:rPr>
          <w:rFonts w:ascii="Times New Roman" w:hAnsi="Times New Roman" w:cs="Times New Roman"/>
          <w:i/>
          <w:sz w:val="24"/>
          <w:szCs w:val="24"/>
        </w:rPr>
      </w:pPr>
      <w:r w:rsidRPr="00162ACE">
        <w:rPr>
          <w:rFonts w:ascii="Times New Roman" w:hAnsi="Times New Roman" w:cs="Times New Roman"/>
          <w:i/>
          <w:sz w:val="24"/>
          <w:szCs w:val="24"/>
        </w:rPr>
        <w:t>Estadísticos</w:t>
      </w:r>
      <w:r w:rsidR="00A02D8C" w:rsidRPr="00162ACE">
        <w:rPr>
          <w:rFonts w:ascii="Times New Roman" w:hAnsi="Times New Roman" w:cs="Times New Roman"/>
          <w:i/>
          <w:sz w:val="24"/>
          <w:szCs w:val="24"/>
        </w:rPr>
        <w:t xml:space="preserve"> descriptivos de los ítems de la escala CFC-14 y correlaciones inter-ítem</w:t>
      </w:r>
      <w:r w:rsidR="00A02D8C" w:rsidRPr="00162ACE">
        <w:rPr>
          <w:rFonts w:ascii="Times New Roman" w:hAnsi="Times New Roman" w:cs="Times New Roman"/>
          <w:i/>
          <w:sz w:val="24"/>
          <w:szCs w:val="24"/>
        </w:rPr>
        <w:tab/>
      </w:r>
    </w:p>
    <w:p w14:paraId="2BFC76AD" w14:textId="77777777" w:rsidR="00A02D8C" w:rsidRPr="00162ACE" w:rsidRDefault="00A02D8C" w:rsidP="00162ACE">
      <w:pPr>
        <w:tabs>
          <w:tab w:val="left" w:pos="7033"/>
        </w:tabs>
        <w:autoSpaceDE w:val="0"/>
        <w:autoSpaceDN w:val="0"/>
        <w:adjustRightInd w:val="0"/>
        <w:spacing w:after="0" w:line="360" w:lineRule="auto"/>
        <w:rPr>
          <w:rFonts w:ascii="Times New Roman" w:hAnsi="Times New Roman" w:cs="Times New Roman"/>
          <w:i/>
          <w:sz w:val="24"/>
          <w:szCs w:val="24"/>
        </w:rPr>
      </w:pPr>
    </w:p>
    <w:tbl>
      <w:tblPr>
        <w:tblW w:w="4966" w:type="pct"/>
        <w:tblCellMar>
          <w:left w:w="30" w:type="dxa"/>
          <w:right w:w="30" w:type="dxa"/>
        </w:tblCellMar>
        <w:tblLook w:val="0000" w:firstRow="0" w:lastRow="0" w:firstColumn="0" w:lastColumn="0" w:noHBand="0" w:noVBand="0"/>
      </w:tblPr>
      <w:tblGrid>
        <w:gridCol w:w="1338"/>
        <w:gridCol w:w="665"/>
        <w:gridCol w:w="1336"/>
        <w:gridCol w:w="665"/>
        <w:gridCol w:w="666"/>
        <w:gridCol w:w="666"/>
        <w:gridCol w:w="666"/>
        <w:gridCol w:w="666"/>
        <w:gridCol w:w="666"/>
        <w:gridCol w:w="810"/>
        <w:gridCol w:w="666"/>
        <w:gridCol w:w="671"/>
        <w:gridCol w:w="666"/>
        <w:gridCol w:w="810"/>
        <w:gridCol w:w="666"/>
        <w:gridCol w:w="671"/>
        <w:gridCol w:w="785"/>
        <w:gridCol w:w="844"/>
      </w:tblGrid>
      <w:tr w:rsidR="00A02D8C" w:rsidRPr="00162ACE" w14:paraId="7F7278C4" w14:textId="77777777" w:rsidTr="00DC37EA">
        <w:trPr>
          <w:trHeight w:val="364"/>
        </w:trPr>
        <w:tc>
          <w:tcPr>
            <w:tcW w:w="481" w:type="pct"/>
            <w:tcBorders>
              <w:top w:val="single" w:sz="4" w:space="0" w:color="auto"/>
              <w:bottom w:val="single" w:sz="4" w:space="0" w:color="auto"/>
            </w:tcBorders>
          </w:tcPr>
          <w:p w14:paraId="0F618BA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Ítems</w:t>
            </w:r>
          </w:p>
        </w:tc>
        <w:tc>
          <w:tcPr>
            <w:tcW w:w="239" w:type="pct"/>
            <w:tcBorders>
              <w:top w:val="single" w:sz="4" w:space="0" w:color="auto"/>
              <w:bottom w:val="single" w:sz="4" w:space="0" w:color="auto"/>
            </w:tcBorders>
          </w:tcPr>
          <w:p w14:paraId="2C37B0C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M</w:t>
            </w:r>
          </w:p>
        </w:tc>
        <w:tc>
          <w:tcPr>
            <w:tcW w:w="480" w:type="pct"/>
            <w:tcBorders>
              <w:top w:val="single" w:sz="4" w:space="0" w:color="auto"/>
              <w:bottom w:val="single" w:sz="4" w:space="0" w:color="auto"/>
            </w:tcBorders>
          </w:tcPr>
          <w:p w14:paraId="6F86A39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DT</w:t>
            </w:r>
          </w:p>
        </w:tc>
        <w:tc>
          <w:tcPr>
            <w:tcW w:w="239" w:type="pct"/>
            <w:tcBorders>
              <w:top w:val="single" w:sz="4" w:space="0" w:color="auto"/>
              <w:bottom w:val="single" w:sz="4" w:space="0" w:color="auto"/>
            </w:tcBorders>
            <w:shd w:val="solid" w:color="FFFFFF" w:fill="auto"/>
          </w:tcPr>
          <w:p w14:paraId="1B3E4F5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As</w:t>
            </w:r>
          </w:p>
        </w:tc>
        <w:tc>
          <w:tcPr>
            <w:tcW w:w="239" w:type="pct"/>
            <w:tcBorders>
              <w:top w:val="single" w:sz="4" w:space="0" w:color="auto"/>
              <w:bottom w:val="single" w:sz="4" w:space="0" w:color="auto"/>
            </w:tcBorders>
            <w:shd w:val="solid" w:color="FFFFFF" w:fill="auto"/>
          </w:tcPr>
          <w:p w14:paraId="4075954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Cu</w:t>
            </w:r>
          </w:p>
        </w:tc>
        <w:tc>
          <w:tcPr>
            <w:tcW w:w="239" w:type="pct"/>
            <w:tcBorders>
              <w:top w:val="single" w:sz="4" w:space="0" w:color="auto"/>
              <w:bottom w:val="single" w:sz="4" w:space="0" w:color="auto"/>
            </w:tcBorders>
          </w:tcPr>
          <w:p w14:paraId="79ED20E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w:t>
            </w:r>
          </w:p>
        </w:tc>
        <w:tc>
          <w:tcPr>
            <w:tcW w:w="239" w:type="pct"/>
            <w:tcBorders>
              <w:top w:val="single" w:sz="4" w:space="0" w:color="auto"/>
              <w:bottom w:val="single" w:sz="4" w:space="0" w:color="auto"/>
            </w:tcBorders>
          </w:tcPr>
          <w:p w14:paraId="19153DA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w:t>
            </w:r>
          </w:p>
        </w:tc>
        <w:tc>
          <w:tcPr>
            <w:tcW w:w="239" w:type="pct"/>
            <w:tcBorders>
              <w:top w:val="single" w:sz="4" w:space="0" w:color="auto"/>
              <w:bottom w:val="single" w:sz="4" w:space="0" w:color="auto"/>
            </w:tcBorders>
          </w:tcPr>
          <w:p w14:paraId="5EEA040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w:t>
            </w:r>
          </w:p>
        </w:tc>
        <w:tc>
          <w:tcPr>
            <w:tcW w:w="239" w:type="pct"/>
            <w:tcBorders>
              <w:top w:val="single" w:sz="4" w:space="0" w:color="auto"/>
              <w:bottom w:val="single" w:sz="4" w:space="0" w:color="auto"/>
            </w:tcBorders>
          </w:tcPr>
          <w:p w14:paraId="52A8953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w:t>
            </w:r>
          </w:p>
        </w:tc>
        <w:tc>
          <w:tcPr>
            <w:tcW w:w="291" w:type="pct"/>
            <w:tcBorders>
              <w:top w:val="single" w:sz="4" w:space="0" w:color="auto"/>
              <w:bottom w:val="single" w:sz="4" w:space="0" w:color="auto"/>
            </w:tcBorders>
          </w:tcPr>
          <w:p w14:paraId="2872678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6</w:t>
            </w:r>
          </w:p>
        </w:tc>
        <w:tc>
          <w:tcPr>
            <w:tcW w:w="239" w:type="pct"/>
            <w:tcBorders>
              <w:top w:val="single" w:sz="4" w:space="0" w:color="auto"/>
              <w:bottom w:val="single" w:sz="4" w:space="0" w:color="auto"/>
            </w:tcBorders>
          </w:tcPr>
          <w:p w14:paraId="47FA977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7</w:t>
            </w:r>
          </w:p>
        </w:tc>
        <w:tc>
          <w:tcPr>
            <w:tcW w:w="241" w:type="pct"/>
            <w:tcBorders>
              <w:top w:val="single" w:sz="4" w:space="0" w:color="auto"/>
              <w:bottom w:val="single" w:sz="4" w:space="0" w:color="auto"/>
            </w:tcBorders>
          </w:tcPr>
          <w:p w14:paraId="73924A0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8</w:t>
            </w:r>
          </w:p>
        </w:tc>
        <w:tc>
          <w:tcPr>
            <w:tcW w:w="239" w:type="pct"/>
            <w:tcBorders>
              <w:top w:val="single" w:sz="4" w:space="0" w:color="auto"/>
              <w:bottom w:val="single" w:sz="4" w:space="0" w:color="auto"/>
            </w:tcBorders>
          </w:tcPr>
          <w:p w14:paraId="4E2F1AE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9</w:t>
            </w:r>
          </w:p>
        </w:tc>
        <w:tc>
          <w:tcPr>
            <w:tcW w:w="291" w:type="pct"/>
            <w:tcBorders>
              <w:top w:val="single" w:sz="4" w:space="0" w:color="auto"/>
              <w:bottom w:val="single" w:sz="4" w:space="0" w:color="auto"/>
            </w:tcBorders>
          </w:tcPr>
          <w:p w14:paraId="0026FAE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10</w:t>
            </w:r>
          </w:p>
        </w:tc>
        <w:tc>
          <w:tcPr>
            <w:tcW w:w="239" w:type="pct"/>
            <w:tcBorders>
              <w:top w:val="single" w:sz="4" w:space="0" w:color="auto"/>
              <w:bottom w:val="single" w:sz="4" w:space="0" w:color="auto"/>
            </w:tcBorders>
          </w:tcPr>
          <w:p w14:paraId="7273A57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11</w:t>
            </w:r>
          </w:p>
        </w:tc>
        <w:tc>
          <w:tcPr>
            <w:tcW w:w="241" w:type="pct"/>
            <w:tcBorders>
              <w:top w:val="single" w:sz="4" w:space="0" w:color="auto"/>
              <w:bottom w:val="single" w:sz="4" w:space="0" w:color="auto"/>
            </w:tcBorders>
          </w:tcPr>
          <w:p w14:paraId="599EA4C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12</w:t>
            </w:r>
          </w:p>
        </w:tc>
        <w:tc>
          <w:tcPr>
            <w:tcW w:w="282" w:type="pct"/>
            <w:tcBorders>
              <w:top w:val="single" w:sz="4" w:space="0" w:color="auto"/>
              <w:bottom w:val="single" w:sz="4" w:space="0" w:color="auto"/>
            </w:tcBorders>
          </w:tcPr>
          <w:p w14:paraId="3623A46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13</w:t>
            </w:r>
          </w:p>
        </w:tc>
        <w:tc>
          <w:tcPr>
            <w:tcW w:w="301" w:type="pct"/>
            <w:tcBorders>
              <w:top w:val="single" w:sz="4" w:space="0" w:color="auto"/>
              <w:bottom w:val="single" w:sz="4" w:space="0" w:color="auto"/>
            </w:tcBorders>
          </w:tcPr>
          <w:p w14:paraId="1067F6C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14</w:t>
            </w:r>
          </w:p>
        </w:tc>
      </w:tr>
      <w:tr w:rsidR="00A02D8C" w:rsidRPr="00162ACE" w14:paraId="62922E5D" w14:textId="77777777" w:rsidTr="00DC37EA">
        <w:trPr>
          <w:trHeight w:val="364"/>
        </w:trPr>
        <w:tc>
          <w:tcPr>
            <w:tcW w:w="481" w:type="pct"/>
            <w:tcBorders>
              <w:top w:val="single" w:sz="4" w:space="0" w:color="auto"/>
            </w:tcBorders>
            <w:shd w:val="solid" w:color="FFFFFF" w:fill="auto"/>
          </w:tcPr>
          <w:p w14:paraId="659006E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 Ítem 1</w:t>
            </w:r>
          </w:p>
        </w:tc>
        <w:tc>
          <w:tcPr>
            <w:tcW w:w="239" w:type="pct"/>
            <w:tcBorders>
              <w:top w:val="single" w:sz="4" w:space="0" w:color="auto"/>
            </w:tcBorders>
            <w:shd w:val="solid" w:color="FFFFFF" w:fill="auto"/>
          </w:tcPr>
          <w:p w14:paraId="616627D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5,35</w:t>
            </w:r>
          </w:p>
        </w:tc>
        <w:tc>
          <w:tcPr>
            <w:tcW w:w="480" w:type="pct"/>
            <w:tcBorders>
              <w:top w:val="single" w:sz="4" w:space="0" w:color="auto"/>
            </w:tcBorders>
            <w:shd w:val="solid" w:color="FFFFFF" w:fill="auto"/>
          </w:tcPr>
          <w:p w14:paraId="2712F4A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1,77</w:t>
            </w:r>
          </w:p>
        </w:tc>
        <w:tc>
          <w:tcPr>
            <w:tcW w:w="239" w:type="pct"/>
            <w:tcBorders>
              <w:top w:val="single" w:sz="4" w:space="0" w:color="auto"/>
            </w:tcBorders>
            <w:shd w:val="solid" w:color="FFFFFF" w:fill="auto"/>
          </w:tcPr>
          <w:p w14:paraId="1D3FFE6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-1,11</w:t>
            </w:r>
          </w:p>
        </w:tc>
        <w:tc>
          <w:tcPr>
            <w:tcW w:w="239" w:type="pct"/>
            <w:tcBorders>
              <w:top w:val="single" w:sz="4" w:space="0" w:color="auto"/>
            </w:tcBorders>
            <w:shd w:val="solid" w:color="FFFFFF" w:fill="auto"/>
          </w:tcPr>
          <w:p w14:paraId="3B0EE86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0,39</w:t>
            </w:r>
          </w:p>
        </w:tc>
        <w:tc>
          <w:tcPr>
            <w:tcW w:w="239" w:type="pct"/>
            <w:tcBorders>
              <w:top w:val="single" w:sz="4" w:space="0" w:color="auto"/>
            </w:tcBorders>
            <w:shd w:val="solid" w:color="FFFFFF" w:fill="auto"/>
          </w:tcPr>
          <w:p w14:paraId="45F628A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0,20</w:t>
            </w:r>
          </w:p>
        </w:tc>
        <w:tc>
          <w:tcPr>
            <w:tcW w:w="239" w:type="pct"/>
            <w:tcBorders>
              <w:top w:val="single" w:sz="4" w:space="0" w:color="auto"/>
            </w:tcBorders>
            <w:shd w:val="solid" w:color="FFFFFF" w:fill="auto"/>
          </w:tcPr>
          <w:p w14:paraId="0F82973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-0,15</w:t>
            </w:r>
          </w:p>
        </w:tc>
        <w:tc>
          <w:tcPr>
            <w:tcW w:w="239" w:type="pct"/>
            <w:tcBorders>
              <w:top w:val="single" w:sz="4" w:space="0" w:color="auto"/>
            </w:tcBorders>
            <w:shd w:val="solid" w:color="FFFFFF" w:fill="auto"/>
          </w:tcPr>
          <w:p w14:paraId="1FEEE4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239" w:type="pct"/>
            <w:tcBorders>
              <w:top w:val="single" w:sz="4" w:space="0" w:color="auto"/>
            </w:tcBorders>
            <w:shd w:val="solid" w:color="FFFFFF" w:fill="auto"/>
          </w:tcPr>
          <w:p w14:paraId="2ABA46D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91" w:type="pct"/>
            <w:tcBorders>
              <w:top w:val="single" w:sz="4" w:space="0" w:color="auto"/>
            </w:tcBorders>
            <w:shd w:val="solid" w:color="FFFFFF" w:fill="auto"/>
          </w:tcPr>
          <w:p w14:paraId="473C047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0,20</w:t>
            </w:r>
          </w:p>
        </w:tc>
        <w:tc>
          <w:tcPr>
            <w:tcW w:w="239" w:type="pct"/>
            <w:tcBorders>
              <w:top w:val="single" w:sz="4" w:space="0" w:color="auto"/>
            </w:tcBorders>
            <w:shd w:val="solid" w:color="FFFFFF" w:fill="auto"/>
          </w:tcPr>
          <w:p w14:paraId="64840DB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c>
          <w:tcPr>
            <w:tcW w:w="241" w:type="pct"/>
            <w:tcBorders>
              <w:top w:val="single" w:sz="4" w:space="0" w:color="auto"/>
            </w:tcBorders>
            <w:shd w:val="solid" w:color="FFFFFF" w:fill="auto"/>
          </w:tcPr>
          <w:p w14:paraId="390F001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0,23</w:t>
            </w:r>
          </w:p>
        </w:tc>
        <w:tc>
          <w:tcPr>
            <w:tcW w:w="239" w:type="pct"/>
            <w:tcBorders>
              <w:top w:val="single" w:sz="4" w:space="0" w:color="auto"/>
            </w:tcBorders>
            <w:shd w:val="solid" w:color="FFFFFF" w:fill="auto"/>
          </w:tcPr>
          <w:p w14:paraId="0F827D2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91" w:type="pct"/>
            <w:tcBorders>
              <w:top w:val="single" w:sz="4" w:space="0" w:color="auto"/>
            </w:tcBorders>
            <w:shd w:val="solid" w:color="FFFFFF" w:fill="auto"/>
          </w:tcPr>
          <w:p w14:paraId="1C08B12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39" w:type="pct"/>
            <w:tcBorders>
              <w:top w:val="single" w:sz="4" w:space="0" w:color="auto"/>
            </w:tcBorders>
            <w:shd w:val="solid" w:color="FFFFFF" w:fill="auto"/>
          </w:tcPr>
          <w:p w14:paraId="14816A3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41" w:type="pct"/>
            <w:tcBorders>
              <w:top w:val="single" w:sz="4" w:space="0" w:color="auto"/>
            </w:tcBorders>
            <w:shd w:val="solid" w:color="FFFFFF" w:fill="auto"/>
          </w:tcPr>
          <w:p w14:paraId="43D528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82" w:type="pct"/>
            <w:tcBorders>
              <w:top w:val="single" w:sz="4" w:space="0" w:color="auto"/>
            </w:tcBorders>
            <w:shd w:val="solid" w:color="FFFFFF" w:fill="auto"/>
          </w:tcPr>
          <w:p w14:paraId="637928F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0,24</w:t>
            </w:r>
          </w:p>
        </w:tc>
        <w:tc>
          <w:tcPr>
            <w:tcW w:w="301" w:type="pct"/>
            <w:tcBorders>
              <w:top w:val="single" w:sz="4" w:space="0" w:color="auto"/>
            </w:tcBorders>
            <w:shd w:val="solid" w:color="FFFFFF" w:fill="auto"/>
          </w:tcPr>
          <w:p w14:paraId="3A2618C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0,18</w:t>
            </w:r>
          </w:p>
        </w:tc>
      </w:tr>
      <w:tr w:rsidR="00A02D8C" w:rsidRPr="00162ACE" w14:paraId="5BB6DF19" w14:textId="77777777" w:rsidTr="00DC37EA">
        <w:trPr>
          <w:trHeight w:val="364"/>
        </w:trPr>
        <w:tc>
          <w:tcPr>
            <w:tcW w:w="481" w:type="pct"/>
            <w:shd w:val="solid" w:color="FFFFFF" w:fill="auto"/>
          </w:tcPr>
          <w:p w14:paraId="1D0980F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 Ítem 2</w:t>
            </w:r>
          </w:p>
        </w:tc>
        <w:tc>
          <w:tcPr>
            <w:tcW w:w="239" w:type="pct"/>
            <w:shd w:val="solid" w:color="FFFFFF" w:fill="auto"/>
          </w:tcPr>
          <w:p w14:paraId="10A5AC7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3,97</w:t>
            </w:r>
          </w:p>
        </w:tc>
        <w:tc>
          <w:tcPr>
            <w:tcW w:w="480" w:type="pct"/>
            <w:shd w:val="solid" w:color="FFFFFF" w:fill="auto"/>
          </w:tcPr>
          <w:p w14:paraId="3ED6538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2,14</w:t>
            </w:r>
          </w:p>
        </w:tc>
        <w:tc>
          <w:tcPr>
            <w:tcW w:w="239" w:type="pct"/>
            <w:shd w:val="solid" w:color="FFFFFF" w:fill="auto"/>
          </w:tcPr>
          <w:p w14:paraId="3F4F5D6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c>
          <w:tcPr>
            <w:tcW w:w="239" w:type="pct"/>
            <w:shd w:val="solid" w:color="FFFFFF" w:fill="auto"/>
          </w:tcPr>
          <w:p w14:paraId="62BE04F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-1,37</w:t>
            </w:r>
          </w:p>
        </w:tc>
        <w:tc>
          <w:tcPr>
            <w:tcW w:w="239" w:type="pct"/>
            <w:shd w:val="solid" w:color="FFFFFF" w:fill="auto"/>
          </w:tcPr>
          <w:p w14:paraId="2ED15072" w14:textId="77777777" w:rsidR="00A02D8C" w:rsidRPr="00162ACE" w:rsidRDefault="00A02D8C" w:rsidP="00162ACE">
            <w:pPr>
              <w:autoSpaceDE w:val="0"/>
              <w:autoSpaceDN w:val="0"/>
              <w:adjustRightInd w:val="0"/>
              <w:spacing w:after="0" w:line="360" w:lineRule="auto"/>
              <w:rPr>
                <w:rFonts w:ascii="Times New Roman" w:eastAsia="Calibri" w:hAnsi="Times New Roman" w:cs="Times New Roman"/>
                <w:color w:val="000000"/>
                <w:sz w:val="24"/>
                <w:szCs w:val="24"/>
                <w:lang w:eastAsia="es-UY"/>
              </w:rPr>
            </w:pPr>
          </w:p>
        </w:tc>
        <w:tc>
          <w:tcPr>
            <w:tcW w:w="239" w:type="pct"/>
            <w:shd w:val="solid" w:color="FFFFFF" w:fill="auto"/>
          </w:tcPr>
          <w:p w14:paraId="2F0801A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39" w:type="pct"/>
            <w:shd w:val="solid" w:color="FFFFFF" w:fill="auto"/>
          </w:tcPr>
          <w:p w14:paraId="61342E2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-0,05</w:t>
            </w:r>
          </w:p>
        </w:tc>
        <w:tc>
          <w:tcPr>
            <w:tcW w:w="239" w:type="pct"/>
            <w:shd w:val="solid" w:color="FFFFFF" w:fill="auto"/>
          </w:tcPr>
          <w:p w14:paraId="29DB306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-0,05</w:t>
            </w:r>
          </w:p>
        </w:tc>
        <w:tc>
          <w:tcPr>
            <w:tcW w:w="291" w:type="pct"/>
            <w:shd w:val="solid" w:color="FFFFFF" w:fill="auto"/>
          </w:tcPr>
          <w:p w14:paraId="58DD065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0,25</w:t>
            </w:r>
          </w:p>
        </w:tc>
        <w:tc>
          <w:tcPr>
            <w:tcW w:w="239" w:type="pct"/>
            <w:shd w:val="solid" w:color="FFFFFF" w:fill="auto"/>
          </w:tcPr>
          <w:p w14:paraId="3249C59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0,11</w:t>
            </w:r>
          </w:p>
        </w:tc>
        <w:tc>
          <w:tcPr>
            <w:tcW w:w="241" w:type="pct"/>
            <w:shd w:val="solid" w:color="FFFFFF" w:fill="auto"/>
          </w:tcPr>
          <w:p w14:paraId="532D5D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39" w:type="pct"/>
            <w:shd w:val="solid" w:color="FFFFFF" w:fill="auto"/>
          </w:tcPr>
          <w:p w14:paraId="0E5CCA8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91" w:type="pct"/>
            <w:shd w:val="solid" w:color="FFFFFF" w:fill="auto"/>
          </w:tcPr>
          <w:p w14:paraId="18D2CA4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-0,19</w:t>
            </w:r>
          </w:p>
        </w:tc>
        <w:tc>
          <w:tcPr>
            <w:tcW w:w="239" w:type="pct"/>
            <w:shd w:val="solid" w:color="FFFFFF" w:fill="auto"/>
          </w:tcPr>
          <w:p w14:paraId="69A6DDD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41" w:type="pct"/>
            <w:shd w:val="solid" w:color="FFFFFF" w:fill="auto"/>
          </w:tcPr>
          <w:p w14:paraId="41991EA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-0,23</w:t>
            </w:r>
          </w:p>
        </w:tc>
        <w:tc>
          <w:tcPr>
            <w:tcW w:w="282" w:type="pct"/>
            <w:shd w:val="solid" w:color="FFFFFF" w:fill="auto"/>
          </w:tcPr>
          <w:p w14:paraId="2A38CFB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0,10</w:t>
            </w:r>
          </w:p>
        </w:tc>
        <w:tc>
          <w:tcPr>
            <w:tcW w:w="301" w:type="pct"/>
            <w:shd w:val="solid" w:color="FFFFFF" w:fill="auto"/>
          </w:tcPr>
          <w:p w14:paraId="6084A4E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r>
      <w:tr w:rsidR="00A02D8C" w:rsidRPr="00162ACE" w14:paraId="2E85DB80" w14:textId="77777777" w:rsidTr="00DC37EA">
        <w:trPr>
          <w:trHeight w:val="364"/>
        </w:trPr>
        <w:tc>
          <w:tcPr>
            <w:tcW w:w="481" w:type="pct"/>
            <w:shd w:val="solid" w:color="FFFFFF" w:fill="auto"/>
          </w:tcPr>
          <w:p w14:paraId="1199B03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 Ítem 3</w:t>
            </w:r>
          </w:p>
        </w:tc>
        <w:tc>
          <w:tcPr>
            <w:tcW w:w="239" w:type="pct"/>
            <w:shd w:val="solid" w:color="FFFFFF" w:fill="auto"/>
          </w:tcPr>
          <w:p w14:paraId="500A7B5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2,61</w:t>
            </w:r>
          </w:p>
        </w:tc>
        <w:tc>
          <w:tcPr>
            <w:tcW w:w="480" w:type="pct"/>
            <w:shd w:val="solid" w:color="FFFFFF" w:fill="auto"/>
          </w:tcPr>
          <w:p w14:paraId="3D2B4D8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1,98</w:t>
            </w:r>
          </w:p>
        </w:tc>
        <w:tc>
          <w:tcPr>
            <w:tcW w:w="239" w:type="pct"/>
            <w:shd w:val="solid" w:color="FFFFFF" w:fill="auto"/>
          </w:tcPr>
          <w:p w14:paraId="414A8E2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0,92</w:t>
            </w:r>
          </w:p>
        </w:tc>
        <w:tc>
          <w:tcPr>
            <w:tcW w:w="239" w:type="pct"/>
            <w:shd w:val="solid" w:color="FFFFFF" w:fill="auto"/>
          </w:tcPr>
          <w:p w14:paraId="643C8B5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-0,48</w:t>
            </w:r>
          </w:p>
        </w:tc>
        <w:tc>
          <w:tcPr>
            <w:tcW w:w="239" w:type="pct"/>
            <w:shd w:val="solid" w:color="FFFFFF" w:fill="auto"/>
          </w:tcPr>
          <w:p w14:paraId="01BB722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0F166C2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A3FD9E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0,62</w:t>
            </w:r>
          </w:p>
        </w:tc>
        <w:tc>
          <w:tcPr>
            <w:tcW w:w="239" w:type="pct"/>
            <w:shd w:val="solid" w:color="FFFFFF" w:fill="auto"/>
          </w:tcPr>
          <w:p w14:paraId="2E984E1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0,24</w:t>
            </w:r>
          </w:p>
        </w:tc>
        <w:tc>
          <w:tcPr>
            <w:tcW w:w="291" w:type="pct"/>
            <w:shd w:val="solid" w:color="FFFFFF" w:fill="auto"/>
          </w:tcPr>
          <w:p w14:paraId="23F7840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39" w:type="pct"/>
            <w:shd w:val="solid" w:color="FFFFFF" w:fill="auto"/>
          </w:tcPr>
          <w:p w14:paraId="699177B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c>
          <w:tcPr>
            <w:tcW w:w="241" w:type="pct"/>
            <w:shd w:val="solid" w:color="FFFFFF" w:fill="auto"/>
          </w:tcPr>
          <w:p w14:paraId="0CAB23B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c>
          <w:tcPr>
            <w:tcW w:w="239" w:type="pct"/>
            <w:shd w:val="solid" w:color="FFFFFF" w:fill="auto"/>
          </w:tcPr>
          <w:p w14:paraId="1C85003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91" w:type="pct"/>
            <w:shd w:val="solid" w:color="FFFFFF" w:fill="auto"/>
          </w:tcPr>
          <w:p w14:paraId="3565F95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39" w:type="pct"/>
            <w:shd w:val="solid" w:color="FFFFFF" w:fill="auto"/>
          </w:tcPr>
          <w:p w14:paraId="241AB99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0,33</w:t>
            </w:r>
          </w:p>
        </w:tc>
        <w:tc>
          <w:tcPr>
            <w:tcW w:w="241" w:type="pct"/>
            <w:shd w:val="solid" w:color="FFFFFF" w:fill="auto"/>
          </w:tcPr>
          <w:p w14:paraId="304EF14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282" w:type="pct"/>
            <w:shd w:val="solid" w:color="FFFFFF" w:fill="auto"/>
          </w:tcPr>
          <w:p w14:paraId="5F8A402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301" w:type="pct"/>
            <w:shd w:val="solid" w:color="FFFFFF" w:fill="auto"/>
          </w:tcPr>
          <w:p w14:paraId="55CCD7F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r>
      <w:tr w:rsidR="00A02D8C" w:rsidRPr="00162ACE" w14:paraId="59E3F8E5" w14:textId="77777777" w:rsidTr="00DC37EA">
        <w:trPr>
          <w:trHeight w:val="364"/>
        </w:trPr>
        <w:tc>
          <w:tcPr>
            <w:tcW w:w="481" w:type="pct"/>
            <w:shd w:val="solid" w:color="FFFFFF" w:fill="auto"/>
          </w:tcPr>
          <w:p w14:paraId="60427CE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 Ítem 4</w:t>
            </w:r>
          </w:p>
        </w:tc>
        <w:tc>
          <w:tcPr>
            <w:tcW w:w="239" w:type="pct"/>
            <w:shd w:val="solid" w:color="FFFFFF" w:fill="auto"/>
          </w:tcPr>
          <w:p w14:paraId="71BE03E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2,57</w:t>
            </w:r>
          </w:p>
        </w:tc>
        <w:tc>
          <w:tcPr>
            <w:tcW w:w="480" w:type="pct"/>
            <w:shd w:val="solid" w:color="FFFFFF" w:fill="auto"/>
          </w:tcPr>
          <w:p w14:paraId="21A997C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2,00</w:t>
            </w:r>
          </w:p>
        </w:tc>
        <w:tc>
          <w:tcPr>
            <w:tcW w:w="239" w:type="pct"/>
            <w:shd w:val="solid" w:color="FFFFFF" w:fill="auto"/>
          </w:tcPr>
          <w:p w14:paraId="023090B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1,01</w:t>
            </w:r>
          </w:p>
        </w:tc>
        <w:tc>
          <w:tcPr>
            <w:tcW w:w="239" w:type="pct"/>
            <w:shd w:val="solid" w:color="FFFFFF" w:fill="auto"/>
          </w:tcPr>
          <w:p w14:paraId="1C2CE47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-0,39</w:t>
            </w:r>
          </w:p>
        </w:tc>
        <w:tc>
          <w:tcPr>
            <w:tcW w:w="239" w:type="pct"/>
            <w:shd w:val="solid" w:color="FFFFFF" w:fill="auto"/>
          </w:tcPr>
          <w:p w14:paraId="0145B29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9E0A03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96F76F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7434836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0,25</w:t>
            </w:r>
          </w:p>
        </w:tc>
        <w:tc>
          <w:tcPr>
            <w:tcW w:w="291" w:type="pct"/>
            <w:shd w:val="solid" w:color="FFFFFF" w:fill="auto"/>
          </w:tcPr>
          <w:p w14:paraId="1DA1E8C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39" w:type="pct"/>
            <w:shd w:val="solid" w:color="FFFFFF" w:fill="auto"/>
          </w:tcPr>
          <w:p w14:paraId="676CC6F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-0,15</w:t>
            </w:r>
          </w:p>
        </w:tc>
        <w:tc>
          <w:tcPr>
            <w:tcW w:w="241" w:type="pct"/>
            <w:shd w:val="solid" w:color="FFFFFF" w:fill="auto"/>
          </w:tcPr>
          <w:p w14:paraId="531A621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39" w:type="pct"/>
            <w:shd w:val="solid" w:color="FFFFFF" w:fill="auto"/>
          </w:tcPr>
          <w:p w14:paraId="36324DE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0,12</w:t>
            </w:r>
          </w:p>
        </w:tc>
        <w:tc>
          <w:tcPr>
            <w:tcW w:w="291" w:type="pct"/>
            <w:shd w:val="solid" w:color="FFFFFF" w:fill="auto"/>
          </w:tcPr>
          <w:p w14:paraId="42E32AD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0,19</w:t>
            </w:r>
          </w:p>
        </w:tc>
        <w:tc>
          <w:tcPr>
            <w:tcW w:w="239" w:type="pct"/>
            <w:shd w:val="solid" w:color="FFFFFF" w:fill="auto"/>
          </w:tcPr>
          <w:p w14:paraId="1FEFACD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0,27</w:t>
            </w:r>
          </w:p>
        </w:tc>
        <w:tc>
          <w:tcPr>
            <w:tcW w:w="241" w:type="pct"/>
            <w:shd w:val="solid" w:color="FFFFFF" w:fill="auto"/>
          </w:tcPr>
          <w:p w14:paraId="48C5633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82" w:type="pct"/>
            <w:shd w:val="solid" w:color="FFFFFF" w:fill="auto"/>
          </w:tcPr>
          <w:p w14:paraId="577BB23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301" w:type="pct"/>
            <w:shd w:val="solid" w:color="FFFFFF" w:fill="auto"/>
          </w:tcPr>
          <w:p w14:paraId="3F707FC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r>
      <w:tr w:rsidR="00A02D8C" w:rsidRPr="00162ACE" w14:paraId="2275829D" w14:textId="77777777" w:rsidTr="00DC37EA">
        <w:trPr>
          <w:trHeight w:val="364"/>
        </w:trPr>
        <w:tc>
          <w:tcPr>
            <w:tcW w:w="481" w:type="pct"/>
            <w:shd w:val="solid" w:color="FFFFFF" w:fill="auto"/>
          </w:tcPr>
          <w:p w14:paraId="19D05B1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 Ítem 5</w:t>
            </w:r>
          </w:p>
        </w:tc>
        <w:tc>
          <w:tcPr>
            <w:tcW w:w="239" w:type="pct"/>
            <w:shd w:val="solid" w:color="FFFFFF" w:fill="auto"/>
          </w:tcPr>
          <w:p w14:paraId="6943121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4,33</w:t>
            </w:r>
          </w:p>
        </w:tc>
        <w:tc>
          <w:tcPr>
            <w:tcW w:w="480" w:type="pct"/>
            <w:shd w:val="solid" w:color="FFFFFF" w:fill="auto"/>
          </w:tcPr>
          <w:p w14:paraId="4D18DD0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2,15</w:t>
            </w:r>
          </w:p>
        </w:tc>
        <w:tc>
          <w:tcPr>
            <w:tcW w:w="239" w:type="pct"/>
            <w:shd w:val="solid" w:color="FFFFFF" w:fill="auto"/>
          </w:tcPr>
          <w:p w14:paraId="4DE55BD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-0,29</w:t>
            </w:r>
          </w:p>
        </w:tc>
        <w:tc>
          <w:tcPr>
            <w:tcW w:w="239" w:type="pct"/>
            <w:shd w:val="solid" w:color="FFFFFF" w:fill="auto"/>
          </w:tcPr>
          <w:p w14:paraId="73014DA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-1,21</w:t>
            </w:r>
          </w:p>
        </w:tc>
        <w:tc>
          <w:tcPr>
            <w:tcW w:w="239" w:type="pct"/>
            <w:shd w:val="solid" w:color="FFFFFF" w:fill="auto"/>
          </w:tcPr>
          <w:p w14:paraId="140DC86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FCD05A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75FD94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31E3B9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59E1442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239" w:type="pct"/>
            <w:shd w:val="solid" w:color="FFFFFF" w:fill="auto"/>
          </w:tcPr>
          <w:p w14:paraId="31FFA73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41" w:type="pct"/>
            <w:shd w:val="solid" w:color="FFFFFF" w:fill="auto"/>
          </w:tcPr>
          <w:p w14:paraId="37BFB5A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39" w:type="pct"/>
            <w:shd w:val="solid" w:color="FFFFFF" w:fill="auto"/>
          </w:tcPr>
          <w:p w14:paraId="50A900D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91" w:type="pct"/>
            <w:shd w:val="solid" w:color="FFFFFF" w:fill="auto"/>
          </w:tcPr>
          <w:p w14:paraId="7E91256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0,05</w:t>
            </w:r>
          </w:p>
        </w:tc>
        <w:tc>
          <w:tcPr>
            <w:tcW w:w="239" w:type="pct"/>
            <w:shd w:val="solid" w:color="FFFFFF" w:fill="auto"/>
          </w:tcPr>
          <w:p w14:paraId="21547AD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41" w:type="pct"/>
            <w:shd w:val="solid" w:color="FFFFFF" w:fill="auto"/>
          </w:tcPr>
          <w:p w14:paraId="40FA752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82" w:type="pct"/>
            <w:shd w:val="solid" w:color="FFFFFF" w:fill="auto"/>
          </w:tcPr>
          <w:p w14:paraId="636C751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0,11</w:t>
            </w:r>
          </w:p>
        </w:tc>
        <w:tc>
          <w:tcPr>
            <w:tcW w:w="301" w:type="pct"/>
            <w:shd w:val="solid" w:color="FFFFFF" w:fill="auto"/>
          </w:tcPr>
          <w:p w14:paraId="52D3CD3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0,10</w:t>
            </w:r>
          </w:p>
        </w:tc>
      </w:tr>
      <w:tr w:rsidR="00A02D8C" w:rsidRPr="00162ACE" w14:paraId="07DDCFA4" w14:textId="77777777" w:rsidTr="00DC37EA">
        <w:trPr>
          <w:trHeight w:val="364"/>
        </w:trPr>
        <w:tc>
          <w:tcPr>
            <w:tcW w:w="481" w:type="pct"/>
            <w:shd w:val="solid" w:color="FFFFFF" w:fill="auto"/>
          </w:tcPr>
          <w:p w14:paraId="112098A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6. Ítem 6</w:t>
            </w:r>
          </w:p>
        </w:tc>
        <w:tc>
          <w:tcPr>
            <w:tcW w:w="239" w:type="pct"/>
            <w:shd w:val="solid" w:color="FFFFFF" w:fill="auto"/>
          </w:tcPr>
          <w:p w14:paraId="2A8C18E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3,65</w:t>
            </w:r>
          </w:p>
        </w:tc>
        <w:tc>
          <w:tcPr>
            <w:tcW w:w="480" w:type="pct"/>
            <w:shd w:val="solid" w:color="FFFFFF" w:fill="auto"/>
          </w:tcPr>
          <w:p w14:paraId="5BA51E0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2,27</w:t>
            </w:r>
          </w:p>
        </w:tc>
        <w:tc>
          <w:tcPr>
            <w:tcW w:w="239" w:type="pct"/>
            <w:shd w:val="solid" w:color="FFFFFF" w:fill="auto"/>
          </w:tcPr>
          <w:p w14:paraId="687DDBE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239" w:type="pct"/>
            <w:shd w:val="solid" w:color="FFFFFF" w:fill="auto"/>
          </w:tcPr>
          <w:p w14:paraId="3F69A28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-1,47</w:t>
            </w:r>
          </w:p>
        </w:tc>
        <w:tc>
          <w:tcPr>
            <w:tcW w:w="239" w:type="pct"/>
            <w:shd w:val="solid" w:color="FFFFFF" w:fill="auto"/>
          </w:tcPr>
          <w:p w14:paraId="528BFF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FC9A37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591BE1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3363D5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62DCFD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30102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41" w:type="pct"/>
            <w:shd w:val="solid" w:color="FFFFFF" w:fill="auto"/>
          </w:tcPr>
          <w:p w14:paraId="68CACE3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239" w:type="pct"/>
            <w:shd w:val="solid" w:color="FFFFFF" w:fill="auto"/>
          </w:tcPr>
          <w:p w14:paraId="4755A6F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c>
          <w:tcPr>
            <w:tcW w:w="291" w:type="pct"/>
            <w:shd w:val="solid" w:color="FFFFFF" w:fill="auto"/>
          </w:tcPr>
          <w:p w14:paraId="3BF21D4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39" w:type="pct"/>
            <w:shd w:val="solid" w:color="FFFFFF" w:fill="auto"/>
          </w:tcPr>
          <w:p w14:paraId="525B04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c>
          <w:tcPr>
            <w:tcW w:w="241" w:type="pct"/>
            <w:shd w:val="solid" w:color="FFFFFF" w:fill="auto"/>
          </w:tcPr>
          <w:p w14:paraId="08BC90E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82" w:type="pct"/>
            <w:shd w:val="solid" w:color="FFFFFF" w:fill="auto"/>
          </w:tcPr>
          <w:p w14:paraId="450F1A1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301" w:type="pct"/>
            <w:shd w:val="solid" w:color="FFFFFF" w:fill="auto"/>
          </w:tcPr>
          <w:p w14:paraId="6F681AE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r>
      <w:tr w:rsidR="00A02D8C" w:rsidRPr="00162ACE" w14:paraId="7CEC2C35" w14:textId="77777777" w:rsidTr="00DC37EA">
        <w:trPr>
          <w:trHeight w:val="364"/>
        </w:trPr>
        <w:tc>
          <w:tcPr>
            <w:tcW w:w="481" w:type="pct"/>
            <w:shd w:val="solid" w:color="FFFFFF" w:fill="auto"/>
          </w:tcPr>
          <w:p w14:paraId="63737C7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7. Ítem 7</w:t>
            </w:r>
          </w:p>
        </w:tc>
        <w:tc>
          <w:tcPr>
            <w:tcW w:w="239" w:type="pct"/>
            <w:shd w:val="solid" w:color="FFFFFF" w:fill="auto"/>
          </w:tcPr>
          <w:p w14:paraId="607A389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4,84</w:t>
            </w:r>
          </w:p>
        </w:tc>
        <w:tc>
          <w:tcPr>
            <w:tcW w:w="480" w:type="pct"/>
            <w:shd w:val="solid" w:color="FFFFFF" w:fill="auto"/>
          </w:tcPr>
          <w:p w14:paraId="4BDAF45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2,01</w:t>
            </w:r>
          </w:p>
        </w:tc>
        <w:tc>
          <w:tcPr>
            <w:tcW w:w="239" w:type="pct"/>
            <w:shd w:val="solid" w:color="FFFFFF" w:fill="auto"/>
          </w:tcPr>
          <w:p w14:paraId="29DD945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-0,64</w:t>
            </w:r>
          </w:p>
        </w:tc>
        <w:tc>
          <w:tcPr>
            <w:tcW w:w="239" w:type="pct"/>
            <w:shd w:val="solid" w:color="FFFFFF" w:fill="auto"/>
          </w:tcPr>
          <w:p w14:paraId="349181F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-0,78</w:t>
            </w:r>
          </w:p>
        </w:tc>
        <w:tc>
          <w:tcPr>
            <w:tcW w:w="239" w:type="pct"/>
            <w:shd w:val="solid" w:color="FFFFFF" w:fill="auto"/>
          </w:tcPr>
          <w:p w14:paraId="4D3298F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92358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C09201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52110C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308CCCB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496C4C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4707CB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0,37</w:t>
            </w:r>
          </w:p>
        </w:tc>
        <w:tc>
          <w:tcPr>
            <w:tcW w:w="239" w:type="pct"/>
            <w:shd w:val="solid" w:color="FFFFFF" w:fill="auto"/>
          </w:tcPr>
          <w:p w14:paraId="1117CD9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-0,22</w:t>
            </w:r>
          </w:p>
        </w:tc>
        <w:tc>
          <w:tcPr>
            <w:tcW w:w="291" w:type="pct"/>
            <w:shd w:val="solid" w:color="FFFFFF" w:fill="auto"/>
          </w:tcPr>
          <w:p w14:paraId="5936E1A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-0,18</w:t>
            </w:r>
          </w:p>
        </w:tc>
        <w:tc>
          <w:tcPr>
            <w:tcW w:w="239" w:type="pct"/>
            <w:shd w:val="solid" w:color="FFFFFF" w:fill="auto"/>
          </w:tcPr>
          <w:p w14:paraId="297B048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-0,15</w:t>
            </w:r>
          </w:p>
        </w:tc>
        <w:tc>
          <w:tcPr>
            <w:tcW w:w="241" w:type="pct"/>
            <w:shd w:val="solid" w:color="FFFFFF" w:fill="auto"/>
          </w:tcPr>
          <w:p w14:paraId="6F689DF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82" w:type="pct"/>
            <w:shd w:val="solid" w:color="FFFFFF" w:fill="auto"/>
          </w:tcPr>
          <w:p w14:paraId="1B818D3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301" w:type="pct"/>
            <w:shd w:val="solid" w:color="FFFFFF" w:fill="auto"/>
          </w:tcPr>
          <w:p w14:paraId="5413212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r>
      <w:tr w:rsidR="00A02D8C" w:rsidRPr="00162ACE" w14:paraId="7D93C7DD" w14:textId="77777777" w:rsidTr="00DC37EA">
        <w:trPr>
          <w:trHeight w:val="364"/>
        </w:trPr>
        <w:tc>
          <w:tcPr>
            <w:tcW w:w="481" w:type="pct"/>
            <w:shd w:val="solid" w:color="FFFFFF" w:fill="auto"/>
          </w:tcPr>
          <w:p w14:paraId="0B68F94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8. Ítem 8</w:t>
            </w:r>
          </w:p>
        </w:tc>
        <w:tc>
          <w:tcPr>
            <w:tcW w:w="239" w:type="pct"/>
            <w:shd w:val="solid" w:color="FFFFFF" w:fill="auto"/>
          </w:tcPr>
          <w:p w14:paraId="55309ED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5,23</w:t>
            </w:r>
          </w:p>
        </w:tc>
        <w:tc>
          <w:tcPr>
            <w:tcW w:w="480" w:type="pct"/>
            <w:shd w:val="solid" w:color="FFFFFF" w:fill="auto"/>
          </w:tcPr>
          <w:p w14:paraId="454999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1,87</w:t>
            </w:r>
          </w:p>
        </w:tc>
        <w:tc>
          <w:tcPr>
            <w:tcW w:w="239" w:type="pct"/>
            <w:shd w:val="solid" w:color="FFFFFF" w:fill="auto"/>
          </w:tcPr>
          <w:p w14:paraId="338C30D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-0,88</w:t>
            </w:r>
          </w:p>
        </w:tc>
        <w:tc>
          <w:tcPr>
            <w:tcW w:w="239" w:type="pct"/>
            <w:shd w:val="solid" w:color="FFFFFF" w:fill="auto"/>
          </w:tcPr>
          <w:p w14:paraId="24397AB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-0,43</w:t>
            </w:r>
          </w:p>
        </w:tc>
        <w:tc>
          <w:tcPr>
            <w:tcW w:w="239" w:type="pct"/>
            <w:shd w:val="solid" w:color="FFFFFF" w:fill="auto"/>
          </w:tcPr>
          <w:p w14:paraId="4C25D8E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2FF23F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71143D0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307553F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2023D7D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A1D3A0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6E47612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367DE4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-0,12</w:t>
            </w:r>
          </w:p>
        </w:tc>
        <w:tc>
          <w:tcPr>
            <w:tcW w:w="291" w:type="pct"/>
            <w:shd w:val="solid" w:color="FFFFFF" w:fill="auto"/>
          </w:tcPr>
          <w:p w14:paraId="02C6347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c>
          <w:tcPr>
            <w:tcW w:w="239" w:type="pct"/>
            <w:shd w:val="solid" w:color="FFFFFF" w:fill="auto"/>
          </w:tcPr>
          <w:p w14:paraId="08D76C5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c>
          <w:tcPr>
            <w:tcW w:w="241" w:type="pct"/>
            <w:shd w:val="solid" w:color="FFFFFF" w:fill="auto"/>
          </w:tcPr>
          <w:p w14:paraId="4B63CE1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82" w:type="pct"/>
            <w:shd w:val="solid" w:color="FFFFFF" w:fill="auto"/>
          </w:tcPr>
          <w:p w14:paraId="4EE58D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301" w:type="pct"/>
            <w:shd w:val="solid" w:color="FFFFFF" w:fill="auto"/>
          </w:tcPr>
          <w:p w14:paraId="57734E6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0,10</w:t>
            </w:r>
          </w:p>
        </w:tc>
      </w:tr>
      <w:tr w:rsidR="00A02D8C" w:rsidRPr="00162ACE" w14:paraId="71CA7629" w14:textId="77777777" w:rsidTr="00DC37EA">
        <w:trPr>
          <w:trHeight w:val="364"/>
        </w:trPr>
        <w:tc>
          <w:tcPr>
            <w:tcW w:w="481" w:type="pct"/>
            <w:shd w:val="solid" w:color="FFFFFF" w:fill="auto"/>
          </w:tcPr>
          <w:p w14:paraId="2967728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9. Ítem 9</w:t>
            </w:r>
          </w:p>
        </w:tc>
        <w:tc>
          <w:tcPr>
            <w:tcW w:w="239" w:type="pct"/>
            <w:shd w:val="solid" w:color="FFFFFF" w:fill="auto"/>
          </w:tcPr>
          <w:p w14:paraId="00A2827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3,44</w:t>
            </w:r>
          </w:p>
        </w:tc>
        <w:tc>
          <w:tcPr>
            <w:tcW w:w="480" w:type="pct"/>
            <w:shd w:val="solid" w:color="FFFFFF" w:fill="auto"/>
          </w:tcPr>
          <w:p w14:paraId="7572B5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2,11</w:t>
            </w:r>
          </w:p>
        </w:tc>
        <w:tc>
          <w:tcPr>
            <w:tcW w:w="239" w:type="pct"/>
            <w:shd w:val="solid" w:color="FFFFFF" w:fill="auto"/>
          </w:tcPr>
          <w:p w14:paraId="4CB4DB9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0,34</w:t>
            </w:r>
          </w:p>
        </w:tc>
        <w:tc>
          <w:tcPr>
            <w:tcW w:w="239" w:type="pct"/>
            <w:shd w:val="solid" w:color="FFFFFF" w:fill="auto"/>
          </w:tcPr>
          <w:p w14:paraId="5158900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-1,19</w:t>
            </w:r>
          </w:p>
        </w:tc>
        <w:tc>
          <w:tcPr>
            <w:tcW w:w="239" w:type="pct"/>
            <w:shd w:val="solid" w:color="FFFFFF" w:fill="auto"/>
          </w:tcPr>
          <w:p w14:paraId="4D99955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803D53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616B2C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0FD597C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102C36B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0B3C9FC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2FCAEBE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6C845B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1C269C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0,35</w:t>
            </w:r>
          </w:p>
        </w:tc>
        <w:tc>
          <w:tcPr>
            <w:tcW w:w="239" w:type="pct"/>
            <w:shd w:val="solid" w:color="FFFFFF" w:fill="auto"/>
          </w:tcPr>
          <w:p w14:paraId="104F98E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0,32</w:t>
            </w:r>
          </w:p>
        </w:tc>
        <w:tc>
          <w:tcPr>
            <w:tcW w:w="241" w:type="pct"/>
            <w:shd w:val="solid" w:color="FFFFFF" w:fill="auto"/>
          </w:tcPr>
          <w:p w14:paraId="58A874D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0,20</w:t>
            </w:r>
          </w:p>
        </w:tc>
        <w:tc>
          <w:tcPr>
            <w:tcW w:w="282" w:type="pct"/>
            <w:shd w:val="solid" w:color="FFFFFF" w:fill="auto"/>
          </w:tcPr>
          <w:p w14:paraId="5196F6B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-0,28</w:t>
            </w:r>
          </w:p>
        </w:tc>
        <w:tc>
          <w:tcPr>
            <w:tcW w:w="301" w:type="pct"/>
            <w:shd w:val="solid" w:color="FFFFFF" w:fill="auto"/>
          </w:tcPr>
          <w:p w14:paraId="278343BD" w14:textId="77777777" w:rsidR="00A02D8C" w:rsidRPr="00162ACE" w:rsidRDefault="00A02D8C" w:rsidP="00162ACE">
            <w:pPr>
              <w:autoSpaceDE w:val="0"/>
              <w:autoSpaceDN w:val="0"/>
              <w:adjustRightInd w:val="0"/>
              <w:spacing w:after="0" w:line="360" w:lineRule="auto"/>
              <w:ind w:right="-495"/>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 xml:space="preserve">  -0,30</w:t>
            </w:r>
          </w:p>
        </w:tc>
      </w:tr>
      <w:tr w:rsidR="00A02D8C" w:rsidRPr="00162ACE" w14:paraId="63D1C2B9" w14:textId="77777777" w:rsidTr="00DC37EA">
        <w:trPr>
          <w:trHeight w:val="364"/>
        </w:trPr>
        <w:tc>
          <w:tcPr>
            <w:tcW w:w="481" w:type="pct"/>
            <w:shd w:val="solid" w:color="FFFFFF" w:fill="auto"/>
          </w:tcPr>
          <w:p w14:paraId="7F23EE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10. Ítem 10</w:t>
            </w:r>
          </w:p>
        </w:tc>
        <w:tc>
          <w:tcPr>
            <w:tcW w:w="239" w:type="pct"/>
            <w:shd w:val="solid" w:color="FFFFFF" w:fill="auto"/>
          </w:tcPr>
          <w:p w14:paraId="2075ABD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2,76</w:t>
            </w:r>
          </w:p>
        </w:tc>
        <w:tc>
          <w:tcPr>
            <w:tcW w:w="480" w:type="pct"/>
            <w:shd w:val="solid" w:color="FFFFFF" w:fill="auto"/>
          </w:tcPr>
          <w:p w14:paraId="5D4E091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2,05</w:t>
            </w:r>
          </w:p>
        </w:tc>
        <w:tc>
          <w:tcPr>
            <w:tcW w:w="239" w:type="pct"/>
            <w:shd w:val="solid" w:color="FFFFFF" w:fill="auto"/>
          </w:tcPr>
          <w:p w14:paraId="15BF4A6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0,99</w:t>
            </w:r>
          </w:p>
        </w:tc>
        <w:tc>
          <w:tcPr>
            <w:tcW w:w="239" w:type="pct"/>
            <w:shd w:val="solid" w:color="FFFFFF" w:fill="auto"/>
          </w:tcPr>
          <w:p w14:paraId="6695970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-0,36</w:t>
            </w:r>
          </w:p>
        </w:tc>
        <w:tc>
          <w:tcPr>
            <w:tcW w:w="239" w:type="pct"/>
            <w:shd w:val="solid" w:color="FFFFFF" w:fill="auto"/>
          </w:tcPr>
          <w:p w14:paraId="13D0947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3DC11F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CA9F2D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ED51DB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60E1843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69B100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45C367D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74726D0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64CD96E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3E233BB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0,39</w:t>
            </w:r>
          </w:p>
        </w:tc>
        <w:tc>
          <w:tcPr>
            <w:tcW w:w="241" w:type="pct"/>
            <w:shd w:val="solid" w:color="FFFFFF" w:fill="auto"/>
          </w:tcPr>
          <w:p w14:paraId="68B7AC5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82" w:type="pct"/>
            <w:shd w:val="solid" w:color="FFFFFF" w:fill="auto"/>
          </w:tcPr>
          <w:p w14:paraId="695C121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-0,31</w:t>
            </w:r>
          </w:p>
        </w:tc>
        <w:tc>
          <w:tcPr>
            <w:tcW w:w="301" w:type="pct"/>
            <w:shd w:val="solid" w:color="FFFFFF" w:fill="auto"/>
          </w:tcPr>
          <w:p w14:paraId="0C2E35C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r>
      <w:tr w:rsidR="00A02D8C" w:rsidRPr="00162ACE" w14:paraId="0154D953" w14:textId="77777777" w:rsidTr="00DC37EA">
        <w:trPr>
          <w:trHeight w:val="364"/>
        </w:trPr>
        <w:tc>
          <w:tcPr>
            <w:tcW w:w="481" w:type="pct"/>
            <w:shd w:val="solid" w:color="FFFFFF" w:fill="auto"/>
          </w:tcPr>
          <w:p w14:paraId="01280C3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11. Ítem 11</w:t>
            </w:r>
          </w:p>
        </w:tc>
        <w:tc>
          <w:tcPr>
            <w:tcW w:w="239" w:type="pct"/>
            <w:shd w:val="solid" w:color="FFFFFF" w:fill="auto"/>
          </w:tcPr>
          <w:p w14:paraId="7869B87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2,93</w:t>
            </w:r>
          </w:p>
        </w:tc>
        <w:tc>
          <w:tcPr>
            <w:tcW w:w="480" w:type="pct"/>
            <w:shd w:val="solid" w:color="FFFFFF" w:fill="auto"/>
          </w:tcPr>
          <w:p w14:paraId="0AD61A8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1,95</w:t>
            </w:r>
          </w:p>
        </w:tc>
        <w:tc>
          <w:tcPr>
            <w:tcW w:w="239" w:type="pct"/>
            <w:shd w:val="solid" w:color="FFFFFF" w:fill="auto"/>
          </w:tcPr>
          <w:p w14:paraId="52C3762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0,72</w:t>
            </w:r>
          </w:p>
        </w:tc>
        <w:tc>
          <w:tcPr>
            <w:tcW w:w="239" w:type="pct"/>
            <w:shd w:val="solid" w:color="FFFFFF" w:fill="auto"/>
          </w:tcPr>
          <w:p w14:paraId="2F98348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-0,66</w:t>
            </w:r>
          </w:p>
        </w:tc>
        <w:tc>
          <w:tcPr>
            <w:tcW w:w="239" w:type="pct"/>
            <w:shd w:val="solid" w:color="FFFFFF" w:fill="auto"/>
          </w:tcPr>
          <w:p w14:paraId="7D23AC4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5C960BF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0355141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71EF78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0AF9A21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25CC52D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2A9350C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708DFAF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11E1C36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1D13037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7D77CD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0,31</w:t>
            </w:r>
          </w:p>
        </w:tc>
        <w:tc>
          <w:tcPr>
            <w:tcW w:w="282" w:type="pct"/>
            <w:shd w:val="solid" w:color="FFFFFF" w:fill="auto"/>
          </w:tcPr>
          <w:p w14:paraId="7814BF2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-0,12</w:t>
            </w:r>
          </w:p>
        </w:tc>
        <w:tc>
          <w:tcPr>
            <w:tcW w:w="301" w:type="pct"/>
            <w:shd w:val="solid" w:color="FFFFFF" w:fill="auto"/>
          </w:tcPr>
          <w:p w14:paraId="4EF753C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-0,17</w:t>
            </w:r>
          </w:p>
        </w:tc>
      </w:tr>
      <w:tr w:rsidR="00A02D8C" w:rsidRPr="00162ACE" w14:paraId="631DA19B" w14:textId="77777777" w:rsidTr="00DC37EA">
        <w:trPr>
          <w:trHeight w:val="364"/>
        </w:trPr>
        <w:tc>
          <w:tcPr>
            <w:tcW w:w="481" w:type="pct"/>
            <w:shd w:val="solid" w:color="FFFFFF" w:fill="auto"/>
          </w:tcPr>
          <w:p w14:paraId="2F22003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12. Ítem 12</w:t>
            </w:r>
          </w:p>
        </w:tc>
        <w:tc>
          <w:tcPr>
            <w:tcW w:w="239" w:type="pct"/>
            <w:shd w:val="solid" w:color="FFFFFF" w:fill="auto"/>
          </w:tcPr>
          <w:p w14:paraId="466E5D1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3,77</w:t>
            </w:r>
          </w:p>
        </w:tc>
        <w:tc>
          <w:tcPr>
            <w:tcW w:w="480" w:type="pct"/>
            <w:shd w:val="solid" w:color="FFFFFF" w:fill="auto"/>
          </w:tcPr>
          <w:p w14:paraId="12F672B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2,09</w:t>
            </w:r>
          </w:p>
        </w:tc>
        <w:tc>
          <w:tcPr>
            <w:tcW w:w="239" w:type="pct"/>
            <w:shd w:val="solid" w:color="FFFFFF" w:fill="auto"/>
          </w:tcPr>
          <w:p w14:paraId="139CBF5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0,18</w:t>
            </w:r>
          </w:p>
        </w:tc>
        <w:tc>
          <w:tcPr>
            <w:tcW w:w="239" w:type="pct"/>
            <w:shd w:val="solid" w:color="FFFFFF" w:fill="auto"/>
          </w:tcPr>
          <w:p w14:paraId="7F6517B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-1,21</w:t>
            </w:r>
          </w:p>
        </w:tc>
        <w:tc>
          <w:tcPr>
            <w:tcW w:w="239" w:type="pct"/>
            <w:shd w:val="solid" w:color="FFFFFF" w:fill="auto"/>
          </w:tcPr>
          <w:p w14:paraId="644AA5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1EC6EAC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5028ED0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4D1A8D4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0EAB6F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61DAD7B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2393288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5F87A09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71285B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344C3D5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6BDABAE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82" w:type="pct"/>
            <w:shd w:val="solid" w:color="FFFFFF" w:fill="auto"/>
          </w:tcPr>
          <w:p w14:paraId="4140160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0,01</w:t>
            </w:r>
          </w:p>
        </w:tc>
        <w:tc>
          <w:tcPr>
            <w:tcW w:w="301" w:type="pct"/>
            <w:shd w:val="solid" w:color="FFFFFF" w:fill="auto"/>
          </w:tcPr>
          <w:p w14:paraId="52996DF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-0,13</w:t>
            </w:r>
          </w:p>
        </w:tc>
      </w:tr>
      <w:tr w:rsidR="00A02D8C" w:rsidRPr="00162ACE" w14:paraId="72AC4CB1" w14:textId="77777777" w:rsidTr="00DC37EA">
        <w:trPr>
          <w:trHeight w:val="364"/>
        </w:trPr>
        <w:tc>
          <w:tcPr>
            <w:tcW w:w="481" w:type="pct"/>
            <w:shd w:val="solid" w:color="FFFFFF" w:fill="auto"/>
          </w:tcPr>
          <w:p w14:paraId="02CDAC9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13. Ítem 13</w:t>
            </w:r>
          </w:p>
        </w:tc>
        <w:tc>
          <w:tcPr>
            <w:tcW w:w="239" w:type="pct"/>
            <w:shd w:val="solid" w:color="FFFFFF" w:fill="auto"/>
          </w:tcPr>
          <w:p w14:paraId="2762412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5,4</w:t>
            </w:r>
          </w:p>
        </w:tc>
        <w:tc>
          <w:tcPr>
            <w:tcW w:w="480" w:type="pct"/>
            <w:shd w:val="solid" w:color="FFFFFF" w:fill="auto"/>
          </w:tcPr>
          <w:p w14:paraId="7F69F5B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1,92</w:t>
            </w:r>
          </w:p>
        </w:tc>
        <w:tc>
          <w:tcPr>
            <w:tcW w:w="239" w:type="pct"/>
            <w:shd w:val="solid" w:color="FFFFFF" w:fill="auto"/>
          </w:tcPr>
          <w:p w14:paraId="1F0382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-1,13</w:t>
            </w:r>
          </w:p>
        </w:tc>
        <w:tc>
          <w:tcPr>
            <w:tcW w:w="239" w:type="pct"/>
            <w:shd w:val="solid" w:color="FFFFFF" w:fill="auto"/>
          </w:tcPr>
          <w:p w14:paraId="64B47A2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0,11</w:t>
            </w:r>
          </w:p>
        </w:tc>
        <w:tc>
          <w:tcPr>
            <w:tcW w:w="239" w:type="pct"/>
            <w:shd w:val="solid" w:color="FFFFFF" w:fill="auto"/>
          </w:tcPr>
          <w:p w14:paraId="7ABEC13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030865A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742F9FE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62179AD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3E9C4D8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0D56ED9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5AE5808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3180067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178409A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3F71FA2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129722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82" w:type="pct"/>
            <w:shd w:val="solid" w:color="FFFFFF" w:fill="auto"/>
          </w:tcPr>
          <w:p w14:paraId="4B1580B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301" w:type="pct"/>
            <w:shd w:val="solid" w:color="FFFFFF" w:fill="auto"/>
          </w:tcPr>
          <w:p w14:paraId="12F8ED1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0,71</w:t>
            </w:r>
          </w:p>
        </w:tc>
      </w:tr>
      <w:tr w:rsidR="00A02D8C" w:rsidRPr="00162ACE" w14:paraId="287FD100" w14:textId="77777777" w:rsidTr="00DC37EA">
        <w:trPr>
          <w:trHeight w:val="471"/>
        </w:trPr>
        <w:tc>
          <w:tcPr>
            <w:tcW w:w="481" w:type="pct"/>
            <w:tcBorders>
              <w:bottom w:val="single" w:sz="4" w:space="0" w:color="auto"/>
            </w:tcBorders>
            <w:shd w:val="solid" w:color="FFFFFF" w:fill="auto"/>
          </w:tcPr>
          <w:p w14:paraId="57070B2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14. Ítem 14</w:t>
            </w:r>
          </w:p>
        </w:tc>
        <w:tc>
          <w:tcPr>
            <w:tcW w:w="239" w:type="pct"/>
            <w:tcBorders>
              <w:bottom w:val="single" w:sz="4" w:space="0" w:color="auto"/>
            </w:tcBorders>
            <w:shd w:val="solid" w:color="FFFFFF" w:fill="auto"/>
          </w:tcPr>
          <w:p w14:paraId="4442A8F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4,78</w:t>
            </w:r>
          </w:p>
        </w:tc>
        <w:tc>
          <w:tcPr>
            <w:tcW w:w="480" w:type="pct"/>
            <w:tcBorders>
              <w:bottom w:val="single" w:sz="4" w:space="0" w:color="auto"/>
            </w:tcBorders>
            <w:shd w:val="solid" w:color="FFFFFF" w:fill="auto"/>
          </w:tcPr>
          <w:p w14:paraId="4C58B32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2,07</w:t>
            </w:r>
          </w:p>
        </w:tc>
        <w:tc>
          <w:tcPr>
            <w:tcW w:w="239" w:type="pct"/>
            <w:tcBorders>
              <w:bottom w:val="single" w:sz="4" w:space="0" w:color="auto"/>
            </w:tcBorders>
            <w:shd w:val="solid" w:color="FFFFFF" w:fill="auto"/>
          </w:tcPr>
          <w:p w14:paraId="01DD5AC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-0,59</w:t>
            </w:r>
          </w:p>
        </w:tc>
        <w:tc>
          <w:tcPr>
            <w:tcW w:w="239" w:type="pct"/>
            <w:tcBorders>
              <w:bottom w:val="single" w:sz="4" w:space="0" w:color="auto"/>
            </w:tcBorders>
            <w:shd w:val="solid" w:color="FFFFFF" w:fill="auto"/>
          </w:tcPr>
          <w:p w14:paraId="23EF361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-1,00</w:t>
            </w:r>
          </w:p>
        </w:tc>
        <w:tc>
          <w:tcPr>
            <w:tcW w:w="239" w:type="pct"/>
            <w:tcBorders>
              <w:bottom w:val="single" w:sz="4" w:space="0" w:color="auto"/>
            </w:tcBorders>
            <w:shd w:val="solid" w:color="FFFFFF" w:fill="auto"/>
          </w:tcPr>
          <w:p w14:paraId="2AFAEEF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77AF60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1E18496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24C5E7F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tcBorders>
              <w:bottom w:val="single" w:sz="4" w:space="0" w:color="auto"/>
            </w:tcBorders>
            <w:shd w:val="solid" w:color="FFFFFF" w:fill="auto"/>
          </w:tcPr>
          <w:p w14:paraId="5761A56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58127D9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tcBorders>
              <w:bottom w:val="single" w:sz="4" w:space="0" w:color="auto"/>
            </w:tcBorders>
            <w:shd w:val="solid" w:color="FFFFFF" w:fill="auto"/>
          </w:tcPr>
          <w:p w14:paraId="5868CD4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47987C0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tcBorders>
              <w:bottom w:val="single" w:sz="4" w:space="0" w:color="auto"/>
            </w:tcBorders>
            <w:shd w:val="solid" w:color="FFFFFF" w:fill="auto"/>
          </w:tcPr>
          <w:p w14:paraId="3FDA105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2BB1117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tcBorders>
              <w:bottom w:val="single" w:sz="4" w:space="0" w:color="auto"/>
            </w:tcBorders>
            <w:shd w:val="solid" w:color="FFFFFF" w:fill="auto"/>
          </w:tcPr>
          <w:p w14:paraId="42F745B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82" w:type="pct"/>
            <w:tcBorders>
              <w:bottom w:val="single" w:sz="4" w:space="0" w:color="auto"/>
            </w:tcBorders>
            <w:shd w:val="solid" w:color="FFFFFF" w:fill="auto"/>
          </w:tcPr>
          <w:p w14:paraId="233953C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301" w:type="pct"/>
            <w:tcBorders>
              <w:bottom w:val="single" w:sz="4" w:space="0" w:color="auto"/>
            </w:tcBorders>
            <w:shd w:val="solid" w:color="FFFFFF" w:fill="auto"/>
          </w:tcPr>
          <w:p w14:paraId="694F767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r>
      <w:tr w:rsidR="00DC37EA" w:rsidRPr="00162ACE" w14:paraId="6EF56071" w14:textId="77777777" w:rsidTr="00DC37EA">
        <w:trPr>
          <w:trHeight w:val="471"/>
        </w:trPr>
        <w:tc>
          <w:tcPr>
            <w:tcW w:w="5000" w:type="pct"/>
            <w:gridSpan w:val="18"/>
            <w:tcBorders>
              <w:top w:val="single" w:sz="4" w:space="0" w:color="auto"/>
            </w:tcBorders>
            <w:shd w:val="solid" w:color="FFFFFF" w:fill="auto"/>
          </w:tcPr>
          <w:p w14:paraId="4A81C1D2" w14:textId="77777777" w:rsidR="00DC37EA" w:rsidRPr="00162ACE" w:rsidRDefault="00DC37EA" w:rsidP="00E74185">
            <w:pPr>
              <w:autoSpaceDE w:val="0"/>
              <w:autoSpaceDN w:val="0"/>
              <w:adjustRightInd w:val="0"/>
              <w:spacing w:after="0" w:line="360" w:lineRule="auto"/>
              <w:rPr>
                <w:rFonts w:ascii="Times New Roman" w:eastAsia="Calibri" w:hAnsi="Times New Roman" w:cs="Times New Roman"/>
                <w:sz w:val="24"/>
                <w:szCs w:val="24"/>
                <w:lang w:eastAsia="es-UY"/>
              </w:rPr>
            </w:pPr>
            <w:r w:rsidRPr="00162ACE">
              <w:rPr>
                <w:rFonts w:ascii="Times New Roman" w:hAnsi="Times New Roman" w:cs="Times New Roman"/>
                <w:i/>
                <w:sz w:val="24"/>
                <w:szCs w:val="24"/>
              </w:rPr>
              <w:t>Notas.</w:t>
            </w:r>
            <w:r w:rsidRPr="00162ACE">
              <w:rPr>
                <w:rFonts w:ascii="Times New Roman" w:eastAsia="Calibri" w:hAnsi="Times New Roman" w:cs="Times New Roman"/>
                <w:b/>
                <w:bCs/>
                <w:sz w:val="24"/>
                <w:szCs w:val="24"/>
                <w:lang w:eastAsia="es-UY"/>
              </w:rPr>
              <w:t xml:space="preserve"> </w:t>
            </w:r>
            <w:r w:rsidRPr="00162ACE">
              <w:rPr>
                <w:rFonts w:ascii="Times New Roman" w:eastAsia="Calibri" w:hAnsi="Times New Roman" w:cs="Times New Roman"/>
                <w:i/>
                <w:sz w:val="24"/>
                <w:szCs w:val="24"/>
                <w:lang w:eastAsia="es-UY"/>
              </w:rPr>
              <w:t>M=</w:t>
            </w:r>
            <w:r w:rsidRPr="00162ACE">
              <w:rPr>
                <w:rFonts w:ascii="Times New Roman" w:eastAsia="Calibri" w:hAnsi="Times New Roman" w:cs="Times New Roman"/>
                <w:sz w:val="24"/>
                <w:szCs w:val="24"/>
                <w:lang w:eastAsia="es-UY"/>
              </w:rPr>
              <w:t xml:space="preserve"> Media; </w:t>
            </w:r>
            <w:r w:rsidRPr="00162ACE">
              <w:rPr>
                <w:rFonts w:ascii="Times New Roman" w:eastAsia="Calibri" w:hAnsi="Times New Roman" w:cs="Times New Roman"/>
                <w:i/>
                <w:sz w:val="24"/>
                <w:szCs w:val="24"/>
                <w:lang w:eastAsia="es-UY"/>
              </w:rPr>
              <w:t>DT=</w:t>
            </w:r>
            <w:r w:rsidRPr="00162ACE">
              <w:rPr>
                <w:rFonts w:ascii="Times New Roman" w:eastAsia="Calibri" w:hAnsi="Times New Roman" w:cs="Times New Roman"/>
                <w:sz w:val="24"/>
                <w:szCs w:val="24"/>
                <w:lang w:eastAsia="es-UY"/>
              </w:rPr>
              <w:t xml:space="preserve"> Desviación Típica; </w:t>
            </w:r>
            <w:r w:rsidRPr="00162ACE">
              <w:rPr>
                <w:rFonts w:ascii="Times New Roman" w:eastAsia="Calibri" w:hAnsi="Times New Roman" w:cs="Times New Roman"/>
                <w:i/>
                <w:sz w:val="24"/>
                <w:szCs w:val="24"/>
                <w:lang w:eastAsia="es-UY"/>
              </w:rPr>
              <w:t xml:space="preserve">AS= </w:t>
            </w:r>
            <w:r w:rsidRPr="00162ACE">
              <w:rPr>
                <w:rFonts w:ascii="Times New Roman" w:eastAsia="Calibri" w:hAnsi="Times New Roman" w:cs="Times New Roman"/>
                <w:sz w:val="24"/>
                <w:szCs w:val="24"/>
                <w:lang w:eastAsia="es-UY"/>
              </w:rPr>
              <w:t xml:space="preserve">Asimetría; </w:t>
            </w:r>
            <w:r w:rsidRPr="00162ACE">
              <w:rPr>
                <w:rFonts w:ascii="Times New Roman" w:eastAsia="Calibri" w:hAnsi="Times New Roman" w:cs="Times New Roman"/>
                <w:i/>
                <w:sz w:val="24"/>
                <w:szCs w:val="24"/>
                <w:lang w:eastAsia="es-UY"/>
              </w:rPr>
              <w:t>Cu=</w:t>
            </w:r>
            <w:r w:rsidRPr="00162ACE">
              <w:rPr>
                <w:rFonts w:ascii="Times New Roman" w:eastAsia="Calibri" w:hAnsi="Times New Roman" w:cs="Times New Roman"/>
                <w:sz w:val="24"/>
                <w:szCs w:val="24"/>
                <w:lang w:eastAsia="es-UY"/>
              </w:rPr>
              <w:t>Curtosis.</w:t>
            </w:r>
          </w:p>
        </w:tc>
      </w:tr>
    </w:tbl>
    <w:p w14:paraId="5681B002" w14:textId="77777777" w:rsidR="00A02D8C" w:rsidRPr="00162ACE" w:rsidRDefault="00A02D8C" w:rsidP="00E74185">
      <w:pPr>
        <w:tabs>
          <w:tab w:val="left" w:pos="7033"/>
        </w:tabs>
        <w:autoSpaceDE w:val="0"/>
        <w:autoSpaceDN w:val="0"/>
        <w:adjustRightInd w:val="0"/>
        <w:spacing w:after="0" w:line="480" w:lineRule="auto"/>
        <w:rPr>
          <w:rFonts w:ascii="Times New Roman" w:hAnsi="Times New Roman" w:cs="Times New Roman"/>
          <w:sz w:val="24"/>
          <w:szCs w:val="24"/>
        </w:rPr>
        <w:sectPr w:rsidR="00A02D8C" w:rsidRPr="00162ACE" w:rsidSect="00F327A3">
          <w:type w:val="continuous"/>
          <w:pgSz w:w="16838" w:h="11906" w:orient="landscape"/>
          <w:pgMar w:top="1440" w:right="1440" w:bottom="1440" w:left="1440" w:header="706" w:footer="706" w:gutter="0"/>
          <w:cols w:space="708"/>
          <w:docGrid w:linePitch="360"/>
        </w:sectPr>
      </w:pPr>
    </w:p>
    <w:p w14:paraId="484A185D" w14:textId="77777777" w:rsidR="008F72AF" w:rsidRPr="00162ACE" w:rsidRDefault="008F72AF" w:rsidP="00162ACE">
      <w:pPr>
        <w:spacing w:line="480" w:lineRule="auto"/>
        <w:rPr>
          <w:rFonts w:ascii="Times New Roman" w:hAnsi="Times New Roman" w:cs="Times New Roman"/>
          <w:i/>
          <w:color w:val="000000"/>
          <w:sz w:val="24"/>
          <w:szCs w:val="24"/>
          <w:lang w:val="es-ES"/>
        </w:rPr>
      </w:pPr>
      <w:r w:rsidRPr="00162ACE">
        <w:rPr>
          <w:rFonts w:ascii="Times New Roman" w:hAnsi="Times New Roman" w:cs="Times New Roman"/>
          <w:i/>
          <w:color w:val="000000"/>
          <w:sz w:val="24"/>
          <w:szCs w:val="24"/>
          <w:lang w:val="es-ES"/>
        </w:rPr>
        <w:lastRenderedPageBreak/>
        <w:t xml:space="preserve">Análisis factorial exploratorio </w:t>
      </w:r>
    </w:p>
    <w:p w14:paraId="5D95873E" w14:textId="77777777" w:rsidR="008F72AF" w:rsidRPr="00162ACE" w:rsidRDefault="008F72AF"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color w:val="000000"/>
          <w:sz w:val="24"/>
          <w:szCs w:val="24"/>
          <w:lang w:val="es-ES"/>
        </w:rPr>
        <w:t xml:space="preserve">Dado que los datos de fiabilidad van en la línea de estudios anteriores con otras muestras, para los </w:t>
      </w:r>
      <w:r w:rsidRPr="00162ACE">
        <w:rPr>
          <w:rFonts w:ascii="Times New Roman" w:hAnsi="Times New Roman" w:cs="Times New Roman"/>
          <w:sz w:val="24"/>
          <w:szCs w:val="24"/>
          <w:lang w:val="es-ES"/>
        </w:rPr>
        <w:t xml:space="preserve">análisis factoriales exploratorios se ha eliminado el ítem 5. Los análisis preliminares muestran meritorio realizar el análisis factorial: KMO= 0,61; test de esfericidad de Bartlett χ² = 514,9 (78) </w:t>
      </w:r>
      <w:r w:rsidRPr="00162ACE">
        <w:rPr>
          <w:rFonts w:ascii="Times New Roman" w:hAnsi="Times New Roman" w:cs="Times New Roman"/>
          <w:i/>
          <w:sz w:val="24"/>
          <w:szCs w:val="24"/>
          <w:lang w:val="es-ES"/>
        </w:rPr>
        <w:t>p</w:t>
      </w:r>
      <w:r w:rsidRPr="00162ACE">
        <w:rPr>
          <w:rFonts w:ascii="Times New Roman" w:hAnsi="Times New Roman" w:cs="Times New Roman"/>
          <w:sz w:val="24"/>
          <w:szCs w:val="24"/>
          <w:lang w:val="es-ES"/>
        </w:rPr>
        <w:t>&lt; 0,01.</w:t>
      </w:r>
    </w:p>
    <w:p w14:paraId="4C723F19" w14:textId="77777777" w:rsidR="00E74185" w:rsidRPr="00162ACE" w:rsidRDefault="008F72AF" w:rsidP="00162ACE">
      <w:pPr>
        <w:spacing w:line="480" w:lineRule="auto"/>
        <w:ind w:firstLine="709"/>
        <w:rPr>
          <w:rFonts w:ascii="Times New Roman" w:eastAsia="Calibri" w:hAnsi="Times New Roman" w:cs="Times New Roman"/>
          <w:sz w:val="24"/>
          <w:szCs w:val="24"/>
        </w:rPr>
      </w:pPr>
      <w:r w:rsidRPr="00162ACE">
        <w:rPr>
          <w:rFonts w:ascii="Times New Roman" w:hAnsi="Times New Roman" w:cs="Times New Roman"/>
          <w:sz w:val="24"/>
          <w:szCs w:val="24"/>
          <w:lang w:val="es-ES"/>
        </w:rPr>
        <w:t>Se ejecutó un análisis factorial exploratorio con el método de factorización de ejes principales y rotación oblimin directa, debido</w:t>
      </w:r>
      <w:r w:rsidRPr="00162ACE">
        <w:rPr>
          <w:rFonts w:ascii="Times New Roman" w:hAnsi="Times New Roman" w:cs="Times New Roman"/>
          <w:color w:val="000000"/>
          <w:sz w:val="24"/>
          <w:szCs w:val="24"/>
          <w:lang w:val="es-ES"/>
        </w:rPr>
        <w:t xml:space="preserve"> a la esperada correlación moderada entre factores. Hay cinco factores co</w:t>
      </w:r>
      <w:r w:rsidR="00D1615E" w:rsidRPr="00162ACE">
        <w:rPr>
          <w:rFonts w:ascii="Times New Roman" w:hAnsi="Times New Roman" w:cs="Times New Roman"/>
          <w:color w:val="000000"/>
          <w:sz w:val="24"/>
          <w:szCs w:val="24"/>
          <w:lang w:val="es-ES"/>
        </w:rPr>
        <w:t>n valores propios superiores a uno</w:t>
      </w:r>
      <w:r w:rsidRPr="00162ACE">
        <w:rPr>
          <w:rFonts w:ascii="Times New Roman" w:hAnsi="Times New Roman" w:cs="Times New Roman"/>
          <w:color w:val="000000"/>
          <w:sz w:val="24"/>
          <w:szCs w:val="24"/>
          <w:lang w:val="es-ES"/>
        </w:rPr>
        <w:t xml:space="preserve"> y son tres los factores que producen un incremento en la varianza explicada superior a 10%.Por lo tanto, consideramos </w:t>
      </w:r>
      <w:r w:rsidR="00E74185" w:rsidRPr="00162ACE">
        <w:rPr>
          <w:rFonts w:ascii="Times New Roman" w:hAnsi="Times New Roman" w:cs="Times New Roman"/>
          <w:color w:val="000000"/>
          <w:sz w:val="24"/>
          <w:szCs w:val="24"/>
          <w:lang w:val="es-ES"/>
        </w:rPr>
        <w:t>que la solución de dos factores no se ajusta a los datos, y avanzamos con un modelo de tres factores que posee una varianza explicada de 46,5%.</w:t>
      </w:r>
    </w:p>
    <w:p w14:paraId="55EB794C" w14:textId="77777777" w:rsidR="007A1B67" w:rsidRPr="00162ACE" w:rsidRDefault="00973928" w:rsidP="00162ACE">
      <w:pPr>
        <w:spacing w:line="480" w:lineRule="auto"/>
        <w:ind w:firstLine="709"/>
        <w:rPr>
          <w:rFonts w:ascii="Times New Roman" w:hAnsi="Times New Roman" w:cs="Times New Roman"/>
          <w:color w:val="000000"/>
          <w:sz w:val="24"/>
          <w:szCs w:val="24"/>
          <w:lang w:val="es-ES"/>
        </w:rPr>
      </w:pPr>
      <w:r w:rsidRPr="00AC08D5">
        <w:rPr>
          <w:rFonts w:ascii="Times New Roman" w:hAnsi="Times New Roman" w:cs="Times New Roman"/>
          <w:sz w:val="24"/>
          <w:szCs w:val="24"/>
          <w:lang w:val="es-ES"/>
        </w:rPr>
        <w:t>T</w:t>
      </w:r>
      <w:r w:rsidR="007A1B67" w:rsidRPr="00AC08D5">
        <w:rPr>
          <w:rFonts w:ascii="Times New Roman" w:hAnsi="Times New Roman" w:cs="Times New Roman"/>
          <w:sz w:val="24"/>
          <w:szCs w:val="24"/>
          <w:lang w:val="es-ES"/>
        </w:rPr>
        <w:t>anto</w:t>
      </w:r>
      <w:r w:rsidR="005B344C" w:rsidRPr="00AC08D5">
        <w:rPr>
          <w:rFonts w:ascii="Times New Roman" w:hAnsi="Times New Roman" w:cs="Times New Roman"/>
          <w:sz w:val="24"/>
          <w:szCs w:val="24"/>
          <w:lang w:val="es-ES"/>
        </w:rPr>
        <w:t xml:space="preserve"> </w:t>
      </w:r>
      <w:r w:rsidR="00D1615E" w:rsidRPr="00AC08D5">
        <w:rPr>
          <w:rFonts w:ascii="Times New Roman" w:hAnsi="Times New Roman" w:cs="Times New Roman"/>
          <w:sz w:val="24"/>
          <w:szCs w:val="24"/>
          <w:lang w:val="es-ES"/>
        </w:rPr>
        <w:t>en</w:t>
      </w:r>
      <w:r w:rsidR="005B344C" w:rsidRPr="00AC08D5">
        <w:rPr>
          <w:rFonts w:ascii="Times New Roman" w:hAnsi="Times New Roman" w:cs="Times New Roman"/>
          <w:sz w:val="24"/>
          <w:szCs w:val="24"/>
          <w:lang w:val="es-ES"/>
        </w:rPr>
        <w:t xml:space="preserve"> </w:t>
      </w:r>
      <w:r w:rsidR="007A1B67" w:rsidRPr="00AC08D5">
        <w:rPr>
          <w:rFonts w:ascii="Times New Roman" w:hAnsi="Times New Roman" w:cs="Times New Roman"/>
          <w:sz w:val="24"/>
          <w:szCs w:val="24"/>
          <w:lang w:val="es-ES"/>
        </w:rPr>
        <w:t>la m</w:t>
      </w:r>
      <w:r w:rsidR="00FC5144" w:rsidRPr="00AC08D5">
        <w:rPr>
          <w:rFonts w:ascii="Times New Roman" w:hAnsi="Times New Roman" w:cs="Times New Roman"/>
          <w:sz w:val="24"/>
          <w:szCs w:val="24"/>
          <w:lang w:val="es-ES"/>
        </w:rPr>
        <w:t>atriz de estructura</w:t>
      </w:r>
      <w:r w:rsidR="00C27307" w:rsidRPr="00AC08D5">
        <w:rPr>
          <w:rFonts w:ascii="Times New Roman" w:hAnsi="Times New Roman" w:cs="Times New Roman"/>
          <w:sz w:val="24"/>
          <w:szCs w:val="24"/>
          <w:lang w:val="es-ES"/>
        </w:rPr>
        <w:t xml:space="preserve"> </w:t>
      </w:r>
      <w:r w:rsidR="007A1B67" w:rsidRPr="00AC08D5">
        <w:rPr>
          <w:rFonts w:ascii="Times New Roman" w:hAnsi="Times New Roman" w:cs="Times New Roman"/>
          <w:sz w:val="24"/>
          <w:szCs w:val="24"/>
          <w:lang w:val="es-ES"/>
        </w:rPr>
        <w:t>como la matr</w:t>
      </w:r>
      <w:r w:rsidR="00FC5144" w:rsidRPr="00AC08D5">
        <w:rPr>
          <w:rFonts w:ascii="Times New Roman" w:hAnsi="Times New Roman" w:cs="Times New Roman"/>
          <w:sz w:val="24"/>
          <w:szCs w:val="24"/>
          <w:lang w:val="es-ES"/>
        </w:rPr>
        <w:t>iz de configuración</w:t>
      </w:r>
      <w:r w:rsidR="007A1B67" w:rsidRPr="00AC08D5">
        <w:rPr>
          <w:rFonts w:ascii="Times New Roman" w:hAnsi="Times New Roman" w:cs="Times New Roman"/>
          <w:sz w:val="24"/>
          <w:szCs w:val="24"/>
          <w:lang w:val="es-ES"/>
        </w:rPr>
        <w:t xml:space="preserve">, se puede observar que los ítems </w:t>
      </w:r>
      <w:r w:rsidR="004227F0" w:rsidRPr="00AC08D5">
        <w:rPr>
          <w:rFonts w:ascii="Times New Roman" w:hAnsi="Times New Roman" w:cs="Times New Roman"/>
          <w:sz w:val="24"/>
          <w:szCs w:val="24"/>
          <w:lang w:val="es-ES"/>
        </w:rPr>
        <w:t>3,</w:t>
      </w:r>
      <w:r w:rsidR="004227F0">
        <w:rPr>
          <w:rFonts w:ascii="Times New Roman" w:hAnsi="Times New Roman" w:cs="Times New Roman"/>
          <w:sz w:val="24"/>
          <w:szCs w:val="24"/>
          <w:lang w:val="es-ES"/>
        </w:rPr>
        <w:t xml:space="preserve"> </w:t>
      </w:r>
      <w:r w:rsidR="007A1B67" w:rsidRPr="00162ACE">
        <w:rPr>
          <w:rFonts w:ascii="Times New Roman" w:hAnsi="Times New Roman" w:cs="Times New Roman"/>
          <w:sz w:val="24"/>
          <w:szCs w:val="24"/>
          <w:lang w:val="es-ES"/>
        </w:rPr>
        <w:t>4, 9, 10, 11 y 12 cargarían</w:t>
      </w:r>
      <w:r w:rsidR="007A1B67" w:rsidRPr="00162ACE">
        <w:rPr>
          <w:rFonts w:ascii="Times New Roman" w:hAnsi="Times New Roman" w:cs="Times New Roman"/>
          <w:color w:val="000000"/>
          <w:sz w:val="24"/>
          <w:szCs w:val="24"/>
          <w:lang w:val="es-ES"/>
        </w:rPr>
        <w:t xml:space="preserve"> a un factor correspondiente a CFC-I, los dos ítems incorporados (13 y 14) a un hipotético segundo factor y por último, los ítems 1, 2, 6, 7 y 8 a un tercer factor, que se correspondería a CFC-F. Los ítems incorporados, presentan doble carga con el tercer factor, mientras que las otras cargas dobles están dadas por los ítems 9 y 10 con el segundo factor, así como los ítems 3 y 4 con el tercer factor (equivalente a CFC-F)</w:t>
      </w:r>
      <w:r w:rsidRPr="00162ACE">
        <w:rPr>
          <w:rFonts w:ascii="Times New Roman" w:hAnsi="Times New Roman" w:cs="Times New Roman"/>
          <w:color w:val="000000"/>
          <w:sz w:val="24"/>
          <w:szCs w:val="24"/>
          <w:lang w:val="es-ES"/>
        </w:rPr>
        <w:t xml:space="preserve">. Las cargas factoriales de este modelo se presentan en la Tabla 3. </w:t>
      </w:r>
    </w:p>
    <w:p w14:paraId="459942EF" w14:textId="77777777" w:rsidR="008F72AF" w:rsidRPr="00162ACE" w:rsidRDefault="008F72AF" w:rsidP="00162ACE">
      <w:pPr>
        <w:spacing w:line="480" w:lineRule="auto"/>
        <w:rPr>
          <w:rFonts w:ascii="Times New Roman" w:hAnsi="Times New Roman" w:cs="Times New Roman"/>
          <w:bCs/>
          <w:sz w:val="24"/>
          <w:szCs w:val="24"/>
          <w:lang w:val="es-ES"/>
        </w:rPr>
      </w:pPr>
      <w:r w:rsidRPr="00162ACE">
        <w:rPr>
          <w:rFonts w:ascii="Times New Roman" w:hAnsi="Times New Roman" w:cs="Times New Roman"/>
          <w:bCs/>
          <w:sz w:val="24"/>
          <w:szCs w:val="24"/>
          <w:lang w:val="es-ES"/>
        </w:rPr>
        <w:br w:type="page"/>
      </w:r>
    </w:p>
    <w:p w14:paraId="23A99B00" w14:textId="77777777" w:rsidR="00BF38F2" w:rsidRPr="00162ACE" w:rsidRDefault="007A1B67" w:rsidP="00162ACE">
      <w:pPr>
        <w:spacing w:line="360" w:lineRule="auto"/>
        <w:ind w:left="709"/>
        <w:rPr>
          <w:rFonts w:ascii="Times New Roman" w:hAnsi="Times New Roman" w:cs="Times New Roman"/>
          <w:bCs/>
          <w:sz w:val="24"/>
          <w:szCs w:val="24"/>
          <w:lang w:val="es-ES"/>
        </w:rPr>
      </w:pPr>
      <w:r w:rsidRPr="00162ACE">
        <w:rPr>
          <w:rFonts w:ascii="Times New Roman" w:hAnsi="Times New Roman" w:cs="Times New Roman"/>
          <w:bCs/>
          <w:sz w:val="24"/>
          <w:szCs w:val="24"/>
          <w:lang w:val="es-ES"/>
        </w:rPr>
        <w:lastRenderedPageBreak/>
        <w:t xml:space="preserve">Tabla </w:t>
      </w:r>
      <w:r w:rsidR="00FC5144" w:rsidRPr="00162ACE">
        <w:rPr>
          <w:rFonts w:ascii="Times New Roman" w:hAnsi="Times New Roman" w:cs="Times New Roman"/>
          <w:bCs/>
          <w:sz w:val="24"/>
          <w:szCs w:val="24"/>
          <w:lang w:val="es-ES"/>
        </w:rPr>
        <w:t>3</w:t>
      </w:r>
    </w:p>
    <w:p w14:paraId="3CAC101D" w14:textId="77777777" w:rsidR="007A1B67" w:rsidRPr="00162ACE" w:rsidRDefault="007A1B67" w:rsidP="00162ACE">
      <w:pPr>
        <w:spacing w:line="360" w:lineRule="auto"/>
        <w:ind w:left="709"/>
        <w:rPr>
          <w:rFonts w:ascii="Times New Roman" w:hAnsi="Times New Roman" w:cs="Times New Roman"/>
          <w:i/>
          <w:color w:val="FF0000"/>
          <w:sz w:val="24"/>
          <w:szCs w:val="24"/>
          <w:lang w:val="es-ES"/>
        </w:rPr>
      </w:pPr>
      <w:r w:rsidRPr="00162ACE">
        <w:rPr>
          <w:rFonts w:ascii="Times New Roman" w:hAnsi="Times New Roman" w:cs="Times New Roman"/>
          <w:bCs/>
          <w:i/>
          <w:sz w:val="24"/>
          <w:szCs w:val="24"/>
          <w:lang w:val="es-ES"/>
        </w:rPr>
        <w:t>Matriz de estructura de a</w:t>
      </w:r>
      <w:r w:rsidR="00A02D8C" w:rsidRPr="00162ACE">
        <w:rPr>
          <w:rFonts w:ascii="Times New Roman" w:hAnsi="Times New Roman" w:cs="Times New Roman"/>
          <w:bCs/>
          <w:i/>
          <w:sz w:val="24"/>
          <w:szCs w:val="24"/>
          <w:lang w:val="es-ES"/>
        </w:rPr>
        <w:t>nálisis factorial exploratorio</w:t>
      </w:r>
    </w:p>
    <w:tbl>
      <w:tblPr>
        <w:tblW w:w="0" w:type="auto"/>
        <w:jc w:val="center"/>
        <w:tblBorders>
          <w:top w:val="single" w:sz="4" w:space="0" w:color="auto"/>
        </w:tblBorders>
        <w:tblLook w:val="04A0" w:firstRow="1" w:lastRow="0" w:firstColumn="1" w:lastColumn="0" w:noHBand="0" w:noVBand="1"/>
      </w:tblPr>
      <w:tblGrid>
        <w:gridCol w:w="1986"/>
        <w:gridCol w:w="1835"/>
        <w:gridCol w:w="1919"/>
        <w:gridCol w:w="1950"/>
      </w:tblGrid>
      <w:tr w:rsidR="00D1615E" w:rsidRPr="00162ACE" w14:paraId="7C0B68EC" w14:textId="77777777" w:rsidTr="00D1615E">
        <w:trPr>
          <w:trHeight w:val="318"/>
          <w:jc w:val="center"/>
        </w:trPr>
        <w:tc>
          <w:tcPr>
            <w:tcW w:w="1986" w:type="dxa"/>
            <w:tcBorders>
              <w:top w:val="single" w:sz="4" w:space="0" w:color="auto"/>
              <w:bottom w:val="single" w:sz="4" w:space="0" w:color="auto"/>
            </w:tcBorders>
            <w:hideMark/>
          </w:tcPr>
          <w:p w14:paraId="2FF2FC75" w14:textId="77777777" w:rsidR="007A1B67" w:rsidRPr="00162ACE" w:rsidRDefault="007A1B67" w:rsidP="00162ACE">
            <w:pPr>
              <w:spacing w:line="360" w:lineRule="auto"/>
              <w:ind w:firstLine="709"/>
              <w:rPr>
                <w:rFonts w:ascii="Times New Roman" w:hAnsi="Times New Roman" w:cs="Times New Roman"/>
                <w:sz w:val="24"/>
                <w:szCs w:val="24"/>
              </w:rPr>
            </w:pPr>
          </w:p>
        </w:tc>
        <w:tc>
          <w:tcPr>
            <w:tcW w:w="1835" w:type="dxa"/>
            <w:tcBorders>
              <w:top w:val="single" w:sz="4" w:space="0" w:color="auto"/>
              <w:bottom w:val="single" w:sz="4" w:space="0" w:color="auto"/>
            </w:tcBorders>
            <w:hideMark/>
          </w:tcPr>
          <w:p w14:paraId="17CBD8C4" w14:textId="77777777" w:rsidR="007A1B67" w:rsidRPr="00162ACE" w:rsidRDefault="007A1B67" w:rsidP="00162ACE">
            <w:pPr>
              <w:spacing w:line="360" w:lineRule="auto"/>
              <w:ind w:left="409" w:firstLine="300"/>
              <w:jc w:val="center"/>
              <w:rPr>
                <w:rFonts w:ascii="Times New Roman" w:hAnsi="Times New Roman" w:cs="Times New Roman"/>
                <w:color w:val="000000" w:themeColor="text1"/>
                <w:sz w:val="24"/>
                <w:szCs w:val="24"/>
              </w:rPr>
            </w:pPr>
            <w:r w:rsidRPr="00162ACE">
              <w:rPr>
                <w:rFonts w:ascii="Times New Roman" w:hAnsi="Times New Roman" w:cs="Times New Roman"/>
                <w:color w:val="000000" w:themeColor="text1"/>
                <w:sz w:val="24"/>
                <w:szCs w:val="24"/>
              </w:rPr>
              <w:t>1</w:t>
            </w:r>
          </w:p>
        </w:tc>
        <w:tc>
          <w:tcPr>
            <w:tcW w:w="1919" w:type="dxa"/>
            <w:tcBorders>
              <w:top w:val="single" w:sz="4" w:space="0" w:color="auto"/>
              <w:bottom w:val="single" w:sz="4" w:space="0" w:color="auto"/>
            </w:tcBorders>
            <w:hideMark/>
          </w:tcPr>
          <w:p w14:paraId="02479CE4" w14:textId="77777777" w:rsidR="007A1B67" w:rsidRPr="00162ACE" w:rsidRDefault="007A1B67" w:rsidP="00162ACE">
            <w:pPr>
              <w:spacing w:line="360" w:lineRule="auto"/>
              <w:ind w:firstLine="709"/>
              <w:jc w:val="center"/>
              <w:rPr>
                <w:rFonts w:ascii="Times New Roman" w:hAnsi="Times New Roman" w:cs="Times New Roman"/>
                <w:color w:val="000000" w:themeColor="text1"/>
                <w:sz w:val="24"/>
                <w:szCs w:val="24"/>
              </w:rPr>
            </w:pPr>
            <w:r w:rsidRPr="00162ACE">
              <w:rPr>
                <w:rFonts w:ascii="Times New Roman" w:hAnsi="Times New Roman" w:cs="Times New Roman"/>
                <w:color w:val="000000" w:themeColor="text1"/>
                <w:sz w:val="24"/>
                <w:szCs w:val="24"/>
              </w:rPr>
              <w:t>2</w:t>
            </w:r>
          </w:p>
        </w:tc>
        <w:tc>
          <w:tcPr>
            <w:tcW w:w="1950" w:type="dxa"/>
            <w:tcBorders>
              <w:top w:val="single" w:sz="4" w:space="0" w:color="auto"/>
              <w:bottom w:val="single" w:sz="4" w:space="0" w:color="auto"/>
            </w:tcBorders>
            <w:hideMark/>
          </w:tcPr>
          <w:p w14:paraId="105A8776" w14:textId="77777777" w:rsidR="007A1B67" w:rsidRPr="00162ACE" w:rsidRDefault="00745114" w:rsidP="00162ACE">
            <w:pPr>
              <w:spacing w:after="200" w:line="360" w:lineRule="auto"/>
              <w:ind w:left="720"/>
              <w:jc w:val="center"/>
              <w:rPr>
                <w:rFonts w:ascii="Times New Roman" w:hAnsi="Times New Roman" w:cs="Times New Roman"/>
                <w:color w:val="000000" w:themeColor="text1"/>
                <w:sz w:val="24"/>
                <w:szCs w:val="24"/>
              </w:rPr>
            </w:pPr>
            <w:r w:rsidRPr="00162ACE">
              <w:rPr>
                <w:rFonts w:ascii="Times New Roman" w:hAnsi="Times New Roman" w:cs="Times New Roman"/>
                <w:color w:val="000000" w:themeColor="text1"/>
                <w:sz w:val="24"/>
                <w:szCs w:val="24"/>
              </w:rPr>
              <w:t>3</w:t>
            </w:r>
          </w:p>
        </w:tc>
      </w:tr>
      <w:tr w:rsidR="007A1B67" w:rsidRPr="00162ACE" w14:paraId="0BF64AC2" w14:textId="77777777" w:rsidTr="00D1615E">
        <w:trPr>
          <w:trHeight w:val="303"/>
          <w:jc w:val="center"/>
        </w:trPr>
        <w:tc>
          <w:tcPr>
            <w:tcW w:w="1986" w:type="dxa"/>
            <w:tcBorders>
              <w:top w:val="single" w:sz="4" w:space="0" w:color="auto"/>
            </w:tcBorders>
            <w:vAlign w:val="bottom"/>
            <w:hideMark/>
          </w:tcPr>
          <w:p w14:paraId="5CC5194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11</w:t>
            </w:r>
          </w:p>
        </w:tc>
        <w:tc>
          <w:tcPr>
            <w:tcW w:w="1835" w:type="dxa"/>
            <w:tcBorders>
              <w:top w:val="single" w:sz="4" w:space="0" w:color="auto"/>
            </w:tcBorders>
            <w:noWrap/>
            <w:vAlign w:val="bottom"/>
            <w:hideMark/>
          </w:tcPr>
          <w:p w14:paraId="10676FD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-0,64</w:t>
            </w:r>
          </w:p>
        </w:tc>
        <w:tc>
          <w:tcPr>
            <w:tcW w:w="1919" w:type="dxa"/>
            <w:tcBorders>
              <w:top w:val="single" w:sz="4" w:space="0" w:color="auto"/>
            </w:tcBorders>
            <w:noWrap/>
            <w:vAlign w:val="bottom"/>
            <w:hideMark/>
          </w:tcPr>
          <w:p w14:paraId="6B3B5E87"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tcBorders>
              <w:top w:val="single" w:sz="4" w:space="0" w:color="auto"/>
            </w:tcBorders>
            <w:vAlign w:val="bottom"/>
            <w:hideMark/>
          </w:tcPr>
          <w:p w14:paraId="5FA65ACD"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5EB0E551" w14:textId="77777777" w:rsidTr="00745114">
        <w:trPr>
          <w:trHeight w:val="303"/>
          <w:jc w:val="center"/>
        </w:trPr>
        <w:tc>
          <w:tcPr>
            <w:tcW w:w="1986" w:type="dxa"/>
            <w:vAlign w:val="bottom"/>
            <w:hideMark/>
          </w:tcPr>
          <w:p w14:paraId="029EB79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4</w:t>
            </w:r>
          </w:p>
        </w:tc>
        <w:tc>
          <w:tcPr>
            <w:tcW w:w="1835" w:type="dxa"/>
            <w:noWrap/>
            <w:vAlign w:val="bottom"/>
            <w:hideMark/>
          </w:tcPr>
          <w:p w14:paraId="1DF6D249"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-0,58</w:t>
            </w:r>
          </w:p>
        </w:tc>
        <w:tc>
          <w:tcPr>
            <w:tcW w:w="1919" w:type="dxa"/>
            <w:vAlign w:val="bottom"/>
            <w:hideMark/>
          </w:tcPr>
          <w:p w14:paraId="20EE029B"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65E6B4BF"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-0,35</w:t>
            </w:r>
          </w:p>
        </w:tc>
      </w:tr>
      <w:tr w:rsidR="007A1B67" w:rsidRPr="00162ACE" w14:paraId="0C1F9599" w14:textId="77777777" w:rsidTr="00745114">
        <w:trPr>
          <w:trHeight w:val="303"/>
          <w:jc w:val="center"/>
        </w:trPr>
        <w:tc>
          <w:tcPr>
            <w:tcW w:w="1986" w:type="dxa"/>
            <w:vAlign w:val="bottom"/>
            <w:hideMark/>
          </w:tcPr>
          <w:p w14:paraId="435A3DC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3</w:t>
            </w:r>
          </w:p>
        </w:tc>
        <w:tc>
          <w:tcPr>
            <w:tcW w:w="1835" w:type="dxa"/>
            <w:noWrap/>
            <w:vAlign w:val="bottom"/>
            <w:hideMark/>
          </w:tcPr>
          <w:p w14:paraId="7800BD9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-0,58</w:t>
            </w:r>
          </w:p>
        </w:tc>
        <w:tc>
          <w:tcPr>
            <w:tcW w:w="1919" w:type="dxa"/>
            <w:vAlign w:val="bottom"/>
            <w:hideMark/>
          </w:tcPr>
          <w:p w14:paraId="4F76B3A2"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17D61CE7"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-0,38</w:t>
            </w:r>
          </w:p>
        </w:tc>
      </w:tr>
      <w:tr w:rsidR="007A1B67" w:rsidRPr="00162ACE" w14:paraId="6F45A270" w14:textId="77777777" w:rsidTr="00745114">
        <w:trPr>
          <w:trHeight w:val="303"/>
          <w:jc w:val="center"/>
        </w:trPr>
        <w:tc>
          <w:tcPr>
            <w:tcW w:w="1986" w:type="dxa"/>
            <w:vAlign w:val="bottom"/>
            <w:hideMark/>
          </w:tcPr>
          <w:p w14:paraId="32BAD398"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10</w:t>
            </w:r>
          </w:p>
        </w:tc>
        <w:tc>
          <w:tcPr>
            <w:tcW w:w="1835" w:type="dxa"/>
            <w:noWrap/>
            <w:vAlign w:val="bottom"/>
            <w:hideMark/>
          </w:tcPr>
          <w:p w14:paraId="44542CDC"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-0,47</w:t>
            </w:r>
          </w:p>
        </w:tc>
        <w:tc>
          <w:tcPr>
            <w:tcW w:w="1919" w:type="dxa"/>
            <w:noWrap/>
            <w:vAlign w:val="bottom"/>
            <w:hideMark/>
          </w:tcPr>
          <w:p w14:paraId="6C49C810"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-0,38</w:t>
            </w:r>
          </w:p>
        </w:tc>
        <w:tc>
          <w:tcPr>
            <w:tcW w:w="1950" w:type="dxa"/>
            <w:vAlign w:val="bottom"/>
            <w:hideMark/>
          </w:tcPr>
          <w:p w14:paraId="658D0D57"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6DBB16ED" w14:textId="77777777" w:rsidTr="00745114">
        <w:trPr>
          <w:trHeight w:val="303"/>
          <w:jc w:val="center"/>
        </w:trPr>
        <w:tc>
          <w:tcPr>
            <w:tcW w:w="1986" w:type="dxa"/>
            <w:vAlign w:val="bottom"/>
            <w:hideMark/>
          </w:tcPr>
          <w:p w14:paraId="5D7588BD"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9</w:t>
            </w:r>
          </w:p>
        </w:tc>
        <w:tc>
          <w:tcPr>
            <w:tcW w:w="1835" w:type="dxa"/>
            <w:noWrap/>
            <w:vAlign w:val="bottom"/>
            <w:hideMark/>
          </w:tcPr>
          <w:p w14:paraId="010BA3C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-0,44</w:t>
            </w:r>
          </w:p>
        </w:tc>
        <w:tc>
          <w:tcPr>
            <w:tcW w:w="1919" w:type="dxa"/>
            <w:noWrap/>
            <w:vAlign w:val="bottom"/>
            <w:hideMark/>
          </w:tcPr>
          <w:p w14:paraId="369729C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-0,42</w:t>
            </w:r>
          </w:p>
        </w:tc>
        <w:tc>
          <w:tcPr>
            <w:tcW w:w="1950" w:type="dxa"/>
            <w:vAlign w:val="bottom"/>
            <w:hideMark/>
          </w:tcPr>
          <w:p w14:paraId="602B0712"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2B44445E" w14:textId="77777777" w:rsidTr="00745114">
        <w:trPr>
          <w:trHeight w:val="303"/>
          <w:jc w:val="center"/>
        </w:trPr>
        <w:tc>
          <w:tcPr>
            <w:tcW w:w="1986" w:type="dxa"/>
            <w:vAlign w:val="bottom"/>
            <w:hideMark/>
          </w:tcPr>
          <w:p w14:paraId="3D6B76B0"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12</w:t>
            </w:r>
          </w:p>
        </w:tc>
        <w:tc>
          <w:tcPr>
            <w:tcW w:w="1835" w:type="dxa"/>
            <w:noWrap/>
            <w:vAlign w:val="bottom"/>
            <w:hideMark/>
          </w:tcPr>
          <w:p w14:paraId="5EB509B0"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-0,35</w:t>
            </w:r>
          </w:p>
        </w:tc>
        <w:tc>
          <w:tcPr>
            <w:tcW w:w="1919" w:type="dxa"/>
            <w:vAlign w:val="bottom"/>
            <w:hideMark/>
          </w:tcPr>
          <w:p w14:paraId="62419747"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vAlign w:val="bottom"/>
            <w:hideMark/>
          </w:tcPr>
          <w:p w14:paraId="09555FAE"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1F81B25E" w14:textId="77777777" w:rsidTr="00745114">
        <w:trPr>
          <w:trHeight w:val="303"/>
          <w:jc w:val="center"/>
        </w:trPr>
        <w:tc>
          <w:tcPr>
            <w:tcW w:w="1986" w:type="dxa"/>
            <w:vAlign w:val="bottom"/>
            <w:hideMark/>
          </w:tcPr>
          <w:p w14:paraId="74FF9FC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13</w:t>
            </w:r>
          </w:p>
        </w:tc>
        <w:tc>
          <w:tcPr>
            <w:tcW w:w="1835" w:type="dxa"/>
            <w:noWrap/>
            <w:vAlign w:val="bottom"/>
            <w:hideMark/>
          </w:tcPr>
          <w:p w14:paraId="0DA1F9D4"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noWrap/>
            <w:vAlign w:val="bottom"/>
            <w:hideMark/>
          </w:tcPr>
          <w:p w14:paraId="19F9EDCB"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0,80</w:t>
            </w:r>
          </w:p>
        </w:tc>
        <w:tc>
          <w:tcPr>
            <w:tcW w:w="1950" w:type="dxa"/>
            <w:noWrap/>
            <w:vAlign w:val="bottom"/>
            <w:hideMark/>
          </w:tcPr>
          <w:p w14:paraId="24244BE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0,32</w:t>
            </w:r>
          </w:p>
        </w:tc>
      </w:tr>
      <w:tr w:rsidR="007A1B67" w:rsidRPr="00162ACE" w14:paraId="34F93E83" w14:textId="77777777" w:rsidTr="00745114">
        <w:trPr>
          <w:trHeight w:val="303"/>
          <w:jc w:val="center"/>
        </w:trPr>
        <w:tc>
          <w:tcPr>
            <w:tcW w:w="1986" w:type="dxa"/>
            <w:vAlign w:val="bottom"/>
            <w:hideMark/>
          </w:tcPr>
          <w:p w14:paraId="4DA48FDF"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14</w:t>
            </w:r>
          </w:p>
        </w:tc>
        <w:tc>
          <w:tcPr>
            <w:tcW w:w="1835" w:type="dxa"/>
            <w:noWrap/>
            <w:vAlign w:val="bottom"/>
            <w:hideMark/>
          </w:tcPr>
          <w:p w14:paraId="3D30420B"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noWrap/>
            <w:vAlign w:val="bottom"/>
            <w:hideMark/>
          </w:tcPr>
          <w:p w14:paraId="7F62664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0,77</w:t>
            </w:r>
          </w:p>
        </w:tc>
        <w:tc>
          <w:tcPr>
            <w:tcW w:w="1950" w:type="dxa"/>
            <w:noWrap/>
            <w:vAlign w:val="bottom"/>
            <w:hideMark/>
          </w:tcPr>
          <w:p w14:paraId="7CFA9A2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0,32</w:t>
            </w:r>
          </w:p>
        </w:tc>
      </w:tr>
      <w:tr w:rsidR="007A1B67" w:rsidRPr="00162ACE" w14:paraId="29A9034F" w14:textId="77777777" w:rsidTr="00745114">
        <w:trPr>
          <w:trHeight w:val="303"/>
          <w:jc w:val="center"/>
        </w:trPr>
        <w:tc>
          <w:tcPr>
            <w:tcW w:w="1986" w:type="dxa"/>
            <w:vAlign w:val="bottom"/>
            <w:hideMark/>
          </w:tcPr>
          <w:p w14:paraId="58DFE7CD"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7</w:t>
            </w:r>
          </w:p>
        </w:tc>
        <w:tc>
          <w:tcPr>
            <w:tcW w:w="1835" w:type="dxa"/>
            <w:noWrap/>
            <w:vAlign w:val="bottom"/>
            <w:hideMark/>
          </w:tcPr>
          <w:p w14:paraId="20CC96DD"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vAlign w:val="bottom"/>
            <w:hideMark/>
          </w:tcPr>
          <w:p w14:paraId="63C46BA2"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01620D68"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0,47</w:t>
            </w:r>
          </w:p>
        </w:tc>
      </w:tr>
      <w:tr w:rsidR="007A1B67" w:rsidRPr="00162ACE" w14:paraId="3E5478DE" w14:textId="77777777" w:rsidTr="00745114">
        <w:trPr>
          <w:trHeight w:val="303"/>
          <w:jc w:val="center"/>
        </w:trPr>
        <w:tc>
          <w:tcPr>
            <w:tcW w:w="1986" w:type="dxa"/>
            <w:vAlign w:val="bottom"/>
            <w:hideMark/>
          </w:tcPr>
          <w:p w14:paraId="53F0ADD7"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w:t>
            </w:r>
          </w:p>
        </w:tc>
        <w:tc>
          <w:tcPr>
            <w:tcW w:w="1835" w:type="dxa"/>
            <w:vAlign w:val="bottom"/>
            <w:hideMark/>
          </w:tcPr>
          <w:p w14:paraId="5349E2AA"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vAlign w:val="bottom"/>
            <w:hideMark/>
          </w:tcPr>
          <w:p w14:paraId="548975EA"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387D69E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0,46</w:t>
            </w:r>
          </w:p>
        </w:tc>
      </w:tr>
      <w:tr w:rsidR="007A1B67" w:rsidRPr="00162ACE" w14:paraId="0B545C6D" w14:textId="77777777" w:rsidTr="00745114">
        <w:trPr>
          <w:trHeight w:val="303"/>
          <w:jc w:val="center"/>
        </w:trPr>
        <w:tc>
          <w:tcPr>
            <w:tcW w:w="1986" w:type="dxa"/>
            <w:vAlign w:val="bottom"/>
            <w:hideMark/>
          </w:tcPr>
          <w:p w14:paraId="49ADAE18"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8</w:t>
            </w:r>
          </w:p>
        </w:tc>
        <w:tc>
          <w:tcPr>
            <w:tcW w:w="1835" w:type="dxa"/>
            <w:vAlign w:val="bottom"/>
            <w:hideMark/>
          </w:tcPr>
          <w:p w14:paraId="26FCB991"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vAlign w:val="bottom"/>
            <w:hideMark/>
          </w:tcPr>
          <w:p w14:paraId="4867CA44"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50C75D55"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0,42</w:t>
            </w:r>
          </w:p>
        </w:tc>
      </w:tr>
      <w:tr w:rsidR="007A1B67" w:rsidRPr="00162ACE" w14:paraId="2640328B" w14:textId="77777777" w:rsidTr="00745114">
        <w:trPr>
          <w:trHeight w:val="343"/>
          <w:jc w:val="center"/>
        </w:trPr>
        <w:tc>
          <w:tcPr>
            <w:tcW w:w="1986" w:type="dxa"/>
            <w:tcBorders>
              <w:bottom w:val="nil"/>
            </w:tcBorders>
            <w:vAlign w:val="bottom"/>
            <w:hideMark/>
          </w:tcPr>
          <w:p w14:paraId="3E6A6D35"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6</w:t>
            </w:r>
          </w:p>
        </w:tc>
        <w:tc>
          <w:tcPr>
            <w:tcW w:w="1835" w:type="dxa"/>
            <w:tcBorders>
              <w:bottom w:val="nil"/>
            </w:tcBorders>
            <w:vAlign w:val="bottom"/>
            <w:hideMark/>
          </w:tcPr>
          <w:p w14:paraId="13EC5928"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tcBorders>
              <w:bottom w:val="nil"/>
            </w:tcBorders>
            <w:vAlign w:val="bottom"/>
            <w:hideMark/>
          </w:tcPr>
          <w:p w14:paraId="6D251145"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tcBorders>
              <w:bottom w:val="nil"/>
            </w:tcBorders>
            <w:noWrap/>
            <w:vAlign w:val="bottom"/>
            <w:hideMark/>
          </w:tcPr>
          <w:p w14:paraId="421477A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0,35</w:t>
            </w:r>
          </w:p>
        </w:tc>
      </w:tr>
      <w:tr w:rsidR="007A1B67" w:rsidRPr="00162ACE" w14:paraId="01ED2BF2" w14:textId="77777777" w:rsidTr="00745114">
        <w:trPr>
          <w:trHeight w:val="318"/>
          <w:jc w:val="center"/>
        </w:trPr>
        <w:tc>
          <w:tcPr>
            <w:tcW w:w="1986" w:type="dxa"/>
            <w:tcBorders>
              <w:top w:val="nil"/>
              <w:bottom w:val="single" w:sz="4" w:space="0" w:color="auto"/>
            </w:tcBorders>
            <w:vAlign w:val="bottom"/>
            <w:hideMark/>
          </w:tcPr>
          <w:p w14:paraId="07DFBA4B"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2</w:t>
            </w:r>
          </w:p>
        </w:tc>
        <w:tc>
          <w:tcPr>
            <w:tcW w:w="1835" w:type="dxa"/>
            <w:tcBorders>
              <w:top w:val="nil"/>
              <w:bottom w:val="single" w:sz="4" w:space="0" w:color="auto"/>
            </w:tcBorders>
            <w:vAlign w:val="bottom"/>
            <w:hideMark/>
          </w:tcPr>
          <w:p w14:paraId="2CFA80C6"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tcBorders>
              <w:top w:val="nil"/>
              <w:bottom w:val="single" w:sz="4" w:space="0" w:color="auto"/>
            </w:tcBorders>
            <w:vAlign w:val="bottom"/>
            <w:hideMark/>
          </w:tcPr>
          <w:p w14:paraId="212B083E"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tcBorders>
              <w:top w:val="nil"/>
              <w:bottom w:val="single" w:sz="4" w:space="0" w:color="auto"/>
            </w:tcBorders>
            <w:noWrap/>
            <w:vAlign w:val="bottom"/>
            <w:hideMark/>
          </w:tcPr>
          <w:p w14:paraId="0AE803F9"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0,29</w:t>
            </w:r>
          </w:p>
        </w:tc>
      </w:tr>
      <w:tr w:rsidR="007A1B67" w:rsidRPr="00162ACE" w14:paraId="71A20AB5" w14:textId="77777777" w:rsidTr="00745114">
        <w:trPr>
          <w:trHeight w:val="318"/>
          <w:jc w:val="center"/>
        </w:trPr>
        <w:tc>
          <w:tcPr>
            <w:tcW w:w="7690" w:type="dxa"/>
            <w:gridSpan w:val="4"/>
            <w:tcBorders>
              <w:top w:val="single" w:sz="4" w:space="0" w:color="auto"/>
            </w:tcBorders>
          </w:tcPr>
          <w:p w14:paraId="02BB9725" w14:textId="77777777" w:rsidR="006F34FB" w:rsidRPr="00162ACE" w:rsidRDefault="007A1B67" w:rsidP="00162ACE">
            <w:pPr>
              <w:spacing w:line="360" w:lineRule="auto"/>
              <w:rPr>
                <w:rFonts w:ascii="Times New Roman" w:hAnsi="Times New Roman" w:cs="Times New Roman"/>
                <w:sz w:val="24"/>
                <w:szCs w:val="24"/>
              </w:rPr>
            </w:pPr>
            <w:r w:rsidRPr="00162ACE">
              <w:rPr>
                <w:rFonts w:ascii="Times New Roman" w:hAnsi="Times New Roman" w:cs="Times New Roman"/>
                <w:i/>
                <w:sz w:val="24"/>
                <w:szCs w:val="24"/>
              </w:rPr>
              <w:t>Nota</w:t>
            </w:r>
            <w:r w:rsidR="00BF38F2" w:rsidRPr="00162ACE">
              <w:rPr>
                <w:rFonts w:ascii="Times New Roman" w:hAnsi="Times New Roman" w:cs="Times New Roman"/>
                <w:i/>
                <w:sz w:val="24"/>
                <w:szCs w:val="24"/>
              </w:rPr>
              <w:t>s</w:t>
            </w:r>
            <w:r w:rsidRPr="00162ACE">
              <w:rPr>
                <w:rFonts w:ascii="Times New Roman" w:hAnsi="Times New Roman" w:cs="Times New Roman"/>
                <w:i/>
                <w:sz w:val="24"/>
                <w:szCs w:val="24"/>
              </w:rPr>
              <w:t>.</w:t>
            </w:r>
            <w:r w:rsidRPr="00162ACE">
              <w:rPr>
                <w:rFonts w:ascii="Times New Roman" w:hAnsi="Times New Roman" w:cs="Times New Roman"/>
                <w:sz w:val="24"/>
                <w:szCs w:val="24"/>
              </w:rPr>
              <w:t xml:space="preserve"> Método de factorización de ejes principales con rotación Oblimin directa. No se muestran las cargas inferiores a 0,25. </w:t>
            </w:r>
          </w:p>
        </w:tc>
      </w:tr>
    </w:tbl>
    <w:p w14:paraId="7081AF4B" w14:textId="77777777" w:rsidR="00D1615E" w:rsidRPr="00162ACE" w:rsidRDefault="00D1615E" w:rsidP="00E74185">
      <w:pPr>
        <w:spacing w:line="480" w:lineRule="auto"/>
        <w:ind w:firstLine="708"/>
        <w:rPr>
          <w:rFonts w:ascii="Times New Roman" w:hAnsi="Times New Roman" w:cs="Times New Roman"/>
          <w:i/>
          <w:sz w:val="24"/>
          <w:szCs w:val="24"/>
        </w:rPr>
      </w:pPr>
    </w:p>
    <w:p w14:paraId="3A2EB806" w14:textId="77777777" w:rsidR="00C14849" w:rsidRPr="00162ACE" w:rsidRDefault="007A1B67" w:rsidP="00162ACE">
      <w:pPr>
        <w:spacing w:line="480" w:lineRule="auto"/>
        <w:rPr>
          <w:rFonts w:ascii="Times New Roman" w:hAnsi="Times New Roman" w:cs="Times New Roman"/>
          <w:i/>
          <w:color w:val="000000" w:themeColor="text1"/>
          <w:sz w:val="24"/>
          <w:szCs w:val="24"/>
        </w:rPr>
      </w:pPr>
      <w:r w:rsidRPr="00162ACE">
        <w:rPr>
          <w:rFonts w:ascii="Times New Roman" w:hAnsi="Times New Roman" w:cs="Times New Roman"/>
          <w:i/>
          <w:color w:val="000000" w:themeColor="text1"/>
          <w:sz w:val="24"/>
          <w:szCs w:val="24"/>
        </w:rPr>
        <w:t>Criterios de validación externa</w:t>
      </w:r>
    </w:p>
    <w:p w14:paraId="2D5687B0" w14:textId="77777777" w:rsidR="00177248" w:rsidRPr="00162ACE" w:rsidRDefault="00177248" w:rsidP="00162ACE">
      <w:pPr>
        <w:spacing w:line="480" w:lineRule="auto"/>
        <w:ind w:firstLine="708"/>
        <w:rPr>
          <w:rFonts w:ascii="Times New Roman" w:hAnsi="Times New Roman" w:cs="Times New Roman"/>
          <w:sz w:val="24"/>
          <w:szCs w:val="24"/>
          <w:lang w:val="es-ES"/>
        </w:rPr>
      </w:pPr>
      <w:r w:rsidRPr="00162ACE">
        <w:rPr>
          <w:rFonts w:ascii="Times New Roman" w:hAnsi="Times New Roman" w:cs="Times New Roman"/>
          <w:color w:val="000000" w:themeColor="text1"/>
          <w:sz w:val="24"/>
          <w:szCs w:val="24"/>
        </w:rPr>
        <w:t xml:space="preserve">Se </w:t>
      </w:r>
      <w:r w:rsidR="00D4689B" w:rsidRPr="00162ACE">
        <w:rPr>
          <w:rFonts w:ascii="Times New Roman" w:hAnsi="Times New Roman" w:cs="Times New Roman"/>
          <w:color w:val="000000" w:themeColor="text1"/>
          <w:sz w:val="24"/>
          <w:szCs w:val="24"/>
        </w:rPr>
        <w:t>realizó</w:t>
      </w:r>
      <w:r w:rsidRPr="00162ACE">
        <w:rPr>
          <w:rFonts w:ascii="Times New Roman" w:hAnsi="Times New Roman" w:cs="Times New Roman"/>
          <w:color w:val="000000" w:themeColor="text1"/>
          <w:sz w:val="24"/>
          <w:szCs w:val="24"/>
        </w:rPr>
        <w:t xml:space="preserve"> una comparación de medias del consumo de sustancias psicoactivas y </w:t>
      </w:r>
      <w:r w:rsidR="00D4689B" w:rsidRPr="00162ACE">
        <w:rPr>
          <w:rFonts w:ascii="Times New Roman" w:hAnsi="Times New Roman" w:cs="Times New Roman"/>
          <w:color w:val="000000" w:themeColor="text1"/>
          <w:sz w:val="24"/>
          <w:szCs w:val="24"/>
        </w:rPr>
        <w:t>puntuaciones</w:t>
      </w:r>
      <w:r w:rsidRPr="00162ACE">
        <w:rPr>
          <w:rFonts w:ascii="Times New Roman" w:hAnsi="Times New Roman" w:cs="Times New Roman"/>
          <w:color w:val="000000" w:themeColor="text1"/>
          <w:sz w:val="24"/>
          <w:szCs w:val="24"/>
        </w:rPr>
        <w:t xml:space="preserve"> en CFC-F y CFC-I </w:t>
      </w:r>
      <w:r w:rsidRPr="00162ACE">
        <w:rPr>
          <w:rFonts w:ascii="Times New Roman" w:hAnsi="Times New Roman" w:cs="Times New Roman"/>
          <w:sz w:val="24"/>
          <w:szCs w:val="24"/>
        </w:rPr>
        <w:t>según barrio (ver tabla 4). De los datos presen</w:t>
      </w:r>
      <w:r w:rsidR="001C30A7" w:rsidRPr="00162ACE">
        <w:rPr>
          <w:rFonts w:ascii="Times New Roman" w:hAnsi="Times New Roman" w:cs="Times New Roman"/>
          <w:sz w:val="24"/>
          <w:szCs w:val="24"/>
        </w:rPr>
        <w:t>tados en la tabla 4</w:t>
      </w:r>
      <w:r w:rsidRPr="00162ACE">
        <w:rPr>
          <w:rFonts w:ascii="Times New Roman" w:hAnsi="Times New Roman" w:cs="Times New Roman"/>
          <w:sz w:val="24"/>
          <w:szCs w:val="24"/>
        </w:rPr>
        <w:t xml:space="preserve"> se destaca que los participantes que residen en La Teja presentan </w:t>
      </w:r>
      <w:r w:rsidR="001C30A7" w:rsidRPr="00162ACE">
        <w:rPr>
          <w:rFonts w:ascii="Times New Roman" w:hAnsi="Times New Roman" w:cs="Times New Roman"/>
          <w:sz w:val="24"/>
          <w:szCs w:val="24"/>
        </w:rPr>
        <w:t xml:space="preserve">mayor puntuación en CFC-I y </w:t>
      </w:r>
      <w:r w:rsidRPr="00162ACE">
        <w:rPr>
          <w:rFonts w:ascii="Times New Roman" w:hAnsi="Times New Roman" w:cs="Times New Roman"/>
          <w:sz w:val="24"/>
          <w:szCs w:val="24"/>
        </w:rPr>
        <w:t>mayor con</w:t>
      </w:r>
      <w:r w:rsidR="001C30A7" w:rsidRPr="00162ACE">
        <w:rPr>
          <w:rFonts w:ascii="Times New Roman" w:hAnsi="Times New Roman" w:cs="Times New Roman"/>
          <w:sz w:val="24"/>
          <w:szCs w:val="24"/>
        </w:rPr>
        <w:t>sumo de</w:t>
      </w:r>
      <w:r w:rsidR="00D1615E" w:rsidRPr="00162ACE">
        <w:rPr>
          <w:rFonts w:ascii="Times New Roman" w:hAnsi="Times New Roman" w:cs="Times New Roman"/>
          <w:sz w:val="24"/>
          <w:szCs w:val="24"/>
        </w:rPr>
        <w:t xml:space="preserve"> sustancias psicoactivas. Por el contrario, </w:t>
      </w:r>
      <w:r w:rsidR="001C30A7" w:rsidRPr="00162ACE">
        <w:rPr>
          <w:rFonts w:ascii="Times New Roman" w:hAnsi="Times New Roman" w:cs="Times New Roman"/>
          <w:sz w:val="24"/>
          <w:szCs w:val="24"/>
        </w:rPr>
        <w:t>e</w:t>
      </w:r>
      <w:r w:rsidRPr="00162ACE">
        <w:rPr>
          <w:rFonts w:ascii="Times New Roman" w:hAnsi="Times New Roman" w:cs="Times New Roman"/>
          <w:sz w:val="24"/>
          <w:szCs w:val="24"/>
        </w:rPr>
        <w:t>n Malvín</w:t>
      </w:r>
      <w:r w:rsidR="001C30A7" w:rsidRPr="00162ACE">
        <w:rPr>
          <w:rFonts w:ascii="Times New Roman" w:hAnsi="Times New Roman" w:cs="Times New Roman"/>
          <w:sz w:val="24"/>
          <w:szCs w:val="24"/>
        </w:rPr>
        <w:t xml:space="preserve"> se evidenció</w:t>
      </w:r>
      <w:r w:rsidR="00074630" w:rsidRPr="00162ACE">
        <w:rPr>
          <w:rFonts w:ascii="Times New Roman" w:hAnsi="Times New Roman" w:cs="Times New Roman"/>
          <w:sz w:val="24"/>
          <w:szCs w:val="24"/>
        </w:rPr>
        <w:t xml:space="preserve"> </w:t>
      </w:r>
      <w:r w:rsidR="001C30A7" w:rsidRPr="00162ACE">
        <w:rPr>
          <w:rFonts w:ascii="Times New Roman" w:hAnsi="Times New Roman" w:cs="Times New Roman"/>
          <w:sz w:val="24"/>
          <w:szCs w:val="24"/>
        </w:rPr>
        <w:lastRenderedPageBreak/>
        <w:t xml:space="preserve">mayor puntuación en CFC-F, </w:t>
      </w:r>
      <w:r w:rsidRPr="00162ACE">
        <w:rPr>
          <w:rFonts w:ascii="Times New Roman" w:hAnsi="Times New Roman" w:cs="Times New Roman"/>
          <w:sz w:val="24"/>
          <w:szCs w:val="24"/>
        </w:rPr>
        <w:t>menor con</w:t>
      </w:r>
      <w:r w:rsidR="001C30A7" w:rsidRPr="00162ACE">
        <w:rPr>
          <w:rFonts w:ascii="Times New Roman" w:hAnsi="Times New Roman" w:cs="Times New Roman"/>
          <w:sz w:val="24"/>
          <w:szCs w:val="24"/>
        </w:rPr>
        <w:t>sumo de sustancias psicoactivas y</w:t>
      </w:r>
      <w:r w:rsidRPr="00162ACE">
        <w:rPr>
          <w:rFonts w:ascii="Times New Roman" w:hAnsi="Times New Roman" w:cs="Times New Roman"/>
          <w:sz w:val="24"/>
          <w:szCs w:val="24"/>
        </w:rPr>
        <w:t xml:space="preserve"> mayor nivel educativo</w:t>
      </w:r>
      <w:r w:rsidR="001C30A7" w:rsidRPr="00162ACE">
        <w:rPr>
          <w:rFonts w:ascii="Times New Roman" w:hAnsi="Times New Roman" w:cs="Times New Roman"/>
          <w:sz w:val="24"/>
          <w:szCs w:val="24"/>
        </w:rPr>
        <w:t xml:space="preserve">. </w:t>
      </w:r>
      <w:r w:rsidRPr="00162ACE">
        <w:rPr>
          <w:rFonts w:ascii="Times New Roman" w:hAnsi="Times New Roman" w:cs="Times New Roman"/>
          <w:sz w:val="24"/>
          <w:szCs w:val="24"/>
        </w:rPr>
        <w:t>Estos datos</w:t>
      </w:r>
      <w:r w:rsidR="00750F91" w:rsidRPr="00162ACE">
        <w:rPr>
          <w:rFonts w:ascii="Times New Roman" w:hAnsi="Times New Roman" w:cs="Times New Roman"/>
          <w:sz w:val="24"/>
          <w:szCs w:val="24"/>
        </w:rPr>
        <w:t xml:space="preserve"> son los teóricamente esperados</w:t>
      </w:r>
      <w:r w:rsidRPr="00162ACE">
        <w:rPr>
          <w:rFonts w:ascii="Times New Roman" w:hAnsi="Times New Roman" w:cs="Times New Roman"/>
          <w:sz w:val="24"/>
          <w:szCs w:val="24"/>
        </w:rPr>
        <w:t xml:space="preserve">. Al haber pocas respuestas </w:t>
      </w:r>
      <w:r w:rsidR="00973928" w:rsidRPr="00162ACE">
        <w:rPr>
          <w:rFonts w:ascii="Times New Roman" w:hAnsi="Times New Roman" w:cs="Times New Roman"/>
          <w:sz w:val="24"/>
          <w:szCs w:val="24"/>
        </w:rPr>
        <w:t>positivas que auto-reporten consumo de c</w:t>
      </w:r>
      <w:r w:rsidR="00D4689B" w:rsidRPr="00162ACE">
        <w:rPr>
          <w:rFonts w:ascii="Times New Roman" w:hAnsi="Times New Roman" w:cs="Times New Roman"/>
          <w:sz w:val="24"/>
          <w:szCs w:val="24"/>
        </w:rPr>
        <w:t>ocaína</w:t>
      </w:r>
      <w:r w:rsidR="00973928" w:rsidRPr="00162ACE">
        <w:rPr>
          <w:rFonts w:ascii="Times New Roman" w:hAnsi="Times New Roman" w:cs="Times New Roman"/>
          <w:sz w:val="24"/>
          <w:szCs w:val="24"/>
        </w:rPr>
        <w:t xml:space="preserve"> o pasta b</w:t>
      </w:r>
      <w:r w:rsidRPr="00162ACE">
        <w:rPr>
          <w:rFonts w:ascii="Times New Roman" w:hAnsi="Times New Roman" w:cs="Times New Roman"/>
          <w:sz w:val="24"/>
          <w:szCs w:val="24"/>
        </w:rPr>
        <w:t xml:space="preserve">ase de </w:t>
      </w:r>
      <w:r w:rsidR="00745114" w:rsidRPr="00162ACE">
        <w:rPr>
          <w:rFonts w:ascii="Times New Roman" w:hAnsi="Times New Roman" w:cs="Times New Roman"/>
          <w:sz w:val="24"/>
          <w:szCs w:val="24"/>
        </w:rPr>
        <w:t>c</w:t>
      </w:r>
      <w:r w:rsidR="00D4689B" w:rsidRPr="00162ACE">
        <w:rPr>
          <w:rFonts w:ascii="Times New Roman" w:hAnsi="Times New Roman" w:cs="Times New Roman"/>
          <w:sz w:val="24"/>
          <w:szCs w:val="24"/>
        </w:rPr>
        <w:t>ocaína</w:t>
      </w:r>
      <w:r w:rsidRPr="00162ACE">
        <w:rPr>
          <w:rFonts w:ascii="Times New Roman" w:hAnsi="Times New Roman" w:cs="Times New Roman"/>
          <w:sz w:val="24"/>
          <w:szCs w:val="24"/>
        </w:rPr>
        <w:t xml:space="preserve"> estos datos no serán </w:t>
      </w:r>
      <w:r w:rsidR="00074630" w:rsidRPr="00162ACE">
        <w:rPr>
          <w:rFonts w:ascii="Times New Roman" w:hAnsi="Times New Roman" w:cs="Times New Roman"/>
          <w:sz w:val="24"/>
          <w:szCs w:val="24"/>
        </w:rPr>
        <w:t>analizados</w:t>
      </w:r>
      <w:r w:rsidRPr="00162ACE">
        <w:rPr>
          <w:rFonts w:ascii="Times New Roman" w:hAnsi="Times New Roman" w:cs="Times New Roman"/>
          <w:sz w:val="24"/>
          <w:szCs w:val="24"/>
        </w:rPr>
        <w:t>.</w:t>
      </w:r>
    </w:p>
    <w:p w14:paraId="6BA025AE" w14:textId="77777777" w:rsidR="003F3B43" w:rsidRPr="00162ACE" w:rsidRDefault="00177248"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Se ejecutó un análisis de las </w:t>
      </w:r>
      <w:r w:rsidR="00D4689B" w:rsidRPr="00162ACE">
        <w:rPr>
          <w:rFonts w:ascii="Times New Roman" w:hAnsi="Times New Roman" w:cs="Times New Roman"/>
          <w:sz w:val="24"/>
          <w:szCs w:val="24"/>
        </w:rPr>
        <w:t>correlaciones</w:t>
      </w:r>
      <w:r w:rsidRPr="00162ACE">
        <w:rPr>
          <w:rFonts w:ascii="Times New Roman" w:hAnsi="Times New Roman" w:cs="Times New Roman"/>
          <w:sz w:val="24"/>
          <w:szCs w:val="24"/>
        </w:rPr>
        <w:t xml:space="preserve"> entre las subescalas de </w:t>
      </w:r>
      <w:r w:rsidR="00D1615E" w:rsidRPr="00162ACE">
        <w:rPr>
          <w:rFonts w:ascii="Times New Roman" w:hAnsi="Times New Roman" w:cs="Times New Roman"/>
          <w:sz w:val="24"/>
          <w:szCs w:val="24"/>
        </w:rPr>
        <w:t xml:space="preserve">la Escala </w:t>
      </w:r>
      <w:r w:rsidRPr="00162ACE">
        <w:rPr>
          <w:rFonts w:ascii="Times New Roman" w:hAnsi="Times New Roman" w:cs="Times New Roman"/>
          <w:sz w:val="24"/>
          <w:szCs w:val="24"/>
        </w:rPr>
        <w:t xml:space="preserve">CFC con consumo de sustancias y nivel educativo (ver tabla 5).  De los datos se destaca que la correlación entre las subescalas CFC-I y CFC-F es moderadamente </w:t>
      </w:r>
      <w:r w:rsidRPr="004227F0">
        <w:rPr>
          <w:rFonts w:ascii="Times New Roman" w:hAnsi="Times New Roman" w:cs="Times New Roman"/>
          <w:sz w:val="24"/>
          <w:szCs w:val="24"/>
        </w:rPr>
        <w:t>negativa (</w:t>
      </w:r>
      <w:r w:rsidR="00973928" w:rsidRPr="004227F0">
        <w:rPr>
          <w:rFonts w:ascii="Times New Roman" w:hAnsi="Times New Roman" w:cs="Times New Roman"/>
          <w:sz w:val="24"/>
          <w:szCs w:val="24"/>
        </w:rPr>
        <w:t xml:space="preserve">r </w:t>
      </w:r>
      <w:r w:rsidR="00462DEC">
        <w:rPr>
          <w:rFonts w:ascii="Times New Roman" w:hAnsi="Times New Roman" w:cs="Times New Roman"/>
          <w:sz w:val="24"/>
          <w:szCs w:val="24"/>
        </w:rPr>
        <w:t xml:space="preserve"> </w:t>
      </w:r>
      <w:r w:rsidR="00973928" w:rsidRPr="004227F0">
        <w:rPr>
          <w:rFonts w:ascii="Times New Roman" w:hAnsi="Times New Roman" w:cs="Times New Roman"/>
          <w:sz w:val="24"/>
          <w:szCs w:val="24"/>
        </w:rPr>
        <w:t>=</w:t>
      </w:r>
      <w:r w:rsidR="00462DEC">
        <w:rPr>
          <w:rFonts w:ascii="Times New Roman" w:hAnsi="Times New Roman" w:cs="Times New Roman"/>
          <w:sz w:val="24"/>
          <w:szCs w:val="24"/>
        </w:rPr>
        <w:t xml:space="preserve"> </w:t>
      </w:r>
      <w:r w:rsidRPr="004227F0">
        <w:rPr>
          <w:rFonts w:ascii="Times New Roman" w:hAnsi="Times New Roman" w:cs="Times New Roman"/>
          <w:sz w:val="24"/>
          <w:szCs w:val="24"/>
        </w:rPr>
        <w:t>–0,</w:t>
      </w:r>
      <w:r w:rsidRPr="00162ACE">
        <w:rPr>
          <w:rFonts w:ascii="Times New Roman" w:hAnsi="Times New Roman" w:cs="Times New Roman"/>
          <w:sz w:val="24"/>
          <w:szCs w:val="24"/>
        </w:rPr>
        <w:t xml:space="preserve">34). En cuanto al consumo de sustancias psicoactivas (bebidas alcohólicas, tabaco, marihuana, cocaína y pasta base de cocaína) hay una correlación negativa con CFC-F y una correlación positiva con CFC-I, esto indica que las personas que puntúan alto en CFC-I son más proclives a consumir. </w:t>
      </w:r>
      <w:r w:rsidR="00074630" w:rsidRPr="00162ACE">
        <w:rPr>
          <w:rFonts w:ascii="Times New Roman" w:hAnsi="Times New Roman" w:cs="Times New Roman"/>
          <w:sz w:val="24"/>
          <w:szCs w:val="24"/>
        </w:rPr>
        <w:t>Existen diferencias estadísticamente</w:t>
      </w:r>
      <w:r w:rsidRPr="00162ACE">
        <w:rPr>
          <w:rFonts w:ascii="Times New Roman" w:hAnsi="Times New Roman" w:cs="Times New Roman"/>
          <w:sz w:val="24"/>
          <w:szCs w:val="24"/>
        </w:rPr>
        <w:t xml:space="preserve"> significativas entre el consumo de marihuana y la puntuación en CFC-I: F (3, 184) = 5,09; </w:t>
      </w:r>
      <w:r w:rsidRPr="00162ACE">
        <w:rPr>
          <w:rFonts w:ascii="Times New Roman" w:hAnsi="Times New Roman" w:cs="Times New Roman"/>
          <w:i/>
          <w:sz w:val="24"/>
          <w:szCs w:val="24"/>
        </w:rPr>
        <w:t>p</w:t>
      </w:r>
      <w:r w:rsidRPr="00162ACE">
        <w:rPr>
          <w:rFonts w:ascii="Times New Roman" w:hAnsi="Times New Roman" w:cs="Times New Roman"/>
          <w:sz w:val="24"/>
          <w:szCs w:val="24"/>
        </w:rPr>
        <w:t>&lt; 0,01. El nivel educativo posee una correlación con las puntuaciones de CFC-F de</w:t>
      </w:r>
      <w:r w:rsidRPr="00162ACE">
        <w:rPr>
          <w:rFonts w:ascii="Times New Roman" w:hAnsi="Times New Roman" w:cs="Times New Roman"/>
          <w:i/>
          <w:sz w:val="24"/>
          <w:szCs w:val="24"/>
        </w:rPr>
        <w:t xml:space="preserve"> r</w:t>
      </w:r>
      <w:r w:rsidRPr="00162ACE">
        <w:rPr>
          <w:rFonts w:ascii="Times New Roman" w:hAnsi="Times New Roman" w:cs="Times New Roman"/>
          <w:sz w:val="24"/>
          <w:szCs w:val="24"/>
        </w:rPr>
        <w:t xml:space="preserve"> = 0,08, n.s. y una correlación negativa con las puntuaciones de CFC-I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-0,11, n.s.).  </w:t>
      </w:r>
    </w:p>
    <w:p w14:paraId="79D26DA2" w14:textId="77777777" w:rsidR="003F3B43" w:rsidRPr="00162ACE" w:rsidRDefault="003F3B43"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También se analizó las correlaciones del consumo de sustancias psicoactivas, educación y CFC según cada barrio. Esto se debe a que se encontraron diferencias estadísticamente significativas en nivel educativo según barrio: F (2, 183) = 11,9; </w:t>
      </w:r>
      <w:r w:rsidRPr="00162ACE">
        <w:rPr>
          <w:rFonts w:ascii="Times New Roman" w:hAnsi="Times New Roman" w:cs="Times New Roman"/>
          <w:i/>
          <w:sz w:val="24"/>
          <w:szCs w:val="24"/>
        </w:rPr>
        <w:t>p</w:t>
      </w:r>
      <w:r w:rsidRPr="00162ACE">
        <w:rPr>
          <w:rFonts w:ascii="Times New Roman" w:hAnsi="Times New Roman" w:cs="Times New Roman"/>
          <w:sz w:val="24"/>
          <w:szCs w:val="24"/>
        </w:rPr>
        <w:t xml:space="preserve">&lt; 0,01, y en situación socioeconómica según barrio F (2, 183) = 4,00; </w:t>
      </w:r>
      <w:r w:rsidRPr="00162ACE">
        <w:rPr>
          <w:rFonts w:ascii="Times New Roman" w:hAnsi="Times New Roman" w:cs="Times New Roman"/>
          <w:i/>
          <w:sz w:val="24"/>
          <w:szCs w:val="24"/>
        </w:rPr>
        <w:t>p</w:t>
      </w:r>
      <w:r w:rsidRPr="00162ACE">
        <w:rPr>
          <w:rFonts w:ascii="Times New Roman" w:hAnsi="Times New Roman" w:cs="Times New Roman"/>
          <w:sz w:val="24"/>
          <w:szCs w:val="24"/>
        </w:rPr>
        <w:t>&lt; 0,01.Se destaca que en La Teja</w:t>
      </w:r>
      <w:r w:rsidR="00C27307" w:rsidRPr="00162ACE">
        <w:rPr>
          <w:rFonts w:ascii="Times New Roman" w:hAnsi="Times New Roman" w:cs="Times New Roman"/>
          <w:sz w:val="24"/>
          <w:szCs w:val="24"/>
        </w:rPr>
        <w:t xml:space="preserve"> </w:t>
      </w:r>
      <w:r w:rsidRPr="00162ACE">
        <w:rPr>
          <w:rFonts w:ascii="Times New Roman" w:hAnsi="Times New Roman" w:cs="Times New Roman"/>
          <w:sz w:val="24"/>
          <w:szCs w:val="24"/>
        </w:rPr>
        <w:t>CFC-F tiene una correlación negativa con CFC-I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-0,26, n.s.).CFC-I posee una correlación positiva con consumo de bebidas alcohólicas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0,20, n.s.).A su vez, existe una correlación positiva entre consumo de bebidas alcohólicas y consumo de marihuana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0,41, n.s.)</w:t>
      </w:r>
      <w:r w:rsidR="00C27307" w:rsidRPr="00162ACE">
        <w:rPr>
          <w:rFonts w:ascii="Times New Roman" w:hAnsi="Times New Roman" w:cs="Times New Roman"/>
          <w:sz w:val="24"/>
          <w:szCs w:val="24"/>
        </w:rPr>
        <w:t>, consumo</w:t>
      </w:r>
      <w:r w:rsidRPr="00162ACE">
        <w:rPr>
          <w:rFonts w:ascii="Times New Roman" w:hAnsi="Times New Roman" w:cs="Times New Roman"/>
          <w:sz w:val="24"/>
          <w:szCs w:val="24"/>
        </w:rPr>
        <w:t xml:space="preserve"> de tabaco y marihuana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0,23, n.s.) y marihuana y cocaína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0,21, n.s.).</w:t>
      </w:r>
    </w:p>
    <w:p w14:paraId="18C4CF93" w14:textId="77777777" w:rsidR="003F3B43" w:rsidRPr="00162ACE" w:rsidRDefault="003F3B43" w:rsidP="00162ACE">
      <w:pPr>
        <w:spacing w:line="480" w:lineRule="auto"/>
        <w:ind w:firstLine="709"/>
        <w:rPr>
          <w:rFonts w:ascii="Times New Roman" w:hAnsi="Times New Roman" w:cs="Times New Roman"/>
          <w:sz w:val="24"/>
          <w:szCs w:val="24"/>
        </w:rPr>
      </w:pPr>
    </w:p>
    <w:p w14:paraId="515BE749" w14:textId="77777777" w:rsidR="003F3B43" w:rsidRPr="00162ACE" w:rsidRDefault="003F3B43">
      <w:pPr>
        <w:rPr>
          <w:rFonts w:ascii="Times New Roman" w:hAnsi="Times New Roman" w:cs="Times New Roman"/>
          <w:sz w:val="24"/>
          <w:szCs w:val="24"/>
        </w:rPr>
      </w:pPr>
      <w:r w:rsidRPr="00162ACE">
        <w:rPr>
          <w:rFonts w:ascii="Times New Roman" w:hAnsi="Times New Roman" w:cs="Times New Roman"/>
          <w:sz w:val="24"/>
          <w:szCs w:val="24"/>
        </w:rPr>
        <w:br w:type="page"/>
      </w:r>
    </w:p>
    <w:p w14:paraId="4DC4ADCA" w14:textId="77777777" w:rsidR="00177248" w:rsidRPr="00162ACE" w:rsidRDefault="00177248" w:rsidP="00E74185">
      <w:pPr>
        <w:spacing w:line="480" w:lineRule="auto"/>
        <w:ind w:firstLine="709"/>
        <w:rPr>
          <w:rFonts w:ascii="Times New Roman" w:hAnsi="Times New Roman" w:cs="Times New Roman"/>
          <w:sz w:val="24"/>
          <w:szCs w:val="24"/>
        </w:rPr>
      </w:pPr>
    </w:p>
    <w:p w14:paraId="0D4C0929" w14:textId="77777777" w:rsidR="008F72AF" w:rsidRPr="00162ACE" w:rsidRDefault="008F72AF"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Tabla 4</w:t>
      </w:r>
    </w:p>
    <w:p w14:paraId="39081727" w14:textId="77777777" w:rsidR="008F72AF" w:rsidRPr="00162ACE" w:rsidRDefault="00BC369D" w:rsidP="00162ACE">
      <w:pPr>
        <w:spacing w:line="360" w:lineRule="auto"/>
        <w:rPr>
          <w:rFonts w:ascii="Times New Roman" w:hAnsi="Times New Roman" w:cs="Times New Roman"/>
          <w:i/>
          <w:sz w:val="24"/>
          <w:szCs w:val="24"/>
        </w:rPr>
      </w:pPr>
      <w:r w:rsidRPr="00162ACE">
        <w:rPr>
          <w:rFonts w:ascii="Times New Roman" w:hAnsi="Times New Roman" w:cs="Times New Roman"/>
          <w:i/>
          <w:sz w:val="24"/>
          <w:szCs w:val="24"/>
        </w:rPr>
        <w:t>Estadísticos descriptivos</w:t>
      </w:r>
      <w:r w:rsidR="00745114" w:rsidRPr="00162ACE">
        <w:rPr>
          <w:rFonts w:ascii="Times New Roman" w:hAnsi="Times New Roman" w:cs="Times New Roman"/>
          <w:i/>
          <w:sz w:val="24"/>
          <w:szCs w:val="24"/>
        </w:rPr>
        <w:t xml:space="preserve"> de c</w:t>
      </w:r>
      <w:r w:rsidR="008F72AF" w:rsidRPr="00162ACE">
        <w:rPr>
          <w:rFonts w:ascii="Times New Roman" w:hAnsi="Times New Roman" w:cs="Times New Roman"/>
          <w:i/>
          <w:sz w:val="24"/>
          <w:szCs w:val="24"/>
        </w:rPr>
        <w:t xml:space="preserve">onsumo de sustancias </w:t>
      </w:r>
      <w:r w:rsidR="00745114" w:rsidRPr="00162ACE">
        <w:rPr>
          <w:rFonts w:ascii="Times New Roman" w:hAnsi="Times New Roman" w:cs="Times New Roman"/>
          <w:i/>
          <w:sz w:val="24"/>
          <w:szCs w:val="24"/>
        </w:rPr>
        <w:t>psicoactivas y CFC según barrio</w:t>
      </w:r>
      <w:r w:rsidR="007447D9" w:rsidRPr="00162ACE">
        <w:rPr>
          <w:rFonts w:ascii="Times New Roman" w:hAnsi="Times New Roman" w:cs="Times New Roman"/>
          <w:i/>
          <w:sz w:val="24"/>
          <w:szCs w:val="24"/>
        </w:rPr>
        <w:t xml:space="preserve"> </w:t>
      </w:r>
    </w:p>
    <w:tbl>
      <w:tblPr>
        <w:tblStyle w:val="TableGrid"/>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1151"/>
        <w:gridCol w:w="1151"/>
        <w:gridCol w:w="1150"/>
        <w:gridCol w:w="1150"/>
        <w:gridCol w:w="1150"/>
        <w:gridCol w:w="1150"/>
        <w:gridCol w:w="1150"/>
      </w:tblGrid>
      <w:tr w:rsidR="008F72AF" w:rsidRPr="00162ACE" w14:paraId="2996C89B" w14:textId="77777777" w:rsidTr="001D6BCA">
        <w:trPr>
          <w:trHeight w:val="347"/>
        </w:trPr>
        <w:tc>
          <w:tcPr>
            <w:tcW w:w="625" w:type="pct"/>
            <w:tcBorders>
              <w:top w:val="single" w:sz="4" w:space="0" w:color="auto"/>
              <w:bottom w:val="single" w:sz="4" w:space="0" w:color="auto"/>
            </w:tcBorders>
            <w:vAlign w:val="center"/>
          </w:tcPr>
          <w:p w14:paraId="066D01EC"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Barrios</w:t>
            </w:r>
          </w:p>
        </w:tc>
        <w:tc>
          <w:tcPr>
            <w:tcW w:w="625" w:type="pct"/>
            <w:tcBorders>
              <w:top w:val="single" w:sz="4" w:space="0" w:color="auto"/>
              <w:bottom w:val="single" w:sz="4" w:space="0" w:color="auto"/>
            </w:tcBorders>
            <w:vAlign w:val="bottom"/>
          </w:tcPr>
          <w:p w14:paraId="1EEF6A8A"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BA</w:t>
            </w:r>
          </w:p>
        </w:tc>
        <w:tc>
          <w:tcPr>
            <w:tcW w:w="625" w:type="pct"/>
            <w:tcBorders>
              <w:top w:val="single" w:sz="4" w:space="0" w:color="auto"/>
              <w:bottom w:val="single" w:sz="4" w:space="0" w:color="auto"/>
            </w:tcBorders>
            <w:vAlign w:val="bottom"/>
          </w:tcPr>
          <w:p w14:paraId="61D705A0"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T</w:t>
            </w:r>
          </w:p>
        </w:tc>
        <w:tc>
          <w:tcPr>
            <w:tcW w:w="625" w:type="pct"/>
            <w:tcBorders>
              <w:top w:val="single" w:sz="4" w:space="0" w:color="auto"/>
              <w:bottom w:val="single" w:sz="4" w:space="0" w:color="auto"/>
            </w:tcBorders>
            <w:vAlign w:val="bottom"/>
          </w:tcPr>
          <w:p w14:paraId="10FFAEA2"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M</w:t>
            </w:r>
          </w:p>
        </w:tc>
        <w:tc>
          <w:tcPr>
            <w:tcW w:w="625" w:type="pct"/>
            <w:tcBorders>
              <w:top w:val="single" w:sz="4" w:space="0" w:color="auto"/>
              <w:bottom w:val="single" w:sz="4" w:space="0" w:color="auto"/>
            </w:tcBorders>
            <w:vAlign w:val="bottom"/>
          </w:tcPr>
          <w:p w14:paraId="3BDB38B8"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C</w:t>
            </w:r>
          </w:p>
        </w:tc>
        <w:tc>
          <w:tcPr>
            <w:tcW w:w="625" w:type="pct"/>
            <w:tcBorders>
              <w:top w:val="single" w:sz="4" w:space="0" w:color="auto"/>
              <w:bottom w:val="single" w:sz="4" w:space="0" w:color="auto"/>
            </w:tcBorders>
            <w:vAlign w:val="bottom"/>
          </w:tcPr>
          <w:p w14:paraId="641BC9B3"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PBC</w:t>
            </w:r>
          </w:p>
        </w:tc>
        <w:tc>
          <w:tcPr>
            <w:tcW w:w="625" w:type="pct"/>
            <w:tcBorders>
              <w:top w:val="single" w:sz="4" w:space="0" w:color="auto"/>
              <w:bottom w:val="single" w:sz="4" w:space="0" w:color="auto"/>
            </w:tcBorders>
            <w:vAlign w:val="bottom"/>
          </w:tcPr>
          <w:p w14:paraId="1915D695"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CFC-F</w:t>
            </w:r>
          </w:p>
        </w:tc>
        <w:tc>
          <w:tcPr>
            <w:tcW w:w="625" w:type="pct"/>
            <w:tcBorders>
              <w:top w:val="single" w:sz="4" w:space="0" w:color="auto"/>
              <w:bottom w:val="single" w:sz="4" w:space="0" w:color="auto"/>
            </w:tcBorders>
            <w:vAlign w:val="bottom"/>
          </w:tcPr>
          <w:p w14:paraId="75D5E3F3"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CFC-I</w:t>
            </w:r>
          </w:p>
        </w:tc>
      </w:tr>
      <w:tr w:rsidR="008F72AF" w:rsidRPr="00162ACE" w14:paraId="5225B48B" w14:textId="77777777" w:rsidTr="001D6BCA">
        <w:trPr>
          <w:trHeight w:val="709"/>
        </w:trPr>
        <w:tc>
          <w:tcPr>
            <w:tcW w:w="625" w:type="pct"/>
            <w:tcBorders>
              <w:top w:val="single" w:sz="4" w:space="0" w:color="auto"/>
            </w:tcBorders>
            <w:vAlign w:val="bottom"/>
          </w:tcPr>
          <w:p w14:paraId="189AA85F"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La Teja</w:t>
            </w:r>
          </w:p>
        </w:tc>
        <w:tc>
          <w:tcPr>
            <w:tcW w:w="625" w:type="pct"/>
            <w:tcBorders>
              <w:top w:val="single" w:sz="4" w:space="0" w:color="auto"/>
            </w:tcBorders>
          </w:tcPr>
          <w:p w14:paraId="0039F19F"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3,27</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4,38</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49F72193"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w:t>
            </w:r>
            <w:r w:rsidR="00BC369D" w:rsidRPr="00162ACE">
              <w:rPr>
                <w:rFonts w:ascii="Times New Roman" w:eastAsia="Times New Roman" w:hAnsi="Times New Roman" w:cs="Times New Roman"/>
                <w:sz w:val="24"/>
                <w:szCs w:val="24"/>
                <w:lang w:eastAsia="es-UY"/>
              </w:rPr>
              <w:t xml:space="preserve"> </w:t>
            </w:r>
            <w:r w:rsidRPr="00162ACE">
              <w:rPr>
                <w:rFonts w:ascii="Times New Roman" w:eastAsia="Times New Roman" w:hAnsi="Times New Roman" w:cs="Times New Roman"/>
                <w:sz w:val="24"/>
                <w:szCs w:val="24"/>
                <w:lang w:eastAsia="es-UY"/>
              </w:rPr>
              <w:t xml:space="preserve"> 0,88</w:t>
            </w:r>
            <w:r w:rsidR="00BC369D" w:rsidRPr="00162ACE">
              <w:rPr>
                <w:rFonts w:ascii="Times New Roman" w:eastAsia="Times New Roman" w:hAnsi="Times New Roman" w:cs="Times New Roman"/>
                <w:sz w:val="24"/>
                <w:szCs w:val="24"/>
                <w:lang w:eastAsia="es-UY"/>
              </w:rPr>
              <w:t xml:space="preserve">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1,23</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28CFE2D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0,27</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0,69</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4A3D28B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0,04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0,19</w:t>
            </w:r>
            <w:r w:rsidR="00017C20" w:rsidRPr="00162ACE">
              <w:rPr>
                <w:rFonts w:ascii="Times New Roman" w:eastAsia="Times New Roman" w:hAnsi="Times New Roman" w:cs="Times New Roman"/>
                <w:sz w:val="24"/>
                <w:szCs w:val="24"/>
                <w:lang w:eastAsia="es-UY"/>
              </w:rPr>
              <w:t>)</w:t>
            </w:r>
          </w:p>
        </w:tc>
        <w:tc>
          <w:tcPr>
            <w:tcW w:w="625" w:type="pct"/>
            <w:tcBorders>
              <w:top w:val="single" w:sz="4" w:space="0" w:color="auto"/>
            </w:tcBorders>
          </w:tcPr>
          <w:p w14:paraId="274EF40E" w14:textId="77777777" w:rsidR="008F72AF" w:rsidRPr="00162ACE" w:rsidRDefault="008F72AF" w:rsidP="00162ACE">
            <w:pPr>
              <w:spacing w:line="360" w:lineRule="auto"/>
              <w:jc w:val="right"/>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1AF58A3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4,60</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1,14)</w:t>
            </w:r>
          </w:p>
        </w:tc>
        <w:tc>
          <w:tcPr>
            <w:tcW w:w="625" w:type="pct"/>
            <w:tcBorders>
              <w:top w:val="single" w:sz="4" w:space="0" w:color="auto"/>
            </w:tcBorders>
          </w:tcPr>
          <w:p w14:paraId="58C329C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3,13</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1,20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r>
      <w:tr w:rsidR="008F72AF" w:rsidRPr="00162ACE" w14:paraId="67AC548F" w14:textId="77777777" w:rsidTr="001D6BCA">
        <w:trPr>
          <w:trHeight w:val="709"/>
        </w:trPr>
        <w:tc>
          <w:tcPr>
            <w:tcW w:w="625" w:type="pct"/>
            <w:vAlign w:val="bottom"/>
          </w:tcPr>
          <w:p w14:paraId="0B8C13C3"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Unión</w:t>
            </w:r>
          </w:p>
        </w:tc>
        <w:tc>
          <w:tcPr>
            <w:tcW w:w="625" w:type="pct"/>
          </w:tcPr>
          <w:p w14:paraId="17DEDC76"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2,28</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3,36</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5BBC4C52"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0,63</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1,16</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61C8BB2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0,08</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0,31</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6CBFDCEB"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0,06 </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0,23</w:t>
            </w:r>
            <w:r w:rsidR="00017C20" w:rsidRPr="00162ACE">
              <w:rPr>
                <w:rFonts w:ascii="Times New Roman" w:eastAsia="Times New Roman" w:hAnsi="Times New Roman" w:cs="Times New Roman"/>
                <w:sz w:val="24"/>
                <w:szCs w:val="24"/>
                <w:lang w:eastAsia="es-UY"/>
              </w:rPr>
              <w:t>)</w:t>
            </w:r>
          </w:p>
        </w:tc>
        <w:tc>
          <w:tcPr>
            <w:tcW w:w="625" w:type="pct"/>
          </w:tcPr>
          <w:p w14:paraId="178B0DD9"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0,01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0,10</w:t>
            </w:r>
            <w:r w:rsidR="00017C20" w:rsidRPr="00162ACE">
              <w:rPr>
                <w:rFonts w:ascii="Times New Roman" w:eastAsia="Times New Roman" w:hAnsi="Times New Roman" w:cs="Times New Roman"/>
                <w:sz w:val="24"/>
                <w:szCs w:val="24"/>
                <w:lang w:eastAsia="es-UY"/>
              </w:rPr>
              <w:t>)</w:t>
            </w:r>
          </w:p>
        </w:tc>
        <w:tc>
          <w:tcPr>
            <w:tcW w:w="625" w:type="pct"/>
          </w:tcPr>
          <w:p w14:paraId="4C9EF5A7"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4,80</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1,07</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0942EDE0"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2,94</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1,17</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r>
      <w:tr w:rsidR="008F72AF" w:rsidRPr="00162ACE" w14:paraId="77D8CF8B" w14:textId="77777777" w:rsidTr="001D6BCA">
        <w:trPr>
          <w:trHeight w:val="725"/>
        </w:trPr>
        <w:tc>
          <w:tcPr>
            <w:tcW w:w="625" w:type="pct"/>
            <w:tcBorders>
              <w:bottom w:val="single" w:sz="4" w:space="0" w:color="auto"/>
            </w:tcBorders>
            <w:vAlign w:val="bottom"/>
          </w:tcPr>
          <w:p w14:paraId="5934D5E7"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Malvín</w:t>
            </w:r>
          </w:p>
        </w:tc>
        <w:tc>
          <w:tcPr>
            <w:tcW w:w="625" w:type="pct"/>
            <w:tcBorders>
              <w:bottom w:val="single" w:sz="4" w:space="0" w:color="auto"/>
            </w:tcBorders>
          </w:tcPr>
          <w:p w14:paraId="5AFEE498"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2,02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2,21</w:t>
            </w:r>
            <w:r w:rsidR="00017C20" w:rsidRPr="00162ACE">
              <w:rPr>
                <w:rFonts w:ascii="Times New Roman" w:eastAsia="Times New Roman" w:hAnsi="Times New Roman" w:cs="Times New Roman"/>
                <w:sz w:val="24"/>
                <w:szCs w:val="24"/>
                <w:lang w:eastAsia="es-UY"/>
              </w:rPr>
              <w:t>)</w:t>
            </w:r>
          </w:p>
        </w:tc>
        <w:tc>
          <w:tcPr>
            <w:tcW w:w="625" w:type="pct"/>
            <w:tcBorders>
              <w:bottom w:val="single" w:sz="4" w:space="0" w:color="auto"/>
            </w:tcBorders>
          </w:tcPr>
          <w:p w14:paraId="7F9487B6"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0,73</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1,17</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002751EC"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0,20</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0,59</w:t>
            </w:r>
            <w:r w:rsidR="00017C20" w:rsidRPr="00162ACE">
              <w:rPr>
                <w:rFonts w:ascii="Times New Roman" w:eastAsia="Times New Roman" w:hAnsi="Times New Roman" w:cs="Times New Roman"/>
                <w:sz w:val="24"/>
                <w:szCs w:val="24"/>
                <w:lang w:eastAsia="es-UY"/>
              </w:rPr>
              <w:t>)</w:t>
            </w:r>
          </w:p>
        </w:tc>
        <w:tc>
          <w:tcPr>
            <w:tcW w:w="625" w:type="pct"/>
            <w:tcBorders>
              <w:bottom w:val="single" w:sz="4" w:space="0" w:color="auto"/>
            </w:tcBorders>
          </w:tcPr>
          <w:p w14:paraId="7F7E877F" w14:textId="77777777" w:rsidR="008F72AF" w:rsidRPr="00162ACE" w:rsidRDefault="008F72AF" w:rsidP="00162ACE">
            <w:pPr>
              <w:spacing w:line="360" w:lineRule="auto"/>
              <w:jc w:val="right"/>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34211F41" w14:textId="77777777" w:rsidR="008F72AF" w:rsidRPr="00162ACE" w:rsidRDefault="008F72AF" w:rsidP="00162ACE">
            <w:pPr>
              <w:spacing w:line="360" w:lineRule="auto"/>
              <w:jc w:val="right"/>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75B8DC19"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4,75</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1,12</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4FE0A2F7"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3,09</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1,44</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r>
      <w:tr w:rsidR="008F72AF" w:rsidRPr="00162ACE" w14:paraId="1675D5AC" w14:textId="77777777" w:rsidTr="001D6BCA">
        <w:trPr>
          <w:trHeight w:val="725"/>
        </w:trPr>
        <w:tc>
          <w:tcPr>
            <w:tcW w:w="5000" w:type="pct"/>
            <w:gridSpan w:val="8"/>
            <w:tcBorders>
              <w:top w:val="single" w:sz="4" w:space="0" w:color="auto"/>
            </w:tcBorders>
          </w:tcPr>
          <w:p w14:paraId="539F0453" w14:textId="77777777" w:rsidR="008F72AF" w:rsidRPr="00162ACE" w:rsidRDefault="008F72AF" w:rsidP="00162ACE">
            <w:pPr>
              <w:spacing w:line="360" w:lineRule="auto"/>
              <w:rPr>
                <w:rFonts w:ascii="Times New Roman" w:eastAsia="Times New Roman" w:hAnsi="Times New Roman" w:cs="Times New Roman"/>
                <w:sz w:val="24"/>
                <w:szCs w:val="24"/>
                <w:lang w:eastAsia="es-UY"/>
              </w:rPr>
            </w:pPr>
            <w:r w:rsidRPr="00162ACE">
              <w:rPr>
                <w:rFonts w:ascii="Times New Roman" w:hAnsi="Times New Roman" w:cs="Times New Roman"/>
                <w:i/>
                <w:sz w:val="24"/>
                <w:szCs w:val="24"/>
              </w:rPr>
              <w:t>Notas.</w:t>
            </w:r>
            <w:r w:rsidRPr="00162ACE">
              <w:rPr>
                <w:rFonts w:ascii="Times New Roman" w:eastAsia="Times New Roman" w:hAnsi="Times New Roman" w:cs="Times New Roman"/>
                <w:sz w:val="24"/>
                <w:szCs w:val="24"/>
                <w:lang w:eastAsia="es-UY"/>
              </w:rPr>
              <w:t xml:space="preserve"> BA= Bebidas Alcohólicas; T=Tabaco; M=Marihuana; C=Cocaína; PBC=Pasta Base de Cocaína</w:t>
            </w:r>
            <w:r w:rsidR="00BC369D" w:rsidRPr="00162ACE">
              <w:rPr>
                <w:rFonts w:ascii="Times New Roman" w:eastAsia="Times New Roman" w:hAnsi="Times New Roman" w:cs="Times New Roman"/>
                <w:sz w:val="24"/>
                <w:szCs w:val="24"/>
                <w:lang w:eastAsia="es-UY"/>
              </w:rPr>
              <w:t>. Las desviaciones estándar se ofrecen entre paréntesis</w:t>
            </w:r>
          </w:p>
        </w:tc>
      </w:tr>
    </w:tbl>
    <w:p w14:paraId="4192E214" w14:textId="77777777" w:rsidR="008F72AF" w:rsidRPr="00162ACE" w:rsidRDefault="008F72AF" w:rsidP="00162ACE">
      <w:pPr>
        <w:spacing w:line="360" w:lineRule="auto"/>
        <w:ind w:firstLine="709"/>
        <w:rPr>
          <w:rFonts w:ascii="Times New Roman" w:hAnsi="Times New Roman" w:cs="Times New Roman"/>
          <w:sz w:val="24"/>
          <w:szCs w:val="24"/>
        </w:rPr>
      </w:pPr>
    </w:p>
    <w:p w14:paraId="3AF7F4C1" w14:textId="77777777" w:rsidR="00177248" w:rsidRPr="00162ACE" w:rsidRDefault="00177248"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Tabla 5</w:t>
      </w:r>
    </w:p>
    <w:p w14:paraId="557561A2" w14:textId="77777777" w:rsidR="00177248" w:rsidRPr="00162ACE" w:rsidRDefault="00177248" w:rsidP="00162ACE">
      <w:pPr>
        <w:spacing w:line="360" w:lineRule="auto"/>
        <w:rPr>
          <w:rFonts w:ascii="Times New Roman" w:hAnsi="Times New Roman" w:cs="Times New Roman"/>
          <w:i/>
          <w:sz w:val="24"/>
          <w:szCs w:val="24"/>
        </w:rPr>
      </w:pPr>
      <w:r w:rsidRPr="00162ACE">
        <w:rPr>
          <w:rFonts w:ascii="Times New Roman" w:hAnsi="Times New Roman" w:cs="Times New Roman"/>
          <w:i/>
          <w:sz w:val="24"/>
          <w:szCs w:val="24"/>
        </w:rPr>
        <w:t>Correlaciones</w:t>
      </w:r>
      <w:r w:rsidR="00074630" w:rsidRPr="00162ACE">
        <w:rPr>
          <w:rFonts w:ascii="Times New Roman" w:hAnsi="Times New Roman" w:cs="Times New Roman"/>
          <w:i/>
          <w:sz w:val="24"/>
          <w:szCs w:val="24"/>
        </w:rPr>
        <w:t xml:space="preserve"> de Pearson</w:t>
      </w:r>
      <w:r w:rsidRPr="00162ACE">
        <w:rPr>
          <w:rFonts w:ascii="Times New Roman" w:hAnsi="Times New Roman" w:cs="Times New Roman"/>
          <w:i/>
          <w:sz w:val="24"/>
          <w:szCs w:val="24"/>
        </w:rPr>
        <w:t xml:space="preserve"> entre subescalas, consumo </w:t>
      </w:r>
      <w:r w:rsidR="00125C54" w:rsidRPr="00162ACE">
        <w:rPr>
          <w:rFonts w:ascii="Times New Roman" w:hAnsi="Times New Roman" w:cs="Times New Roman"/>
          <w:i/>
          <w:sz w:val="24"/>
          <w:szCs w:val="24"/>
        </w:rPr>
        <w:t>de sustancias y nivel educativo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3"/>
        <w:gridCol w:w="1236"/>
        <w:gridCol w:w="1236"/>
        <w:gridCol w:w="1236"/>
        <w:gridCol w:w="1236"/>
        <w:gridCol w:w="1236"/>
        <w:gridCol w:w="849"/>
        <w:gridCol w:w="321"/>
      </w:tblGrid>
      <w:tr w:rsidR="00125C54" w:rsidRPr="00162ACE" w14:paraId="0FD4A352" w14:textId="77777777" w:rsidTr="00125C54">
        <w:trPr>
          <w:gridAfter w:val="1"/>
          <w:wAfter w:w="321" w:type="dxa"/>
          <w:trHeight w:val="592"/>
        </w:trPr>
        <w:tc>
          <w:tcPr>
            <w:tcW w:w="1443" w:type="dxa"/>
            <w:tcBorders>
              <w:top w:val="single" w:sz="4" w:space="0" w:color="auto"/>
              <w:bottom w:val="single" w:sz="4" w:space="0" w:color="auto"/>
            </w:tcBorders>
            <w:hideMark/>
          </w:tcPr>
          <w:p w14:paraId="132F75AC" w14:textId="77777777" w:rsidR="00125C54" w:rsidRPr="00162ACE" w:rsidRDefault="00125C54" w:rsidP="00162ACE">
            <w:pPr>
              <w:spacing w:line="360" w:lineRule="auto"/>
              <w:ind w:firstLine="709"/>
              <w:rPr>
                <w:rFonts w:ascii="Times New Roman" w:hAnsi="Times New Roman" w:cs="Times New Roman"/>
                <w:sz w:val="24"/>
                <w:szCs w:val="24"/>
              </w:rPr>
            </w:pPr>
            <w:r w:rsidRPr="00162ACE">
              <w:rPr>
                <w:rFonts w:ascii="Times New Roman" w:hAnsi="Times New Roman" w:cs="Times New Roman"/>
                <w:sz w:val="24"/>
                <w:szCs w:val="24"/>
              </w:rPr>
              <w:t> </w:t>
            </w:r>
          </w:p>
        </w:tc>
        <w:tc>
          <w:tcPr>
            <w:tcW w:w="1236" w:type="dxa"/>
            <w:tcBorders>
              <w:top w:val="single" w:sz="4" w:space="0" w:color="auto"/>
              <w:bottom w:val="single" w:sz="4" w:space="0" w:color="auto"/>
            </w:tcBorders>
            <w:hideMark/>
          </w:tcPr>
          <w:p w14:paraId="1EC1F797"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BA</w:t>
            </w:r>
          </w:p>
        </w:tc>
        <w:tc>
          <w:tcPr>
            <w:tcW w:w="1236" w:type="dxa"/>
            <w:tcBorders>
              <w:top w:val="single" w:sz="4" w:space="0" w:color="auto"/>
              <w:bottom w:val="single" w:sz="4" w:space="0" w:color="auto"/>
            </w:tcBorders>
            <w:hideMark/>
          </w:tcPr>
          <w:p w14:paraId="124426DD"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w:t>
            </w:r>
          </w:p>
        </w:tc>
        <w:tc>
          <w:tcPr>
            <w:tcW w:w="1236" w:type="dxa"/>
            <w:tcBorders>
              <w:top w:val="single" w:sz="4" w:space="0" w:color="auto"/>
              <w:bottom w:val="single" w:sz="4" w:space="0" w:color="auto"/>
            </w:tcBorders>
            <w:hideMark/>
          </w:tcPr>
          <w:p w14:paraId="5B9398F1"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M</w:t>
            </w:r>
          </w:p>
        </w:tc>
        <w:tc>
          <w:tcPr>
            <w:tcW w:w="1236" w:type="dxa"/>
            <w:tcBorders>
              <w:top w:val="single" w:sz="4" w:space="0" w:color="auto"/>
              <w:bottom w:val="single" w:sz="4" w:space="0" w:color="auto"/>
            </w:tcBorders>
            <w:hideMark/>
          </w:tcPr>
          <w:p w14:paraId="485F3948"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C</w:t>
            </w:r>
          </w:p>
        </w:tc>
        <w:tc>
          <w:tcPr>
            <w:tcW w:w="1236" w:type="dxa"/>
            <w:tcBorders>
              <w:top w:val="single" w:sz="4" w:space="0" w:color="auto"/>
              <w:bottom w:val="single" w:sz="4" w:space="0" w:color="auto"/>
            </w:tcBorders>
            <w:hideMark/>
          </w:tcPr>
          <w:p w14:paraId="08254FEF"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PBC</w:t>
            </w:r>
          </w:p>
        </w:tc>
        <w:tc>
          <w:tcPr>
            <w:tcW w:w="849" w:type="dxa"/>
            <w:tcBorders>
              <w:top w:val="single" w:sz="4" w:space="0" w:color="auto"/>
              <w:bottom w:val="single" w:sz="4" w:space="0" w:color="auto"/>
            </w:tcBorders>
            <w:hideMark/>
          </w:tcPr>
          <w:p w14:paraId="1A782FF6"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NE</w:t>
            </w:r>
          </w:p>
        </w:tc>
      </w:tr>
      <w:tr w:rsidR="00125C54" w:rsidRPr="00162ACE" w14:paraId="515E4C7F" w14:textId="77777777" w:rsidTr="00125C54">
        <w:trPr>
          <w:gridAfter w:val="1"/>
          <w:wAfter w:w="321" w:type="dxa"/>
          <w:trHeight w:val="296"/>
        </w:trPr>
        <w:tc>
          <w:tcPr>
            <w:tcW w:w="1443" w:type="dxa"/>
            <w:tcBorders>
              <w:top w:val="single" w:sz="4" w:space="0" w:color="auto"/>
            </w:tcBorders>
            <w:hideMark/>
          </w:tcPr>
          <w:p w14:paraId="6B8A480B"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CFC-F</w:t>
            </w:r>
          </w:p>
        </w:tc>
        <w:tc>
          <w:tcPr>
            <w:tcW w:w="1236" w:type="dxa"/>
            <w:tcBorders>
              <w:top w:val="single" w:sz="4" w:space="0" w:color="auto"/>
            </w:tcBorders>
            <w:noWrap/>
            <w:hideMark/>
          </w:tcPr>
          <w:p w14:paraId="32FAC43C"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0,06</w:t>
            </w:r>
          </w:p>
        </w:tc>
        <w:tc>
          <w:tcPr>
            <w:tcW w:w="1236" w:type="dxa"/>
            <w:tcBorders>
              <w:top w:val="single" w:sz="4" w:space="0" w:color="auto"/>
            </w:tcBorders>
            <w:noWrap/>
            <w:hideMark/>
          </w:tcPr>
          <w:p w14:paraId="5946FD8C" w14:textId="693012CB"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-0,19</w:t>
            </w:r>
            <w:r w:rsidR="006872BF" w:rsidRPr="006872BF">
              <w:rPr>
                <w:rFonts w:ascii="Times New Roman" w:hAnsi="Times New Roman" w:cs="Times New Roman"/>
                <w:sz w:val="24"/>
                <w:szCs w:val="24"/>
              </w:rPr>
              <w:t>*</w:t>
            </w:r>
          </w:p>
        </w:tc>
        <w:tc>
          <w:tcPr>
            <w:tcW w:w="1236" w:type="dxa"/>
            <w:tcBorders>
              <w:top w:val="single" w:sz="4" w:space="0" w:color="auto"/>
            </w:tcBorders>
            <w:noWrap/>
            <w:hideMark/>
          </w:tcPr>
          <w:p w14:paraId="1379D634"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-0,09</w:t>
            </w:r>
          </w:p>
        </w:tc>
        <w:tc>
          <w:tcPr>
            <w:tcW w:w="1236" w:type="dxa"/>
            <w:tcBorders>
              <w:top w:val="single" w:sz="4" w:space="0" w:color="auto"/>
            </w:tcBorders>
            <w:noWrap/>
            <w:hideMark/>
          </w:tcPr>
          <w:p w14:paraId="441B4369"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-0,09</w:t>
            </w:r>
          </w:p>
        </w:tc>
        <w:tc>
          <w:tcPr>
            <w:tcW w:w="1236" w:type="dxa"/>
            <w:tcBorders>
              <w:top w:val="single" w:sz="4" w:space="0" w:color="auto"/>
            </w:tcBorders>
            <w:noWrap/>
            <w:hideMark/>
          </w:tcPr>
          <w:p w14:paraId="64F5E7A9" w14:textId="5233923D" w:rsidR="00125C54" w:rsidRPr="00162ACE" w:rsidRDefault="006872BF" w:rsidP="00162ACE">
            <w:pPr>
              <w:spacing w:line="360" w:lineRule="auto"/>
              <w:rPr>
                <w:rFonts w:ascii="Times New Roman" w:hAnsi="Times New Roman" w:cs="Times New Roman"/>
                <w:sz w:val="24"/>
                <w:szCs w:val="24"/>
              </w:rPr>
            </w:pPr>
            <w:r>
              <w:rPr>
                <w:rFonts w:ascii="Times New Roman" w:hAnsi="Times New Roman" w:cs="Times New Roman"/>
                <w:sz w:val="24"/>
                <w:szCs w:val="24"/>
              </w:rPr>
              <w:t>-0,</w:t>
            </w:r>
            <w:r w:rsidR="00125C54" w:rsidRPr="00162ACE">
              <w:rPr>
                <w:rFonts w:ascii="Times New Roman" w:hAnsi="Times New Roman" w:cs="Times New Roman"/>
                <w:sz w:val="24"/>
                <w:szCs w:val="24"/>
              </w:rPr>
              <w:t>1</w:t>
            </w:r>
            <w:r>
              <w:rPr>
                <w:rFonts w:ascii="Times New Roman" w:hAnsi="Times New Roman" w:cs="Times New Roman"/>
                <w:sz w:val="24"/>
                <w:szCs w:val="24"/>
              </w:rPr>
              <w:t>2</w:t>
            </w:r>
          </w:p>
        </w:tc>
        <w:tc>
          <w:tcPr>
            <w:tcW w:w="849" w:type="dxa"/>
            <w:tcBorders>
              <w:top w:val="single" w:sz="4" w:space="0" w:color="auto"/>
            </w:tcBorders>
            <w:noWrap/>
            <w:hideMark/>
          </w:tcPr>
          <w:p w14:paraId="48C53A67"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0,08</w:t>
            </w:r>
          </w:p>
        </w:tc>
      </w:tr>
      <w:tr w:rsidR="00125C54" w:rsidRPr="00162ACE" w14:paraId="2FD702C3" w14:textId="77777777" w:rsidTr="00125C54">
        <w:trPr>
          <w:gridAfter w:val="1"/>
          <w:wAfter w:w="321" w:type="dxa"/>
          <w:trHeight w:val="296"/>
        </w:trPr>
        <w:tc>
          <w:tcPr>
            <w:tcW w:w="1443" w:type="dxa"/>
            <w:tcBorders>
              <w:bottom w:val="single" w:sz="4" w:space="0" w:color="auto"/>
            </w:tcBorders>
            <w:hideMark/>
          </w:tcPr>
          <w:p w14:paraId="29A97E21"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CFC-I</w:t>
            </w:r>
          </w:p>
        </w:tc>
        <w:tc>
          <w:tcPr>
            <w:tcW w:w="1236" w:type="dxa"/>
            <w:tcBorders>
              <w:bottom w:val="single" w:sz="4" w:space="0" w:color="auto"/>
            </w:tcBorders>
            <w:noWrap/>
            <w:hideMark/>
          </w:tcPr>
          <w:p w14:paraId="6658713B"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-0,05</w:t>
            </w:r>
          </w:p>
        </w:tc>
        <w:tc>
          <w:tcPr>
            <w:tcW w:w="1236" w:type="dxa"/>
            <w:tcBorders>
              <w:bottom w:val="single" w:sz="4" w:space="0" w:color="auto"/>
            </w:tcBorders>
            <w:noWrap/>
            <w:hideMark/>
          </w:tcPr>
          <w:p w14:paraId="69FCDBF1"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0,08</w:t>
            </w:r>
          </w:p>
        </w:tc>
        <w:tc>
          <w:tcPr>
            <w:tcW w:w="1236" w:type="dxa"/>
            <w:tcBorders>
              <w:bottom w:val="single" w:sz="4" w:space="0" w:color="auto"/>
            </w:tcBorders>
            <w:noWrap/>
            <w:hideMark/>
          </w:tcPr>
          <w:p w14:paraId="248EA1E4" w14:textId="24C5C711"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0,23</w:t>
            </w:r>
            <w:r w:rsidR="006872BF" w:rsidRPr="006872BF">
              <w:rPr>
                <w:rFonts w:ascii="Times New Roman" w:hAnsi="Times New Roman" w:cs="Times New Roman"/>
                <w:sz w:val="24"/>
                <w:szCs w:val="24"/>
              </w:rPr>
              <w:t>**</w:t>
            </w:r>
          </w:p>
        </w:tc>
        <w:tc>
          <w:tcPr>
            <w:tcW w:w="1236" w:type="dxa"/>
            <w:tcBorders>
              <w:bottom w:val="single" w:sz="4" w:space="0" w:color="auto"/>
            </w:tcBorders>
            <w:noWrap/>
            <w:hideMark/>
          </w:tcPr>
          <w:p w14:paraId="0EE56C8A"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0,09</w:t>
            </w:r>
          </w:p>
        </w:tc>
        <w:tc>
          <w:tcPr>
            <w:tcW w:w="1236" w:type="dxa"/>
            <w:tcBorders>
              <w:bottom w:val="single" w:sz="4" w:space="0" w:color="auto"/>
            </w:tcBorders>
            <w:noWrap/>
            <w:hideMark/>
          </w:tcPr>
          <w:p w14:paraId="1281B344"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0,11</w:t>
            </w:r>
          </w:p>
        </w:tc>
        <w:tc>
          <w:tcPr>
            <w:tcW w:w="849" w:type="dxa"/>
            <w:tcBorders>
              <w:bottom w:val="single" w:sz="4" w:space="0" w:color="auto"/>
            </w:tcBorders>
            <w:noWrap/>
            <w:hideMark/>
          </w:tcPr>
          <w:p w14:paraId="14C6F5F9"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-0,11</w:t>
            </w:r>
          </w:p>
        </w:tc>
      </w:tr>
      <w:tr w:rsidR="00177248" w:rsidRPr="00162ACE" w14:paraId="7FA2E0B2" w14:textId="77777777" w:rsidTr="00125C54">
        <w:trPr>
          <w:trHeight w:val="296"/>
        </w:trPr>
        <w:tc>
          <w:tcPr>
            <w:tcW w:w="8793" w:type="dxa"/>
            <w:gridSpan w:val="8"/>
            <w:tcBorders>
              <w:top w:val="single" w:sz="4" w:space="0" w:color="auto"/>
            </w:tcBorders>
          </w:tcPr>
          <w:p w14:paraId="6691BA3F" w14:textId="0F42FD77" w:rsidR="000415EA" w:rsidRPr="00F340AF" w:rsidRDefault="00177248" w:rsidP="00F340AF">
            <w:pPr>
              <w:spacing w:line="360" w:lineRule="auto"/>
              <w:rPr>
                <w:rFonts w:ascii="Times New Roman" w:hAnsi="Times New Roman" w:cs="Times New Roman"/>
                <w:sz w:val="24"/>
                <w:szCs w:val="24"/>
                <w:highlight w:val="yellow"/>
              </w:rPr>
            </w:pPr>
            <w:r w:rsidRPr="00162ACE">
              <w:rPr>
                <w:rFonts w:ascii="Times New Roman" w:hAnsi="Times New Roman" w:cs="Times New Roman"/>
                <w:i/>
                <w:sz w:val="24"/>
                <w:szCs w:val="24"/>
              </w:rPr>
              <w:t>Notas.</w:t>
            </w:r>
            <w:r w:rsidRPr="00162ACE">
              <w:rPr>
                <w:rFonts w:ascii="Times New Roman" w:hAnsi="Times New Roman" w:cs="Times New Roman"/>
                <w:sz w:val="24"/>
                <w:szCs w:val="24"/>
              </w:rPr>
              <w:t xml:space="preserve"> BA=Bebidas Alcohólicas; T=Tabaco; M=Marihuana; C= Cocaína; PBC=Pasta Base</w:t>
            </w:r>
            <w:r w:rsidR="00D1615E" w:rsidRPr="00162ACE">
              <w:rPr>
                <w:rFonts w:ascii="Times New Roman" w:hAnsi="Times New Roman" w:cs="Times New Roman"/>
                <w:sz w:val="24"/>
                <w:szCs w:val="24"/>
              </w:rPr>
              <w:t xml:space="preserve"> de Cocaína; NE=Nivel </w:t>
            </w:r>
            <w:r w:rsidR="00D1615E" w:rsidRPr="00EC7840">
              <w:rPr>
                <w:rFonts w:ascii="Times New Roman" w:hAnsi="Times New Roman" w:cs="Times New Roman"/>
                <w:sz w:val="24"/>
                <w:szCs w:val="24"/>
              </w:rPr>
              <w:t>Educativo</w:t>
            </w:r>
            <w:r w:rsidRPr="00EC7840">
              <w:rPr>
                <w:rFonts w:ascii="Times New Roman" w:hAnsi="Times New Roman" w:cs="Times New Roman"/>
                <w:sz w:val="24"/>
                <w:szCs w:val="24"/>
              </w:rPr>
              <w:t>.</w:t>
            </w:r>
            <w:r w:rsidR="00F340AF" w:rsidRPr="00EC7840">
              <w:rPr>
                <w:rFonts w:ascii="Times New Roman" w:hAnsi="Times New Roman" w:cs="Times New Roman"/>
                <w:sz w:val="24"/>
                <w:szCs w:val="24"/>
              </w:rPr>
              <w:t xml:space="preserve"> *p &lt; .05. **p &lt; .01 (dos colas)</w:t>
            </w:r>
          </w:p>
        </w:tc>
      </w:tr>
    </w:tbl>
    <w:p w14:paraId="18027D66" w14:textId="77777777" w:rsidR="00F340AF" w:rsidRDefault="00F340AF" w:rsidP="00162ACE">
      <w:pPr>
        <w:spacing w:line="480" w:lineRule="auto"/>
        <w:ind w:firstLine="709"/>
        <w:rPr>
          <w:rFonts w:ascii="Times New Roman" w:hAnsi="Times New Roman" w:cs="Times New Roman"/>
          <w:sz w:val="24"/>
          <w:szCs w:val="24"/>
        </w:rPr>
      </w:pPr>
    </w:p>
    <w:p w14:paraId="6F031931" w14:textId="77777777" w:rsidR="00B227CF" w:rsidRPr="00162ACE" w:rsidRDefault="00BA6455"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En </w:t>
      </w:r>
      <w:r w:rsidR="00B227CF" w:rsidRPr="00162ACE">
        <w:rPr>
          <w:rFonts w:ascii="Times New Roman" w:hAnsi="Times New Roman" w:cs="Times New Roman"/>
          <w:sz w:val="24"/>
          <w:szCs w:val="24"/>
        </w:rPr>
        <w:t xml:space="preserve">el barrio la </w:t>
      </w:r>
      <w:r w:rsidRPr="00162ACE">
        <w:rPr>
          <w:rFonts w:ascii="Times New Roman" w:hAnsi="Times New Roman" w:cs="Times New Roman"/>
          <w:sz w:val="24"/>
          <w:szCs w:val="24"/>
        </w:rPr>
        <w:t xml:space="preserve">Unión existe una </w:t>
      </w:r>
      <w:r w:rsidR="00C92119" w:rsidRPr="00162ACE">
        <w:rPr>
          <w:rFonts w:ascii="Times New Roman" w:hAnsi="Times New Roman" w:cs="Times New Roman"/>
          <w:sz w:val="24"/>
          <w:szCs w:val="24"/>
        </w:rPr>
        <w:t>correlación</w:t>
      </w:r>
      <w:r w:rsidRPr="00162ACE">
        <w:rPr>
          <w:rFonts w:ascii="Times New Roman" w:hAnsi="Times New Roman" w:cs="Times New Roman"/>
          <w:sz w:val="24"/>
          <w:szCs w:val="24"/>
        </w:rPr>
        <w:t xml:space="preserve"> negativa entre CFC-F y CFC-I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973928" w:rsidRPr="00162ACE">
        <w:rPr>
          <w:rFonts w:ascii="Times New Roman" w:hAnsi="Times New Roman" w:cs="Times New Roman"/>
          <w:sz w:val="24"/>
          <w:szCs w:val="24"/>
        </w:rPr>
        <w:t>-</w:t>
      </w:r>
      <w:r w:rsidRPr="00162ACE">
        <w:rPr>
          <w:rFonts w:ascii="Times New Roman" w:hAnsi="Times New Roman" w:cs="Times New Roman"/>
          <w:sz w:val="24"/>
          <w:szCs w:val="24"/>
        </w:rPr>
        <w:t>0,37</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xml:space="preserve">), y </w:t>
      </w:r>
      <w:r w:rsidR="00B227CF" w:rsidRPr="00162ACE">
        <w:rPr>
          <w:rFonts w:ascii="Times New Roman" w:hAnsi="Times New Roman" w:cs="Times New Roman"/>
          <w:sz w:val="24"/>
          <w:szCs w:val="24"/>
        </w:rPr>
        <w:t>entre CFC-I y</w:t>
      </w:r>
      <w:r w:rsidRPr="00162ACE">
        <w:rPr>
          <w:rFonts w:ascii="Times New Roman" w:hAnsi="Times New Roman" w:cs="Times New Roman"/>
          <w:sz w:val="24"/>
          <w:szCs w:val="24"/>
        </w:rPr>
        <w:t xml:space="preserve"> marihuana </w:t>
      </w:r>
      <w:r w:rsidR="006876F8" w:rsidRPr="00162ACE">
        <w:rPr>
          <w:rFonts w:ascii="Times New Roman" w:hAnsi="Times New Roman" w:cs="Times New Roman"/>
          <w:i/>
          <w:sz w:val="24"/>
          <w:szCs w:val="24"/>
        </w:rPr>
        <w:t>r</w:t>
      </w:r>
      <w:r w:rsidR="00D4689B" w:rsidRPr="00162ACE">
        <w:rPr>
          <w:rFonts w:ascii="Times New Roman" w:hAnsi="Times New Roman" w:cs="Times New Roman"/>
          <w:sz w:val="24"/>
          <w:szCs w:val="24"/>
        </w:rPr>
        <w:t>= (</w:t>
      </w:r>
      <w:r w:rsidRPr="00162ACE">
        <w:rPr>
          <w:rFonts w:ascii="Times New Roman" w:hAnsi="Times New Roman" w:cs="Times New Roman"/>
          <w:sz w:val="24"/>
          <w:szCs w:val="24"/>
        </w:rPr>
        <w:t>0,33</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xml:space="preserve">). Existe una </w:t>
      </w:r>
      <w:r w:rsidR="00C92119" w:rsidRPr="00162ACE">
        <w:rPr>
          <w:rFonts w:ascii="Times New Roman" w:hAnsi="Times New Roman" w:cs="Times New Roman"/>
          <w:sz w:val="24"/>
          <w:szCs w:val="24"/>
        </w:rPr>
        <w:t>correlación</w:t>
      </w:r>
      <w:r w:rsidRPr="00162ACE">
        <w:rPr>
          <w:rFonts w:ascii="Times New Roman" w:hAnsi="Times New Roman" w:cs="Times New Roman"/>
          <w:sz w:val="24"/>
          <w:szCs w:val="24"/>
        </w:rPr>
        <w:t xml:space="preserve"> positiva entre </w:t>
      </w:r>
      <w:r w:rsidR="00B227CF" w:rsidRPr="00162ACE">
        <w:rPr>
          <w:rFonts w:ascii="Times New Roman" w:hAnsi="Times New Roman" w:cs="Times New Roman"/>
          <w:sz w:val="24"/>
          <w:szCs w:val="24"/>
        </w:rPr>
        <w:t>algunas sustancias psicoactivas: tabac</w:t>
      </w:r>
      <w:r w:rsidRPr="00162ACE">
        <w:rPr>
          <w:rFonts w:ascii="Times New Roman" w:hAnsi="Times New Roman" w:cs="Times New Roman"/>
          <w:sz w:val="24"/>
          <w:szCs w:val="24"/>
        </w:rPr>
        <w:t>o y marihuana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0,24</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tabaco y cocaína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0,37</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xml:space="preserve">); </w:t>
      </w:r>
      <w:r w:rsidRPr="00162ACE">
        <w:rPr>
          <w:rFonts w:ascii="Times New Roman" w:hAnsi="Times New Roman" w:cs="Times New Roman"/>
          <w:sz w:val="24"/>
          <w:szCs w:val="24"/>
        </w:rPr>
        <w:lastRenderedPageBreak/>
        <w:t>tabaco y pasta base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0,21</w:t>
      </w:r>
      <w:r w:rsidR="00E34667" w:rsidRPr="00162ACE">
        <w:rPr>
          <w:rFonts w:ascii="Times New Roman" w:hAnsi="Times New Roman" w:cs="Times New Roman"/>
          <w:sz w:val="24"/>
          <w:szCs w:val="24"/>
        </w:rPr>
        <w:t>, n.s.</w:t>
      </w:r>
      <w:r w:rsidR="00B227CF" w:rsidRPr="00162ACE">
        <w:rPr>
          <w:rFonts w:ascii="Times New Roman" w:hAnsi="Times New Roman" w:cs="Times New Roman"/>
          <w:sz w:val="24"/>
          <w:szCs w:val="24"/>
        </w:rPr>
        <w:t xml:space="preserve">), </w:t>
      </w:r>
      <w:r w:rsidRPr="00162ACE">
        <w:rPr>
          <w:rFonts w:ascii="Times New Roman" w:hAnsi="Times New Roman" w:cs="Times New Roman"/>
          <w:sz w:val="24"/>
          <w:szCs w:val="24"/>
        </w:rPr>
        <w:t>marihuana y cocaína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0,41</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y cocaína y pasta base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w:t>
      </w:r>
      <w:r w:rsidRPr="00162ACE">
        <w:rPr>
          <w:rFonts w:ascii="Times New Roman" w:hAnsi="Times New Roman" w:cs="Times New Roman"/>
          <w:sz w:val="24"/>
          <w:szCs w:val="24"/>
        </w:rPr>
        <w:t>0,32</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w:t>
      </w:r>
      <w:r w:rsidR="00B227CF" w:rsidRPr="00162ACE">
        <w:rPr>
          <w:rFonts w:ascii="Times New Roman" w:hAnsi="Times New Roman" w:cs="Times New Roman"/>
          <w:sz w:val="24"/>
          <w:szCs w:val="24"/>
        </w:rPr>
        <w:t xml:space="preserve">. </w:t>
      </w:r>
    </w:p>
    <w:p w14:paraId="64EA55D9" w14:textId="77777777" w:rsidR="00D1615E" w:rsidRPr="00162ACE" w:rsidRDefault="004F5833"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En </w:t>
      </w:r>
      <w:r w:rsidR="003406FA" w:rsidRPr="00162ACE">
        <w:rPr>
          <w:rFonts w:ascii="Times New Roman" w:hAnsi="Times New Roman" w:cs="Times New Roman"/>
          <w:sz w:val="24"/>
          <w:szCs w:val="24"/>
        </w:rPr>
        <w:t>Mal</w:t>
      </w:r>
      <w:r w:rsidR="001A4E5D" w:rsidRPr="00162ACE">
        <w:rPr>
          <w:rFonts w:ascii="Times New Roman" w:hAnsi="Times New Roman" w:cs="Times New Roman"/>
          <w:sz w:val="24"/>
          <w:szCs w:val="24"/>
        </w:rPr>
        <w:t>vín</w:t>
      </w:r>
      <w:r w:rsidRPr="00162ACE">
        <w:rPr>
          <w:rFonts w:ascii="Times New Roman" w:hAnsi="Times New Roman" w:cs="Times New Roman"/>
          <w:sz w:val="24"/>
          <w:szCs w:val="24"/>
        </w:rPr>
        <w:t xml:space="preserve"> existe una </w:t>
      </w:r>
      <w:r w:rsidR="00C92119" w:rsidRPr="00162ACE">
        <w:rPr>
          <w:rFonts w:ascii="Times New Roman" w:hAnsi="Times New Roman" w:cs="Times New Roman"/>
          <w:sz w:val="24"/>
          <w:szCs w:val="24"/>
        </w:rPr>
        <w:t>correlación</w:t>
      </w:r>
      <w:r w:rsidRPr="00162ACE">
        <w:rPr>
          <w:rFonts w:ascii="Times New Roman" w:hAnsi="Times New Roman" w:cs="Times New Roman"/>
          <w:sz w:val="24"/>
          <w:szCs w:val="24"/>
        </w:rPr>
        <w:t xml:space="preserve"> negativa entre CFC-F y CFC-I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C92119" w:rsidRPr="00162ACE">
        <w:rPr>
          <w:rFonts w:ascii="Times New Roman" w:hAnsi="Times New Roman" w:cs="Times New Roman"/>
          <w:sz w:val="24"/>
          <w:szCs w:val="24"/>
        </w:rPr>
        <w:t>-</w:t>
      </w:r>
      <w:r w:rsidRPr="00162ACE">
        <w:rPr>
          <w:rFonts w:ascii="Times New Roman" w:hAnsi="Times New Roman" w:cs="Times New Roman"/>
          <w:sz w:val="24"/>
          <w:szCs w:val="24"/>
        </w:rPr>
        <w:t>0,37</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y entre CFC-I y educación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C92119" w:rsidRPr="00162ACE">
        <w:rPr>
          <w:rFonts w:ascii="Times New Roman" w:hAnsi="Times New Roman" w:cs="Times New Roman"/>
          <w:sz w:val="24"/>
          <w:szCs w:val="24"/>
        </w:rPr>
        <w:t>-</w:t>
      </w:r>
      <w:r w:rsidRPr="00162ACE">
        <w:rPr>
          <w:rFonts w:ascii="Times New Roman" w:hAnsi="Times New Roman" w:cs="Times New Roman"/>
          <w:sz w:val="24"/>
          <w:szCs w:val="24"/>
        </w:rPr>
        <w:t>0,30</w:t>
      </w:r>
      <w:r w:rsidR="00E34667" w:rsidRPr="00162ACE">
        <w:rPr>
          <w:rFonts w:ascii="Times New Roman" w:hAnsi="Times New Roman" w:cs="Times New Roman"/>
          <w:sz w:val="24"/>
          <w:szCs w:val="24"/>
        </w:rPr>
        <w:t>, n.s.</w:t>
      </w:r>
      <w:r w:rsidR="00B227CF" w:rsidRPr="00162ACE">
        <w:rPr>
          <w:rFonts w:ascii="Times New Roman" w:hAnsi="Times New Roman" w:cs="Times New Roman"/>
          <w:sz w:val="24"/>
          <w:szCs w:val="24"/>
        </w:rPr>
        <w:t>)</w:t>
      </w:r>
      <w:r w:rsidR="00CE6B7E" w:rsidRPr="00162ACE">
        <w:rPr>
          <w:rFonts w:ascii="Times New Roman" w:hAnsi="Times New Roman" w:cs="Times New Roman"/>
          <w:sz w:val="24"/>
          <w:szCs w:val="24"/>
        </w:rPr>
        <w:t xml:space="preserve">. A su vez, existe una </w:t>
      </w:r>
      <w:r w:rsidR="00C92119" w:rsidRPr="00162ACE">
        <w:rPr>
          <w:rFonts w:ascii="Times New Roman" w:hAnsi="Times New Roman" w:cs="Times New Roman"/>
          <w:sz w:val="24"/>
          <w:szCs w:val="24"/>
        </w:rPr>
        <w:t>correlación</w:t>
      </w:r>
      <w:r w:rsidR="00CE6B7E" w:rsidRPr="00162ACE">
        <w:rPr>
          <w:rFonts w:ascii="Times New Roman" w:hAnsi="Times New Roman" w:cs="Times New Roman"/>
          <w:sz w:val="24"/>
          <w:szCs w:val="24"/>
        </w:rPr>
        <w:t xml:space="preserve"> positiva entre CFC-I y consumo de marihuana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CE6B7E" w:rsidRPr="00162ACE">
        <w:rPr>
          <w:rFonts w:ascii="Times New Roman" w:hAnsi="Times New Roman" w:cs="Times New Roman"/>
          <w:sz w:val="24"/>
          <w:szCs w:val="24"/>
        </w:rPr>
        <w:t>0,20</w:t>
      </w:r>
      <w:r w:rsidR="00E34667" w:rsidRPr="00162ACE">
        <w:rPr>
          <w:rFonts w:ascii="Times New Roman" w:hAnsi="Times New Roman" w:cs="Times New Roman"/>
          <w:sz w:val="24"/>
          <w:szCs w:val="24"/>
        </w:rPr>
        <w:t>, n.s.</w:t>
      </w:r>
      <w:r w:rsidR="00CE6B7E" w:rsidRPr="00162ACE">
        <w:rPr>
          <w:rFonts w:ascii="Times New Roman" w:hAnsi="Times New Roman" w:cs="Times New Roman"/>
          <w:sz w:val="24"/>
          <w:szCs w:val="24"/>
        </w:rPr>
        <w:t>).</w:t>
      </w:r>
    </w:p>
    <w:p w14:paraId="0CEC5926" w14:textId="77777777" w:rsidR="007A1B67" w:rsidRPr="00162ACE" w:rsidRDefault="007A1B67" w:rsidP="00162ACE">
      <w:pPr>
        <w:spacing w:line="480" w:lineRule="auto"/>
        <w:ind w:firstLine="709"/>
        <w:jc w:val="center"/>
        <w:rPr>
          <w:rFonts w:ascii="Times New Roman" w:hAnsi="Times New Roman" w:cs="Times New Roman"/>
          <w:b/>
          <w:sz w:val="24"/>
          <w:szCs w:val="24"/>
        </w:rPr>
      </w:pPr>
      <w:r w:rsidRPr="00162ACE">
        <w:rPr>
          <w:rFonts w:ascii="Times New Roman" w:hAnsi="Times New Roman" w:cs="Times New Roman"/>
          <w:b/>
          <w:sz w:val="24"/>
          <w:szCs w:val="24"/>
        </w:rPr>
        <w:t>Discusión</w:t>
      </w:r>
    </w:p>
    <w:p w14:paraId="6224CF2F" w14:textId="3DD71F0D" w:rsidR="007A1B67" w:rsidRPr="00162ACE" w:rsidRDefault="007A1B67"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sz w:val="24"/>
          <w:szCs w:val="24"/>
          <w:lang w:val="es-ES"/>
        </w:rPr>
        <w:t xml:space="preserve">El objetivo de este estudio fue determinar la </w:t>
      </w:r>
      <w:r w:rsidR="00D1615E" w:rsidRPr="00162ACE">
        <w:rPr>
          <w:rFonts w:ascii="Times New Roman" w:hAnsi="Times New Roman" w:cs="Times New Roman"/>
          <w:sz w:val="24"/>
          <w:szCs w:val="24"/>
          <w:lang w:val="es-ES"/>
        </w:rPr>
        <w:t>validez interna y predictiva de la Escala</w:t>
      </w:r>
      <w:r w:rsidRPr="00162ACE">
        <w:rPr>
          <w:rFonts w:ascii="Times New Roman" w:hAnsi="Times New Roman" w:cs="Times New Roman"/>
          <w:sz w:val="24"/>
          <w:szCs w:val="24"/>
          <w:lang w:val="es-ES"/>
        </w:rPr>
        <w:t xml:space="preserve"> CFC-14 en una población general</w:t>
      </w:r>
      <w:r w:rsidR="00A71A02" w:rsidRPr="00162ACE">
        <w:rPr>
          <w:rFonts w:ascii="Times New Roman" w:hAnsi="Times New Roman" w:cs="Times New Roman"/>
          <w:sz w:val="24"/>
          <w:szCs w:val="24"/>
          <w:lang w:val="es-ES"/>
        </w:rPr>
        <w:t xml:space="preserve"> de tres barrios</w:t>
      </w:r>
      <w:r w:rsidRPr="00162ACE">
        <w:rPr>
          <w:rFonts w:ascii="Times New Roman" w:hAnsi="Times New Roman" w:cs="Times New Roman"/>
          <w:sz w:val="24"/>
          <w:szCs w:val="24"/>
          <w:lang w:val="es-ES"/>
        </w:rPr>
        <w:t xml:space="preserve"> de Montevideo, Uruguay, seleccionada de forma aleatoria. </w:t>
      </w:r>
      <w:r w:rsidR="00A2151F">
        <w:rPr>
          <w:rFonts w:ascii="Times New Roman" w:hAnsi="Times New Roman" w:cs="Times New Roman"/>
          <w:sz w:val="24"/>
          <w:szCs w:val="24"/>
          <w:lang w:val="es-ES"/>
        </w:rPr>
        <w:t>N</w:t>
      </w:r>
      <w:r w:rsidRPr="00162ACE">
        <w:rPr>
          <w:rFonts w:ascii="Times New Roman" w:hAnsi="Times New Roman" w:cs="Times New Roman"/>
          <w:sz w:val="24"/>
          <w:szCs w:val="24"/>
          <w:lang w:val="es-ES"/>
        </w:rPr>
        <w:t xml:space="preserve">uestros datos son mixtos en cuanto al cumplimiento de las hipótesis. </w:t>
      </w:r>
    </w:p>
    <w:p w14:paraId="392D29BF" w14:textId="00CF04B4" w:rsidR="009B0947" w:rsidRPr="00162ACE" w:rsidRDefault="00074630"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sz w:val="24"/>
          <w:szCs w:val="24"/>
          <w:lang w:val="es-ES"/>
        </w:rPr>
        <w:t xml:space="preserve">La confiabilidad de la escala, alcanza valores aceptables superiores al criterio mínimo aceptado de 0,60. </w:t>
      </w:r>
      <w:r w:rsidR="007A1B67" w:rsidRPr="00162ACE">
        <w:rPr>
          <w:rFonts w:ascii="Times New Roman" w:hAnsi="Times New Roman" w:cs="Times New Roman"/>
          <w:sz w:val="24"/>
          <w:szCs w:val="24"/>
          <w:lang w:val="es-ES"/>
        </w:rPr>
        <w:t xml:space="preserve">En cuanto al análisis factorial, la solución no se ajustó </w:t>
      </w:r>
      <w:r w:rsidRPr="00162ACE">
        <w:rPr>
          <w:rFonts w:ascii="Times New Roman" w:hAnsi="Times New Roman" w:cs="Times New Roman"/>
          <w:sz w:val="24"/>
          <w:szCs w:val="24"/>
          <w:lang w:val="es-ES"/>
        </w:rPr>
        <w:t xml:space="preserve">de forma unívoca </w:t>
      </w:r>
      <w:r w:rsidR="007A1B67" w:rsidRPr="00162ACE">
        <w:rPr>
          <w:rFonts w:ascii="Times New Roman" w:hAnsi="Times New Roman" w:cs="Times New Roman"/>
          <w:sz w:val="24"/>
          <w:szCs w:val="24"/>
          <w:lang w:val="es-ES"/>
        </w:rPr>
        <w:t>a dos factores</w:t>
      </w:r>
      <w:r w:rsidRPr="00162ACE">
        <w:rPr>
          <w:rFonts w:ascii="Times New Roman" w:hAnsi="Times New Roman" w:cs="Times New Roman"/>
          <w:sz w:val="24"/>
          <w:szCs w:val="24"/>
          <w:lang w:val="es-ES"/>
        </w:rPr>
        <w:t xml:space="preserve"> establecida en estudios previos (</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lang w:val="es-ES"/>
        </w:rPr>
        <w:t>Joireman et al., 2008, Vásquez Echeverría et al, 2015)</w:t>
      </w:r>
      <w:r w:rsidR="007A1B67" w:rsidRPr="00162ACE">
        <w:rPr>
          <w:rFonts w:ascii="Times New Roman" w:hAnsi="Times New Roman" w:cs="Times New Roman"/>
          <w:sz w:val="24"/>
          <w:szCs w:val="24"/>
          <w:lang w:val="es-ES"/>
        </w:rPr>
        <w:t>. Los dos ítems incorporados presentaron una muy buena carga que se configura en el segundo factor en cuanto a varianza explicada y en este sentido, provoca un desdoblamiento factorial con los otros ítems de la subescala CFC-F. Al analizar los datos, igualmente se puede apreciar que presenta</w:t>
      </w:r>
      <w:r w:rsidRPr="00162ACE">
        <w:rPr>
          <w:rFonts w:ascii="Times New Roman" w:hAnsi="Times New Roman" w:cs="Times New Roman"/>
          <w:sz w:val="24"/>
          <w:szCs w:val="24"/>
          <w:lang w:val="es-ES"/>
        </w:rPr>
        <w:t>n</w:t>
      </w:r>
      <w:r w:rsidR="007A1B67" w:rsidRPr="00162ACE">
        <w:rPr>
          <w:rFonts w:ascii="Times New Roman" w:hAnsi="Times New Roman" w:cs="Times New Roman"/>
          <w:sz w:val="24"/>
          <w:szCs w:val="24"/>
          <w:lang w:val="es-ES"/>
        </w:rPr>
        <w:t xml:space="preserve"> carga </w:t>
      </w:r>
      <w:r w:rsidRPr="00162ACE">
        <w:rPr>
          <w:rFonts w:ascii="Times New Roman" w:hAnsi="Times New Roman" w:cs="Times New Roman"/>
          <w:sz w:val="24"/>
          <w:szCs w:val="24"/>
          <w:lang w:val="es-ES"/>
        </w:rPr>
        <w:t xml:space="preserve">secundaria </w:t>
      </w:r>
      <w:r w:rsidR="007A1B67" w:rsidRPr="00162ACE">
        <w:rPr>
          <w:rFonts w:ascii="Times New Roman" w:hAnsi="Times New Roman" w:cs="Times New Roman"/>
          <w:sz w:val="24"/>
          <w:szCs w:val="24"/>
          <w:lang w:val="es-ES"/>
        </w:rPr>
        <w:t xml:space="preserve">moderada (de </w:t>
      </w:r>
      <w:r w:rsidR="00750F91" w:rsidRPr="00162ACE">
        <w:rPr>
          <w:rFonts w:ascii="Times New Roman" w:hAnsi="Times New Roman" w:cs="Times New Roman"/>
          <w:sz w:val="24"/>
          <w:szCs w:val="24"/>
          <w:lang w:val="es-ES"/>
        </w:rPr>
        <w:t>0,</w:t>
      </w:r>
      <w:r w:rsidR="007A1B67" w:rsidRPr="00162ACE">
        <w:rPr>
          <w:rFonts w:ascii="Times New Roman" w:hAnsi="Times New Roman" w:cs="Times New Roman"/>
          <w:sz w:val="24"/>
          <w:szCs w:val="24"/>
          <w:lang w:val="es-ES"/>
        </w:rPr>
        <w:t xml:space="preserve">32) </w:t>
      </w:r>
      <w:r w:rsidRPr="00162ACE">
        <w:rPr>
          <w:rFonts w:ascii="Times New Roman" w:hAnsi="Times New Roman" w:cs="Times New Roman"/>
          <w:sz w:val="24"/>
          <w:szCs w:val="24"/>
          <w:lang w:val="es-ES"/>
        </w:rPr>
        <w:t>en</w:t>
      </w:r>
      <w:r w:rsidR="007A1B67" w:rsidRPr="00162ACE">
        <w:rPr>
          <w:rFonts w:ascii="Times New Roman" w:hAnsi="Times New Roman" w:cs="Times New Roman"/>
          <w:sz w:val="24"/>
          <w:szCs w:val="24"/>
          <w:lang w:val="es-ES"/>
        </w:rPr>
        <w:t xml:space="preserve"> este tercer factor, por lo que se mantienen su relación interpretativa con esta subescala. Los ítems de la subescala CFC-I que presentan doble carga, mantienen su carga principal en este primer factor. Creemos que parte de estas dificultades pueden estar dadas en las respuestas diferenciales dadas por una población muy diversa en cuanto </w:t>
      </w:r>
      <w:r w:rsidR="00A71A02" w:rsidRPr="00162ACE">
        <w:rPr>
          <w:rFonts w:ascii="Times New Roman" w:hAnsi="Times New Roman" w:cs="Times New Roman"/>
          <w:sz w:val="24"/>
          <w:szCs w:val="24"/>
          <w:lang w:val="es-ES"/>
        </w:rPr>
        <w:t>a</w:t>
      </w:r>
      <w:r w:rsidR="009B0947" w:rsidRPr="00162ACE">
        <w:rPr>
          <w:rFonts w:ascii="Times New Roman" w:hAnsi="Times New Roman" w:cs="Times New Roman"/>
          <w:sz w:val="24"/>
          <w:szCs w:val="24"/>
          <w:lang w:val="es-ES"/>
        </w:rPr>
        <w:t xml:space="preserve"> la variedad en la configuración </w:t>
      </w:r>
      <w:r w:rsidR="00750F91" w:rsidRPr="00162ACE">
        <w:rPr>
          <w:rFonts w:ascii="Times New Roman" w:hAnsi="Times New Roman" w:cs="Times New Roman"/>
          <w:sz w:val="24"/>
          <w:szCs w:val="24"/>
          <w:lang w:val="es-ES"/>
        </w:rPr>
        <w:t>sociodemográfica</w:t>
      </w:r>
      <w:r w:rsidR="009B0947" w:rsidRPr="00162ACE">
        <w:rPr>
          <w:rFonts w:ascii="Times New Roman" w:hAnsi="Times New Roman" w:cs="Times New Roman"/>
          <w:sz w:val="24"/>
          <w:szCs w:val="24"/>
          <w:lang w:val="es-ES"/>
        </w:rPr>
        <w:t xml:space="preserve"> en una muestra pequeña. </w:t>
      </w:r>
      <w:r w:rsidR="0058419F" w:rsidRPr="00162ACE">
        <w:rPr>
          <w:rFonts w:ascii="Times New Roman" w:hAnsi="Times New Roman" w:cs="Times New Roman"/>
          <w:sz w:val="24"/>
          <w:szCs w:val="24"/>
          <w:lang w:val="es-ES"/>
        </w:rPr>
        <w:t>L</w:t>
      </w:r>
      <w:r w:rsidR="009B0947" w:rsidRPr="00162ACE">
        <w:rPr>
          <w:rFonts w:ascii="Times New Roman" w:hAnsi="Times New Roman" w:cs="Times New Roman"/>
          <w:sz w:val="24"/>
          <w:szCs w:val="24"/>
          <w:lang w:val="es-ES"/>
        </w:rPr>
        <w:t xml:space="preserve">a edad en años de los participantes </w:t>
      </w:r>
      <w:r w:rsidR="00B2091F" w:rsidRPr="00162ACE">
        <w:rPr>
          <w:rFonts w:ascii="Times New Roman" w:hAnsi="Times New Roman" w:cs="Times New Roman"/>
          <w:sz w:val="24"/>
          <w:szCs w:val="24"/>
          <w:lang w:val="es-ES"/>
        </w:rPr>
        <w:t>está</w:t>
      </w:r>
      <w:r w:rsidR="009B0947" w:rsidRPr="00162ACE">
        <w:rPr>
          <w:rFonts w:ascii="Times New Roman" w:hAnsi="Times New Roman" w:cs="Times New Roman"/>
          <w:sz w:val="24"/>
          <w:szCs w:val="24"/>
          <w:lang w:val="es-ES"/>
        </w:rPr>
        <w:t xml:space="preserve"> comprendida entre 18 a 86 años, con diferencias </w:t>
      </w:r>
      <w:r w:rsidR="00A71A02" w:rsidRPr="00162ACE">
        <w:rPr>
          <w:rFonts w:ascii="Times New Roman" w:hAnsi="Times New Roman" w:cs="Times New Roman"/>
          <w:sz w:val="24"/>
          <w:szCs w:val="24"/>
          <w:lang w:val="es-ES"/>
        </w:rPr>
        <w:t>significativas entre los mismos. E</w:t>
      </w:r>
      <w:r w:rsidRPr="00162ACE">
        <w:rPr>
          <w:rFonts w:ascii="Times New Roman" w:hAnsi="Times New Roman" w:cs="Times New Roman"/>
          <w:sz w:val="24"/>
          <w:szCs w:val="24"/>
          <w:lang w:val="es-ES"/>
        </w:rPr>
        <w:t xml:space="preserve">sto puede provocar que la escala </w:t>
      </w:r>
      <w:r w:rsidR="009B0947" w:rsidRPr="00162ACE">
        <w:rPr>
          <w:rFonts w:ascii="Times New Roman" w:hAnsi="Times New Roman" w:cs="Times New Roman"/>
          <w:sz w:val="24"/>
          <w:szCs w:val="24"/>
          <w:lang w:val="es-ES"/>
        </w:rPr>
        <w:t xml:space="preserve">muestre </w:t>
      </w:r>
      <w:r w:rsidRPr="00162ACE">
        <w:rPr>
          <w:rFonts w:ascii="Times New Roman" w:hAnsi="Times New Roman" w:cs="Times New Roman"/>
          <w:sz w:val="24"/>
          <w:szCs w:val="24"/>
          <w:lang w:val="es-ES"/>
        </w:rPr>
        <w:t>inestabilidad</w:t>
      </w:r>
      <w:r w:rsidR="009B0947" w:rsidRPr="00162ACE">
        <w:rPr>
          <w:rFonts w:ascii="Times New Roman" w:hAnsi="Times New Roman" w:cs="Times New Roman"/>
          <w:sz w:val="24"/>
          <w:szCs w:val="24"/>
          <w:lang w:val="es-ES"/>
        </w:rPr>
        <w:t xml:space="preserve"> y poca equivalencia métrica entre esta subpoblación y los indicadores.</w:t>
      </w:r>
      <w:r w:rsidRPr="00162ACE">
        <w:rPr>
          <w:rFonts w:ascii="Times New Roman" w:hAnsi="Times New Roman" w:cs="Times New Roman"/>
          <w:sz w:val="24"/>
          <w:szCs w:val="24"/>
          <w:lang w:val="es-ES"/>
        </w:rPr>
        <w:t xml:space="preserve"> </w:t>
      </w:r>
      <w:r w:rsidR="00712C7E" w:rsidRPr="00162ACE">
        <w:rPr>
          <w:rFonts w:ascii="Times New Roman" w:hAnsi="Times New Roman" w:cs="Times New Roman"/>
          <w:sz w:val="24"/>
          <w:szCs w:val="24"/>
          <w:lang w:val="es-ES"/>
        </w:rPr>
        <w:t xml:space="preserve">A su vez, </w:t>
      </w:r>
      <w:r w:rsidR="0050457D" w:rsidRPr="00162ACE">
        <w:rPr>
          <w:rFonts w:ascii="Times New Roman" w:hAnsi="Times New Roman" w:cs="Times New Roman"/>
          <w:sz w:val="24"/>
          <w:szCs w:val="24"/>
          <w:lang w:val="es-ES"/>
        </w:rPr>
        <w:t>se replica el problema d</w:t>
      </w:r>
      <w:r w:rsidR="00712C7E" w:rsidRPr="00162ACE">
        <w:rPr>
          <w:rFonts w:ascii="Times New Roman" w:hAnsi="Times New Roman" w:cs="Times New Roman"/>
          <w:sz w:val="24"/>
          <w:szCs w:val="24"/>
          <w:lang w:val="es-ES"/>
        </w:rPr>
        <w:t>el ítem 5</w:t>
      </w:r>
      <w:r w:rsidR="0050457D" w:rsidRPr="00162ACE">
        <w:rPr>
          <w:rFonts w:ascii="Times New Roman" w:hAnsi="Times New Roman" w:cs="Times New Roman"/>
          <w:sz w:val="24"/>
          <w:szCs w:val="24"/>
          <w:lang w:val="es-ES"/>
        </w:rPr>
        <w:t xml:space="preserve">, </w:t>
      </w:r>
      <w:r w:rsidR="0050457D" w:rsidRPr="00162ACE">
        <w:rPr>
          <w:rFonts w:ascii="Times New Roman" w:hAnsi="Times New Roman" w:cs="Times New Roman"/>
          <w:sz w:val="24"/>
          <w:szCs w:val="24"/>
          <w:lang w:val="es-ES"/>
        </w:rPr>
        <w:lastRenderedPageBreak/>
        <w:t xml:space="preserve">presentando </w:t>
      </w:r>
      <w:r w:rsidR="00712C7E" w:rsidRPr="00162ACE">
        <w:rPr>
          <w:rFonts w:ascii="Times New Roman" w:hAnsi="Times New Roman" w:cs="Times New Roman"/>
          <w:sz w:val="24"/>
          <w:szCs w:val="24"/>
          <w:lang w:val="es-ES"/>
        </w:rPr>
        <w:t xml:space="preserve">problemas de carga y de </w:t>
      </w:r>
      <w:r w:rsidR="00D4689B" w:rsidRPr="00162ACE">
        <w:rPr>
          <w:rFonts w:ascii="Times New Roman" w:hAnsi="Times New Roman" w:cs="Times New Roman"/>
          <w:sz w:val="24"/>
          <w:szCs w:val="24"/>
          <w:lang w:val="es-ES"/>
        </w:rPr>
        <w:t>correlación</w:t>
      </w:r>
      <w:r w:rsidR="00712C7E" w:rsidRPr="00162ACE">
        <w:rPr>
          <w:rFonts w:ascii="Times New Roman" w:hAnsi="Times New Roman" w:cs="Times New Roman"/>
          <w:sz w:val="24"/>
          <w:szCs w:val="24"/>
          <w:lang w:val="es-ES"/>
        </w:rPr>
        <w:t xml:space="preserve"> con la escala total, esto va en la línea de estudios anteriores que sugieren que la redacción del ítem en lenguas derivadas del latín no es la adecuada</w:t>
      </w:r>
      <w:r w:rsidR="0050457D" w:rsidRPr="00162ACE">
        <w:rPr>
          <w:rFonts w:ascii="Times New Roman" w:hAnsi="Times New Roman" w:cs="Times New Roman"/>
          <w:sz w:val="24"/>
          <w:szCs w:val="24"/>
          <w:lang w:val="es-ES"/>
        </w:rPr>
        <w:t xml:space="preserve"> </w:t>
      </w:r>
      <w:r w:rsidR="00712C7E" w:rsidRPr="00162ACE">
        <w:rPr>
          <w:rFonts w:ascii="Times New Roman" w:hAnsi="Times New Roman" w:cs="Times New Roman"/>
          <w:sz w:val="24"/>
          <w:szCs w:val="24"/>
          <w:lang w:val="es-ES"/>
        </w:rPr>
        <w:t>(</w:t>
      </w:r>
      <w:r w:rsidR="00A71A02" w:rsidRPr="00162ACE">
        <w:rPr>
          <w:rFonts w:ascii="Times New Roman" w:hAnsi="Times New Roman" w:cs="Times New Roman"/>
          <w:sz w:val="24"/>
          <w:szCs w:val="24"/>
          <w:lang w:val="es-ES"/>
        </w:rPr>
        <w:t>Vásquez Echeverría et al., 2015</w:t>
      </w:r>
      <w:r w:rsidR="0050457D" w:rsidRPr="00162ACE">
        <w:rPr>
          <w:rFonts w:ascii="Times New Roman" w:hAnsi="Times New Roman" w:cs="Times New Roman"/>
          <w:sz w:val="24"/>
          <w:szCs w:val="24"/>
          <w:lang w:val="es-ES"/>
        </w:rPr>
        <w:t>; Vásquez Echeverría et al, aceptado)</w:t>
      </w:r>
      <w:r w:rsidR="00712C7E" w:rsidRPr="00162ACE">
        <w:rPr>
          <w:rFonts w:ascii="Times New Roman" w:hAnsi="Times New Roman" w:cs="Times New Roman"/>
          <w:sz w:val="24"/>
          <w:szCs w:val="24"/>
          <w:lang w:val="es-ES"/>
        </w:rPr>
        <w:t>.</w:t>
      </w:r>
    </w:p>
    <w:p w14:paraId="14A75EE7" w14:textId="77777777" w:rsidR="007A1B67" w:rsidRPr="00162ACE" w:rsidRDefault="007A1B67"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sz w:val="24"/>
          <w:szCs w:val="24"/>
          <w:lang w:val="es-ES"/>
        </w:rPr>
        <w:t>En cuanto a la validez predictiva, las correlaciones son</w:t>
      </w:r>
      <w:r w:rsidR="00D1615E" w:rsidRPr="00162ACE">
        <w:rPr>
          <w:rFonts w:ascii="Times New Roman" w:hAnsi="Times New Roman" w:cs="Times New Roman"/>
          <w:sz w:val="24"/>
          <w:szCs w:val="24"/>
          <w:lang w:val="es-ES"/>
        </w:rPr>
        <w:t xml:space="preserve"> pequeñas a moderadas, pero en l</w:t>
      </w:r>
      <w:r w:rsidRPr="00162ACE">
        <w:rPr>
          <w:rFonts w:ascii="Times New Roman" w:hAnsi="Times New Roman" w:cs="Times New Roman"/>
          <w:sz w:val="24"/>
          <w:szCs w:val="24"/>
          <w:lang w:val="es-ES"/>
        </w:rPr>
        <w:t>a dirección teóricamente esperada y con datos diferenciales según sube</w:t>
      </w:r>
      <w:r w:rsidR="00B930AF" w:rsidRPr="00162ACE">
        <w:rPr>
          <w:rFonts w:ascii="Times New Roman" w:hAnsi="Times New Roman" w:cs="Times New Roman"/>
          <w:sz w:val="24"/>
          <w:szCs w:val="24"/>
          <w:lang w:val="es-ES"/>
        </w:rPr>
        <w:t>scala.</w:t>
      </w:r>
      <w:r w:rsidR="0050457D" w:rsidRPr="00162ACE">
        <w:rPr>
          <w:rFonts w:ascii="Times New Roman" w:hAnsi="Times New Roman" w:cs="Times New Roman"/>
          <w:sz w:val="24"/>
          <w:szCs w:val="24"/>
          <w:lang w:val="es-ES"/>
        </w:rPr>
        <w:t xml:space="preserve"> </w:t>
      </w:r>
      <w:r w:rsidR="00063E2B" w:rsidRPr="00162ACE">
        <w:rPr>
          <w:rFonts w:ascii="Times New Roman" w:hAnsi="Times New Roman" w:cs="Times New Roman"/>
          <w:sz w:val="24"/>
          <w:szCs w:val="24"/>
          <w:lang w:val="es-ES"/>
        </w:rPr>
        <w:t xml:space="preserve">Los análisis de varianza han mostrado que </w:t>
      </w:r>
      <w:r w:rsidR="001A4E5D" w:rsidRPr="00162ACE">
        <w:rPr>
          <w:rFonts w:ascii="Times New Roman" w:hAnsi="Times New Roman" w:cs="Times New Roman"/>
          <w:sz w:val="24"/>
          <w:szCs w:val="24"/>
          <w:lang w:val="es-ES"/>
        </w:rPr>
        <w:t>existen</w:t>
      </w:r>
      <w:r w:rsidR="0050457D" w:rsidRPr="00162ACE">
        <w:rPr>
          <w:rFonts w:ascii="Times New Roman" w:hAnsi="Times New Roman" w:cs="Times New Roman"/>
          <w:sz w:val="24"/>
          <w:szCs w:val="24"/>
          <w:lang w:val="es-ES"/>
        </w:rPr>
        <w:t xml:space="preserve"> </w:t>
      </w:r>
      <w:r w:rsidR="00D4689B" w:rsidRPr="00162ACE">
        <w:rPr>
          <w:rFonts w:ascii="Times New Roman" w:hAnsi="Times New Roman" w:cs="Times New Roman"/>
          <w:sz w:val="24"/>
          <w:szCs w:val="24"/>
          <w:lang w:val="es-ES"/>
        </w:rPr>
        <w:t>diferencias</w:t>
      </w:r>
      <w:r w:rsidR="0050457D" w:rsidRPr="00162ACE">
        <w:rPr>
          <w:rFonts w:ascii="Times New Roman" w:hAnsi="Times New Roman" w:cs="Times New Roman"/>
          <w:sz w:val="24"/>
          <w:szCs w:val="24"/>
          <w:lang w:val="es-ES"/>
        </w:rPr>
        <w:t xml:space="preserve"> </w:t>
      </w:r>
      <w:r w:rsidR="00D4689B" w:rsidRPr="00162ACE">
        <w:rPr>
          <w:rFonts w:ascii="Times New Roman" w:hAnsi="Times New Roman" w:cs="Times New Roman"/>
          <w:sz w:val="24"/>
          <w:szCs w:val="24"/>
          <w:lang w:val="es-ES"/>
        </w:rPr>
        <w:t>estadísticamente</w:t>
      </w:r>
      <w:r w:rsidR="00063E2B" w:rsidRPr="00162ACE">
        <w:rPr>
          <w:rFonts w:ascii="Times New Roman" w:hAnsi="Times New Roman" w:cs="Times New Roman"/>
          <w:sz w:val="24"/>
          <w:szCs w:val="24"/>
          <w:lang w:val="es-ES"/>
        </w:rPr>
        <w:t xml:space="preserve"> significativas </w:t>
      </w:r>
      <w:r w:rsidR="0050457D" w:rsidRPr="00162ACE">
        <w:rPr>
          <w:rFonts w:ascii="Times New Roman" w:hAnsi="Times New Roman" w:cs="Times New Roman"/>
          <w:sz w:val="24"/>
          <w:szCs w:val="24"/>
          <w:lang w:val="es-ES"/>
        </w:rPr>
        <w:t>en</w:t>
      </w:r>
      <w:r w:rsidR="00063E2B" w:rsidRPr="00162ACE">
        <w:rPr>
          <w:rFonts w:ascii="Times New Roman" w:hAnsi="Times New Roman" w:cs="Times New Roman"/>
          <w:sz w:val="24"/>
          <w:szCs w:val="24"/>
          <w:lang w:val="es-ES"/>
        </w:rPr>
        <w:t xml:space="preserve"> CFC-I </w:t>
      </w:r>
      <w:r w:rsidR="0050457D" w:rsidRPr="00162ACE">
        <w:rPr>
          <w:rFonts w:ascii="Times New Roman" w:hAnsi="Times New Roman" w:cs="Times New Roman"/>
          <w:sz w:val="24"/>
          <w:szCs w:val="24"/>
          <w:lang w:val="es-ES"/>
        </w:rPr>
        <w:t xml:space="preserve">entre las personas que consumen </w:t>
      </w:r>
      <w:r w:rsidR="00063E2B" w:rsidRPr="00162ACE">
        <w:rPr>
          <w:rFonts w:ascii="Times New Roman" w:hAnsi="Times New Roman" w:cs="Times New Roman"/>
          <w:sz w:val="24"/>
          <w:szCs w:val="24"/>
          <w:lang w:val="es-ES"/>
        </w:rPr>
        <w:t>marihuana</w:t>
      </w:r>
      <w:r w:rsidR="0050457D" w:rsidRPr="00162ACE">
        <w:rPr>
          <w:rFonts w:ascii="Times New Roman" w:hAnsi="Times New Roman" w:cs="Times New Roman"/>
          <w:sz w:val="24"/>
          <w:szCs w:val="24"/>
          <w:lang w:val="es-ES"/>
        </w:rPr>
        <w:t xml:space="preserve"> y las que no</w:t>
      </w:r>
      <w:r w:rsidR="00063E2B" w:rsidRPr="00162ACE">
        <w:rPr>
          <w:rFonts w:ascii="Times New Roman" w:hAnsi="Times New Roman" w:cs="Times New Roman"/>
          <w:sz w:val="24"/>
          <w:szCs w:val="24"/>
          <w:lang w:val="es-ES"/>
        </w:rPr>
        <w:t xml:space="preserve">. Cabe </w:t>
      </w:r>
      <w:r w:rsidR="00D4689B" w:rsidRPr="00162ACE">
        <w:rPr>
          <w:rFonts w:ascii="Times New Roman" w:hAnsi="Times New Roman" w:cs="Times New Roman"/>
          <w:sz w:val="24"/>
          <w:szCs w:val="24"/>
          <w:lang w:val="es-ES"/>
        </w:rPr>
        <w:t>destacar</w:t>
      </w:r>
      <w:r w:rsidR="00063E2B" w:rsidRPr="00162ACE">
        <w:rPr>
          <w:rFonts w:ascii="Times New Roman" w:hAnsi="Times New Roman" w:cs="Times New Roman"/>
          <w:sz w:val="24"/>
          <w:szCs w:val="24"/>
          <w:lang w:val="es-ES"/>
        </w:rPr>
        <w:t xml:space="preserve"> que la </w:t>
      </w:r>
      <w:r w:rsidR="00D4689B" w:rsidRPr="00162ACE">
        <w:rPr>
          <w:rFonts w:ascii="Times New Roman" w:hAnsi="Times New Roman" w:cs="Times New Roman"/>
          <w:sz w:val="24"/>
          <w:szCs w:val="24"/>
          <w:lang w:val="es-ES"/>
        </w:rPr>
        <w:t>correlación</w:t>
      </w:r>
      <w:r w:rsidR="00063E2B" w:rsidRPr="00162ACE">
        <w:rPr>
          <w:rFonts w:ascii="Times New Roman" w:hAnsi="Times New Roman" w:cs="Times New Roman"/>
          <w:sz w:val="24"/>
          <w:szCs w:val="24"/>
          <w:lang w:val="es-ES"/>
        </w:rPr>
        <w:t xml:space="preserve"> encontrada entre las subescalas de CFC y nivel educativo es la</w:t>
      </w:r>
      <w:r w:rsidR="00D1615E" w:rsidRPr="00162ACE">
        <w:rPr>
          <w:rFonts w:ascii="Times New Roman" w:hAnsi="Times New Roman" w:cs="Times New Roman"/>
          <w:sz w:val="24"/>
          <w:szCs w:val="24"/>
          <w:lang w:val="es-ES"/>
        </w:rPr>
        <w:t xml:space="preserve"> teóricamente esperada, </w:t>
      </w:r>
      <w:r w:rsidR="00063E2B" w:rsidRPr="00162ACE">
        <w:rPr>
          <w:rFonts w:ascii="Times New Roman" w:hAnsi="Times New Roman" w:cs="Times New Roman"/>
          <w:sz w:val="24"/>
          <w:szCs w:val="24"/>
          <w:lang w:val="es-ES"/>
        </w:rPr>
        <w:t xml:space="preserve">mayores </w:t>
      </w:r>
      <w:r w:rsidR="00D4689B" w:rsidRPr="00162ACE">
        <w:rPr>
          <w:rFonts w:ascii="Times New Roman" w:hAnsi="Times New Roman" w:cs="Times New Roman"/>
          <w:sz w:val="24"/>
          <w:szCs w:val="24"/>
          <w:lang w:val="es-ES"/>
        </w:rPr>
        <w:t>puntuaciones</w:t>
      </w:r>
      <w:r w:rsidR="00063E2B" w:rsidRPr="00162ACE">
        <w:rPr>
          <w:rFonts w:ascii="Times New Roman" w:hAnsi="Times New Roman" w:cs="Times New Roman"/>
          <w:sz w:val="24"/>
          <w:szCs w:val="24"/>
          <w:lang w:val="es-ES"/>
        </w:rPr>
        <w:t xml:space="preserve"> en CFC-F correlacionan positivamente con mayores niveles </w:t>
      </w:r>
      <w:r w:rsidR="00D4689B" w:rsidRPr="00162ACE">
        <w:rPr>
          <w:rFonts w:ascii="Times New Roman" w:hAnsi="Times New Roman" w:cs="Times New Roman"/>
          <w:sz w:val="24"/>
          <w:szCs w:val="24"/>
          <w:lang w:val="es-ES"/>
        </w:rPr>
        <w:t>educativos</w:t>
      </w:r>
      <w:r w:rsidR="00063E2B" w:rsidRPr="00162ACE">
        <w:rPr>
          <w:rFonts w:ascii="Times New Roman" w:hAnsi="Times New Roman" w:cs="Times New Roman"/>
          <w:sz w:val="24"/>
          <w:szCs w:val="24"/>
          <w:lang w:val="es-ES"/>
        </w:rPr>
        <w:t>. Mientras que a mayor</w:t>
      </w:r>
      <w:r w:rsidR="00D1615E" w:rsidRPr="00162ACE">
        <w:rPr>
          <w:rFonts w:ascii="Times New Roman" w:hAnsi="Times New Roman" w:cs="Times New Roman"/>
          <w:sz w:val="24"/>
          <w:szCs w:val="24"/>
          <w:lang w:val="es-ES"/>
        </w:rPr>
        <w:t>es puntuaciones en CFC-I menor</w:t>
      </w:r>
      <w:r w:rsidR="00063E2B" w:rsidRPr="00162ACE">
        <w:rPr>
          <w:rFonts w:ascii="Times New Roman" w:hAnsi="Times New Roman" w:cs="Times New Roman"/>
          <w:sz w:val="24"/>
          <w:szCs w:val="24"/>
          <w:lang w:val="es-ES"/>
        </w:rPr>
        <w:t xml:space="preserve"> nivel educativo. </w:t>
      </w:r>
      <w:r w:rsidRPr="00162ACE">
        <w:rPr>
          <w:rFonts w:ascii="Times New Roman" w:hAnsi="Times New Roman" w:cs="Times New Roman"/>
          <w:sz w:val="24"/>
          <w:szCs w:val="24"/>
          <w:lang w:val="es-ES"/>
        </w:rPr>
        <w:t xml:space="preserve"> Como advertencia señalar que estos datos son alcanzados empleando datos de la solución de dos factores que puede ser puesta en duda en futuros estudios, si se confirma la tendencia encontrada en este pilotaje</w:t>
      </w:r>
      <w:r w:rsidR="0050457D" w:rsidRPr="00162ACE">
        <w:rPr>
          <w:rFonts w:ascii="Times New Roman" w:hAnsi="Times New Roman" w:cs="Times New Roman"/>
          <w:sz w:val="24"/>
          <w:szCs w:val="24"/>
          <w:lang w:val="es-ES"/>
        </w:rPr>
        <w:t>, o las ofrecidas por otros autores (Zhang et al., 2015)</w:t>
      </w:r>
      <w:r w:rsidRPr="00162ACE">
        <w:rPr>
          <w:rFonts w:ascii="Times New Roman" w:hAnsi="Times New Roman" w:cs="Times New Roman"/>
          <w:sz w:val="24"/>
          <w:szCs w:val="24"/>
          <w:lang w:val="es-ES"/>
        </w:rPr>
        <w:t>.</w:t>
      </w:r>
    </w:p>
    <w:p w14:paraId="73F08793" w14:textId="20F40BBD" w:rsidR="00A72C23" w:rsidRPr="00162ACE" w:rsidRDefault="00B930AF" w:rsidP="00162ACE">
      <w:pPr>
        <w:shd w:val="clear" w:color="auto" w:fill="FFFFFF" w:themeFill="background1"/>
        <w:spacing w:line="480" w:lineRule="auto"/>
        <w:rPr>
          <w:rFonts w:ascii="Times New Roman" w:hAnsi="Times New Roman" w:cs="Times New Roman"/>
          <w:sz w:val="24"/>
          <w:szCs w:val="24"/>
        </w:rPr>
      </w:pPr>
      <w:r w:rsidRPr="00162ACE">
        <w:rPr>
          <w:rFonts w:ascii="Times New Roman" w:hAnsi="Times New Roman" w:cs="Times New Roman"/>
          <w:sz w:val="24"/>
          <w:szCs w:val="24"/>
        </w:rPr>
        <w:t xml:space="preserve">En suma, este estudio muestra que la escala CFC-14 posee algunos indicadores de validez aceptable en una muestra aleatoria de población general. Esto configura un dato muy relevante pocas veces </w:t>
      </w:r>
      <w:r w:rsidR="000E557B" w:rsidRPr="00162ACE">
        <w:rPr>
          <w:rFonts w:ascii="Times New Roman" w:hAnsi="Times New Roman" w:cs="Times New Roman"/>
          <w:sz w:val="24"/>
          <w:szCs w:val="24"/>
        </w:rPr>
        <w:t>reportado en las</w:t>
      </w:r>
      <w:r w:rsidR="0050457D"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investigaciones</w:t>
      </w:r>
      <w:r w:rsidRPr="00162ACE">
        <w:rPr>
          <w:rFonts w:ascii="Times New Roman" w:hAnsi="Times New Roman" w:cs="Times New Roman"/>
          <w:sz w:val="24"/>
          <w:szCs w:val="24"/>
        </w:rPr>
        <w:t xml:space="preserve"> de validación de escalas. Sin </w:t>
      </w:r>
      <w:r w:rsidR="00D4689B" w:rsidRPr="00162ACE">
        <w:rPr>
          <w:rFonts w:ascii="Times New Roman" w:hAnsi="Times New Roman" w:cs="Times New Roman"/>
          <w:sz w:val="24"/>
          <w:szCs w:val="24"/>
        </w:rPr>
        <w:t>embargo</w:t>
      </w:r>
      <w:r w:rsidRPr="00162ACE">
        <w:rPr>
          <w:rFonts w:ascii="Times New Roman" w:hAnsi="Times New Roman" w:cs="Times New Roman"/>
          <w:sz w:val="24"/>
          <w:szCs w:val="24"/>
        </w:rPr>
        <w:t xml:space="preserve">, es importante considerar que </w:t>
      </w:r>
      <w:r w:rsidR="000E557B" w:rsidRPr="00162ACE">
        <w:rPr>
          <w:rFonts w:ascii="Times New Roman" w:hAnsi="Times New Roman" w:cs="Times New Roman"/>
          <w:sz w:val="24"/>
          <w:szCs w:val="24"/>
        </w:rPr>
        <w:t>se trata de</w:t>
      </w:r>
      <w:r w:rsidRPr="00162ACE">
        <w:rPr>
          <w:rFonts w:ascii="Times New Roman" w:hAnsi="Times New Roman" w:cs="Times New Roman"/>
          <w:sz w:val="24"/>
          <w:szCs w:val="24"/>
        </w:rPr>
        <w:t xml:space="preserve"> una muestra aleatoria </w:t>
      </w:r>
      <w:r w:rsidR="000E557B" w:rsidRPr="00162ACE">
        <w:rPr>
          <w:rFonts w:ascii="Times New Roman" w:hAnsi="Times New Roman" w:cs="Times New Roman"/>
          <w:sz w:val="24"/>
          <w:szCs w:val="24"/>
        </w:rPr>
        <w:t xml:space="preserve">pequeña, </w:t>
      </w:r>
      <w:r w:rsidRPr="00162ACE">
        <w:rPr>
          <w:rFonts w:ascii="Times New Roman" w:hAnsi="Times New Roman" w:cs="Times New Roman"/>
          <w:sz w:val="24"/>
          <w:szCs w:val="24"/>
        </w:rPr>
        <w:t xml:space="preserve">de 188 participantes, y de una población </w:t>
      </w:r>
      <w:r w:rsidR="000E557B" w:rsidRPr="00162ACE">
        <w:rPr>
          <w:rFonts w:ascii="Times New Roman" w:hAnsi="Times New Roman" w:cs="Times New Roman"/>
          <w:sz w:val="24"/>
          <w:szCs w:val="24"/>
        </w:rPr>
        <w:t>con gran diversidad</w:t>
      </w:r>
      <w:r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lo cual</w:t>
      </w:r>
      <w:r w:rsidRPr="00162ACE">
        <w:rPr>
          <w:rFonts w:ascii="Times New Roman" w:hAnsi="Times New Roman" w:cs="Times New Roman"/>
          <w:sz w:val="24"/>
          <w:szCs w:val="24"/>
        </w:rPr>
        <w:t xml:space="preserve"> puede </w:t>
      </w:r>
      <w:r w:rsidR="000E557B" w:rsidRPr="00162ACE">
        <w:rPr>
          <w:rFonts w:ascii="Times New Roman" w:hAnsi="Times New Roman" w:cs="Times New Roman"/>
          <w:sz w:val="24"/>
          <w:szCs w:val="24"/>
        </w:rPr>
        <w:t xml:space="preserve">estar generando </w:t>
      </w:r>
      <w:r w:rsidR="0050457D" w:rsidRPr="00162ACE">
        <w:rPr>
          <w:rFonts w:ascii="Times New Roman" w:hAnsi="Times New Roman" w:cs="Times New Roman"/>
          <w:sz w:val="24"/>
          <w:szCs w:val="24"/>
        </w:rPr>
        <w:t>inestabilidad</w:t>
      </w:r>
      <w:r w:rsidR="001A4E5D" w:rsidRPr="00162ACE">
        <w:rPr>
          <w:rFonts w:ascii="Times New Roman" w:hAnsi="Times New Roman" w:cs="Times New Roman"/>
          <w:sz w:val="24"/>
          <w:szCs w:val="24"/>
        </w:rPr>
        <w:t xml:space="preserve"> en </w:t>
      </w:r>
      <w:r w:rsidRPr="00162ACE">
        <w:rPr>
          <w:rFonts w:ascii="Times New Roman" w:hAnsi="Times New Roman" w:cs="Times New Roman"/>
          <w:sz w:val="24"/>
          <w:szCs w:val="24"/>
        </w:rPr>
        <w:t xml:space="preserve">algunos </w:t>
      </w:r>
      <w:r w:rsidR="000E557B" w:rsidRPr="00162ACE">
        <w:rPr>
          <w:rFonts w:ascii="Times New Roman" w:hAnsi="Times New Roman" w:cs="Times New Roman"/>
          <w:sz w:val="24"/>
          <w:szCs w:val="24"/>
        </w:rPr>
        <w:t xml:space="preserve">de los análisis </w:t>
      </w:r>
      <w:r w:rsidR="0050457D" w:rsidRPr="00162ACE">
        <w:rPr>
          <w:rFonts w:ascii="Times New Roman" w:hAnsi="Times New Roman" w:cs="Times New Roman"/>
          <w:sz w:val="24"/>
          <w:szCs w:val="24"/>
        </w:rPr>
        <w:t xml:space="preserve">factoriales </w:t>
      </w:r>
      <w:r w:rsidR="000E557B" w:rsidRPr="00162ACE">
        <w:rPr>
          <w:rFonts w:ascii="Times New Roman" w:hAnsi="Times New Roman" w:cs="Times New Roman"/>
          <w:sz w:val="24"/>
          <w:szCs w:val="24"/>
        </w:rPr>
        <w:t>realizados</w:t>
      </w:r>
      <w:r w:rsidR="0050457D" w:rsidRPr="00162ACE">
        <w:rPr>
          <w:rFonts w:ascii="Times New Roman" w:hAnsi="Times New Roman" w:cs="Times New Roman"/>
          <w:sz w:val="24"/>
          <w:szCs w:val="24"/>
        </w:rPr>
        <w:t xml:space="preserve"> por la presencia de error idiosincrático aleatorio, inicialmente no esperado (</w:t>
      </w:r>
      <w:r w:rsidR="00BC369D" w:rsidRPr="00162ACE">
        <w:rPr>
          <w:rFonts w:ascii="Times New Roman" w:hAnsi="Times New Roman" w:cs="Times New Roman"/>
          <w:sz w:val="24"/>
          <w:szCs w:val="24"/>
          <w:lang w:val="es-ES"/>
        </w:rPr>
        <w:t xml:space="preserve">Viswanathan, 2005). </w:t>
      </w:r>
      <w:r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Esto ocurre p</w:t>
      </w:r>
      <w:r w:rsidRPr="00162ACE">
        <w:rPr>
          <w:rFonts w:ascii="Times New Roman" w:hAnsi="Times New Roman" w:cs="Times New Roman"/>
          <w:sz w:val="24"/>
          <w:szCs w:val="24"/>
        </w:rPr>
        <w:t xml:space="preserve">rincipalmente en el análisis factorial, </w:t>
      </w:r>
      <w:r w:rsidR="000E557B" w:rsidRPr="00162ACE">
        <w:rPr>
          <w:rFonts w:ascii="Times New Roman" w:hAnsi="Times New Roman" w:cs="Times New Roman"/>
          <w:sz w:val="24"/>
          <w:szCs w:val="24"/>
        </w:rPr>
        <w:t xml:space="preserve">dónde </w:t>
      </w:r>
      <w:r w:rsidRPr="00162ACE">
        <w:rPr>
          <w:rFonts w:ascii="Times New Roman" w:hAnsi="Times New Roman" w:cs="Times New Roman"/>
          <w:sz w:val="24"/>
          <w:szCs w:val="24"/>
        </w:rPr>
        <w:t>se observa un tercer factor</w:t>
      </w:r>
      <w:r w:rsidR="00750F91" w:rsidRPr="00162ACE">
        <w:rPr>
          <w:rFonts w:ascii="Times New Roman" w:hAnsi="Times New Roman" w:cs="Times New Roman"/>
          <w:sz w:val="24"/>
          <w:szCs w:val="24"/>
        </w:rPr>
        <w:t>.</w:t>
      </w:r>
      <w:r w:rsidR="00C27307" w:rsidRPr="00162ACE">
        <w:rPr>
          <w:rFonts w:ascii="Times New Roman" w:hAnsi="Times New Roman" w:cs="Times New Roman"/>
          <w:sz w:val="24"/>
          <w:szCs w:val="24"/>
        </w:rPr>
        <w:t xml:space="preserve"> </w:t>
      </w:r>
      <w:r w:rsidR="00750F91" w:rsidRPr="00162ACE">
        <w:rPr>
          <w:rFonts w:ascii="Times New Roman" w:hAnsi="Times New Roman" w:cs="Times New Roman"/>
          <w:sz w:val="24"/>
          <w:szCs w:val="24"/>
        </w:rPr>
        <w:t xml:space="preserve">Una explicación a esto </w:t>
      </w:r>
      <w:r w:rsidRPr="00162ACE">
        <w:rPr>
          <w:rFonts w:ascii="Times New Roman" w:hAnsi="Times New Roman" w:cs="Times New Roman"/>
          <w:sz w:val="24"/>
          <w:szCs w:val="24"/>
        </w:rPr>
        <w:t xml:space="preserve">puede </w:t>
      </w:r>
      <w:r w:rsidR="00750F91" w:rsidRPr="00162ACE">
        <w:rPr>
          <w:rFonts w:ascii="Times New Roman" w:hAnsi="Times New Roman" w:cs="Times New Roman"/>
          <w:sz w:val="24"/>
          <w:szCs w:val="24"/>
        </w:rPr>
        <w:t>radicar en</w:t>
      </w:r>
      <w:r w:rsidR="00C27307"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la falta de equivalencia entre los participantes de cada barrio u otros factores, por ejemplo, que los participantes de más edad respondan de manera diferencial al cuestionario (Farmer</w:t>
      </w:r>
      <w:r w:rsidR="0050457D"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&amp;</w:t>
      </w:r>
      <w:r w:rsidR="0050457D"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Farmer, 2014)</w:t>
      </w:r>
      <w:r w:rsidRPr="00162ACE">
        <w:rPr>
          <w:rFonts w:ascii="Times New Roman" w:hAnsi="Times New Roman" w:cs="Times New Roman"/>
          <w:sz w:val="24"/>
          <w:szCs w:val="24"/>
        </w:rPr>
        <w:t xml:space="preserve">. </w:t>
      </w:r>
      <w:r w:rsidR="0050457D" w:rsidRPr="00162ACE">
        <w:rPr>
          <w:rFonts w:ascii="Times New Roman" w:hAnsi="Times New Roman" w:cs="Times New Roman"/>
          <w:sz w:val="24"/>
          <w:szCs w:val="24"/>
        </w:rPr>
        <w:t>Si este fuere el caso, este tipo de error no se</w:t>
      </w:r>
      <w:r w:rsidR="00A2151F">
        <w:rPr>
          <w:rFonts w:ascii="Times New Roman" w:hAnsi="Times New Roman" w:cs="Times New Roman"/>
          <w:sz w:val="24"/>
          <w:szCs w:val="24"/>
        </w:rPr>
        <w:t>rá</w:t>
      </w:r>
      <w:r w:rsidR="0050457D" w:rsidRPr="00162ACE">
        <w:rPr>
          <w:rFonts w:ascii="Times New Roman" w:hAnsi="Times New Roman" w:cs="Times New Roman"/>
          <w:sz w:val="24"/>
          <w:szCs w:val="24"/>
        </w:rPr>
        <w:t xml:space="preserve"> visto en una muestra más homogénea </w:t>
      </w:r>
      <w:r w:rsidRPr="00162ACE">
        <w:rPr>
          <w:rFonts w:ascii="Times New Roman" w:hAnsi="Times New Roman" w:cs="Times New Roman"/>
          <w:sz w:val="24"/>
          <w:szCs w:val="24"/>
          <w:lang w:val="es-ES"/>
        </w:rPr>
        <w:t xml:space="preserve">o con muestras </w:t>
      </w:r>
      <w:r w:rsidR="007D245C" w:rsidRPr="00162ACE">
        <w:rPr>
          <w:rFonts w:ascii="Times New Roman" w:hAnsi="Times New Roman" w:cs="Times New Roman"/>
          <w:sz w:val="24"/>
          <w:szCs w:val="24"/>
          <w:lang w:val="es-ES"/>
        </w:rPr>
        <w:t>aleatorias</w:t>
      </w:r>
      <w:r w:rsidR="0050457D" w:rsidRPr="00162ACE">
        <w:rPr>
          <w:rFonts w:ascii="Times New Roman" w:hAnsi="Times New Roman" w:cs="Times New Roman"/>
          <w:sz w:val="24"/>
          <w:szCs w:val="24"/>
          <w:lang w:val="es-ES"/>
        </w:rPr>
        <w:t xml:space="preserve"> </w:t>
      </w:r>
      <w:r w:rsidR="009B0947" w:rsidRPr="00162ACE">
        <w:rPr>
          <w:rFonts w:ascii="Times New Roman" w:hAnsi="Times New Roman" w:cs="Times New Roman"/>
          <w:sz w:val="24"/>
          <w:szCs w:val="24"/>
          <w:lang w:val="es-ES"/>
        </w:rPr>
        <w:t>con mayor número de participantes</w:t>
      </w:r>
      <w:r w:rsidR="007D245C" w:rsidRPr="00162ACE">
        <w:rPr>
          <w:rFonts w:ascii="Times New Roman" w:hAnsi="Times New Roman" w:cs="Times New Roman"/>
          <w:sz w:val="24"/>
          <w:szCs w:val="24"/>
          <w:lang w:val="es-ES"/>
        </w:rPr>
        <w:t>, rep</w:t>
      </w:r>
      <w:r w:rsidR="00750F91" w:rsidRPr="00162ACE">
        <w:rPr>
          <w:rFonts w:ascii="Times New Roman" w:hAnsi="Times New Roman" w:cs="Times New Roman"/>
          <w:sz w:val="24"/>
          <w:szCs w:val="24"/>
          <w:lang w:val="es-ES"/>
        </w:rPr>
        <w:t xml:space="preserve">resentativas de la población </w:t>
      </w:r>
      <w:r w:rsidR="007D245C" w:rsidRPr="00162ACE">
        <w:rPr>
          <w:rFonts w:ascii="Times New Roman" w:hAnsi="Times New Roman" w:cs="Times New Roman"/>
          <w:sz w:val="24"/>
          <w:szCs w:val="24"/>
          <w:lang w:val="es-ES"/>
        </w:rPr>
        <w:lastRenderedPageBreak/>
        <w:t>(en este caso, Montevideo)</w:t>
      </w:r>
      <w:r w:rsidR="007A1B67" w:rsidRPr="00162ACE">
        <w:rPr>
          <w:rFonts w:ascii="Times New Roman" w:hAnsi="Times New Roman" w:cs="Times New Roman"/>
          <w:sz w:val="24"/>
          <w:szCs w:val="24"/>
          <w:lang w:val="es-ES"/>
        </w:rPr>
        <w:t>. Con todo, nuestros datos reafirman el poder predictivo de esta escala sobre el consumo de</w:t>
      </w:r>
      <w:r w:rsidRPr="00162ACE">
        <w:rPr>
          <w:rFonts w:ascii="Times New Roman" w:hAnsi="Times New Roman" w:cs="Times New Roman"/>
          <w:sz w:val="24"/>
          <w:szCs w:val="24"/>
          <w:lang w:val="es-ES"/>
        </w:rPr>
        <w:t xml:space="preserve"> sustancias psicoactivas</w:t>
      </w:r>
      <w:r w:rsidR="000E557B" w:rsidRPr="00162ACE">
        <w:rPr>
          <w:rFonts w:ascii="Times New Roman" w:hAnsi="Times New Roman" w:cs="Times New Roman"/>
          <w:sz w:val="24"/>
          <w:szCs w:val="24"/>
          <w:lang w:val="es-ES"/>
        </w:rPr>
        <w:t>, específicamente sobre el consumo de marihuana</w:t>
      </w:r>
      <w:r w:rsidR="00E8312B" w:rsidRPr="00162ACE">
        <w:rPr>
          <w:rFonts w:ascii="Times New Roman" w:hAnsi="Times New Roman" w:cs="Times New Roman"/>
          <w:sz w:val="24"/>
          <w:szCs w:val="24"/>
          <w:lang w:val="es-ES"/>
        </w:rPr>
        <w:t xml:space="preserve"> </w:t>
      </w:r>
      <w:r w:rsidR="00750F91" w:rsidRPr="00162ACE">
        <w:rPr>
          <w:rFonts w:ascii="Times New Roman" w:hAnsi="Times New Roman" w:cs="Times New Roman"/>
          <w:sz w:val="24"/>
          <w:szCs w:val="24"/>
          <w:lang w:val="es-ES"/>
        </w:rPr>
        <w:t>en una población general. P</w:t>
      </w:r>
      <w:r w:rsidR="007A1B67" w:rsidRPr="00162ACE">
        <w:rPr>
          <w:rFonts w:ascii="Times New Roman" w:hAnsi="Times New Roman" w:cs="Times New Roman"/>
          <w:sz w:val="24"/>
          <w:szCs w:val="24"/>
          <w:lang w:val="es-ES"/>
        </w:rPr>
        <w:t>or lo tanto</w:t>
      </w:r>
      <w:r w:rsidR="00750F91" w:rsidRPr="00162ACE">
        <w:rPr>
          <w:rFonts w:ascii="Times New Roman" w:hAnsi="Times New Roman" w:cs="Times New Roman"/>
          <w:sz w:val="24"/>
          <w:szCs w:val="24"/>
          <w:lang w:val="es-ES"/>
        </w:rPr>
        <w:t>, la Escala CFC</w:t>
      </w:r>
      <w:r w:rsidR="007A1B67" w:rsidRPr="00162ACE">
        <w:rPr>
          <w:rFonts w:ascii="Times New Roman" w:hAnsi="Times New Roman" w:cs="Times New Roman"/>
          <w:sz w:val="24"/>
          <w:szCs w:val="24"/>
          <w:lang w:val="es-ES"/>
        </w:rPr>
        <w:t xml:space="preserve"> puede ser un instr</w:t>
      </w:r>
      <w:r w:rsidR="001A4E5D" w:rsidRPr="00162ACE">
        <w:rPr>
          <w:rFonts w:ascii="Times New Roman" w:hAnsi="Times New Roman" w:cs="Times New Roman"/>
          <w:sz w:val="24"/>
          <w:szCs w:val="24"/>
          <w:lang w:val="es-ES"/>
        </w:rPr>
        <w:t>umento muy valioso en el diseño</w:t>
      </w:r>
      <w:r w:rsidR="007A1B67" w:rsidRPr="00162ACE">
        <w:rPr>
          <w:rFonts w:ascii="Times New Roman" w:hAnsi="Times New Roman" w:cs="Times New Roman"/>
          <w:sz w:val="24"/>
          <w:szCs w:val="24"/>
          <w:lang w:val="es-ES"/>
        </w:rPr>
        <w:t xml:space="preserve"> de políticas </w:t>
      </w:r>
      <w:r w:rsidR="00750F91" w:rsidRPr="00162ACE">
        <w:rPr>
          <w:rFonts w:ascii="Times New Roman" w:hAnsi="Times New Roman" w:cs="Times New Roman"/>
          <w:sz w:val="24"/>
          <w:szCs w:val="24"/>
          <w:lang w:val="es-ES"/>
        </w:rPr>
        <w:t>y orientar las campañas públicas de prevención</w:t>
      </w:r>
      <w:r w:rsidR="007A1B67" w:rsidRPr="00162ACE">
        <w:rPr>
          <w:rFonts w:ascii="Times New Roman" w:hAnsi="Times New Roman" w:cs="Times New Roman"/>
          <w:sz w:val="24"/>
          <w:szCs w:val="24"/>
          <w:lang w:val="es-ES"/>
        </w:rPr>
        <w:t xml:space="preserve">.  </w:t>
      </w:r>
    </w:p>
    <w:p w14:paraId="6DA92608" w14:textId="77777777" w:rsidR="00AC08D5" w:rsidRPr="00F340AF" w:rsidRDefault="00AC08D5">
      <w:pPr>
        <w:rPr>
          <w:rFonts w:ascii="Times New Roman" w:hAnsi="Times New Roman" w:cs="Times New Roman"/>
          <w:sz w:val="24"/>
          <w:szCs w:val="24"/>
        </w:rPr>
      </w:pPr>
      <w:r w:rsidRPr="00F340AF">
        <w:rPr>
          <w:rFonts w:ascii="Times New Roman" w:hAnsi="Times New Roman" w:cs="Times New Roman"/>
          <w:sz w:val="24"/>
          <w:szCs w:val="24"/>
        </w:rPr>
        <w:br w:type="page"/>
      </w:r>
    </w:p>
    <w:p w14:paraId="6D8E136D" w14:textId="134232F2" w:rsidR="001C1879" w:rsidRPr="00162ACE" w:rsidRDefault="001C1879" w:rsidP="00162ACE">
      <w:pPr>
        <w:shd w:val="clear" w:color="auto" w:fill="FFFFFF" w:themeFill="background1"/>
        <w:spacing w:line="480" w:lineRule="auto"/>
        <w:jc w:val="center"/>
        <w:rPr>
          <w:rFonts w:ascii="Times New Roman" w:hAnsi="Times New Roman" w:cs="Times New Roman"/>
          <w:sz w:val="24"/>
          <w:szCs w:val="24"/>
          <w:lang w:val="en-GB"/>
        </w:rPr>
      </w:pPr>
      <w:r w:rsidRPr="00162ACE">
        <w:rPr>
          <w:rFonts w:ascii="Times New Roman" w:hAnsi="Times New Roman" w:cs="Times New Roman"/>
          <w:sz w:val="24"/>
          <w:szCs w:val="24"/>
          <w:lang w:val="en-GB"/>
        </w:rPr>
        <w:lastRenderedPageBreak/>
        <w:t>Referencias</w:t>
      </w:r>
    </w:p>
    <w:p w14:paraId="7E8C34B4" w14:textId="77777777" w:rsidR="001C1879" w:rsidRPr="00162ACE" w:rsidRDefault="001C1879" w:rsidP="00162ACE">
      <w:pPr>
        <w:spacing w:line="480" w:lineRule="auto"/>
        <w:ind w:left="567" w:hanging="567"/>
        <w:rPr>
          <w:rFonts w:ascii="Times New Roman" w:hAnsi="Times New Roman" w:cs="Times New Roman"/>
          <w:b/>
          <w:sz w:val="24"/>
          <w:szCs w:val="24"/>
          <w:lang w:val="en-GB"/>
        </w:rPr>
      </w:pPr>
      <w:r w:rsidRPr="00162ACE">
        <w:rPr>
          <w:rFonts w:ascii="Times New Roman" w:hAnsi="Times New Roman" w:cs="Times New Roman"/>
          <w:sz w:val="24"/>
          <w:szCs w:val="24"/>
          <w:lang w:val="en-GB"/>
        </w:rPr>
        <w:t>Adams, J. (2012). Consideration of immediate and future consequences, smoking status, and body mass index</w:t>
      </w:r>
      <w:r w:rsidRPr="00162ACE">
        <w:rPr>
          <w:rFonts w:ascii="Times New Roman" w:hAnsi="Times New Roman" w:cs="Times New Roman"/>
          <w:i/>
          <w:sz w:val="24"/>
          <w:szCs w:val="24"/>
          <w:lang w:val="en-GB"/>
        </w:rPr>
        <w:t>. Health Psychology</w:t>
      </w:r>
      <w:r w:rsidRPr="00162ACE">
        <w:rPr>
          <w:rFonts w:ascii="Times New Roman" w:hAnsi="Times New Roman" w:cs="Times New Roman"/>
          <w:sz w:val="24"/>
          <w:szCs w:val="24"/>
          <w:lang w:val="en-GB"/>
        </w:rPr>
        <w:t xml:space="preserve">, 31(2), 260.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1"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.org/10.1037/a0025790</w:t>
        </w:r>
      </w:hyperlink>
    </w:p>
    <w:p w14:paraId="63CEE42F"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highlight w:val="white"/>
          <w:lang w:val="en-GB"/>
        </w:rPr>
        <w:t xml:space="preserve">Balliet, D., &amp; Ferris, D. L. (2013). Ostracism and prosocial behavior: A social dilemma perspective. </w:t>
      </w:r>
      <w:r w:rsidRPr="00162ACE">
        <w:rPr>
          <w:rFonts w:ascii="Times New Roman" w:hAnsi="Times New Roman" w:cs="Times New Roman"/>
          <w:i/>
          <w:sz w:val="24"/>
          <w:szCs w:val="24"/>
          <w:highlight w:val="white"/>
          <w:lang w:val="en-GB"/>
        </w:rPr>
        <w:t>Organizational Behavior and Human Decision Processes</w:t>
      </w:r>
      <w:r w:rsidRPr="00162ACE">
        <w:rPr>
          <w:rFonts w:ascii="Times New Roman" w:hAnsi="Times New Roman" w:cs="Times New Roman"/>
          <w:sz w:val="24"/>
          <w:szCs w:val="24"/>
          <w:highlight w:val="white"/>
          <w:lang w:val="en-GB"/>
        </w:rPr>
        <w:t>,</w:t>
      </w:r>
      <w:r w:rsidRPr="00162ACE">
        <w:rPr>
          <w:rFonts w:ascii="Times New Roman" w:hAnsi="Times New Roman" w:cs="Times New Roman"/>
          <w:i/>
          <w:sz w:val="24"/>
          <w:szCs w:val="24"/>
          <w:highlight w:val="white"/>
          <w:lang w:val="en-GB"/>
        </w:rPr>
        <w:t xml:space="preserve"> 120</w:t>
      </w:r>
      <w:r w:rsidRPr="00162ACE">
        <w:rPr>
          <w:rFonts w:ascii="Times New Roman" w:hAnsi="Times New Roman" w:cs="Times New Roman"/>
          <w:sz w:val="24"/>
          <w:szCs w:val="24"/>
          <w:highlight w:val="white"/>
          <w:lang w:val="en-GB"/>
        </w:rPr>
        <w:t>(2), 298-308.</w:t>
      </w:r>
      <w:r w:rsidRPr="00162ACE">
        <w:rPr>
          <w:rFonts w:ascii="Times New Roman" w:hAnsi="Times New Roman" w:cs="Times New Roman"/>
          <w:sz w:val="24"/>
          <w:szCs w:val="24"/>
          <w:lang w:val="en-GB"/>
        </w:rPr>
        <w:t xml:space="preserve">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2"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.org/10.1016/j.obhdp.2012.04.004</w:t>
        </w:r>
      </w:hyperlink>
    </w:p>
    <w:p w14:paraId="1314D697"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highlight w:val="white"/>
          <w:lang w:val="en-GB"/>
        </w:rPr>
        <w:t xml:space="preserve">Beenstock, J., Adams, J., &amp; White, M. (2011). The association between time perspective and alcohol consumption in university students: cross-sectional study. </w:t>
      </w:r>
      <w:r w:rsidRPr="00162ACE">
        <w:rPr>
          <w:rFonts w:ascii="Times New Roman" w:hAnsi="Times New Roman" w:cs="Times New Roman"/>
          <w:i/>
          <w:sz w:val="24"/>
          <w:szCs w:val="24"/>
          <w:highlight w:val="white"/>
          <w:lang w:val="en-GB"/>
        </w:rPr>
        <w:t>The European journal of public health</w:t>
      </w:r>
      <w:r w:rsidRPr="00162ACE">
        <w:rPr>
          <w:rFonts w:ascii="Times New Roman" w:hAnsi="Times New Roman" w:cs="Times New Roman"/>
          <w:sz w:val="24"/>
          <w:szCs w:val="24"/>
          <w:highlight w:val="white"/>
          <w:lang w:val="en-GB"/>
        </w:rPr>
        <w:t xml:space="preserve">, </w:t>
      </w:r>
      <w:r w:rsidRPr="00162ACE">
        <w:rPr>
          <w:rFonts w:ascii="Times New Roman" w:hAnsi="Times New Roman" w:cs="Times New Roman"/>
          <w:i/>
          <w:sz w:val="24"/>
          <w:szCs w:val="24"/>
          <w:highlight w:val="white"/>
          <w:lang w:val="en-GB"/>
        </w:rPr>
        <w:t>21</w:t>
      </w:r>
      <w:r w:rsidRPr="00162ACE">
        <w:rPr>
          <w:rFonts w:ascii="Times New Roman" w:hAnsi="Times New Roman" w:cs="Times New Roman"/>
          <w:sz w:val="24"/>
          <w:szCs w:val="24"/>
          <w:highlight w:val="white"/>
          <w:lang w:val="en-GB"/>
        </w:rPr>
        <w:t>(4), 438-443.</w:t>
      </w:r>
      <w:r w:rsidRPr="00162ACE">
        <w:rPr>
          <w:rFonts w:ascii="Times New Roman" w:hAnsi="Times New Roman" w:cs="Times New Roman"/>
          <w:sz w:val="24"/>
          <w:szCs w:val="24"/>
          <w:lang w:val="en-GB"/>
        </w:rPr>
        <w:t xml:space="preserve">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3"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.org/10.1093/eurpub/ckp225</w:t>
        </w:r>
      </w:hyperlink>
    </w:p>
    <w:p w14:paraId="3B204B4E" w14:textId="77777777" w:rsidR="001C1879" w:rsidRPr="00162ACE" w:rsidRDefault="001C1879" w:rsidP="00162ACE">
      <w:pPr>
        <w:spacing w:line="480" w:lineRule="auto"/>
        <w:ind w:left="709" w:hanging="709"/>
        <w:rPr>
          <w:rFonts w:ascii="Times New Roman" w:hAnsi="Times New Roman" w:cs="Times New Roman"/>
          <w:sz w:val="24"/>
          <w:szCs w:val="24"/>
          <w:shd w:val="clear" w:color="auto" w:fill="FFFFFF"/>
          <w:lang w:val="en-GB"/>
        </w:rPr>
      </w:pPr>
      <w:r w:rsidRPr="00162ACE">
        <w:rPr>
          <w:rFonts w:ascii="Times New Roman" w:hAnsi="Times New Roman" w:cs="Times New Roman"/>
          <w:sz w:val="24"/>
          <w:szCs w:val="24"/>
          <w:shd w:val="clear" w:color="auto" w:fill="FFFFFF"/>
          <w:lang w:val="en-GB"/>
        </w:rPr>
        <w:t>Farmer, A. Y., &amp; Farmer, G. L. (2014).</w:t>
      </w:r>
      <w:r w:rsidRPr="00162ACE">
        <w:rPr>
          <w:rStyle w:val="apple-converted-space"/>
          <w:rFonts w:ascii="Times New Roman" w:hAnsi="Times New Roman" w:cs="Times New Roman"/>
          <w:sz w:val="24"/>
          <w:szCs w:val="24"/>
          <w:shd w:val="clear" w:color="auto" w:fill="FFFFFF"/>
          <w:lang w:val="en-GB"/>
        </w:rPr>
        <w:t> </w:t>
      </w:r>
      <w:r w:rsidRPr="00162ACE">
        <w:rPr>
          <w:rFonts w:ascii="Times New Roman" w:hAnsi="Times New Roman" w:cs="Times New Roman"/>
          <w:i/>
          <w:iCs/>
          <w:sz w:val="24"/>
          <w:szCs w:val="24"/>
          <w:shd w:val="clear" w:color="auto" w:fill="FFFFFF"/>
          <w:lang w:val="en-GB"/>
        </w:rPr>
        <w:t>Research with Diverse Groups: Research Designs and Multivariate Latent Modeling for Equivalence</w:t>
      </w:r>
      <w:r w:rsidRPr="00162ACE">
        <w:rPr>
          <w:rFonts w:ascii="Times New Roman" w:hAnsi="Times New Roman" w:cs="Times New Roman"/>
          <w:sz w:val="24"/>
          <w:szCs w:val="24"/>
          <w:shd w:val="clear" w:color="auto" w:fill="FFFFFF"/>
          <w:lang w:val="en-GB"/>
        </w:rPr>
        <w:t xml:space="preserve">. Oxford University Press. </w:t>
      </w:r>
      <w:r w:rsidR="00847BE8" w:rsidRPr="00162ACE">
        <w:rPr>
          <w:rFonts w:ascii="Times New Roman" w:hAnsi="Times New Roman" w:cs="Times New Roman"/>
          <w:sz w:val="24"/>
          <w:szCs w:val="24"/>
          <w:shd w:val="clear" w:color="auto" w:fill="FFFFFF"/>
          <w:lang w:val="en-GB"/>
        </w:rPr>
        <w:t>doi</w:t>
      </w:r>
      <w:r w:rsidRPr="00162ACE">
        <w:rPr>
          <w:rFonts w:ascii="Times New Roman" w:hAnsi="Times New Roman" w:cs="Times New Roman"/>
          <w:sz w:val="24"/>
          <w:szCs w:val="24"/>
          <w:lang w:val="en-GB"/>
        </w:rPr>
        <w:t xml:space="preserve">: </w:t>
      </w:r>
      <w:hyperlink r:id="rId14"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.org/10.1093/acprof:oso/9780199914364.001.0001</w:t>
        </w:r>
      </w:hyperlink>
    </w:p>
    <w:p w14:paraId="60F5B877"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lang w:val="en-US"/>
        </w:rPr>
        <w:t>Joireman, J., Balliet, D., Sprott, D., Spangenberg, E.,</w:t>
      </w:r>
      <w:r w:rsidR="00CD3444" w:rsidRPr="00162ACE">
        <w:rPr>
          <w:rFonts w:ascii="Times New Roman" w:hAnsi="Times New Roman" w:cs="Times New Roman"/>
          <w:sz w:val="24"/>
          <w:szCs w:val="24"/>
          <w:lang w:val="en-US"/>
        </w:rPr>
        <w:t xml:space="preserve"> </w:t>
      </w:r>
      <w:r w:rsidR="00CD3444" w:rsidRPr="00162ACE">
        <w:rPr>
          <w:rFonts w:ascii="Times New Roman" w:hAnsi="Times New Roman" w:cs="Times New Roman"/>
          <w:sz w:val="24"/>
          <w:szCs w:val="24"/>
          <w:lang w:val="en-GB"/>
        </w:rPr>
        <w:t>&amp;</w:t>
      </w:r>
      <w:r w:rsidRPr="00162ACE">
        <w:rPr>
          <w:rFonts w:ascii="Times New Roman" w:hAnsi="Times New Roman" w:cs="Times New Roman"/>
          <w:sz w:val="24"/>
          <w:szCs w:val="24"/>
          <w:lang w:val="en-US"/>
        </w:rPr>
        <w:t xml:space="preserve"> Schultz, J. (2008). </w:t>
      </w:r>
      <w:r w:rsidRPr="00162ACE">
        <w:rPr>
          <w:rFonts w:ascii="Times New Roman" w:hAnsi="Times New Roman" w:cs="Times New Roman"/>
          <w:sz w:val="24"/>
          <w:szCs w:val="24"/>
          <w:lang w:val="en-GB"/>
        </w:rPr>
        <w:t xml:space="preserve">Consideration of future consequences, ego-depletion, and self-control: Support for distinguishing between CFC-Immediate and CFC-Future sub-scales. </w:t>
      </w:r>
      <w:r w:rsidRPr="00162ACE">
        <w:rPr>
          <w:rFonts w:ascii="Times New Roman" w:hAnsi="Times New Roman" w:cs="Times New Roman"/>
          <w:i/>
          <w:sz w:val="24"/>
          <w:szCs w:val="24"/>
          <w:lang w:val="en-GB"/>
        </w:rPr>
        <w:t>Personality and Individual Differences, 45</w:t>
      </w:r>
      <w:r w:rsidRPr="00162ACE">
        <w:rPr>
          <w:rFonts w:ascii="Times New Roman" w:hAnsi="Times New Roman" w:cs="Times New Roman"/>
          <w:sz w:val="24"/>
          <w:szCs w:val="24"/>
          <w:lang w:val="en-GB"/>
        </w:rPr>
        <w:t xml:space="preserve">, 15–21.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5"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.org/10.1016/j.paid.2008.02.011</w:t>
        </w:r>
      </w:hyperlink>
    </w:p>
    <w:p w14:paraId="4DB291DC"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lang w:val="en-GB"/>
        </w:rPr>
        <w:t>Joireman, J., Becker, C., Barbosa-Leiker, C., &amp;</w:t>
      </w:r>
      <w:r w:rsidR="00CD3444" w:rsidRPr="00162ACE">
        <w:rPr>
          <w:rFonts w:ascii="Times New Roman" w:hAnsi="Times New Roman" w:cs="Times New Roman"/>
          <w:sz w:val="24"/>
          <w:szCs w:val="24"/>
          <w:lang w:val="en-GB"/>
        </w:rPr>
        <w:t xml:space="preserve"> </w:t>
      </w:r>
      <w:r w:rsidRPr="00162ACE">
        <w:rPr>
          <w:rFonts w:ascii="Times New Roman" w:hAnsi="Times New Roman" w:cs="Times New Roman"/>
          <w:sz w:val="24"/>
          <w:szCs w:val="24"/>
          <w:lang w:val="en-GB"/>
        </w:rPr>
        <w:t xml:space="preserve">Duell, B. (2005). Aggression as a function of concern with future consequences and anticipated interaction with an aggressive peer. </w:t>
      </w:r>
      <w:r w:rsidRPr="00162ACE">
        <w:rPr>
          <w:rFonts w:ascii="Times New Roman" w:hAnsi="Times New Roman" w:cs="Times New Roman"/>
          <w:i/>
          <w:sz w:val="24"/>
          <w:szCs w:val="24"/>
          <w:lang w:val="en-GB"/>
        </w:rPr>
        <w:t>Poster presented at the 6</w:t>
      </w:r>
      <w:r w:rsidRPr="00162ACE">
        <w:rPr>
          <w:rFonts w:ascii="Times New Roman" w:hAnsi="Times New Roman" w:cs="Times New Roman"/>
          <w:i/>
          <w:sz w:val="24"/>
          <w:szCs w:val="24"/>
          <w:vertAlign w:val="superscript"/>
          <w:lang w:val="en-GB"/>
        </w:rPr>
        <w:t>th</w:t>
      </w:r>
      <w:r w:rsidRPr="00162ACE">
        <w:rPr>
          <w:rFonts w:ascii="Times New Roman" w:hAnsi="Times New Roman" w:cs="Times New Roman"/>
          <w:i/>
          <w:sz w:val="24"/>
          <w:szCs w:val="24"/>
          <w:lang w:val="en-GB"/>
        </w:rPr>
        <w:t xml:space="preserve"> Annual Convention of the Society of Personality and Social Psychology Conference</w:t>
      </w:r>
      <w:r w:rsidRPr="00162ACE">
        <w:rPr>
          <w:rFonts w:ascii="Times New Roman" w:hAnsi="Times New Roman" w:cs="Times New Roman"/>
          <w:sz w:val="24"/>
          <w:szCs w:val="24"/>
          <w:lang w:val="en-GB"/>
        </w:rPr>
        <w:t>, New Orleans, LA. January 2005.</w:t>
      </w:r>
    </w:p>
    <w:p w14:paraId="56927C96"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lang w:val="en-GB"/>
        </w:rPr>
        <w:t>Joireman, J., Shaffer, M. J., Balliet, D., &amp;</w:t>
      </w:r>
      <w:r w:rsidR="00CD3444" w:rsidRPr="00162ACE">
        <w:rPr>
          <w:rFonts w:ascii="Times New Roman" w:hAnsi="Times New Roman" w:cs="Times New Roman"/>
          <w:sz w:val="24"/>
          <w:szCs w:val="24"/>
          <w:lang w:val="en-GB"/>
        </w:rPr>
        <w:t xml:space="preserve"> </w:t>
      </w:r>
      <w:r w:rsidRPr="00162ACE">
        <w:rPr>
          <w:rFonts w:ascii="Times New Roman" w:hAnsi="Times New Roman" w:cs="Times New Roman"/>
          <w:sz w:val="24"/>
          <w:szCs w:val="24"/>
          <w:lang w:val="en-GB"/>
        </w:rPr>
        <w:t>Strathman, A. (2012). Promotion orientation explains why future-oriented people exercise and eat healthy evidence from the two-</w:t>
      </w:r>
      <w:r w:rsidRPr="00162ACE">
        <w:rPr>
          <w:rFonts w:ascii="Times New Roman" w:hAnsi="Times New Roman" w:cs="Times New Roman"/>
          <w:sz w:val="24"/>
          <w:szCs w:val="24"/>
          <w:lang w:val="en-GB"/>
        </w:rPr>
        <w:lastRenderedPageBreak/>
        <w:t xml:space="preserve">factor consideration of future consequences-14 scale. </w:t>
      </w:r>
      <w:r w:rsidRPr="00162ACE">
        <w:rPr>
          <w:rFonts w:ascii="Times New Roman" w:hAnsi="Times New Roman" w:cs="Times New Roman"/>
          <w:i/>
          <w:sz w:val="24"/>
          <w:szCs w:val="24"/>
          <w:lang w:val="en-GB"/>
        </w:rPr>
        <w:t>Personality and Social Psychology Bulletin</w:t>
      </w:r>
      <w:r w:rsidRPr="00162ACE">
        <w:rPr>
          <w:rFonts w:ascii="Times New Roman" w:hAnsi="Times New Roman" w:cs="Times New Roman"/>
          <w:sz w:val="24"/>
          <w:szCs w:val="24"/>
          <w:lang w:val="en-GB"/>
        </w:rPr>
        <w:t xml:space="preserve">, 38(10), 1272-1287.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6"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.org/10.1177/0146167212449362</w:t>
        </w:r>
      </w:hyperlink>
    </w:p>
    <w:p w14:paraId="4CC27443"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lang w:val="en-GB"/>
        </w:rPr>
        <w:t xml:space="preserve">Joireman, J., Strathman, A. </w:t>
      </w:r>
      <w:r w:rsidR="00CD3444" w:rsidRPr="00162ACE">
        <w:rPr>
          <w:rFonts w:ascii="Times New Roman" w:hAnsi="Times New Roman" w:cs="Times New Roman"/>
          <w:sz w:val="24"/>
          <w:szCs w:val="24"/>
          <w:lang w:val="en-GB"/>
        </w:rPr>
        <w:t>&amp;</w:t>
      </w:r>
      <w:r w:rsidRPr="00162ACE">
        <w:rPr>
          <w:rFonts w:ascii="Times New Roman" w:hAnsi="Times New Roman" w:cs="Times New Roman"/>
          <w:sz w:val="24"/>
          <w:szCs w:val="24"/>
          <w:lang w:val="en-GB"/>
        </w:rPr>
        <w:t xml:space="preserve"> Balliet, D. (2006). Considering future consequences: An integrative model. In: L. Sanna y E. Chang, (Eds). </w:t>
      </w:r>
      <w:r w:rsidRPr="00162ACE">
        <w:rPr>
          <w:rFonts w:ascii="Times New Roman" w:hAnsi="Times New Roman" w:cs="Times New Roman"/>
          <w:i/>
          <w:sz w:val="24"/>
          <w:szCs w:val="24"/>
          <w:lang w:val="en-GB"/>
        </w:rPr>
        <w:t xml:space="preserve">Judgments over time: The interplay of thoughts, feelings and behaviours </w:t>
      </w:r>
      <w:r w:rsidRPr="00162ACE">
        <w:rPr>
          <w:rFonts w:ascii="Times New Roman" w:hAnsi="Times New Roman" w:cs="Times New Roman"/>
          <w:sz w:val="24"/>
          <w:szCs w:val="24"/>
          <w:lang w:val="en-GB"/>
        </w:rPr>
        <w:t>(pp. 82-99). Oxford: OUP.</w:t>
      </w:r>
    </w:p>
    <w:p w14:paraId="5AF30C26"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lang w:val="en-GB"/>
        </w:rPr>
        <w:t xml:space="preserve">Lindsay, J. J., &amp; Strathman, A. (1997). Predictors of recycling behavior: An application of a modified health belief model. </w:t>
      </w:r>
      <w:r w:rsidRPr="00162ACE">
        <w:rPr>
          <w:rFonts w:ascii="Times New Roman" w:hAnsi="Times New Roman" w:cs="Times New Roman"/>
          <w:i/>
          <w:sz w:val="24"/>
          <w:szCs w:val="24"/>
          <w:lang w:val="en-GB"/>
        </w:rPr>
        <w:t>Journal of Applied Social Psychology, 27</w:t>
      </w:r>
      <w:r w:rsidRPr="00162ACE">
        <w:rPr>
          <w:rFonts w:ascii="Times New Roman" w:hAnsi="Times New Roman" w:cs="Times New Roman"/>
          <w:sz w:val="24"/>
          <w:szCs w:val="24"/>
          <w:lang w:val="en-GB"/>
        </w:rPr>
        <w:t xml:space="preserve">, 1799-1823.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7"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.org/10.1111/j.1559-1816.1997.tb01626.x</w:t>
        </w:r>
      </w:hyperlink>
    </w:p>
    <w:p w14:paraId="3925F787" w14:textId="3946BBFE" w:rsidR="001C1879" w:rsidRPr="00AC08D5" w:rsidRDefault="001C1879" w:rsidP="00162ACE">
      <w:pPr>
        <w:spacing w:line="480" w:lineRule="auto"/>
        <w:ind w:left="567" w:hanging="567"/>
        <w:rPr>
          <w:rFonts w:ascii="Times New Roman" w:hAnsi="Times New Roman" w:cs="Times New Roman"/>
          <w:color w:val="000000" w:themeColor="text1"/>
          <w:sz w:val="24"/>
          <w:szCs w:val="24"/>
          <w:lang w:val="en-GB"/>
        </w:rPr>
      </w:pPr>
      <w:r w:rsidRPr="00162ACE">
        <w:rPr>
          <w:rFonts w:ascii="Times New Roman" w:hAnsi="Times New Roman" w:cs="Times New Roman"/>
          <w:sz w:val="24"/>
          <w:szCs w:val="24"/>
          <w:lang w:val="en-US"/>
        </w:rPr>
        <w:t xml:space="preserve">McKay, M. T., Percy, A., &amp; Cole, J. C. (2013). Present orientation, future orientation and </w:t>
      </w:r>
      <w:r w:rsidRPr="00AC08D5">
        <w:rPr>
          <w:rFonts w:ascii="Times New Roman" w:hAnsi="Times New Roman" w:cs="Times New Roman"/>
          <w:color w:val="000000" w:themeColor="text1"/>
          <w:sz w:val="24"/>
          <w:szCs w:val="24"/>
          <w:lang w:val="en-US"/>
        </w:rPr>
        <w:t xml:space="preserve">alcohol use in northern Irish adolescents. </w:t>
      </w:r>
      <w:r w:rsidRPr="00AC08D5">
        <w:rPr>
          <w:rFonts w:ascii="Times New Roman" w:hAnsi="Times New Roman" w:cs="Times New Roman"/>
          <w:i/>
          <w:color w:val="000000" w:themeColor="text1"/>
          <w:sz w:val="24"/>
          <w:szCs w:val="24"/>
          <w:lang w:val="en-US"/>
        </w:rPr>
        <w:t>Addiction Research &amp; Theory, 21</w:t>
      </w:r>
      <w:r w:rsidRPr="00AC08D5">
        <w:rPr>
          <w:rFonts w:ascii="Times New Roman" w:hAnsi="Times New Roman" w:cs="Times New Roman"/>
          <w:color w:val="000000" w:themeColor="text1"/>
          <w:sz w:val="24"/>
          <w:szCs w:val="24"/>
          <w:lang w:val="en-US"/>
        </w:rPr>
        <w:t xml:space="preserve">(1), 43-51. </w:t>
      </w:r>
      <w:r w:rsidR="00847BE8" w:rsidRPr="00AC08D5">
        <w:rPr>
          <w:rFonts w:ascii="Times New Roman" w:hAnsi="Times New Roman" w:cs="Times New Roman"/>
          <w:color w:val="000000" w:themeColor="text1"/>
          <w:sz w:val="24"/>
          <w:szCs w:val="24"/>
          <w:lang w:val="en-US"/>
        </w:rPr>
        <w:t>doi</w:t>
      </w:r>
      <w:r w:rsidRPr="00AC08D5">
        <w:rPr>
          <w:rFonts w:ascii="Times New Roman" w:hAnsi="Times New Roman" w:cs="Times New Roman"/>
          <w:color w:val="000000" w:themeColor="text1"/>
          <w:sz w:val="24"/>
          <w:szCs w:val="24"/>
          <w:lang w:val="en-US"/>
        </w:rPr>
        <w:t xml:space="preserve">:10.3109/16066359.2012.685120. </w:t>
      </w:r>
      <w:r w:rsidR="00847BE8" w:rsidRPr="00AC08D5">
        <w:rPr>
          <w:rFonts w:ascii="Times New Roman" w:hAnsi="Times New Roman" w:cs="Times New Roman"/>
          <w:color w:val="000000" w:themeColor="text1"/>
          <w:sz w:val="24"/>
          <w:szCs w:val="24"/>
          <w:lang w:val="en-GB"/>
        </w:rPr>
        <w:t>doi</w:t>
      </w:r>
      <w:r w:rsidRPr="00AC08D5">
        <w:rPr>
          <w:rFonts w:ascii="Times New Roman" w:hAnsi="Times New Roman" w:cs="Times New Roman"/>
          <w:color w:val="000000" w:themeColor="text1"/>
          <w:sz w:val="24"/>
          <w:szCs w:val="24"/>
          <w:lang w:val="en-GB"/>
        </w:rPr>
        <w:t xml:space="preserve">: </w:t>
      </w:r>
      <w:r w:rsidR="00AC08D5" w:rsidRPr="00AC08D5">
        <w:rPr>
          <w:rFonts w:ascii="Times New Roman" w:hAnsi="Times New Roman" w:cs="Times New Roman"/>
          <w:color w:val="000000" w:themeColor="text1"/>
          <w:sz w:val="24"/>
          <w:szCs w:val="24"/>
          <w:lang w:val="en-GB"/>
        </w:rPr>
        <w:t>http://dx.doi.org/10.3109/16066359.2012.685120</w:t>
      </w:r>
    </w:p>
    <w:p w14:paraId="5801AE4E" w14:textId="02AA51EF" w:rsidR="00AC08D5" w:rsidRPr="00AC08D5" w:rsidRDefault="00AC08D5" w:rsidP="00162ACE">
      <w:pPr>
        <w:spacing w:line="480" w:lineRule="auto"/>
        <w:ind w:left="567" w:hanging="567"/>
        <w:rPr>
          <w:rFonts w:ascii="Times New Roman" w:hAnsi="Times New Roman" w:cs="Times New Roman"/>
          <w:color w:val="000000" w:themeColor="text1"/>
          <w:sz w:val="24"/>
          <w:szCs w:val="24"/>
          <w:lang w:val="en-US"/>
        </w:rPr>
      </w:pPr>
      <w:r w:rsidRPr="00AC08D5">
        <w:rPr>
          <w:rFonts w:ascii="Times New Roman" w:hAnsi="Times New Roman" w:cs="Times New Roman"/>
          <w:color w:val="000000" w:themeColor="text1"/>
          <w:sz w:val="24"/>
          <w:szCs w:val="24"/>
          <w:shd w:val="clear" w:color="auto" w:fill="FFFFFF"/>
          <w:lang w:val="en-GB"/>
        </w:rPr>
        <w:t>Nigro, G., Cosenza, M., Ciccarelli, M., &amp; Joireman, J. (2016). An Italian translation and validation of the Consideration of Future Consequences-14 Scale.</w:t>
      </w:r>
      <w:r w:rsidRPr="00AC08D5">
        <w:rPr>
          <w:rStyle w:val="apple-converted-space"/>
          <w:rFonts w:ascii="Times New Roman" w:hAnsi="Times New Roman" w:cs="Times New Roman"/>
          <w:color w:val="000000" w:themeColor="text1"/>
          <w:sz w:val="24"/>
          <w:szCs w:val="24"/>
          <w:shd w:val="clear" w:color="auto" w:fill="FFFFFF"/>
          <w:lang w:val="en-GB"/>
        </w:rPr>
        <w:t> </w:t>
      </w:r>
      <w:r w:rsidRPr="00EC7840">
        <w:rPr>
          <w:rFonts w:ascii="Times New Roman" w:hAnsi="Times New Roman" w:cs="Times New Roman"/>
          <w:i/>
          <w:iCs/>
          <w:color w:val="000000" w:themeColor="text1"/>
          <w:sz w:val="24"/>
          <w:szCs w:val="24"/>
          <w:shd w:val="clear" w:color="auto" w:fill="FFFFFF"/>
          <w:lang w:val="en-GB"/>
        </w:rPr>
        <w:t>Personality and Individual Differences</w:t>
      </w:r>
      <w:r w:rsidRPr="00EC7840">
        <w:rPr>
          <w:rFonts w:ascii="Times New Roman" w:hAnsi="Times New Roman" w:cs="Times New Roman"/>
          <w:color w:val="000000" w:themeColor="text1"/>
          <w:sz w:val="24"/>
          <w:szCs w:val="24"/>
          <w:shd w:val="clear" w:color="auto" w:fill="FFFFFF"/>
          <w:lang w:val="en-GB"/>
        </w:rPr>
        <w:t>,</w:t>
      </w:r>
      <w:r w:rsidRPr="00EC7840">
        <w:rPr>
          <w:rStyle w:val="apple-converted-space"/>
          <w:rFonts w:ascii="Times New Roman" w:hAnsi="Times New Roman" w:cs="Times New Roman"/>
          <w:color w:val="000000" w:themeColor="text1"/>
          <w:sz w:val="24"/>
          <w:szCs w:val="24"/>
          <w:shd w:val="clear" w:color="auto" w:fill="FFFFFF"/>
          <w:lang w:val="en-GB"/>
        </w:rPr>
        <w:t> </w:t>
      </w:r>
      <w:r w:rsidRPr="00EC7840">
        <w:rPr>
          <w:rFonts w:ascii="Times New Roman" w:hAnsi="Times New Roman" w:cs="Times New Roman"/>
          <w:i/>
          <w:iCs/>
          <w:color w:val="000000" w:themeColor="text1"/>
          <w:sz w:val="24"/>
          <w:szCs w:val="24"/>
          <w:shd w:val="clear" w:color="auto" w:fill="FFFFFF"/>
          <w:lang w:val="en-GB"/>
        </w:rPr>
        <w:t>101</w:t>
      </w:r>
      <w:r w:rsidRPr="00EC7840">
        <w:rPr>
          <w:rFonts w:ascii="Times New Roman" w:hAnsi="Times New Roman" w:cs="Times New Roman"/>
          <w:color w:val="000000" w:themeColor="text1"/>
          <w:sz w:val="24"/>
          <w:szCs w:val="24"/>
          <w:shd w:val="clear" w:color="auto" w:fill="FFFFFF"/>
          <w:lang w:val="en-GB"/>
        </w:rPr>
        <w:t>, 333-340.</w:t>
      </w:r>
    </w:p>
    <w:p w14:paraId="0095DB33" w14:textId="77777777" w:rsidR="001C1879" w:rsidRPr="00162ACE" w:rsidRDefault="001C1879" w:rsidP="00162ACE">
      <w:pPr>
        <w:spacing w:line="480" w:lineRule="auto"/>
        <w:ind w:left="567" w:hanging="567"/>
        <w:rPr>
          <w:rFonts w:ascii="Times New Roman" w:hAnsi="Times New Roman" w:cs="Times New Roman"/>
          <w:sz w:val="24"/>
          <w:szCs w:val="24"/>
          <w:lang w:val="en-US"/>
        </w:rPr>
      </w:pPr>
      <w:r w:rsidRPr="00AC08D5">
        <w:rPr>
          <w:rFonts w:ascii="Times New Roman" w:hAnsi="Times New Roman" w:cs="Times New Roman"/>
          <w:color w:val="000000" w:themeColor="text1"/>
          <w:sz w:val="24"/>
          <w:szCs w:val="24"/>
          <w:lang w:val="en-GB"/>
        </w:rPr>
        <w:t>Strathman, A., Gleicher, F., Boninger, D. S., &amp; Edwards, C. S. (1994). The consideration of future consequences: Weighing</w:t>
      </w:r>
      <w:r w:rsidRPr="00162ACE">
        <w:rPr>
          <w:rFonts w:ascii="Times New Roman" w:hAnsi="Times New Roman" w:cs="Times New Roman"/>
          <w:sz w:val="24"/>
          <w:szCs w:val="24"/>
          <w:lang w:val="en-GB"/>
        </w:rPr>
        <w:t xml:space="preserve"> immediate and distant outcomes of behavior. </w:t>
      </w:r>
      <w:r w:rsidRPr="00162ACE">
        <w:rPr>
          <w:rFonts w:ascii="Times New Roman" w:hAnsi="Times New Roman" w:cs="Times New Roman"/>
          <w:i/>
          <w:sz w:val="24"/>
          <w:szCs w:val="24"/>
          <w:lang w:val="en-US"/>
        </w:rPr>
        <w:t>Journal of Personality and Social Psychology, 66,</w:t>
      </w:r>
      <w:r w:rsidRPr="00162ACE">
        <w:rPr>
          <w:rFonts w:ascii="Times New Roman" w:hAnsi="Times New Roman" w:cs="Times New Roman"/>
          <w:sz w:val="24"/>
          <w:szCs w:val="24"/>
          <w:lang w:val="en-US"/>
        </w:rPr>
        <w:t xml:space="preserve"> 742-752. </w:t>
      </w:r>
      <w:r w:rsidR="00847BE8" w:rsidRPr="00162ACE">
        <w:rPr>
          <w:rFonts w:ascii="Times New Roman" w:hAnsi="Times New Roman" w:cs="Times New Roman"/>
          <w:sz w:val="24"/>
          <w:szCs w:val="24"/>
          <w:lang w:val="en-US"/>
        </w:rPr>
        <w:t>doi</w:t>
      </w:r>
      <w:r w:rsidRPr="00162ACE">
        <w:rPr>
          <w:rFonts w:ascii="Times New Roman" w:hAnsi="Times New Roman" w:cs="Times New Roman"/>
          <w:sz w:val="24"/>
          <w:szCs w:val="24"/>
          <w:lang w:val="en-GB"/>
        </w:rPr>
        <w:t xml:space="preserve">: </w:t>
      </w:r>
      <w:hyperlink r:id="rId18" w:history="1">
        <w:r w:rsidRPr="00162ACE">
          <w:rPr>
            <w:rFonts w:ascii="Times New Roman" w:hAnsi="Times New Roman" w:cs="Times New Roman"/>
            <w:sz w:val="24"/>
            <w:szCs w:val="24"/>
            <w:lang w:val="en-GB"/>
          </w:rPr>
          <w:t>http://dx.doi.org/10.1037/0022-3514.66.4.742</w:t>
        </w:r>
      </w:hyperlink>
    </w:p>
    <w:p w14:paraId="1006EF40" w14:textId="77777777" w:rsidR="001C1879" w:rsidRPr="00162ACE" w:rsidRDefault="001C1879" w:rsidP="00162ACE">
      <w:pPr>
        <w:spacing w:line="480" w:lineRule="auto"/>
        <w:ind w:left="567" w:hanging="567"/>
        <w:rPr>
          <w:rFonts w:ascii="Times New Roman" w:hAnsi="Times New Roman" w:cs="Times New Roman"/>
          <w:sz w:val="24"/>
          <w:szCs w:val="24"/>
          <w:lang w:val="en-US"/>
        </w:rPr>
      </w:pPr>
      <w:r w:rsidRPr="00AC08D5">
        <w:rPr>
          <w:rFonts w:ascii="Times New Roman" w:hAnsi="Times New Roman" w:cs="Times New Roman"/>
          <w:sz w:val="24"/>
          <w:szCs w:val="24"/>
          <w:lang w:val="pt-PT"/>
        </w:rPr>
        <w:t>Vásquez Echeverría, A., Esteves, C., Gomes, C., &amp;</w:t>
      </w:r>
      <w:r w:rsidR="00D3778A" w:rsidRPr="00AC08D5">
        <w:rPr>
          <w:rFonts w:ascii="Times New Roman" w:hAnsi="Times New Roman" w:cs="Times New Roman"/>
          <w:sz w:val="24"/>
          <w:szCs w:val="24"/>
          <w:lang w:val="pt-PT"/>
        </w:rPr>
        <w:t xml:space="preserve"> </w:t>
      </w:r>
      <w:r w:rsidRPr="00AC08D5">
        <w:rPr>
          <w:rFonts w:ascii="Times New Roman" w:hAnsi="Times New Roman" w:cs="Times New Roman"/>
          <w:sz w:val="24"/>
          <w:szCs w:val="24"/>
          <w:lang w:val="pt-PT"/>
        </w:rPr>
        <w:t xml:space="preserve">Ortuño, V. (2015). </w:t>
      </w:r>
      <w:r w:rsidRPr="00162ACE">
        <w:rPr>
          <w:rFonts w:ascii="Times New Roman" w:hAnsi="Times New Roman" w:cs="Times New Roman"/>
          <w:sz w:val="24"/>
          <w:szCs w:val="24"/>
          <w:lang w:val="en-US"/>
        </w:rPr>
        <w:t xml:space="preserve">Portuguese Validation of the Consideration of Future Consequences Scale. </w:t>
      </w:r>
      <w:r w:rsidRPr="00162ACE">
        <w:rPr>
          <w:rFonts w:ascii="Times New Roman" w:hAnsi="Times New Roman" w:cs="Times New Roman"/>
          <w:i/>
          <w:sz w:val="24"/>
          <w:szCs w:val="24"/>
          <w:lang w:val="en-US"/>
        </w:rPr>
        <w:t>The Spanish Journal of Psychology, 18</w:t>
      </w:r>
      <w:r w:rsidRPr="00162ACE">
        <w:rPr>
          <w:rFonts w:ascii="Times New Roman" w:hAnsi="Times New Roman" w:cs="Times New Roman"/>
          <w:sz w:val="24"/>
          <w:szCs w:val="24"/>
          <w:lang w:val="en-US"/>
        </w:rPr>
        <w:t>, e7</w:t>
      </w:r>
    </w:p>
    <w:p w14:paraId="751514CF" w14:textId="77777777" w:rsidR="001C1879" w:rsidRPr="00162ACE" w:rsidRDefault="001C1879" w:rsidP="00162ACE">
      <w:pPr>
        <w:spacing w:line="480" w:lineRule="auto"/>
        <w:ind w:left="567" w:hanging="567"/>
        <w:rPr>
          <w:rFonts w:ascii="Times New Roman" w:hAnsi="Times New Roman" w:cs="Times New Roman"/>
          <w:sz w:val="24"/>
          <w:szCs w:val="24"/>
        </w:rPr>
      </w:pPr>
      <w:r w:rsidRPr="00162ACE">
        <w:rPr>
          <w:rFonts w:ascii="Times New Roman" w:hAnsi="Times New Roman" w:cs="Times New Roman"/>
          <w:sz w:val="24"/>
          <w:szCs w:val="24"/>
        </w:rPr>
        <w:lastRenderedPageBreak/>
        <w:t xml:space="preserve">Vásquez Echeverría, A., Martín, A., Esteves, C., Ortuño, V.E.C., Joireman, J. (aceptado). Adaptación y Validación Inicial al Castellano de la Escala de Consideración de las Consecuencias Futuras. </w:t>
      </w:r>
      <w:r w:rsidRPr="00162ACE">
        <w:rPr>
          <w:rFonts w:ascii="Times New Roman" w:hAnsi="Times New Roman" w:cs="Times New Roman"/>
          <w:i/>
          <w:sz w:val="24"/>
          <w:szCs w:val="24"/>
        </w:rPr>
        <w:t>Revista Iberoamericana de Diagnóstico y Evaluación Psicológica</w:t>
      </w:r>
      <w:r w:rsidRPr="00162ACE">
        <w:rPr>
          <w:rFonts w:ascii="Times New Roman" w:hAnsi="Times New Roman" w:cs="Times New Roman"/>
          <w:sz w:val="24"/>
          <w:szCs w:val="24"/>
        </w:rPr>
        <w:t>.</w:t>
      </w:r>
    </w:p>
    <w:p w14:paraId="44CC3522" w14:textId="77777777" w:rsidR="001C1879" w:rsidRPr="00162ACE" w:rsidRDefault="001C1879" w:rsidP="00162ACE">
      <w:pPr>
        <w:spacing w:after="0" w:line="480" w:lineRule="auto"/>
        <w:rPr>
          <w:rFonts w:ascii="Times New Roman" w:eastAsia="Times New Roman" w:hAnsi="Times New Roman" w:cs="Times New Roman"/>
          <w:sz w:val="24"/>
          <w:szCs w:val="24"/>
          <w:lang w:val="en-GB" w:eastAsia="es-ES"/>
        </w:rPr>
      </w:pPr>
      <w:r w:rsidRPr="00162ACE">
        <w:rPr>
          <w:rFonts w:ascii="Times New Roman" w:eastAsia="Times New Roman" w:hAnsi="Times New Roman" w:cs="Times New Roman"/>
          <w:sz w:val="24"/>
          <w:szCs w:val="24"/>
          <w:lang w:eastAsia="es-ES"/>
        </w:rPr>
        <w:t xml:space="preserve">Viswanathan, M. (2005). </w:t>
      </w:r>
      <w:r w:rsidRPr="00162ACE">
        <w:rPr>
          <w:rFonts w:ascii="Times New Roman" w:eastAsia="Times New Roman" w:hAnsi="Times New Roman" w:cs="Times New Roman"/>
          <w:i/>
          <w:iCs/>
          <w:sz w:val="24"/>
          <w:szCs w:val="24"/>
          <w:lang w:eastAsia="es-ES"/>
        </w:rPr>
        <w:t>Measurement error and research design</w:t>
      </w:r>
      <w:r w:rsidRPr="00162ACE">
        <w:rPr>
          <w:rFonts w:ascii="Times New Roman" w:eastAsia="Times New Roman" w:hAnsi="Times New Roman" w:cs="Times New Roman"/>
          <w:sz w:val="24"/>
          <w:szCs w:val="24"/>
          <w:lang w:eastAsia="es-ES"/>
        </w:rPr>
        <w:t xml:space="preserve">. </w:t>
      </w:r>
      <w:r w:rsidRPr="00162ACE">
        <w:rPr>
          <w:rFonts w:ascii="Times New Roman" w:eastAsia="Times New Roman" w:hAnsi="Times New Roman" w:cs="Times New Roman"/>
          <w:sz w:val="24"/>
          <w:szCs w:val="24"/>
          <w:lang w:val="en-US" w:eastAsia="es-ES"/>
        </w:rPr>
        <w:t xml:space="preserve">Nueva York: </w:t>
      </w:r>
      <w:r w:rsidRPr="00162ACE">
        <w:rPr>
          <w:rFonts w:ascii="Times New Roman" w:eastAsia="Times New Roman" w:hAnsi="Times New Roman" w:cs="Times New Roman"/>
          <w:sz w:val="24"/>
          <w:szCs w:val="24"/>
          <w:lang w:val="en-GB" w:eastAsia="es-ES"/>
        </w:rPr>
        <w:t>Sage.</w:t>
      </w:r>
    </w:p>
    <w:p w14:paraId="691F392F" w14:textId="77777777" w:rsidR="001C1879" w:rsidRPr="00162ACE" w:rsidRDefault="001C1879" w:rsidP="00162ACE">
      <w:pPr>
        <w:spacing w:line="480" w:lineRule="auto"/>
        <w:ind w:left="567" w:hanging="567"/>
        <w:rPr>
          <w:rFonts w:ascii="Times New Roman" w:hAnsi="Times New Roman" w:cs="Times New Roman"/>
          <w:sz w:val="24"/>
          <w:szCs w:val="24"/>
          <w:lang w:val="en-GB"/>
        </w:rPr>
      </w:pPr>
      <w:r w:rsidRPr="00162ACE">
        <w:rPr>
          <w:rFonts w:ascii="Times New Roman" w:hAnsi="Times New Roman" w:cs="Times New Roman"/>
          <w:sz w:val="24"/>
          <w:szCs w:val="24"/>
          <w:lang w:val="en-GB"/>
        </w:rPr>
        <w:t xml:space="preserve">Zhang, Z., Kong, M., Zhang, L., &amp; Li, Z. (2015). </w:t>
      </w:r>
      <w:r w:rsidRPr="00162ACE">
        <w:rPr>
          <w:rFonts w:ascii="Times New Roman" w:hAnsi="Times New Roman" w:cs="Times New Roman"/>
          <w:sz w:val="24"/>
          <w:szCs w:val="24"/>
          <w:lang w:val="en-US"/>
        </w:rPr>
        <w:t xml:space="preserve">Consideration of future consequences: Preliminary evidences for a four-factor distinction. </w:t>
      </w:r>
      <w:r w:rsidRPr="00162ACE">
        <w:rPr>
          <w:rFonts w:ascii="Times New Roman" w:hAnsi="Times New Roman" w:cs="Times New Roman"/>
          <w:i/>
          <w:sz w:val="24"/>
          <w:szCs w:val="24"/>
          <w:lang w:val="en-US"/>
        </w:rPr>
        <w:t>Personality and Individual</w:t>
      </w:r>
      <w:r w:rsidR="00D3778A" w:rsidRPr="00162ACE">
        <w:rPr>
          <w:rFonts w:ascii="Times New Roman" w:hAnsi="Times New Roman" w:cs="Times New Roman"/>
          <w:i/>
          <w:sz w:val="24"/>
          <w:szCs w:val="24"/>
          <w:lang w:val="en-US"/>
        </w:rPr>
        <w:t xml:space="preserve"> </w:t>
      </w:r>
      <w:r w:rsidRPr="00162ACE">
        <w:rPr>
          <w:rFonts w:ascii="Times New Roman" w:hAnsi="Times New Roman" w:cs="Times New Roman"/>
          <w:i/>
          <w:sz w:val="24"/>
          <w:szCs w:val="24"/>
          <w:lang w:val="en-GB"/>
        </w:rPr>
        <w:t>Differences, 87</w:t>
      </w:r>
      <w:r w:rsidRPr="00162ACE">
        <w:rPr>
          <w:rFonts w:ascii="Times New Roman" w:hAnsi="Times New Roman" w:cs="Times New Roman"/>
          <w:sz w:val="24"/>
          <w:szCs w:val="24"/>
          <w:lang w:val="en-GB"/>
        </w:rPr>
        <w:t xml:space="preserve">, 99-104. </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 xml:space="preserve">: </w:t>
      </w:r>
      <w:hyperlink r:id="rId19" w:history="1">
        <w:r w:rsidRPr="00162ACE">
          <w:rPr>
            <w:rFonts w:ascii="Times New Roman" w:hAnsi="Times New Roman" w:cs="Times New Roman"/>
            <w:sz w:val="24"/>
            <w:szCs w:val="24"/>
            <w:lang w:val="en-GB"/>
          </w:rPr>
          <w:t>http://dx.doi.org/10.1016/j.paid.2015.07.022</w:t>
        </w:r>
      </w:hyperlink>
    </w:p>
    <w:p w14:paraId="6DE1A620" w14:textId="77777777" w:rsidR="00721062" w:rsidRPr="00162ACE" w:rsidRDefault="00721062" w:rsidP="00162ACE">
      <w:pPr>
        <w:spacing w:line="480" w:lineRule="auto"/>
        <w:rPr>
          <w:rFonts w:ascii="Times New Roman" w:hAnsi="Times New Roman" w:cs="Times New Roman"/>
          <w:sz w:val="24"/>
          <w:szCs w:val="24"/>
          <w:lang w:val="en-GB"/>
        </w:rPr>
      </w:pPr>
    </w:p>
    <w:sectPr w:rsidR="00721062" w:rsidRPr="00162ACE" w:rsidSect="00611A51">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EA5EE" w14:textId="77777777" w:rsidR="002426B6" w:rsidRDefault="002426B6">
      <w:pPr>
        <w:spacing w:after="0" w:line="240" w:lineRule="auto"/>
      </w:pPr>
      <w:r>
        <w:separator/>
      </w:r>
    </w:p>
  </w:endnote>
  <w:endnote w:type="continuationSeparator" w:id="0">
    <w:p w14:paraId="65245E40" w14:textId="77777777" w:rsidR="002426B6" w:rsidRDefault="0024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473175"/>
      <w:docPartObj>
        <w:docPartGallery w:val="Page Numbers (Bottom of Page)"/>
        <w:docPartUnique/>
      </w:docPartObj>
    </w:sdtPr>
    <w:sdtEndPr/>
    <w:sdtContent>
      <w:p w14:paraId="3638F5A3" w14:textId="77777777" w:rsidR="00AC08D5" w:rsidRDefault="00AC08D5">
        <w:pPr>
          <w:pStyle w:val="Footer"/>
          <w:jc w:val="center"/>
        </w:pPr>
        <w:r>
          <w:fldChar w:fldCharType="begin"/>
        </w:r>
        <w:r>
          <w:instrText>PAGE   \* MERGEFORMAT</w:instrText>
        </w:r>
        <w:r>
          <w:fldChar w:fldCharType="separate"/>
        </w:r>
        <w:r w:rsidR="009D72AF" w:rsidRPr="009D72AF">
          <w:rPr>
            <w:noProof/>
            <w:lang w:val="es-ES"/>
          </w:rPr>
          <w:t>2</w:t>
        </w:r>
        <w:r>
          <w:rPr>
            <w:noProof/>
            <w:lang w:val="es-ES"/>
          </w:rPr>
          <w:fldChar w:fldCharType="end"/>
        </w:r>
      </w:p>
    </w:sdtContent>
  </w:sdt>
  <w:p w14:paraId="4234358C" w14:textId="77777777" w:rsidR="00AC08D5" w:rsidRDefault="00AC0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A15E5" w14:textId="77777777" w:rsidR="002426B6" w:rsidRDefault="002426B6">
      <w:pPr>
        <w:spacing w:after="0" w:line="240" w:lineRule="auto"/>
      </w:pPr>
      <w:r>
        <w:separator/>
      </w:r>
    </w:p>
  </w:footnote>
  <w:footnote w:type="continuationSeparator" w:id="0">
    <w:p w14:paraId="208441BF" w14:textId="77777777" w:rsidR="002426B6" w:rsidRDefault="00242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9DF69" w14:textId="77777777" w:rsidR="00AC08D5" w:rsidRPr="001355E8" w:rsidRDefault="00AC08D5" w:rsidP="00B44F35">
    <w:pPr>
      <w:pStyle w:val="Header"/>
      <w:rPr>
        <w:rFonts w:ascii="Times New Roman" w:hAnsi="Times New Roman"/>
        <w:lang w:val="es-ES"/>
      </w:rPr>
    </w:pPr>
    <w:r w:rsidRPr="00721062">
      <w:rPr>
        <w:rFonts w:ascii="Times New Roman" w:hAnsi="Times New Roman"/>
        <w:lang w:val="es-ES"/>
      </w:rPr>
      <w:t>Validación inicial de la Escala CFC-14 en español</w:t>
    </w:r>
  </w:p>
  <w:p w14:paraId="789C904A" w14:textId="77777777" w:rsidR="00AC08D5" w:rsidRPr="001355E8" w:rsidRDefault="00AC08D5" w:rsidP="00B44F35">
    <w:pPr>
      <w:pStyle w:val="Header"/>
      <w:rPr>
        <w:lang w:val="es-ES"/>
      </w:rPr>
    </w:pPr>
  </w:p>
  <w:p w14:paraId="29585C39" w14:textId="77777777" w:rsidR="00AC08D5" w:rsidRPr="001355E8" w:rsidRDefault="00AC08D5" w:rsidP="001355E8">
    <w:pPr>
      <w:pStyle w:val="Header"/>
      <w:tabs>
        <w:tab w:val="clear" w:pos="4252"/>
        <w:tab w:val="clear" w:pos="8504"/>
        <w:tab w:val="left" w:pos="3302"/>
      </w:tabs>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4AE0" w14:textId="77777777" w:rsidR="00AC08D5" w:rsidRPr="001355E8" w:rsidRDefault="00AC08D5" w:rsidP="001355E8">
    <w:pPr>
      <w:pStyle w:val="Header"/>
      <w:rPr>
        <w:rFonts w:ascii="Times New Roman" w:hAnsi="Times New Roman"/>
        <w:lang w:val="es-ES"/>
      </w:rPr>
    </w:pPr>
    <w:r w:rsidRPr="00721062">
      <w:rPr>
        <w:rFonts w:ascii="Times New Roman" w:hAnsi="Times New Roman"/>
        <w:lang w:val="es-ES"/>
      </w:rPr>
      <w:t>Validación inicial de la Escala CFC-14 en español</w:t>
    </w:r>
  </w:p>
  <w:p w14:paraId="566631CA" w14:textId="77777777" w:rsidR="00AC08D5" w:rsidRPr="001355E8" w:rsidRDefault="00AC08D5">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6908C" w14:textId="77777777" w:rsidR="00AC08D5" w:rsidRDefault="00AC08D5">
    <w:pPr>
      <w:pStyle w:val="Header"/>
      <w:jc w:val="right"/>
    </w:pPr>
    <w:r>
      <w:rPr>
        <w:lang w:val="es-ES"/>
      </w:rPr>
      <w:t>CFC-14 EN ESPAÑOL</w:t>
    </w:r>
    <w:r>
      <w:rPr>
        <w:lang w:val="es-ES"/>
      </w:rPr>
      <w:tab/>
    </w:r>
    <w:r>
      <w:rPr>
        <w:lang w:val="es-ES"/>
      </w:rPr>
      <w:tab/>
    </w:r>
    <w:r>
      <w:rPr>
        <w:lang w:val="es-ES"/>
      </w:rPr>
      <w:tab/>
    </w:r>
    <w:r>
      <w:fldChar w:fldCharType="begin"/>
    </w:r>
    <w:r>
      <w:instrText xml:space="preserve"> PAGE   \* MERGEFORMAT </w:instrText>
    </w:r>
    <w:r>
      <w:fldChar w:fldCharType="separate"/>
    </w:r>
    <w:r w:rsidR="009D72AF">
      <w:rPr>
        <w:noProof/>
      </w:rPr>
      <w:t>19</w:t>
    </w:r>
    <w:r>
      <w:rPr>
        <w:noProof/>
      </w:rPr>
      <w:fldChar w:fldCharType="end"/>
    </w:r>
  </w:p>
  <w:p w14:paraId="6AF42D3D" w14:textId="77777777" w:rsidR="00AC08D5" w:rsidRDefault="00AC08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5ABF5" w14:textId="77777777" w:rsidR="00AC08D5" w:rsidRDefault="00AC08D5">
    <w:pPr>
      <w:pStyle w:val="Header"/>
      <w:jc w:val="right"/>
    </w:pPr>
    <w:r>
      <w:fldChar w:fldCharType="begin"/>
    </w:r>
    <w:r>
      <w:instrText>PAGE   \* MERGEFORMAT</w:instrText>
    </w:r>
    <w:r>
      <w:fldChar w:fldCharType="separate"/>
    </w:r>
    <w:r w:rsidRPr="007A1B67">
      <w:rPr>
        <w:noProof/>
        <w:lang w:val="es-ES"/>
      </w:rPr>
      <w:t>1</w:t>
    </w:r>
    <w:r>
      <w:rPr>
        <w:noProof/>
        <w:lang w:val="es-ES"/>
      </w:rPr>
      <w:fldChar w:fldCharType="end"/>
    </w:r>
  </w:p>
  <w:p w14:paraId="45228236" w14:textId="77777777" w:rsidR="00AC08D5" w:rsidRDefault="00AC0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333E"/>
    <w:multiLevelType w:val="hybridMultilevel"/>
    <w:tmpl w:val="DCEE1FDE"/>
    <w:lvl w:ilvl="0" w:tplc="D0FE1AD2">
      <w:start w:val="1"/>
      <w:numFmt w:val="decimal"/>
      <w:lvlText w:val="%1."/>
      <w:lvlJc w:val="left"/>
      <w:pPr>
        <w:ind w:left="720" w:hanging="360"/>
      </w:pPr>
      <w:rPr>
        <w:rFonts w:ascii="Times New Roman" w:eastAsiaTheme="minorHAnsi" w:hAnsi="Times New Roman" w:cstheme="minorBidi"/>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4CD264B"/>
    <w:multiLevelType w:val="hybridMultilevel"/>
    <w:tmpl w:val="ACE67A0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41E3509D"/>
    <w:multiLevelType w:val="hybridMultilevel"/>
    <w:tmpl w:val="64D605A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42ED487A"/>
    <w:multiLevelType w:val="hybridMultilevel"/>
    <w:tmpl w:val="10AE43CC"/>
    <w:lvl w:ilvl="0" w:tplc="380A000F">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1B67"/>
    <w:rsid w:val="000024AD"/>
    <w:rsid w:val="00004500"/>
    <w:rsid w:val="00010957"/>
    <w:rsid w:val="00017C20"/>
    <w:rsid w:val="00022297"/>
    <w:rsid w:val="000415EA"/>
    <w:rsid w:val="00063E2B"/>
    <w:rsid w:val="00074630"/>
    <w:rsid w:val="00082E67"/>
    <w:rsid w:val="00083CBD"/>
    <w:rsid w:val="000C6ABC"/>
    <w:rsid w:val="000E26CE"/>
    <w:rsid w:val="000E557B"/>
    <w:rsid w:val="000F1261"/>
    <w:rsid w:val="00125C54"/>
    <w:rsid w:val="001355E8"/>
    <w:rsid w:val="0016101A"/>
    <w:rsid w:val="00161E42"/>
    <w:rsid w:val="00162ACE"/>
    <w:rsid w:val="001754FF"/>
    <w:rsid w:val="00177248"/>
    <w:rsid w:val="00181C0A"/>
    <w:rsid w:val="00182391"/>
    <w:rsid w:val="00185F8E"/>
    <w:rsid w:val="001927B4"/>
    <w:rsid w:val="0019518B"/>
    <w:rsid w:val="001A0B4A"/>
    <w:rsid w:val="001A4E5D"/>
    <w:rsid w:val="001A6D41"/>
    <w:rsid w:val="001A7042"/>
    <w:rsid w:val="001B45E5"/>
    <w:rsid w:val="001C1879"/>
    <w:rsid w:val="001C30A7"/>
    <w:rsid w:val="001D6BCA"/>
    <w:rsid w:val="00224DF9"/>
    <w:rsid w:val="00236EA7"/>
    <w:rsid w:val="002426B6"/>
    <w:rsid w:val="00244DFA"/>
    <w:rsid w:val="0027284D"/>
    <w:rsid w:val="00275557"/>
    <w:rsid w:val="002A5708"/>
    <w:rsid w:val="002D7F54"/>
    <w:rsid w:val="002E0472"/>
    <w:rsid w:val="0030692F"/>
    <w:rsid w:val="00312A5C"/>
    <w:rsid w:val="003216F2"/>
    <w:rsid w:val="00330E18"/>
    <w:rsid w:val="003406FA"/>
    <w:rsid w:val="00342AFC"/>
    <w:rsid w:val="003613AD"/>
    <w:rsid w:val="00386688"/>
    <w:rsid w:val="003A09EF"/>
    <w:rsid w:val="003B6C99"/>
    <w:rsid w:val="003C285A"/>
    <w:rsid w:val="003F3B43"/>
    <w:rsid w:val="003F79A8"/>
    <w:rsid w:val="00401B56"/>
    <w:rsid w:val="00404FC7"/>
    <w:rsid w:val="00412348"/>
    <w:rsid w:val="00412ABF"/>
    <w:rsid w:val="004227F0"/>
    <w:rsid w:val="0042368E"/>
    <w:rsid w:val="00432044"/>
    <w:rsid w:val="00446C44"/>
    <w:rsid w:val="00462DEC"/>
    <w:rsid w:val="00466636"/>
    <w:rsid w:val="00466C01"/>
    <w:rsid w:val="00481686"/>
    <w:rsid w:val="004B19EA"/>
    <w:rsid w:val="004B3A0B"/>
    <w:rsid w:val="004C7223"/>
    <w:rsid w:val="004D7CC6"/>
    <w:rsid w:val="004E3274"/>
    <w:rsid w:val="004F5833"/>
    <w:rsid w:val="0050457D"/>
    <w:rsid w:val="005108F8"/>
    <w:rsid w:val="005410B6"/>
    <w:rsid w:val="00576316"/>
    <w:rsid w:val="0058419F"/>
    <w:rsid w:val="00590AAB"/>
    <w:rsid w:val="0059692E"/>
    <w:rsid w:val="005B344C"/>
    <w:rsid w:val="005B4730"/>
    <w:rsid w:val="005B537E"/>
    <w:rsid w:val="005E4B45"/>
    <w:rsid w:val="00611A51"/>
    <w:rsid w:val="00612D77"/>
    <w:rsid w:val="00657400"/>
    <w:rsid w:val="0067108E"/>
    <w:rsid w:val="00672E4E"/>
    <w:rsid w:val="006738AB"/>
    <w:rsid w:val="006872BF"/>
    <w:rsid w:val="006876F8"/>
    <w:rsid w:val="00687AE0"/>
    <w:rsid w:val="006D7DD9"/>
    <w:rsid w:val="006E2174"/>
    <w:rsid w:val="006F34FB"/>
    <w:rsid w:val="00705C04"/>
    <w:rsid w:val="007129A8"/>
    <w:rsid w:val="00712C7E"/>
    <w:rsid w:val="0072000D"/>
    <w:rsid w:val="00721062"/>
    <w:rsid w:val="0072404E"/>
    <w:rsid w:val="00726341"/>
    <w:rsid w:val="007447D9"/>
    <w:rsid w:val="007448BE"/>
    <w:rsid w:val="00745114"/>
    <w:rsid w:val="00750B51"/>
    <w:rsid w:val="00750F91"/>
    <w:rsid w:val="007625C5"/>
    <w:rsid w:val="00763200"/>
    <w:rsid w:val="00792D3C"/>
    <w:rsid w:val="00792FBD"/>
    <w:rsid w:val="007935D3"/>
    <w:rsid w:val="007A1B67"/>
    <w:rsid w:val="007A1F80"/>
    <w:rsid w:val="007B4A31"/>
    <w:rsid w:val="007B5CBC"/>
    <w:rsid w:val="007D245C"/>
    <w:rsid w:val="007F33F1"/>
    <w:rsid w:val="007F54D8"/>
    <w:rsid w:val="008340C3"/>
    <w:rsid w:val="00841880"/>
    <w:rsid w:val="00847BE8"/>
    <w:rsid w:val="00880D8C"/>
    <w:rsid w:val="008A0BCD"/>
    <w:rsid w:val="008A2919"/>
    <w:rsid w:val="008A630C"/>
    <w:rsid w:val="008A648B"/>
    <w:rsid w:val="008B0990"/>
    <w:rsid w:val="008B437C"/>
    <w:rsid w:val="008F72AF"/>
    <w:rsid w:val="00913997"/>
    <w:rsid w:val="009173B5"/>
    <w:rsid w:val="0094492F"/>
    <w:rsid w:val="00973928"/>
    <w:rsid w:val="00991010"/>
    <w:rsid w:val="009A6765"/>
    <w:rsid w:val="009B0947"/>
    <w:rsid w:val="009B7039"/>
    <w:rsid w:val="009C6490"/>
    <w:rsid w:val="009D42D4"/>
    <w:rsid w:val="009D4F7A"/>
    <w:rsid w:val="009D72AF"/>
    <w:rsid w:val="00A02D8C"/>
    <w:rsid w:val="00A07DC7"/>
    <w:rsid w:val="00A11B53"/>
    <w:rsid w:val="00A2151F"/>
    <w:rsid w:val="00A2457E"/>
    <w:rsid w:val="00A41B7B"/>
    <w:rsid w:val="00A42361"/>
    <w:rsid w:val="00A6078E"/>
    <w:rsid w:val="00A71A02"/>
    <w:rsid w:val="00A72C23"/>
    <w:rsid w:val="00A91E96"/>
    <w:rsid w:val="00AC08D5"/>
    <w:rsid w:val="00AD102F"/>
    <w:rsid w:val="00B061EA"/>
    <w:rsid w:val="00B17296"/>
    <w:rsid w:val="00B2091F"/>
    <w:rsid w:val="00B212F9"/>
    <w:rsid w:val="00B227CF"/>
    <w:rsid w:val="00B26BB3"/>
    <w:rsid w:val="00B44F35"/>
    <w:rsid w:val="00B930AF"/>
    <w:rsid w:val="00BA6455"/>
    <w:rsid w:val="00BA6952"/>
    <w:rsid w:val="00BC369D"/>
    <w:rsid w:val="00BD481E"/>
    <w:rsid w:val="00BD4918"/>
    <w:rsid w:val="00BD5801"/>
    <w:rsid w:val="00BF38F2"/>
    <w:rsid w:val="00BF6970"/>
    <w:rsid w:val="00C14849"/>
    <w:rsid w:val="00C27307"/>
    <w:rsid w:val="00C50632"/>
    <w:rsid w:val="00C80BE8"/>
    <w:rsid w:val="00C92119"/>
    <w:rsid w:val="00CD3444"/>
    <w:rsid w:val="00CE6B7E"/>
    <w:rsid w:val="00CF0D70"/>
    <w:rsid w:val="00D1615E"/>
    <w:rsid w:val="00D256F0"/>
    <w:rsid w:val="00D3778A"/>
    <w:rsid w:val="00D37E59"/>
    <w:rsid w:val="00D41679"/>
    <w:rsid w:val="00D4459C"/>
    <w:rsid w:val="00D4689B"/>
    <w:rsid w:val="00D51005"/>
    <w:rsid w:val="00D622DA"/>
    <w:rsid w:val="00DA7C61"/>
    <w:rsid w:val="00DB5065"/>
    <w:rsid w:val="00DC37EA"/>
    <w:rsid w:val="00DC7CC3"/>
    <w:rsid w:val="00DD14BB"/>
    <w:rsid w:val="00DF665F"/>
    <w:rsid w:val="00E1208D"/>
    <w:rsid w:val="00E14A8B"/>
    <w:rsid w:val="00E34667"/>
    <w:rsid w:val="00E74185"/>
    <w:rsid w:val="00E8312B"/>
    <w:rsid w:val="00E86791"/>
    <w:rsid w:val="00EA0B6A"/>
    <w:rsid w:val="00EA2909"/>
    <w:rsid w:val="00EA3EF8"/>
    <w:rsid w:val="00EC7840"/>
    <w:rsid w:val="00EE4C39"/>
    <w:rsid w:val="00EF4A1A"/>
    <w:rsid w:val="00F0302C"/>
    <w:rsid w:val="00F25D80"/>
    <w:rsid w:val="00F327A3"/>
    <w:rsid w:val="00F340AF"/>
    <w:rsid w:val="00F87E8E"/>
    <w:rsid w:val="00FB0AD9"/>
    <w:rsid w:val="00FC5144"/>
    <w:rsid w:val="00FD3FDD"/>
    <w:rsid w:val="00FE3920"/>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56E52"/>
  <w15:docId w15:val="{78E14F71-8605-448D-8D69-E0FB011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67"/>
    <w:pPr>
      <w:tabs>
        <w:tab w:val="center" w:pos="4252"/>
        <w:tab w:val="right" w:pos="8504"/>
      </w:tabs>
      <w:spacing w:after="0" w:line="240" w:lineRule="auto"/>
    </w:pPr>
    <w:rPr>
      <w:rFonts w:ascii="Calibri" w:eastAsia="Times New Roman" w:hAnsi="Calibri" w:cs="Times New Roman"/>
      <w:sz w:val="20"/>
      <w:szCs w:val="20"/>
      <w:lang w:eastAsia="zh-CN"/>
    </w:rPr>
  </w:style>
  <w:style w:type="character" w:customStyle="1" w:styleId="HeaderChar">
    <w:name w:val="Header Char"/>
    <w:basedOn w:val="DefaultParagraphFont"/>
    <w:link w:val="Header"/>
    <w:uiPriority w:val="99"/>
    <w:rsid w:val="007A1B67"/>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7A1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B67"/>
    <w:rPr>
      <w:rFonts w:ascii="Segoe UI" w:hAnsi="Segoe UI" w:cs="Segoe UI"/>
      <w:sz w:val="18"/>
      <w:szCs w:val="18"/>
    </w:rPr>
  </w:style>
  <w:style w:type="paragraph" w:styleId="CommentText">
    <w:name w:val="annotation text"/>
    <w:basedOn w:val="Normal"/>
    <w:link w:val="CommentTextChar"/>
    <w:uiPriority w:val="99"/>
    <w:semiHidden/>
    <w:unhideWhenUsed/>
    <w:rsid w:val="00611A51"/>
    <w:pPr>
      <w:spacing w:line="240" w:lineRule="auto"/>
    </w:pPr>
    <w:rPr>
      <w:sz w:val="20"/>
      <w:szCs w:val="20"/>
    </w:rPr>
  </w:style>
  <w:style w:type="character" w:customStyle="1" w:styleId="CommentTextChar">
    <w:name w:val="Comment Text Char"/>
    <w:basedOn w:val="DefaultParagraphFont"/>
    <w:link w:val="CommentText"/>
    <w:uiPriority w:val="99"/>
    <w:semiHidden/>
    <w:rsid w:val="00611A51"/>
    <w:rPr>
      <w:sz w:val="20"/>
      <w:szCs w:val="20"/>
    </w:rPr>
  </w:style>
  <w:style w:type="character" w:styleId="CommentReference">
    <w:name w:val="annotation reference"/>
    <w:basedOn w:val="DefaultParagraphFont"/>
    <w:uiPriority w:val="99"/>
    <w:semiHidden/>
    <w:unhideWhenUsed/>
    <w:rsid w:val="00611A51"/>
    <w:rPr>
      <w:sz w:val="16"/>
      <w:szCs w:val="16"/>
    </w:rPr>
  </w:style>
  <w:style w:type="character" w:customStyle="1" w:styleId="apple-converted-space">
    <w:name w:val="apple-converted-space"/>
    <w:basedOn w:val="DefaultParagraphFont"/>
    <w:rsid w:val="00083CBD"/>
  </w:style>
  <w:style w:type="paragraph" w:styleId="Footer">
    <w:name w:val="footer"/>
    <w:basedOn w:val="Normal"/>
    <w:link w:val="FooterChar"/>
    <w:uiPriority w:val="99"/>
    <w:unhideWhenUsed/>
    <w:rsid w:val="00E86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791"/>
  </w:style>
  <w:style w:type="paragraph" w:styleId="CommentSubject">
    <w:name w:val="annotation subject"/>
    <w:basedOn w:val="CommentText"/>
    <w:next w:val="CommentText"/>
    <w:link w:val="CommentSubjectChar"/>
    <w:uiPriority w:val="99"/>
    <w:semiHidden/>
    <w:unhideWhenUsed/>
    <w:rsid w:val="0058419F"/>
    <w:rPr>
      <w:b/>
      <w:bCs/>
    </w:rPr>
  </w:style>
  <w:style w:type="character" w:customStyle="1" w:styleId="CommentSubjectChar">
    <w:name w:val="Comment Subject Char"/>
    <w:basedOn w:val="CommentTextChar"/>
    <w:link w:val="CommentSubject"/>
    <w:uiPriority w:val="99"/>
    <w:semiHidden/>
    <w:rsid w:val="0058419F"/>
    <w:rPr>
      <w:b/>
      <w:bCs/>
      <w:sz w:val="20"/>
      <w:szCs w:val="20"/>
    </w:rPr>
  </w:style>
  <w:style w:type="paragraph" w:styleId="ListParagraph">
    <w:name w:val="List Paragraph"/>
    <w:basedOn w:val="Normal"/>
    <w:uiPriority w:val="34"/>
    <w:qFormat/>
    <w:rsid w:val="009A6765"/>
    <w:pPr>
      <w:ind w:left="720"/>
      <w:contextualSpacing/>
    </w:pPr>
  </w:style>
  <w:style w:type="paragraph" w:styleId="Bibliography">
    <w:name w:val="Bibliography"/>
    <w:basedOn w:val="Normal"/>
    <w:next w:val="Normal"/>
    <w:uiPriority w:val="37"/>
    <w:unhideWhenUsed/>
    <w:rsid w:val="00244DFA"/>
    <w:pPr>
      <w:spacing w:after="0" w:line="480" w:lineRule="auto"/>
      <w:ind w:left="720" w:hanging="720"/>
    </w:pPr>
  </w:style>
  <w:style w:type="table" w:styleId="TableGrid">
    <w:name w:val="Table Grid"/>
    <w:basedOn w:val="TableNormal"/>
    <w:uiPriority w:val="39"/>
    <w:rsid w:val="00B17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286">
      <w:bodyDiv w:val="1"/>
      <w:marLeft w:val="0"/>
      <w:marRight w:val="0"/>
      <w:marTop w:val="0"/>
      <w:marBottom w:val="0"/>
      <w:divBdr>
        <w:top w:val="none" w:sz="0" w:space="0" w:color="auto"/>
        <w:left w:val="none" w:sz="0" w:space="0" w:color="auto"/>
        <w:bottom w:val="none" w:sz="0" w:space="0" w:color="auto"/>
        <w:right w:val="none" w:sz="0" w:space="0" w:color="auto"/>
      </w:divBdr>
    </w:div>
    <w:div w:id="166673561">
      <w:bodyDiv w:val="1"/>
      <w:marLeft w:val="0"/>
      <w:marRight w:val="0"/>
      <w:marTop w:val="0"/>
      <w:marBottom w:val="0"/>
      <w:divBdr>
        <w:top w:val="none" w:sz="0" w:space="0" w:color="auto"/>
        <w:left w:val="none" w:sz="0" w:space="0" w:color="auto"/>
        <w:bottom w:val="none" w:sz="0" w:space="0" w:color="auto"/>
        <w:right w:val="none" w:sz="0" w:space="0" w:color="auto"/>
      </w:divBdr>
    </w:div>
    <w:div w:id="191305228">
      <w:bodyDiv w:val="1"/>
      <w:marLeft w:val="0"/>
      <w:marRight w:val="0"/>
      <w:marTop w:val="0"/>
      <w:marBottom w:val="0"/>
      <w:divBdr>
        <w:top w:val="none" w:sz="0" w:space="0" w:color="auto"/>
        <w:left w:val="none" w:sz="0" w:space="0" w:color="auto"/>
        <w:bottom w:val="none" w:sz="0" w:space="0" w:color="auto"/>
        <w:right w:val="none" w:sz="0" w:space="0" w:color="auto"/>
      </w:divBdr>
    </w:div>
    <w:div w:id="444235001">
      <w:bodyDiv w:val="1"/>
      <w:marLeft w:val="0"/>
      <w:marRight w:val="0"/>
      <w:marTop w:val="0"/>
      <w:marBottom w:val="0"/>
      <w:divBdr>
        <w:top w:val="none" w:sz="0" w:space="0" w:color="auto"/>
        <w:left w:val="none" w:sz="0" w:space="0" w:color="auto"/>
        <w:bottom w:val="none" w:sz="0" w:space="0" w:color="auto"/>
        <w:right w:val="none" w:sz="0" w:space="0" w:color="auto"/>
      </w:divBdr>
    </w:div>
    <w:div w:id="504632567">
      <w:bodyDiv w:val="1"/>
      <w:marLeft w:val="0"/>
      <w:marRight w:val="0"/>
      <w:marTop w:val="0"/>
      <w:marBottom w:val="0"/>
      <w:divBdr>
        <w:top w:val="none" w:sz="0" w:space="0" w:color="auto"/>
        <w:left w:val="none" w:sz="0" w:space="0" w:color="auto"/>
        <w:bottom w:val="none" w:sz="0" w:space="0" w:color="auto"/>
        <w:right w:val="none" w:sz="0" w:space="0" w:color="auto"/>
      </w:divBdr>
    </w:div>
    <w:div w:id="568854572">
      <w:bodyDiv w:val="1"/>
      <w:marLeft w:val="0"/>
      <w:marRight w:val="0"/>
      <w:marTop w:val="0"/>
      <w:marBottom w:val="0"/>
      <w:divBdr>
        <w:top w:val="none" w:sz="0" w:space="0" w:color="auto"/>
        <w:left w:val="none" w:sz="0" w:space="0" w:color="auto"/>
        <w:bottom w:val="none" w:sz="0" w:space="0" w:color="auto"/>
        <w:right w:val="none" w:sz="0" w:space="0" w:color="auto"/>
      </w:divBdr>
    </w:div>
    <w:div w:id="596986478">
      <w:bodyDiv w:val="1"/>
      <w:marLeft w:val="0"/>
      <w:marRight w:val="0"/>
      <w:marTop w:val="0"/>
      <w:marBottom w:val="0"/>
      <w:divBdr>
        <w:top w:val="none" w:sz="0" w:space="0" w:color="auto"/>
        <w:left w:val="none" w:sz="0" w:space="0" w:color="auto"/>
        <w:bottom w:val="none" w:sz="0" w:space="0" w:color="auto"/>
        <w:right w:val="none" w:sz="0" w:space="0" w:color="auto"/>
      </w:divBdr>
    </w:div>
    <w:div w:id="668336173">
      <w:bodyDiv w:val="1"/>
      <w:marLeft w:val="0"/>
      <w:marRight w:val="0"/>
      <w:marTop w:val="0"/>
      <w:marBottom w:val="0"/>
      <w:divBdr>
        <w:top w:val="none" w:sz="0" w:space="0" w:color="auto"/>
        <w:left w:val="none" w:sz="0" w:space="0" w:color="auto"/>
        <w:bottom w:val="none" w:sz="0" w:space="0" w:color="auto"/>
        <w:right w:val="none" w:sz="0" w:space="0" w:color="auto"/>
      </w:divBdr>
    </w:div>
    <w:div w:id="723717258">
      <w:bodyDiv w:val="1"/>
      <w:marLeft w:val="0"/>
      <w:marRight w:val="0"/>
      <w:marTop w:val="0"/>
      <w:marBottom w:val="0"/>
      <w:divBdr>
        <w:top w:val="none" w:sz="0" w:space="0" w:color="auto"/>
        <w:left w:val="none" w:sz="0" w:space="0" w:color="auto"/>
        <w:bottom w:val="none" w:sz="0" w:space="0" w:color="auto"/>
        <w:right w:val="none" w:sz="0" w:space="0" w:color="auto"/>
      </w:divBdr>
    </w:div>
    <w:div w:id="785737087">
      <w:bodyDiv w:val="1"/>
      <w:marLeft w:val="0"/>
      <w:marRight w:val="0"/>
      <w:marTop w:val="0"/>
      <w:marBottom w:val="0"/>
      <w:divBdr>
        <w:top w:val="none" w:sz="0" w:space="0" w:color="auto"/>
        <w:left w:val="none" w:sz="0" w:space="0" w:color="auto"/>
        <w:bottom w:val="none" w:sz="0" w:space="0" w:color="auto"/>
        <w:right w:val="none" w:sz="0" w:space="0" w:color="auto"/>
      </w:divBdr>
      <w:divsChild>
        <w:div w:id="401022702">
          <w:marLeft w:val="0"/>
          <w:marRight w:val="0"/>
          <w:marTop w:val="0"/>
          <w:marBottom w:val="0"/>
          <w:divBdr>
            <w:top w:val="none" w:sz="0" w:space="0" w:color="auto"/>
            <w:left w:val="none" w:sz="0" w:space="0" w:color="auto"/>
            <w:bottom w:val="none" w:sz="0" w:space="0" w:color="auto"/>
            <w:right w:val="none" w:sz="0" w:space="0" w:color="auto"/>
          </w:divBdr>
        </w:div>
      </w:divsChild>
    </w:div>
    <w:div w:id="921135142">
      <w:bodyDiv w:val="1"/>
      <w:marLeft w:val="0"/>
      <w:marRight w:val="0"/>
      <w:marTop w:val="0"/>
      <w:marBottom w:val="0"/>
      <w:divBdr>
        <w:top w:val="none" w:sz="0" w:space="0" w:color="auto"/>
        <w:left w:val="none" w:sz="0" w:space="0" w:color="auto"/>
        <w:bottom w:val="none" w:sz="0" w:space="0" w:color="auto"/>
        <w:right w:val="none" w:sz="0" w:space="0" w:color="auto"/>
      </w:divBdr>
    </w:div>
    <w:div w:id="1081292943">
      <w:bodyDiv w:val="1"/>
      <w:marLeft w:val="0"/>
      <w:marRight w:val="0"/>
      <w:marTop w:val="0"/>
      <w:marBottom w:val="0"/>
      <w:divBdr>
        <w:top w:val="none" w:sz="0" w:space="0" w:color="auto"/>
        <w:left w:val="none" w:sz="0" w:space="0" w:color="auto"/>
        <w:bottom w:val="none" w:sz="0" w:space="0" w:color="auto"/>
        <w:right w:val="none" w:sz="0" w:space="0" w:color="auto"/>
      </w:divBdr>
    </w:div>
    <w:div w:id="1133055923">
      <w:bodyDiv w:val="1"/>
      <w:marLeft w:val="0"/>
      <w:marRight w:val="0"/>
      <w:marTop w:val="0"/>
      <w:marBottom w:val="0"/>
      <w:divBdr>
        <w:top w:val="none" w:sz="0" w:space="0" w:color="auto"/>
        <w:left w:val="none" w:sz="0" w:space="0" w:color="auto"/>
        <w:bottom w:val="none" w:sz="0" w:space="0" w:color="auto"/>
        <w:right w:val="none" w:sz="0" w:space="0" w:color="auto"/>
      </w:divBdr>
    </w:div>
    <w:div w:id="1272200824">
      <w:bodyDiv w:val="1"/>
      <w:marLeft w:val="0"/>
      <w:marRight w:val="0"/>
      <w:marTop w:val="0"/>
      <w:marBottom w:val="0"/>
      <w:divBdr>
        <w:top w:val="none" w:sz="0" w:space="0" w:color="auto"/>
        <w:left w:val="none" w:sz="0" w:space="0" w:color="auto"/>
        <w:bottom w:val="none" w:sz="0" w:space="0" w:color="auto"/>
        <w:right w:val="none" w:sz="0" w:space="0" w:color="auto"/>
      </w:divBdr>
    </w:div>
    <w:div w:id="1272277043">
      <w:bodyDiv w:val="1"/>
      <w:marLeft w:val="0"/>
      <w:marRight w:val="0"/>
      <w:marTop w:val="0"/>
      <w:marBottom w:val="0"/>
      <w:divBdr>
        <w:top w:val="none" w:sz="0" w:space="0" w:color="auto"/>
        <w:left w:val="none" w:sz="0" w:space="0" w:color="auto"/>
        <w:bottom w:val="none" w:sz="0" w:space="0" w:color="auto"/>
        <w:right w:val="none" w:sz="0" w:space="0" w:color="auto"/>
      </w:divBdr>
    </w:div>
    <w:div w:id="1303849275">
      <w:bodyDiv w:val="1"/>
      <w:marLeft w:val="0"/>
      <w:marRight w:val="0"/>
      <w:marTop w:val="0"/>
      <w:marBottom w:val="0"/>
      <w:divBdr>
        <w:top w:val="none" w:sz="0" w:space="0" w:color="auto"/>
        <w:left w:val="none" w:sz="0" w:space="0" w:color="auto"/>
        <w:bottom w:val="none" w:sz="0" w:space="0" w:color="auto"/>
        <w:right w:val="none" w:sz="0" w:space="0" w:color="auto"/>
      </w:divBdr>
    </w:div>
    <w:div w:id="1320616863">
      <w:bodyDiv w:val="1"/>
      <w:marLeft w:val="0"/>
      <w:marRight w:val="0"/>
      <w:marTop w:val="0"/>
      <w:marBottom w:val="0"/>
      <w:divBdr>
        <w:top w:val="none" w:sz="0" w:space="0" w:color="auto"/>
        <w:left w:val="none" w:sz="0" w:space="0" w:color="auto"/>
        <w:bottom w:val="none" w:sz="0" w:space="0" w:color="auto"/>
        <w:right w:val="none" w:sz="0" w:space="0" w:color="auto"/>
      </w:divBdr>
    </w:div>
    <w:div w:id="1324361157">
      <w:bodyDiv w:val="1"/>
      <w:marLeft w:val="0"/>
      <w:marRight w:val="0"/>
      <w:marTop w:val="0"/>
      <w:marBottom w:val="0"/>
      <w:divBdr>
        <w:top w:val="none" w:sz="0" w:space="0" w:color="auto"/>
        <w:left w:val="none" w:sz="0" w:space="0" w:color="auto"/>
        <w:bottom w:val="none" w:sz="0" w:space="0" w:color="auto"/>
        <w:right w:val="none" w:sz="0" w:space="0" w:color="auto"/>
      </w:divBdr>
    </w:div>
    <w:div w:id="1335186548">
      <w:bodyDiv w:val="1"/>
      <w:marLeft w:val="0"/>
      <w:marRight w:val="0"/>
      <w:marTop w:val="0"/>
      <w:marBottom w:val="0"/>
      <w:divBdr>
        <w:top w:val="none" w:sz="0" w:space="0" w:color="auto"/>
        <w:left w:val="none" w:sz="0" w:space="0" w:color="auto"/>
        <w:bottom w:val="none" w:sz="0" w:space="0" w:color="auto"/>
        <w:right w:val="none" w:sz="0" w:space="0" w:color="auto"/>
      </w:divBdr>
    </w:div>
    <w:div w:id="1335692940">
      <w:bodyDiv w:val="1"/>
      <w:marLeft w:val="0"/>
      <w:marRight w:val="0"/>
      <w:marTop w:val="0"/>
      <w:marBottom w:val="0"/>
      <w:divBdr>
        <w:top w:val="none" w:sz="0" w:space="0" w:color="auto"/>
        <w:left w:val="none" w:sz="0" w:space="0" w:color="auto"/>
        <w:bottom w:val="none" w:sz="0" w:space="0" w:color="auto"/>
        <w:right w:val="none" w:sz="0" w:space="0" w:color="auto"/>
      </w:divBdr>
      <w:divsChild>
        <w:div w:id="121073772">
          <w:marLeft w:val="0"/>
          <w:marRight w:val="0"/>
          <w:marTop w:val="0"/>
          <w:marBottom w:val="0"/>
          <w:divBdr>
            <w:top w:val="none" w:sz="0" w:space="0" w:color="auto"/>
            <w:left w:val="none" w:sz="0" w:space="0" w:color="auto"/>
            <w:bottom w:val="none" w:sz="0" w:space="0" w:color="auto"/>
            <w:right w:val="none" w:sz="0" w:space="0" w:color="auto"/>
          </w:divBdr>
        </w:div>
        <w:div w:id="2075347662">
          <w:marLeft w:val="0"/>
          <w:marRight w:val="0"/>
          <w:marTop w:val="0"/>
          <w:marBottom w:val="0"/>
          <w:divBdr>
            <w:top w:val="none" w:sz="0" w:space="0" w:color="auto"/>
            <w:left w:val="none" w:sz="0" w:space="0" w:color="auto"/>
            <w:bottom w:val="none" w:sz="0" w:space="0" w:color="auto"/>
            <w:right w:val="none" w:sz="0" w:space="0" w:color="auto"/>
          </w:divBdr>
        </w:div>
        <w:div w:id="1458452152">
          <w:marLeft w:val="0"/>
          <w:marRight w:val="0"/>
          <w:marTop w:val="0"/>
          <w:marBottom w:val="0"/>
          <w:divBdr>
            <w:top w:val="none" w:sz="0" w:space="0" w:color="auto"/>
            <w:left w:val="none" w:sz="0" w:space="0" w:color="auto"/>
            <w:bottom w:val="none" w:sz="0" w:space="0" w:color="auto"/>
            <w:right w:val="none" w:sz="0" w:space="0" w:color="auto"/>
          </w:divBdr>
        </w:div>
      </w:divsChild>
    </w:div>
    <w:div w:id="1386415847">
      <w:bodyDiv w:val="1"/>
      <w:marLeft w:val="0"/>
      <w:marRight w:val="0"/>
      <w:marTop w:val="0"/>
      <w:marBottom w:val="0"/>
      <w:divBdr>
        <w:top w:val="none" w:sz="0" w:space="0" w:color="auto"/>
        <w:left w:val="none" w:sz="0" w:space="0" w:color="auto"/>
        <w:bottom w:val="none" w:sz="0" w:space="0" w:color="auto"/>
        <w:right w:val="none" w:sz="0" w:space="0" w:color="auto"/>
      </w:divBdr>
    </w:div>
    <w:div w:id="1510098768">
      <w:bodyDiv w:val="1"/>
      <w:marLeft w:val="0"/>
      <w:marRight w:val="0"/>
      <w:marTop w:val="0"/>
      <w:marBottom w:val="0"/>
      <w:divBdr>
        <w:top w:val="none" w:sz="0" w:space="0" w:color="auto"/>
        <w:left w:val="none" w:sz="0" w:space="0" w:color="auto"/>
        <w:bottom w:val="none" w:sz="0" w:space="0" w:color="auto"/>
        <w:right w:val="none" w:sz="0" w:space="0" w:color="auto"/>
      </w:divBdr>
    </w:div>
    <w:div w:id="1575236401">
      <w:bodyDiv w:val="1"/>
      <w:marLeft w:val="0"/>
      <w:marRight w:val="0"/>
      <w:marTop w:val="0"/>
      <w:marBottom w:val="0"/>
      <w:divBdr>
        <w:top w:val="none" w:sz="0" w:space="0" w:color="auto"/>
        <w:left w:val="none" w:sz="0" w:space="0" w:color="auto"/>
        <w:bottom w:val="none" w:sz="0" w:space="0" w:color="auto"/>
        <w:right w:val="none" w:sz="0" w:space="0" w:color="auto"/>
      </w:divBdr>
      <w:divsChild>
        <w:div w:id="1285623561">
          <w:marLeft w:val="0"/>
          <w:marRight w:val="0"/>
          <w:marTop w:val="0"/>
          <w:marBottom w:val="0"/>
          <w:divBdr>
            <w:top w:val="none" w:sz="0" w:space="0" w:color="auto"/>
            <w:left w:val="none" w:sz="0" w:space="0" w:color="auto"/>
            <w:bottom w:val="none" w:sz="0" w:space="0" w:color="auto"/>
            <w:right w:val="none" w:sz="0" w:space="0" w:color="auto"/>
          </w:divBdr>
        </w:div>
      </w:divsChild>
    </w:div>
    <w:div w:id="1699810991">
      <w:bodyDiv w:val="1"/>
      <w:marLeft w:val="0"/>
      <w:marRight w:val="0"/>
      <w:marTop w:val="0"/>
      <w:marBottom w:val="0"/>
      <w:divBdr>
        <w:top w:val="none" w:sz="0" w:space="0" w:color="auto"/>
        <w:left w:val="none" w:sz="0" w:space="0" w:color="auto"/>
        <w:bottom w:val="none" w:sz="0" w:space="0" w:color="auto"/>
        <w:right w:val="none" w:sz="0" w:space="0" w:color="auto"/>
      </w:divBdr>
    </w:div>
    <w:div w:id="1706368606">
      <w:bodyDiv w:val="1"/>
      <w:marLeft w:val="0"/>
      <w:marRight w:val="0"/>
      <w:marTop w:val="0"/>
      <w:marBottom w:val="0"/>
      <w:divBdr>
        <w:top w:val="none" w:sz="0" w:space="0" w:color="auto"/>
        <w:left w:val="none" w:sz="0" w:space="0" w:color="auto"/>
        <w:bottom w:val="none" w:sz="0" w:space="0" w:color="auto"/>
        <w:right w:val="none" w:sz="0" w:space="0" w:color="auto"/>
      </w:divBdr>
      <w:divsChild>
        <w:div w:id="511065552">
          <w:marLeft w:val="0"/>
          <w:marRight w:val="0"/>
          <w:marTop w:val="0"/>
          <w:marBottom w:val="0"/>
          <w:divBdr>
            <w:top w:val="none" w:sz="0" w:space="0" w:color="auto"/>
            <w:left w:val="none" w:sz="0" w:space="0" w:color="auto"/>
            <w:bottom w:val="none" w:sz="0" w:space="0" w:color="auto"/>
            <w:right w:val="none" w:sz="0" w:space="0" w:color="auto"/>
          </w:divBdr>
        </w:div>
      </w:divsChild>
    </w:div>
    <w:div w:id="1790391551">
      <w:bodyDiv w:val="1"/>
      <w:marLeft w:val="0"/>
      <w:marRight w:val="0"/>
      <w:marTop w:val="0"/>
      <w:marBottom w:val="0"/>
      <w:divBdr>
        <w:top w:val="none" w:sz="0" w:space="0" w:color="auto"/>
        <w:left w:val="none" w:sz="0" w:space="0" w:color="auto"/>
        <w:bottom w:val="none" w:sz="0" w:space="0" w:color="auto"/>
        <w:right w:val="none" w:sz="0" w:space="0" w:color="auto"/>
      </w:divBdr>
    </w:div>
    <w:div w:id="1951548171">
      <w:bodyDiv w:val="1"/>
      <w:marLeft w:val="0"/>
      <w:marRight w:val="0"/>
      <w:marTop w:val="0"/>
      <w:marBottom w:val="0"/>
      <w:divBdr>
        <w:top w:val="none" w:sz="0" w:space="0" w:color="auto"/>
        <w:left w:val="none" w:sz="0" w:space="0" w:color="auto"/>
        <w:bottom w:val="none" w:sz="0" w:space="0" w:color="auto"/>
        <w:right w:val="none" w:sz="0" w:space="0" w:color="auto"/>
      </w:divBdr>
    </w:div>
    <w:div w:id="1987316224">
      <w:bodyDiv w:val="1"/>
      <w:marLeft w:val="0"/>
      <w:marRight w:val="0"/>
      <w:marTop w:val="0"/>
      <w:marBottom w:val="0"/>
      <w:divBdr>
        <w:top w:val="none" w:sz="0" w:space="0" w:color="auto"/>
        <w:left w:val="none" w:sz="0" w:space="0" w:color="auto"/>
        <w:bottom w:val="none" w:sz="0" w:space="0" w:color="auto"/>
        <w:right w:val="none" w:sz="0" w:space="0" w:color="auto"/>
      </w:divBdr>
    </w:div>
    <w:div w:id="2035182220">
      <w:bodyDiv w:val="1"/>
      <w:marLeft w:val="0"/>
      <w:marRight w:val="0"/>
      <w:marTop w:val="0"/>
      <w:marBottom w:val="0"/>
      <w:divBdr>
        <w:top w:val="none" w:sz="0" w:space="0" w:color="auto"/>
        <w:left w:val="none" w:sz="0" w:space="0" w:color="auto"/>
        <w:bottom w:val="none" w:sz="0" w:space="0" w:color="auto"/>
        <w:right w:val="none" w:sz="0" w:space="0" w:color="auto"/>
      </w:divBdr>
    </w:div>
    <w:div w:id="21259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093/eurpub/ckp225" TargetMode="External"/><Relationship Id="rId18" Type="http://schemas.openxmlformats.org/officeDocument/2006/relationships/hyperlink" Target="http://dx.doi.org/10.1037/0022-3514.66.4.742"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dx.doi.org/10.1016/j.obhdp.2012.04.004" TargetMode="External"/><Relationship Id="rId17" Type="http://schemas.openxmlformats.org/officeDocument/2006/relationships/hyperlink" Target="http://dx.doi.org/10.1111/j.1559-1816.1997.tb01626.x" TargetMode="External"/><Relationship Id="rId2" Type="http://schemas.openxmlformats.org/officeDocument/2006/relationships/numbering" Target="numbering.xml"/><Relationship Id="rId16" Type="http://schemas.openxmlformats.org/officeDocument/2006/relationships/hyperlink" Target="http://dx.doi.org/10.1177/014616721244936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a0025790" TargetMode="External"/><Relationship Id="rId5" Type="http://schemas.openxmlformats.org/officeDocument/2006/relationships/webSettings" Target="webSettings.xml"/><Relationship Id="rId15" Type="http://schemas.openxmlformats.org/officeDocument/2006/relationships/hyperlink" Target="http://dx.doi.org/10.1016/j.paid.2008.02.011"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dx.doi.org/10.1016/j.paid.2015.07.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093/acprof:oso/9780199914364.001.0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EE66-5FC3-4C09-9C5D-A6DFB7B3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4328</Words>
  <Characters>23809</Characters>
  <Application>Microsoft Office Word</Application>
  <DocSecurity>0</DocSecurity>
  <Lines>198</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Lucía Álvarez</cp:lastModifiedBy>
  <cp:revision>10</cp:revision>
  <dcterms:created xsi:type="dcterms:W3CDTF">2016-07-14T17:53:00Z</dcterms:created>
  <dcterms:modified xsi:type="dcterms:W3CDTF">2016-07-29T22:24:00Z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zotero-version="4.0.26.4"&gt;&lt;session id="4jS6Xg6s"/&gt;&lt;style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