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8AE52" w14:textId="61BAA13C" w:rsidR="00BD409A" w:rsidRPr="00AE52A4" w:rsidRDefault="00BD409A" w:rsidP="000F58B6">
      <w:pPr>
        <w:spacing w:line="240" w:lineRule="auto"/>
        <w:jc w:val="center"/>
        <w:rPr>
          <w:rFonts w:ascii="Arial" w:eastAsia="Arial" w:hAnsi="Arial" w:cs="Arial"/>
          <w:b/>
          <w:bCs/>
          <w:sz w:val="24"/>
          <w:szCs w:val="24"/>
          <w:lang w:val="es-UY"/>
        </w:rPr>
      </w:pPr>
      <w:bookmarkStart w:id="0" w:name="_GoBack"/>
      <w:bookmarkEnd w:id="0"/>
      <w:r w:rsidRPr="00AE52A4">
        <w:rPr>
          <w:rFonts w:ascii="Arial" w:eastAsia="Arial" w:hAnsi="Arial" w:cs="Arial"/>
          <w:b/>
          <w:bCs/>
          <w:sz w:val="24"/>
          <w:szCs w:val="24"/>
          <w:lang w:val="es-UY"/>
        </w:rPr>
        <w:t>Resumen</w:t>
      </w:r>
    </w:p>
    <w:p w14:paraId="72A847E4" w14:textId="2F52EE1B" w:rsidR="00A60EA6" w:rsidRDefault="00BD409A" w:rsidP="00731076">
      <w:pPr>
        <w:spacing w:line="240" w:lineRule="auto"/>
        <w:jc w:val="both"/>
        <w:rPr>
          <w:rFonts w:ascii="Arial" w:eastAsia="Arial" w:hAnsi="Arial" w:cs="Arial"/>
          <w:sz w:val="24"/>
          <w:szCs w:val="24"/>
          <w:lang w:val="es-UY"/>
        </w:rPr>
      </w:pPr>
      <w:r w:rsidRPr="00AE52A4">
        <w:rPr>
          <w:rFonts w:ascii="Arial" w:eastAsia="Arial" w:hAnsi="Arial" w:cs="Arial"/>
          <w:sz w:val="24"/>
          <w:szCs w:val="24"/>
          <w:lang w:val="es-UY"/>
        </w:rPr>
        <w:t xml:space="preserve">La </w:t>
      </w:r>
      <w:r w:rsidR="00455BAF">
        <w:rPr>
          <w:rFonts w:ascii="Arial" w:eastAsia="Arial" w:hAnsi="Arial" w:cs="Arial"/>
          <w:sz w:val="24"/>
          <w:szCs w:val="24"/>
          <w:lang w:val="es-UY"/>
        </w:rPr>
        <w:t>e</w:t>
      </w:r>
      <w:r w:rsidRPr="00AE52A4">
        <w:rPr>
          <w:rFonts w:ascii="Arial" w:eastAsia="Arial" w:hAnsi="Arial" w:cs="Arial"/>
          <w:sz w:val="24"/>
          <w:szCs w:val="24"/>
          <w:lang w:val="es-UY"/>
        </w:rPr>
        <w:t>scala de Consideración de las Consecuencias Futuras (CCF) evalúa el grado que las personas son influenciadas por las consecuencias inmediatas o distantes de sus comportamiento</w:t>
      </w:r>
      <w:r w:rsidR="00455BAF">
        <w:rPr>
          <w:rFonts w:ascii="Arial" w:eastAsia="Arial" w:hAnsi="Arial" w:cs="Arial"/>
          <w:sz w:val="24"/>
          <w:szCs w:val="24"/>
          <w:lang w:val="es-UY"/>
        </w:rPr>
        <w:t xml:space="preserve">s. </w:t>
      </w:r>
      <w:r w:rsidR="00A60EA6">
        <w:rPr>
          <w:rFonts w:ascii="Arial" w:eastAsia="Arial" w:hAnsi="Arial" w:cs="Arial"/>
          <w:sz w:val="24"/>
          <w:szCs w:val="24"/>
          <w:lang w:val="es-UY"/>
        </w:rPr>
        <w:t>En</w:t>
      </w:r>
      <w:r w:rsidR="00B279D6">
        <w:rPr>
          <w:rFonts w:ascii="Arial" w:eastAsia="Arial" w:hAnsi="Arial" w:cs="Arial"/>
          <w:sz w:val="24"/>
          <w:szCs w:val="24"/>
          <w:lang w:val="es-UY"/>
        </w:rPr>
        <w:t xml:space="preserve"> una muestra representativa de Montevideo, </w:t>
      </w:r>
      <w:r w:rsidR="00A60EA6">
        <w:rPr>
          <w:rFonts w:ascii="Arial" w:eastAsia="Arial" w:hAnsi="Arial" w:cs="Arial"/>
          <w:sz w:val="24"/>
          <w:szCs w:val="24"/>
          <w:lang w:val="es-UY"/>
        </w:rPr>
        <w:t>este estudio</w:t>
      </w:r>
      <w:r w:rsidRPr="00AE52A4">
        <w:rPr>
          <w:rFonts w:ascii="Arial" w:eastAsia="Arial" w:hAnsi="Arial" w:cs="Arial"/>
          <w:sz w:val="24"/>
          <w:szCs w:val="24"/>
          <w:lang w:val="es-UY"/>
        </w:rPr>
        <w:t xml:space="preserve"> </w:t>
      </w:r>
      <w:r w:rsidR="00A60EA6">
        <w:rPr>
          <w:rFonts w:ascii="Arial" w:eastAsia="Arial" w:hAnsi="Arial" w:cs="Arial"/>
          <w:sz w:val="24"/>
          <w:szCs w:val="24"/>
          <w:lang w:val="es-UY"/>
        </w:rPr>
        <w:t xml:space="preserve">procuró </w:t>
      </w:r>
      <w:r w:rsidRPr="00AE52A4">
        <w:rPr>
          <w:rFonts w:ascii="Arial" w:eastAsia="Arial" w:hAnsi="Arial" w:cs="Arial"/>
          <w:sz w:val="24"/>
          <w:szCs w:val="24"/>
          <w:lang w:val="es-UY"/>
        </w:rPr>
        <w:t>explora sus propiedades psicométricas</w:t>
      </w:r>
      <w:r w:rsidR="00A60EA6">
        <w:rPr>
          <w:rFonts w:ascii="Arial" w:eastAsia="Arial" w:hAnsi="Arial" w:cs="Arial"/>
          <w:sz w:val="24"/>
          <w:szCs w:val="24"/>
          <w:lang w:val="es-UY"/>
        </w:rPr>
        <w:t xml:space="preserve">, </w:t>
      </w:r>
      <w:r w:rsidRPr="00AE52A4">
        <w:rPr>
          <w:rFonts w:ascii="Arial" w:eastAsia="Arial" w:hAnsi="Arial" w:cs="Arial"/>
          <w:sz w:val="24"/>
          <w:szCs w:val="24"/>
          <w:lang w:val="es-UY"/>
        </w:rPr>
        <w:t>establecer sus baremos poblacionales</w:t>
      </w:r>
      <w:r w:rsidR="00A60EA6">
        <w:rPr>
          <w:rFonts w:ascii="Arial" w:eastAsia="Arial" w:hAnsi="Arial" w:cs="Arial"/>
          <w:sz w:val="24"/>
          <w:szCs w:val="24"/>
          <w:lang w:val="es-UY"/>
        </w:rPr>
        <w:t xml:space="preserve">, </w:t>
      </w:r>
      <w:r w:rsidRPr="00AE52A4">
        <w:rPr>
          <w:rFonts w:ascii="Arial" w:eastAsia="Arial" w:hAnsi="Arial" w:cs="Arial"/>
          <w:sz w:val="24"/>
          <w:szCs w:val="24"/>
          <w:lang w:val="es-UY"/>
        </w:rPr>
        <w:t xml:space="preserve">explorar </w:t>
      </w:r>
      <w:r w:rsidR="00455BAF">
        <w:rPr>
          <w:rFonts w:ascii="Arial" w:eastAsia="Arial" w:hAnsi="Arial" w:cs="Arial"/>
          <w:sz w:val="24"/>
          <w:szCs w:val="24"/>
          <w:lang w:val="es-UY"/>
        </w:rPr>
        <w:t>su</w:t>
      </w:r>
      <w:r w:rsidRPr="00AE52A4">
        <w:rPr>
          <w:rFonts w:ascii="Arial" w:eastAsia="Arial" w:hAnsi="Arial" w:cs="Arial"/>
          <w:sz w:val="24"/>
          <w:szCs w:val="24"/>
          <w:lang w:val="es-UY"/>
        </w:rPr>
        <w:t xml:space="preserve"> distribución </w:t>
      </w:r>
      <w:r w:rsidR="00A60EA6">
        <w:rPr>
          <w:rFonts w:ascii="Arial" w:eastAsia="Arial" w:hAnsi="Arial" w:cs="Arial"/>
          <w:sz w:val="24"/>
          <w:szCs w:val="24"/>
          <w:lang w:val="es-UY"/>
        </w:rPr>
        <w:t xml:space="preserve">territorial </w:t>
      </w:r>
      <w:r w:rsidRPr="00AE52A4">
        <w:rPr>
          <w:rFonts w:ascii="Arial" w:eastAsia="Arial" w:hAnsi="Arial" w:cs="Arial"/>
          <w:sz w:val="24"/>
          <w:szCs w:val="24"/>
          <w:lang w:val="es-UY"/>
        </w:rPr>
        <w:t xml:space="preserve">y evaluar las asociaciones de la CCF con </w:t>
      </w:r>
      <w:r w:rsidR="00455BAF">
        <w:rPr>
          <w:rFonts w:ascii="Arial" w:eastAsia="Arial" w:hAnsi="Arial" w:cs="Arial"/>
          <w:sz w:val="24"/>
          <w:szCs w:val="24"/>
          <w:lang w:val="es-UY"/>
        </w:rPr>
        <w:t xml:space="preserve">el </w:t>
      </w:r>
      <w:r w:rsidRPr="00AE52A4">
        <w:rPr>
          <w:rFonts w:ascii="Arial" w:eastAsia="Arial" w:hAnsi="Arial" w:cs="Arial"/>
          <w:sz w:val="24"/>
          <w:szCs w:val="24"/>
          <w:lang w:val="es-UY"/>
        </w:rPr>
        <w:t>consumo de sustancias psico-activas.</w:t>
      </w:r>
      <w:r w:rsidR="00A60EA6">
        <w:rPr>
          <w:rFonts w:ascii="Arial" w:eastAsia="Arial" w:hAnsi="Arial" w:cs="Arial"/>
          <w:sz w:val="24"/>
          <w:szCs w:val="24"/>
          <w:lang w:val="es-UY"/>
        </w:rPr>
        <w:t xml:space="preserve"> </w:t>
      </w:r>
      <w:r w:rsidR="00455BAF">
        <w:rPr>
          <w:rFonts w:ascii="Arial" w:eastAsia="Arial" w:hAnsi="Arial" w:cs="Arial"/>
          <w:sz w:val="24"/>
          <w:szCs w:val="24"/>
          <w:lang w:val="es-UY"/>
        </w:rPr>
        <w:t>La</w:t>
      </w:r>
      <w:r w:rsidR="00A60EA6">
        <w:rPr>
          <w:rFonts w:ascii="Arial" w:eastAsia="Arial" w:hAnsi="Arial" w:cs="Arial"/>
          <w:sz w:val="24"/>
          <w:szCs w:val="24"/>
          <w:lang w:val="es-UY"/>
        </w:rPr>
        <w:t xml:space="preserve"> solución de dos factores </w:t>
      </w:r>
      <w:r w:rsidR="00887DFE">
        <w:rPr>
          <w:rFonts w:ascii="Arial" w:eastAsia="Arial" w:hAnsi="Arial" w:cs="Arial"/>
          <w:sz w:val="24"/>
          <w:szCs w:val="24"/>
          <w:lang w:val="es-UY"/>
        </w:rPr>
        <w:t xml:space="preserve">provee mejor ajuste, con </w:t>
      </w:r>
      <w:r w:rsidR="000F58B6">
        <w:rPr>
          <w:rFonts w:ascii="Arial" w:eastAsia="Arial" w:hAnsi="Arial" w:cs="Arial"/>
          <w:sz w:val="24"/>
          <w:szCs w:val="24"/>
          <w:lang w:val="es-UY"/>
        </w:rPr>
        <w:t>adecuada confiabilidad</w:t>
      </w:r>
      <w:r w:rsidR="00A60EA6">
        <w:rPr>
          <w:rFonts w:ascii="Arial" w:eastAsia="Arial" w:hAnsi="Arial" w:cs="Arial"/>
          <w:sz w:val="24"/>
          <w:szCs w:val="24"/>
          <w:lang w:val="es-UY"/>
        </w:rPr>
        <w:t xml:space="preserve">. </w:t>
      </w:r>
      <w:r w:rsidR="00455BAF">
        <w:rPr>
          <w:rFonts w:ascii="Arial" w:eastAsia="Arial" w:hAnsi="Arial" w:cs="Arial"/>
          <w:sz w:val="24"/>
          <w:szCs w:val="24"/>
          <w:lang w:val="es-UY"/>
        </w:rPr>
        <w:t>L</w:t>
      </w:r>
      <w:r w:rsidR="00A60EA6">
        <w:rPr>
          <w:rFonts w:ascii="Arial" w:eastAsia="Arial" w:hAnsi="Arial" w:cs="Arial"/>
          <w:sz w:val="24"/>
          <w:szCs w:val="24"/>
          <w:lang w:val="es-UY"/>
        </w:rPr>
        <w:t xml:space="preserve">as </w:t>
      </w:r>
      <w:r w:rsidR="00455BAF">
        <w:rPr>
          <w:rFonts w:ascii="Arial" w:eastAsia="Arial" w:hAnsi="Arial" w:cs="Arial"/>
          <w:sz w:val="24"/>
          <w:szCs w:val="24"/>
          <w:lang w:val="es-UY"/>
        </w:rPr>
        <w:t>CCF</w:t>
      </w:r>
      <w:r w:rsidR="00A60EA6">
        <w:rPr>
          <w:rFonts w:ascii="Arial" w:eastAsia="Arial" w:hAnsi="Arial" w:cs="Arial"/>
          <w:sz w:val="24"/>
          <w:szCs w:val="24"/>
          <w:lang w:val="es-UY"/>
        </w:rPr>
        <w:t xml:space="preserve"> presentan diferencias significativas según edad y sexo por lo que se ofrecen baremos específicos. Asimismo, encontramos evidencia mixta sobre </w:t>
      </w:r>
      <w:r w:rsidR="00455BAF">
        <w:rPr>
          <w:rFonts w:ascii="Arial" w:eastAsia="Arial" w:hAnsi="Arial" w:cs="Arial"/>
          <w:sz w:val="24"/>
          <w:szCs w:val="24"/>
          <w:lang w:val="es-UY"/>
        </w:rPr>
        <w:t>su</w:t>
      </w:r>
      <w:r w:rsidR="00A60EA6">
        <w:rPr>
          <w:rFonts w:ascii="Arial" w:eastAsia="Arial" w:hAnsi="Arial" w:cs="Arial"/>
          <w:sz w:val="24"/>
          <w:szCs w:val="24"/>
          <w:lang w:val="es-UY"/>
        </w:rPr>
        <w:t xml:space="preserve"> distribución territorial y un efecto pequeño sobre el consumo de algunas sustancias psicoactivas. Se discuten los resultados en función </w:t>
      </w:r>
      <w:r w:rsidR="00887DFE">
        <w:rPr>
          <w:rFonts w:ascii="Arial" w:eastAsia="Arial" w:hAnsi="Arial" w:cs="Arial"/>
          <w:sz w:val="24"/>
          <w:szCs w:val="24"/>
          <w:lang w:val="es-UY"/>
        </w:rPr>
        <w:t>del rol de la CCF para explicar el comportamiento con consecuencias intertemporales.</w:t>
      </w:r>
    </w:p>
    <w:p w14:paraId="62A7A04E" w14:textId="77777777" w:rsidR="00BD409A" w:rsidRPr="00AE52A4" w:rsidRDefault="00BD409A" w:rsidP="00887DFE">
      <w:pPr>
        <w:spacing w:line="240" w:lineRule="auto"/>
        <w:jc w:val="both"/>
        <w:rPr>
          <w:rFonts w:ascii="Arial" w:eastAsia="Arial" w:hAnsi="Arial" w:cs="Arial"/>
          <w:sz w:val="24"/>
          <w:szCs w:val="24"/>
          <w:lang w:val="es-UY"/>
        </w:rPr>
      </w:pPr>
    </w:p>
    <w:p w14:paraId="53BDB57D" w14:textId="61B3F7EF" w:rsidR="00BD409A" w:rsidRPr="00AE52A4" w:rsidRDefault="00BD409A" w:rsidP="00731076">
      <w:pPr>
        <w:spacing w:line="240" w:lineRule="auto"/>
        <w:ind w:firstLine="709"/>
        <w:jc w:val="both"/>
        <w:rPr>
          <w:rFonts w:ascii="Arial" w:eastAsia="Arial" w:hAnsi="Arial" w:cs="Arial"/>
          <w:sz w:val="24"/>
          <w:szCs w:val="24"/>
          <w:lang w:val="es-UY"/>
        </w:rPr>
      </w:pPr>
      <w:r w:rsidRPr="00AE52A4">
        <w:rPr>
          <w:rFonts w:ascii="Arial" w:eastAsia="Arial" w:hAnsi="Arial" w:cs="Arial"/>
          <w:i/>
          <w:sz w:val="24"/>
          <w:szCs w:val="24"/>
          <w:lang w:val="es-UY"/>
        </w:rPr>
        <w:t>Palabras Claves:</w:t>
      </w:r>
      <w:r w:rsidRPr="00AE52A4">
        <w:rPr>
          <w:rFonts w:ascii="Arial" w:eastAsia="Arial" w:hAnsi="Arial" w:cs="Arial"/>
          <w:sz w:val="24"/>
          <w:szCs w:val="24"/>
          <w:lang w:val="es-UY"/>
        </w:rPr>
        <w:t xml:space="preserve"> Consideración de las consecuencias futuras; propiedades psicométricas; baremo; </w:t>
      </w:r>
      <w:r w:rsidR="00887DFE">
        <w:rPr>
          <w:rFonts w:ascii="Arial" w:eastAsia="Arial" w:hAnsi="Arial" w:cs="Arial"/>
          <w:sz w:val="24"/>
          <w:szCs w:val="24"/>
          <w:lang w:val="es-UY"/>
        </w:rPr>
        <w:t>estatus socioeconómico</w:t>
      </w:r>
      <w:r w:rsidRPr="00AE52A4">
        <w:rPr>
          <w:rFonts w:ascii="Arial" w:eastAsia="Arial" w:hAnsi="Arial" w:cs="Arial"/>
          <w:sz w:val="24"/>
          <w:szCs w:val="24"/>
          <w:lang w:val="es-UY"/>
        </w:rPr>
        <w:t xml:space="preserve">; </w:t>
      </w:r>
      <w:r w:rsidR="00887DFE">
        <w:rPr>
          <w:rFonts w:ascii="Arial" w:eastAsia="Arial" w:hAnsi="Arial" w:cs="Arial"/>
          <w:sz w:val="24"/>
          <w:szCs w:val="24"/>
          <w:lang w:val="es-UY"/>
        </w:rPr>
        <w:t>consumo de sustancias</w:t>
      </w:r>
      <w:r w:rsidRPr="00AE52A4">
        <w:rPr>
          <w:rFonts w:ascii="Arial" w:eastAsia="Arial" w:hAnsi="Arial" w:cs="Arial"/>
          <w:sz w:val="24"/>
          <w:szCs w:val="24"/>
          <w:lang w:val="es-UY"/>
        </w:rPr>
        <w:t>.</w:t>
      </w:r>
    </w:p>
    <w:p w14:paraId="2FE85E7E" w14:textId="23B6DDE6" w:rsidR="00BD409A" w:rsidRDefault="00BD409A" w:rsidP="00731076">
      <w:pPr>
        <w:spacing w:line="240" w:lineRule="auto"/>
        <w:ind w:firstLine="709"/>
        <w:jc w:val="both"/>
        <w:rPr>
          <w:rFonts w:ascii="Arial" w:eastAsia="Arial" w:hAnsi="Arial" w:cs="Arial"/>
          <w:sz w:val="24"/>
          <w:szCs w:val="24"/>
          <w:lang w:val="es-UY"/>
        </w:rPr>
      </w:pPr>
    </w:p>
    <w:p w14:paraId="396B8A23" w14:textId="165A4BD1" w:rsidR="00887DFE" w:rsidRPr="000F58B6" w:rsidRDefault="00887DFE" w:rsidP="000F58B6">
      <w:pPr>
        <w:spacing w:line="240" w:lineRule="auto"/>
        <w:jc w:val="center"/>
        <w:rPr>
          <w:rFonts w:ascii="Arial" w:eastAsia="Arial" w:hAnsi="Arial" w:cs="Arial"/>
          <w:b/>
          <w:bCs/>
          <w:sz w:val="24"/>
          <w:szCs w:val="24"/>
          <w:lang w:val="en-US"/>
        </w:rPr>
      </w:pPr>
      <w:r w:rsidRPr="000F58B6">
        <w:rPr>
          <w:rFonts w:ascii="Arial" w:eastAsia="Arial" w:hAnsi="Arial" w:cs="Arial"/>
          <w:b/>
          <w:bCs/>
          <w:sz w:val="24"/>
          <w:szCs w:val="24"/>
          <w:lang w:val="en-US"/>
        </w:rPr>
        <w:t>Abstract</w:t>
      </w:r>
    </w:p>
    <w:p w14:paraId="511901AC" w14:textId="3496C6B5" w:rsidR="00455BAF" w:rsidRPr="00455BAF" w:rsidRDefault="00455BAF" w:rsidP="009D0DD3">
      <w:pPr>
        <w:spacing w:line="240" w:lineRule="auto"/>
        <w:jc w:val="both"/>
        <w:rPr>
          <w:rFonts w:ascii="Arial" w:hAnsi="Arial" w:cs="Arial"/>
          <w:sz w:val="24"/>
          <w:szCs w:val="24"/>
          <w:highlight w:val="yellow"/>
        </w:rPr>
      </w:pPr>
      <w:r w:rsidRPr="0008108E">
        <w:rPr>
          <w:rStyle w:val="tlid-translation"/>
          <w:rFonts w:ascii="Arial" w:hAnsi="Arial" w:cs="Arial"/>
          <w:sz w:val="24"/>
          <w:szCs w:val="24"/>
          <w:lang w:val="en"/>
        </w:rPr>
        <w:t xml:space="preserve">The Consideration of Future Consequences (CFC) scale assesses the degree to which people are influenced by the immediate or distant consequences of their behaviors. In a representative sample of Montevideo, the aim of this study is to explore its psychometric properties, establish its population scales, explore its territorial distribution and evaluate the associations of the CFC with the consumption of drugs. The two-factor solution provides better fit, with adequate reliability. The CFC present significant differences according to age and sex, for which specific scales are offered. Likewise, we found mixed evidence on their territorial distribution and a small effect </w:t>
      </w:r>
      <w:r w:rsidR="000F58B6">
        <w:rPr>
          <w:rStyle w:val="tlid-translation"/>
          <w:rFonts w:ascii="Arial" w:hAnsi="Arial" w:cs="Arial"/>
          <w:sz w:val="24"/>
          <w:szCs w:val="24"/>
          <w:lang w:val="en"/>
        </w:rPr>
        <w:t xml:space="preserve">size </w:t>
      </w:r>
      <w:r w:rsidRPr="0008108E">
        <w:rPr>
          <w:rStyle w:val="tlid-translation"/>
          <w:rFonts w:ascii="Arial" w:hAnsi="Arial" w:cs="Arial"/>
          <w:sz w:val="24"/>
          <w:szCs w:val="24"/>
          <w:lang w:val="en"/>
        </w:rPr>
        <w:t xml:space="preserve">on the consumption of some </w:t>
      </w:r>
      <w:r w:rsidR="000F58B6">
        <w:rPr>
          <w:rStyle w:val="tlid-translation"/>
          <w:rFonts w:ascii="Arial" w:hAnsi="Arial" w:cs="Arial"/>
          <w:sz w:val="24"/>
          <w:szCs w:val="24"/>
          <w:lang w:val="en"/>
        </w:rPr>
        <w:t>substances</w:t>
      </w:r>
      <w:r w:rsidRPr="0008108E">
        <w:rPr>
          <w:rStyle w:val="tlid-translation"/>
          <w:rFonts w:ascii="Arial" w:hAnsi="Arial" w:cs="Arial"/>
          <w:sz w:val="24"/>
          <w:szCs w:val="24"/>
          <w:lang w:val="en"/>
        </w:rPr>
        <w:t>. Results are discussed based on the role of the C</w:t>
      </w:r>
      <w:r>
        <w:rPr>
          <w:rStyle w:val="tlid-translation"/>
          <w:rFonts w:ascii="Arial" w:hAnsi="Arial" w:cs="Arial"/>
          <w:sz w:val="24"/>
          <w:szCs w:val="24"/>
          <w:lang w:val="en"/>
        </w:rPr>
        <w:t>FC</w:t>
      </w:r>
      <w:r w:rsidRPr="0008108E">
        <w:rPr>
          <w:rStyle w:val="tlid-translation"/>
          <w:rFonts w:ascii="Arial" w:hAnsi="Arial" w:cs="Arial"/>
          <w:sz w:val="24"/>
          <w:szCs w:val="24"/>
          <w:lang w:val="en"/>
        </w:rPr>
        <w:t xml:space="preserve"> to explain behavior with intertemporal consequences.</w:t>
      </w:r>
    </w:p>
    <w:p w14:paraId="4AA36128" w14:textId="60C523ED" w:rsidR="00BD409A" w:rsidRPr="00AE52A4" w:rsidRDefault="00BD409A" w:rsidP="00731076">
      <w:pPr>
        <w:spacing w:line="240" w:lineRule="auto"/>
        <w:jc w:val="both"/>
        <w:rPr>
          <w:rFonts w:ascii="Arial" w:eastAsia="Arial" w:hAnsi="Arial" w:cs="Arial"/>
          <w:sz w:val="24"/>
          <w:szCs w:val="24"/>
        </w:rPr>
      </w:pPr>
      <w:r w:rsidRPr="00455BAF">
        <w:rPr>
          <w:rFonts w:ascii="Arial" w:hAnsi="Arial" w:cs="Arial"/>
          <w:i/>
          <w:iCs/>
          <w:sz w:val="24"/>
          <w:szCs w:val="24"/>
        </w:rPr>
        <w:t xml:space="preserve">Key Words: </w:t>
      </w:r>
      <w:r w:rsidRPr="00455BAF">
        <w:rPr>
          <w:rFonts w:ascii="Arial" w:hAnsi="Arial" w:cs="Arial"/>
          <w:sz w:val="24"/>
          <w:szCs w:val="24"/>
        </w:rPr>
        <w:t xml:space="preserve">Consideration of future consequences; psychometric properties; scale </w:t>
      </w:r>
      <w:r w:rsidR="00887DFE" w:rsidRPr="00455BAF">
        <w:rPr>
          <w:rFonts w:ascii="Arial" w:hAnsi="Arial" w:cs="Arial"/>
          <w:sz w:val="24"/>
          <w:szCs w:val="24"/>
        </w:rPr>
        <w:t>scores, socioeconomic</w:t>
      </w:r>
      <w:r w:rsidR="00887DFE" w:rsidRPr="00887DFE">
        <w:rPr>
          <w:rFonts w:ascii="Arial" w:hAnsi="Arial" w:cs="Arial"/>
          <w:sz w:val="24"/>
          <w:szCs w:val="24"/>
        </w:rPr>
        <w:t xml:space="preserve"> status</w:t>
      </w:r>
      <w:r w:rsidRPr="00887DFE">
        <w:rPr>
          <w:rFonts w:ascii="Arial" w:hAnsi="Arial" w:cs="Arial"/>
          <w:sz w:val="24"/>
          <w:szCs w:val="24"/>
        </w:rPr>
        <w:t xml:space="preserve">; </w:t>
      </w:r>
      <w:r w:rsidR="00887DFE" w:rsidRPr="00887DFE">
        <w:rPr>
          <w:rFonts w:ascii="Arial" w:hAnsi="Arial" w:cs="Arial"/>
          <w:sz w:val="24"/>
          <w:szCs w:val="24"/>
        </w:rPr>
        <w:t>substance use</w:t>
      </w:r>
      <w:r w:rsidRPr="00887DFE">
        <w:rPr>
          <w:rFonts w:ascii="Arial" w:hAnsi="Arial" w:cs="Arial"/>
          <w:sz w:val="24"/>
          <w:szCs w:val="24"/>
        </w:rPr>
        <w:t>.</w:t>
      </w:r>
      <w:r w:rsidRPr="00AE52A4">
        <w:rPr>
          <w:rFonts w:ascii="Arial" w:hAnsi="Arial" w:cs="Arial"/>
          <w:sz w:val="24"/>
          <w:szCs w:val="24"/>
        </w:rPr>
        <w:br w:type="page"/>
      </w:r>
    </w:p>
    <w:p w14:paraId="78D30F13" w14:textId="77777777" w:rsidR="00BD409A" w:rsidRPr="00AE52A4" w:rsidRDefault="00BD409A" w:rsidP="00731076">
      <w:pPr>
        <w:spacing w:line="240" w:lineRule="auto"/>
        <w:jc w:val="both"/>
        <w:rPr>
          <w:rFonts w:ascii="Arial" w:eastAsia="Arial" w:hAnsi="Arial" w:cs="Arial"/>
          <w:b/>
          <w:sz w:val="24"/>
          <w:szCs w:val="24"/>
          <w:lang w:val="es-UY"/>
        </w:rPr>
      </w:pPr>
      <w:r w:rsidRPr="00AE52A4">
        <w:rPr>
          <w:rFonts w:ascii="Arial" w:eastAsia="Arial" w:hAnsi="Arial" w:cs="Arial"/>
          <w:b/>
          <w:sz w:val="24"/>
          <w:szCs w:val="24"/>
          <w:lang w:val="es-UY"/>
        </w:rPr>
        <w:lastRenderedPageBreak/>
        <w:t>Introducción</w:t>
      </w:r>
    </w:p>
    <w:p w14:paraId="53F63A0C" w14:textId="77777777" w:rsidR="00BD409A" w:rsidRPr="00AE52A4" w:rsidRDefault="00BD409A" w:rsidP="00731076">
      <w:pPr>
        <w:spacing w:line="240" w:lineRule="auto"/>
        <w:ind w:firstLine="709"/>
        <w:jc w:val="both"/>
        <w:rPr>
          <w:rFonts w:ascii="Arial" w:eastAsia="Arial" w:hAnsi="Arial" w:cs="Arial"/>
          <w:sz w:val="24"/>
          <w:szCs w:val="24"/>
          <w:highlight w:val="white"/>
          <w:lang w:val="es-UY"/>
        </w:rPr>
      </w:pPr>
      <w:r w:rsidRPr="00AE52A4">
        <w:rPr>
          <w:rFonts w:ascii="Arial" w:eastAsia="Arial" w:hAnsi="Arial" w:cs="Arial"/>
          <w:sz w:val="24"/>
          <w:szCs w:val="24"/>
          <w:lang w:val="es-UY"/>
        </w:rPr>
        <w:t>La Consideración de las Consecuencias Futuras (en adelante CCF) es un rasgo de personalidad mediante la cual se puede conocer en qué forma las personas sopesan y son influenciadas por las consecuencias inmediatas y las distantes de sus acciones para tomar decisiones. A través de este constructo, se puede explicar cómo las personas resuelven los dilemas temporales de su diario vivir. Por ejemplo, las personas deben sopesar los resultados de consumir sustancias psicoactivas (patrón conductual asociado a beneficios inmediatos placenteros, pero con consecuencias distantes negativas para su salud) versus tener hábitos de vida saludables, como comer saludablemente o realizar actividad física diariamente (acciones con resultados distantes asociados a mayor esperanza de vida y salud gene</w:t>
      </w:r>
      <w:r w:rsidRPr="00AE52A4">
        <w:rPr>
          <w:rFonts w:ascii="Arial" w:eastAsia="Arial" w:hAnsi="Arial" w:cs="Arial"/>
          <w:sz w:val="24"/>
          <w:szCs w:val="24"/>
          <w:highlight w:val="white"/>
          <w:lang w:val="es-UY"/>
        </w:rPr>
        <w:t>ral).</w:t>
      </w:r>
    </w:p>
    <w:p w14:paraId="281DB8CD" w14:textId="77777777" w:rsidR="00BD409A" w:rsidRPr="00AE52A4" w:rsidRDefault="00BD409A" w:rsidP="00731076">
      <w:pPr>
        <w:spacing w:line="240" w:lineRule="auto"/>
        <w:ind w:firstLine="709"/>
        <w:jc w:val="both"/>
        <w:rPr>
          <w:rFonts w:ascii="Arial" w:eastAsia="Arial" w:hAnsi="Arial" w:cs="Arial"/>
          <w:sz w:val="24"/>
          <w:szCs w:val="24"/>
          <w:lang w:val="es-UY"/>
        </w:rPr>
      </w:pPr>
      <w:r w:rsidRPr="00AE52A4">
        <w:rPr>
          <w:rFonts w:ascii="Arial" w:eastAsia="Arial" w:hAnsi="Arial" w:cs="Arial"/>
          <w:sz w:val="24"/>
          <w:szCs w:val="24"/>
          <w:highlight w:val="white"/>
          <w:lang w:val="es-UY"/>
        </w:rPr>
        <w:t xml:space="preserve">La CCF es evaluada mediante la Escala </w:t>
      </w:r>
      <w:r w:rsidRPr="00AE52A4">
        <w:rPr>
          <w:rFonts w:ascii="Arial" w:eastAsia="Arial" w:hAnsi="Arial" w:cs="Arial"/>
          <w:sz w:val="24"/>
          <w:szCs w:val="24"/>
          <w:lang w:val="es-UY"/>
        </w:rPr>
        <w:t xml:space="preserve">Consideración de las Consecuencias Futuras (ECCF). Este instrumento fue propuesto por </w:t>
      </w:r>
      <w:r w:rsidRPr="00AE52A4">
        <w:rPr>
          <w:rFonts w:ascii="Arial" w:eastAsia="Arial" w:hAnsi="Arial" w:cs="Arial"/>
          <w:sz w:val="24"/>
          <w:szCs w:val="24"/>
        </w:rPr>
        <w:fldChar w:fldCharType="begin" w:fldLock="1"/>
      </w:r>
      <w:r w:rsidRPr="00AE52A4">
        <w:rPr>
          <w:rFonts w:ascii="Arial" w:eastAsia="Arial" w:hAnsi="Arial" w:cs="Arial"/>
          <w:sz w:val="24"/>
          <w:szCs w:val="24"/>
          <w:lang w:val="es-UY"/>
        </w:rPr>
        <w:instrText>ADDIN CSL_CITATION {"citationItems":[{"id":"ITEM-1","itemData":{"DOI":"10.1037/0022-3514.66.4.742","ISBN":"0022-3514\\n1939-1315","ISSN":"1939-1315","PMID":"9270","abstract":"Individual difference measure called \"consideration of future consequences (CFC) predicts health and environment behaviors","author":[{"dropping-particle":"","family":"Strathman","given":"Alan","non-dropping-particle":"","parse-names":false,"suffix":""},{"dropping-particle":"","family":"Gleicher","given":"Faith","non-dropping-particle":"","parse-names":false,"suffix":""},{"dropping-particle":"","family":"Boninger","given":"David S.","non-dropping-particle":"","parse-names":false,"suffix":""},{"dropping-particle":"","family":"Edwards","given":"C. Scott","non-dropping-particle":"","parse-names":false,"suffix":""}],"container-title":"Journal of Personality and Social Psychology","id":"ITEM-1","issue":"4","issued":{"date-parts":[["1994"]]},"note":"Aclaraciones sobre PTF y OF\n\nTypically, future orientation has been considered as a general preoccupation with the future or future events. This idea is re- flected in researchers' definitions of future orientation and fu- ture time perspective. For instance, Kastenbaum (1961) defined future time perspective (FTP) as &amp;quot;a general concern for future events&amp;quot; (p. 204). Wallace (1956) described differences in FTP as &amp;quot;the length of the future time span over which one conceptu- alizes personalized future events&amp;quot; (p. 240).","page":"742-752","title":"The consideration of future consequences: Weighing immediate and distant outcomes of behavior.","type":"article-journal","volume":"66"},"uris":["http://www.mendeley.com/documents/?uuid=30f840bd-072b-45a6-a914-dffa40819475"]}],"mendeley":{"formattedCitation":"(Strathman, Gleicher, Boninger, &amp; Edwards, 1994)","manualFormatting":"Strathman, Gleicher, Boninger, &amp; Edwards (1994)","plainTextFormattedCitation":"(Strathman, Gleicher, Boninger, &amp; Edwards, 1994)","previouslyFormattedCitation":"(Strathman, Gleicher, Boninger, &amp; Edwards, 1994)"},"properties":{"noteIndex":0},"schema":"https://github.com/citation-style-language/schema/raw/master/csl-citation.json"}</w:instrText>
      </w:r>
      <w:r w:rsidRPr="00AE52A4">
        <w:rPr>
          <w:rFonts w:ascii="Arial" w:eastAsia="Arial" w:hAnsi="Arial" w:cs="Arial"/>
          <w:sz w:val="24"/>
          <w:szCs w:val="24"/>
        </w:rPr>
        <w:fldChar w:fldCharType="separate"/>
      </w:r>
      <w:r w:rsidRPr="00AE52A4">
        <w:rPr>
          <w:rFonts w:ascii="Arial" w:eastAsia="Arial" w:hAnsi="Arial" w:cs="Arial"/>
          <w:noProof/>
          <w:sz w:val="24"/>
          <w:szCs w:val="24"/>
          <w:lang w:val="es-UY"/>
        </w:rPr>
        <w:t>Strathman, Gleicher, Boninger, &amp; Edwards (1994)</w:t>
      </w:r>
      <w:r w:rsidRPr="00AE52A4">
        <w:rPr>
          <w:rFonts w:ascii="Arial" w:eastAsia="Arial" w:hAnsi="Arial" w:cs="Arial"/>
          <w:sz w:val="24"/>
          <w:szCs w:val="24"/>
        </w:rPr>
        <w:fldChar w:fldCharType="end"/>
      </w:r>
      <w:r w:rsidRPr="00AE52A4">
        <w:rPr>
          <w:rFonts w:ascii="Arial" w:eastAsia="Arial" w:hAnsi="Arial" w:cs="Arial"/>
          <w:sz w:val="24"/>
          <w:szCs w:val="24"/>
          <w:lang w:val="es-UY"/>
        </w:rPr>
        <w:t xml:space="preserve"> con 12 ítems y una estructura unifactorial. Más recientemente,  </w:t>
      </w:r>
      <w:r w:rsidRPr="00AE52A4">
        <w:rPr>
          <w:rFonts w:ascii="Arial" w:eastAsia="Arial" w:hAnsi="Arial" w:cs="Arial"/>
          <w:sz w:val="24"/>
          <w:szCs w:val="24"/>
        </w:rPr>
        <w:fldChar w:fldCharType="begin" w:fldLock="1"/>
      </w:r>
      <w:r w:rsidRPr="00AE52A4">
        <w:rPr>
          <w:rFonts w:ascii="Arial" w:eastAsia="Arial" w:hAnsi="Arial" w:cs="Arial"/>
          <w:sz w:val="24"/>
          <w:szCs w:val="24"/>
          <w:lang w:val="es-UY"/>
        </w:rPr>
        <w:instrText>ADDIN CSL_CITATION {"citationItems":[{"id":"ITEM-1","itemData":{"DOI":"10.1016/j.paid.2008.02.011","ISBN":"0191-8869","ISSN":"01918869","abstract":"We examine how individual differences in the consideration of future consequences (Strathman et al., 1994) impact trait self-control, and temporal discounting under conditions of ego-depletion. Study 1 (N = 986) reveals that the CFC scale contains two underlying factors, which can be labeled the CFC-Immediate (CFC-I) and CFC-Future (CFC-F) sub-scales. Supporting the distinction between the two sub-scales, Study 2 (N = 147) shows that lower levels of trait self-control are best predicted by higher levels of CFC-I (not CFC-F), while Study 3 (N = 104) reveals that ego-depletion leads to more temporal discounting only among those high in CFC-I. Future use of the two sub-scales is encouraged. © 2008 Elsevier Ltd. All rights reserved.","author":[{"dropping-particle":"","family":"Joireman","given":"Jeff","non-dropping-particle":"","parse-names":false,"suffix":""},{"dropping-particle":"","family":"Balliet","given":"Daniel","non-dropping-particle":"","parse-names":false,"suffix":""},{"dropping-particle":"","family":"Sprott","given":"David","non-dropping-particle":"","parse-names":false,"suffix":""},{"dropping-particle":"","family":"Spangenberg","given":"Eric","non-dropping-particle":"","parse-names":false,"suffix":""},{"dropping-particle":"","family":"Schultz","given":"Jenifer","non-dropping-particle":"","parse-names":false,"suffix":""}],"container-title":"Personality and Individual Differences","id":"ITEM-1","issue":"1","issued":{"date-parts":[["2008"]]},"page":"15-21","title":"Consideration of future consequences, ego-depletion, and self-control: Support for distinguishing between CFC-Immediate and CFC-Future sub-scales","type":"article-journal","volume":"45"},"uris":["http://www.mendeley.com/documents/?uuid=4acbe58b-ee77-411d-805c-e86cae1f1477"]}],"mendeley":{"formattedCitation":"(Joireman, Balliet, Sprott, Spangenberg, &amp; Schultz, 2008)","manualFormatting":"Joireman, Balliet, Sprott, Spangenberg, &amp; Schultz (2008)","plainTextFormattedCitation":"(Joireman, Balliet, Sprott, Spangenberg, &amp; Schultz, 2008)","previouslyFormattedCitation":"(Joireman, Balliet, Sprott, Spangenberg, &amp; Schultz, 2008)"},"properties":{"noteIndex":0},"schema":"https://github.com/citation-style-language/schema/raw/master/csl-citation.json"}</w:instrText>
      </w:r>
      <w:r w:rsidRPr="00AE52A4">
        <w:rPr>
          <w:rFonts w:ascii="Arial" w:eastAsia="Arial" w:hAnsi="Arial" w:cs="Arial"/>
          <w:sz w:val="24"/>
          <w:szCs w:val="24"/>
        </w:rPr>
        <w:fldChar w:fldCharType="separate"/>
      </w:r>
      <w:r w:rsidRPr="00AE52A4">
        <w:rPr>
          <w:rFonts w:ascii="Arial" w:eastAsia="Arial" w:hAnsi="Arial" w:cs="Arial"/>
          <w:noProof/>
          <w:sz w:val="24"/>
          <w:szCs w:val="24"/>
          <w:lang w:val="es-UY"/>
        </w:rPr>
        <w:t>Joireman, Balliet, Sprott, Spangenberg, &amp; Schultz (2008)</w:t>
      </w:r>
      <w:r w:rsidRPr="00AE52A4">
        <w:rPr>
          <w:rFonts w:ascii="Arial" w:eastAsia="Arial" w:hAnsi="Arial" w:cs="Arial"/>
          <w:sz w:val="24"/>
          <w:szCs w:val="24"/>
        </w:rPr>
        <w:fldChar w:fldCharType="end"/>
      </w:r>
      <w:r w:rsidRPr="00AE52A4">
        <w:rPr>
          <w:rFonts w:ascii="Arial" w:eastAsia="Arial" w:hAnsi="Arial" w:cs="Arial"/>
          <w:sz w:val="24"/>
          <w:szCs w:val="24"/>
          <w:lang w:val="es-UY"/>
        </w:rPr>
        <w:t xml:space="preserve"> propusieron que la ECCF se compone de dos subescalas, una de consideración de las consecuencias inmediatas (CCF-I) y otra de consideración de las consecuencias futuras (CCF-F). En esta línea, </w:t>
      </w:r>
      <w:r w:rsidRPr="00AE52A4">
        <w:rPr>
          <w:rFonts w:ascii="Arial" w:eastAsia="Arial" w:hAnsi="Arial" w:cs="Arial"/>
          <w:sz w:val="24"/>
          <w:szCs w:val="24"/>
        </w:rPr>
        <w:fldChar w:fldCharType="begin" w:fldLock="1"/>
      </w:r>
      <w:r w:rsidRPr="00AE52A4">
        <w:rPr>
          <w:rFonts w:ascii="Arial" w:eastAsia="Arial" w:hAnsi="Arial" w:cs="Arial"/>
          <w:sz w:val="24"/>
          <w:szCs w:val="24"/>
          <w:lang w:val="es-UY"/>
        </w:rPr>
        <w:instrText xml:space="preserve">ADDIN CSL_CITATION {"citationItems":[{"id":"ITEM-1","itemData":{"DOI":"10.1177/0146167212449362","ISBN":"0146-1672","ISSN":"0146-1672","PMID":"22833533","abstract":"The authors extended research linking individual differences in consideration of future consequences (CFC) with health behaviors by (a) testing whether individual differences in regulatory focus would mediate that link and (b) highlighting the value of a revised, two-factor CFC-14 scale with subscales assessing concern with future consequences (CFC-Future) and concern with immediate consequences (CFC-Immediate) proper. Exploratory and confirmatory factor analyses of the revised CFC-14 scale supported the presence of two highly reliable factors (CFC-Future and CFC-Immediate; </w:instrText>
      </w:r>
      <w:r w:rsidRPr="00AE52A4">
        <w:rPr>
          <w:rFonts w:ascii="Arial" w:eastAsia="Arial" w:hAnsi="Arial" w:cs="Arial"/>
          <w:sz w:val="24"/>
          <w:szCs w:val="24"/>
        </w:rPr>
        <w:instrText>α</w:instrText>
      </w:r>
      <w:r w:rsidRPr="00AE52A4">
        <w:rPr>
          <w:rFonts w:ascii="Arial" w:eastAsia="Arial" w:hAnsi="Arial" w:cs="Arial"/>
          <w:sz w:val="24"/>
          <w:szCs w:val="24"/>
          <w:lang w:val="es-UY"/>
        </w:rPr>
        <w:instrText>s from .80 to .84). Moreover, structural equation modeling showed that those high in CFC-Future engage in exercise and healthy eating because they adopt a promotion orientation. Future use of the two-factor CFC-14 scale is encouraged to shed additional light on how concern with future and concern with immediate consequences (proper) differentially impact the way people resolve a host of intertemporal dilemmas (e.g., health, financial, and environmental behavior).","author":[{"dropping-particle":"","family":"Joireman","given":"Jeff","non-dropping-particle":"","parse-names":false,"suffix":""},{"dropping-particle":"","family":"Shaffer","given":"Monte J.","non-dropping-particle":"","parse-names":false,"suffix":""},{"dropping-particle":"","family":"Balliet","given":"Daniel","non-dropping-particle":"","parse-names":false,"suffix":""},{"dropping-particle":"","family":"Strathman","given":"Alan","non-dropping-particle":"","parse-names":false,"suffix":""}],"container-title":"Personality and Social Psychology Bulletin","id":"ITEM-1","issue":"10","issued":{"date-parts":[["2012","10","25"]]},"page":"1272-1287","title":"Promotion Orientation Explains Why Future-Oriented People Exercise and Eat Healthy: Evidence From the Two-Factor Consideration of Future Consequences-14 Scale","type":"article-journal","volume":"38"},"uris":["http://www.mendeley.com/documents/?uuid=ee52c1df-4a2f-48f9-8f08-516cf2a04247"]}],"mendeley":{"formattedCitation":"(Joireman, Shaffer, Balliet, &amp; Strathman, 2012)","plainTextFormattedCitation":"(Joireman, Shaffer, Balliet, &amp; Strathman, 2012)","previouslyFormattedCitation":"(Joireman, Shaffer, Balliet, &amp; Strathman, 2012)"},"properties":{"noteIndex":0},"schema":"https://github.com/citation-style-language/schema/raw/master/csl-citation.json"}</w:instrText>
      </w:r>
      <w:r w:rsidRPr="00AE52A4">
        <w:rPr>
          <w:rFonts w:ascii="Arial" w:eastAsia="Arial" w:hAnsi="Arial" w:cs="Arial"/>
          <w:sz w:val="24"/>
          <w:szCs w:val="24"/>
        </w:rPr>
        <w:fldChar w:fldCharType="separate"/>
      </w:r>
      <w:r w:rsidRPr="00AE52A4">
        <w:rPr>
          <w:rFonts w:ascii="Arial" w:eastAsia="Arial" w:hAnsi="Arial" w:cs="Arial"/>
          <w:noProof/>
          <w:sz w:val="24"/>
          <w:szCs w:val="24"/>
          <w:lang w:val="es-UY"/>
        </w:rPr>
        <w:t>Joireman, Shaffer, Balliet, &amp; Strathman (2012)</w:t>
      </w:r>
      <w:r w:rsidRPr="00AE52A4">
        <w:rPr>
          <w:rFonts w:ascii="Arial" w:eastAsia="Arial" w:hAnsi="Arial" w:cs="Arial"/>
          <w:sz w:val="24"/>
          <w:szCs w:val="24"/>
        </w:rPr>
        <w:fldChar w:fldCharType="end"/>
      </w:r>
      <w:r w:rsidRPr="00AE52A4">
        <w:rPr>
          <w:rFonts w:ascii="Arial" w:eastAsia="Arial" w:hAnsi="Arial" w:cs="Arial"/>
          <w:sz w:val="24"/>
          <w:szCs w:val="24"/>
          <w:lang w:val="es-UY"/>
        </w:rPr>
        <w:t xml:space="preserve"> propusieron la ampliación de la escala de 12 a 14 ítems, agregando dos en la subescala CCF-F con el objetivo de mejorar su confiabilidad. Las investigaciones subsiguientes sobre la dimensionalidad del constructo apoyan de forma empírica y mayoritaria la solución de dos factores correlacionados </w:t>
      </w:r>
      <w:r w:rsidRPr="00AE52A4">
        <w:rPr>
          <w:rFonts w:ascii="Arial" w:eastAsia="Arial" w:hAnsi="Arial" w:cs="Arial"/>
          <w:sz w:val="24"/>
          <w:szCs w:val="24"/>
        </w:rPr>
        <w:fldChar w:fldCharType="begin" w:fldLock="1"/>
      </w:r>
      <w:r w:rsidRPr="00AE52A4">
        <w:rPr>
          <w:rFonts w:ascii="Arial" w:eastAsia="Arial" w:hAnsi="Arial" w:cs="Arial"/>
          <w:sz w:val="24"/>
          <w:szCs w:val="24"/>
          <w:lang w:val="es-UY"/>
        </w:rPr>
        <w:instrText>ADDIN CSL_CITATION {"citationItems":[{"id":"ITEM-1","itemData":{"ISBN":"9782706121500","ISSN":"21194130","author":[{"dropping-particle":"","family":"Camus","given":"Gauthier","non-dropping-particle":"","parse-names":false,"suffix":""},{"dropping-particle":"","family":"Berjot","given":"Sophie","non-dropping-particle":"","parse-names":false,"suffix":""},{"dropping-particle":"","family":"Ernst-Vintila","given":"Andreea","non-dropping-particle":"","parse-names":false,"suffix":""}],"container-title":"Revue Internationale de Psychologie Sociale","id":"ITEM-1","issue":"1","issued":{"date-parts":[["2014"]]},"page":"35-63","title":"Validation française de l’échelle de prise en considération des conséquences futures de nos actes (CFC-14)","type":"article-journal","volume":"27"},"uris":["http://www.mendeley.com/documents/?uuid=77c6346d-e57e-4135-8122-eb6dc4f8be57"]},{"id":"ITEM-2","itemData":{"DOI":"10.1016/j.paid.2016.06.014","ISSN":"01918869","abstract":"Research on intertemporal decision-making has often used Strathman, Gleicher, Boninger, and Edwards's (1994) 12-item consideration of future consequences scale, or the CFC-14 scale (Joireman, Shaffer, Balliet, &amp; Strathman, 2012). The present studies examined the measurement properties of an Italian CFC-14 scale, and the utility of distinguishing between its two subscales (conside</w:instrText>
      </w:r>
      <w:r w:rsidRPr="00AE52A4">
        <w:rPr>
          <w:rFonts w:ascii="Arial" w:eastAsia="Arial" w:hAnsi="Arial" w:cs="Arial"/>
          <w:sz w:val="24"/>
          <w:szCs w:val="24"/>
        </w:rPr>
        <w:instrText>ration of future and consideration of immediate consequences). In Study 1 (N = 832 adolescents, 964 adults), exploratory factor analyses suggested two factors and confirmatory factor analyses indicated the two-correlated factors and bi-factor models fit the data well. Study 2 (N = 152 undergraduates) assessed the relationship between the two scales with Zimbardo and Boyd's time perspective inventory and revealed a high 8-week test-retest reliability (&gt;. 0.74). Study 3 (N = 432 adolescents) revealed CFC-Immediate scores did not differ as a function of age, whereas CFC-Future scores were higher among adolescents 16 and older. Study 4 (N = 235 adolescents, 235 adults) revealed that adolescents and adults did not differ on CFC-Immediate, but adults scored significantly higher than adolescents on CFC-Future. Results support the validity of the Italian CFC-14, and provide insight into the developmental trajectory of time orientation, wherein adolescents and adults differ in concern with future (but not immediate) orientation.","author":[{"dropping-particle":"","family":"Nigro","given":"Giovanna","non-dropping-particle":"","parse-names":false,"suffix":""},{"dropping-particle":"","family":"Cosenza","given":"Marina","non-dropping-particle":"","parse-names":false,"suffix":""},{"dropping-particle":"","family":"Ciccarelli","given":"Maria","non-dropping-particle":"","parse-names":false,"suffix":""},{"dropping-particle":"","family":"Joireman","given":"Jeff","non-dropping-particle":"","parse-names":false,"suffix":""}],"container-title":"Personality and Individual Differences","id":"ITEM-2","issued":{"date-parts":[["2016"]]},"page":"333-340","publisher":"Elsevier Ltd","title":"An Italian translation and validation of the Consideration of Future Consequences-14 Scale","type":"article-journal","volume":"101"},"uris":["http://www.mendeley.com/documents/?uuid=0b25225d-db06-4e5c-92cb-b4b4544fa8fd"]},{"id":"ITEM-3","itemData":{"DOI":"10.1016/j.paid.2017.11.021","ISSN":"01918869","abstract":"The factor structure of the Consideration of Future Consequences Scale (CFCS-14) is currently subject to debate and little is known about its temporal stability, or indeed whether temporal changes affect the factor structure. This study examined the factor structure of a Spanish version of the CFCS-14 in Uruguayan and Spanish samples. In Spain data were collected from a sample that completed the CFCS-14 on five consecutive days, which enabled separate analysis of the within-and between-subject factor structure. Simple and multilevel confirmatory factor analysis showed that a two-correlated factor structure provided the best fit to data from both samples and both the within and between-person levels. Further analyses revealed the expected pattern of correlations between CFCS-14 and ZTPI subscales. The results suggest that the Spanish version of the CFCS-14 is reliable and has a robust, two-factor structure. They also suggest that CFCS-14 scores fluctuate over short periods of time.","author":[{"dropping-particle":"","family":"Vásquez-Echeverría","given":"Alejandro","non-dropping-particle":"","parse-names":false,"suffix":""},{"dropping-particle":"","family":"Antino","given":"Mirko","non-dropping-particle":"","parse-names":false,"suffix":""},{"dropping-particle":"","family":"Alvarez-Nuñez","given":"Lucía","non-dropping-particle":"","parse-names":false,"suffix":""},{"dropping-particle":"","family":"Rodríguez-Muñoz","given":"Alfredo","non-dropping-particle":"","parse-names":false,"suffix":""}],"container-title":"Personality and Individual Differences","id":"ITEM-3","issued":{"date-parts":[["2018"]]},"page":"171-175","publisher":"Elsevier","title":"Evidence for the reliability and factor solution of the CFCS-14 in Spanish: A multi-method validation in Spain and Uruguay","type":"article-journal","volume":"123"},"uris":["http://www.mendeley.com/documents/?uuid=3926138c-469c-4a28-9750-8dfd751bc8f0"]},{"id":"ITEM-4","itemData":{"DOI":"10.1177/0146167212449362","ISBN":"0146-1672","ISSN":"0146-1672","PMID":"22833533","abstract":"The authors extended research linking individual differences in consideration of future consequences (CFC) with health behaviors by (a) testing whether individual differences in regulatory focus would mediate that link and (b) highlighting the value of a revised, two-factor CFC-14 scale with subscales assessing concern with future consequences (CFC-Future) and concern with immediate consequences (CFC-Immediate) proper. Exploratory and confirmatory factor analyses of the revised CFC-14 scale supported the presence of two highly reliable factors (CFC-Future and CFC-Immediate; αs from .80 to .84). Moreover, structural equation modeling showed that those high in CFC-Future engage in exercise and healthy eating because they adopt a promotion orientation. Future use of the two-factor CFC-14 scale is encouraged to shed additional light on how concern with future and concern with immediate consequences (proper) differentially impact the way people resolve a host of intertemporal dilemmas (e.g., health, financial, and environmental behavior).","author":[{"dropping-particle":"","family":"Joireman","given":"Jeff","non-dropping-particle":"","parse-names":false,"suffix":""},{"dropping-particle":"","family":"Shaffer","given":"Monte J.","non-dropping-particle":"","parse-names":false,"suffix":""},{"dropping-particle":"","family":"Balliet","given":"Daniel","non-dropping-particle":"","parse-names":false,"suffix":""},{"dropping-particle":"","family":"Strathman","given":"Alan","non-dropping-particle":"","parse-names":false,"suffix":""}],"container-title":"Personality and Social Psychology Bulletin","id":"ITEM-4","issue":"10","issued":{"date-parts":[["2012","10","25"]]},"page":"1272-1287","title":"Promotion Orientation Explains Why Future-Oriented People Exercise and Eat Healthy: Evidence From the Two-Factor Consideration of Future Consequences-14 Scale","type":"article-journal","volume":"38"},"uris":["http://www.mendeley.com/documents/?uuid=ee52c1df-4a2f-48f9-8f08-516cf2a04247"]},{"id":"ITEM-5","itemData":{"DOI":"10.1016/j.paid.2010.02.029","ISBN":"0191-8869","ISSN":"01918869","abstract":"The consideration of future consequences (CFC) scale is designed to measure whether individuals consider the future implications of their current actions. The CFC Scale was administered in 11 waves to a heterogeneous panel, designed to be representative of the Dutch population aged 16 and over. To empirically validate the CFC Scale in a non-academic longitudinal setting, this paper examines internal consistency, stability, and underlying factors of the CFC construct. In addition, effects of personal characteristics, individual changes over time, and learning effects are taken into account. The CFC Scale is found to have an acceptable internal consistency. It is a changeable construct over the years, though it may remain stable over the course of a single year. Education has a significant effect on CFC. No evidence was found that re-interviewing affected responses to the CFC Scale. ?? 2010 Elsevier Ltd.","author":[{"dropping-particle":"","family":"Toepoel","given":"Vera","non-dropping-particle":"","parse-names":false,"suffix":""}],"container-title":"Personality and Individual Differences","id":"ITEM-5","issue":"8","issued":{"date-parts":[["2010"]]},"page":"951-956","publisher":"Elsevier Ltd","title":"Is consideration of future consequences a changeable construct?","type":"article-journal","volume":"48"},"uris":["http://www.mendeley.com/documents/?uuid=f523eabf-68bd-463a-a07d-fccac1ed8476"]},{"id":"ITEM-6","itemData":{"DOI":"10.1016/j.paid.2008.02.011","ISBN":"0191-8869","ISSN":"01918869","abstract":"We examine how individual differences in the consideration of future consequences (Strathman et al., 1994) impact trait self-control, and temporal discounting under conditions of ego-depletion. Study 1 (N = 986) reveals that the CFC scale contains two underlying factors, which can be labeled the CFC-Immediate (CFC-I) and CFC-Future (CFC-F) sub-scales. Supporting the distinction between the two sub-scales, Study 2 (N = 147) shows that lower levels of trait self-control are best predicted by higher levels of CFC-I (not CFC-F), while Study 3 (N = 104) reveals that ego-depletion leads to more temporal discounting only among those high in CFC-I. Future use of the two sub-scales is encouraged. © 2008 Elsevier Ltd. All rights reserved.","author":[{"dropping-particle":"","family":"Joireman","given":"Jeff","non-dropping-particle":"","parse-names":false,"suffix":""},{"dropping-particle":"","family":"Balliet","given":"Daniel","non-dropping-particle":"","parse-names":false,"suffix":""},{"dropping-particle":"","family":"Sprott","given":"David","non-dropping-particle":"","parse-</w:instrText>
      </w:r>
      <w:r w:rsidRPr="00AE52A4">
        <w:rPr>
          <w:rFonts w:ascii="Arial" w:eastAsia="Arial" w:hAnsi="Arial" w:cs="Arial"/>
          <w:sz w:val="24"/>
          <w:szCs w:val="24"/>
          <w:lang w:val="es-UY"/>
        </w:rPr>
        <w:instrText>names":false,"suffix":""},{"dropping-particle":"","family":"Spangenberg","given":"Eric","non-dropping-particle":"","parse-names":false,"suffix":""},{"dropping-particle":"","family":"Schultz","given":"Jenifer","non-dropping-particle":"","parse-names":false,"suffix":""}],"container-title":"Personality and Individual Differences","id":"ITEM-6","issue":"1","issued":{"date-parts":[["2008"]]},"page":"15-21","title":"Consideration of future consequences, ego-depletion, and self-control: Support for distinguishing between CFC-Immediate and CFC-Future sub-scales","type":"article-journal","volume":"45"},"uris":["http://www.mendeley.com/documents/?uuid=4acbe58b-ee77-411d-805c-e86cae1f1477"]}],"mendeley":{"formattedCitation":"(Camus, Berjot, &amp; Ernst-Vintila, 2014; Joireman et al., 2008, 2012; Nigro, Cosenza, Ciccarelli, &amp; Joireman, 2016; Toepoel, 2010; Vásquez-Echeverría, Antino, Alvarez-Nuñez, &amp; Rodríguez-Muñoz, 2018)","plainTextFormattedCitation":"(Camus, Berjot, &amp; Ernst-Vintila, 2014; Joireman et al., 2008, 2012; Nigro, Cosenza, Ciccarelli, &amp; Joireman, 2016; Toepoel, 2010; Vásquez-Echeverría, Antino, Alvarez-Nuñez, &amp; Rodríguez-Muñoz, 2018)","previouslyFormattedCitation":"(Camus, Berjot, &amp; Ernst-Vintila, 2014; Joireman et al., 2008, 2012; Nigro, Cosenza, Ciccarelli, &amp; Joireman, 2016; Toepoel, 2010; Vásquez-Echeverría, Antino, Alvarez-Nuñez, &amp; Rodríguez-Muñoz, 2018)"},"properties":{"noteIndex":0},"schema":"https://github.com/citation-style-language/schema/raw/master/csl-citation.json"}</w:instrText>
      </w:r>
      <w:r w:rsidRPr="00AE52A4">
        <w:rPr>
          <w:rFonts w:ascii="Arial" w:eastAsia="Arial" w:hAnsi="Arial" w:cs="Arial"/>
          <w:sz w:val="24"/>
          <w:szCs w:val="24"/>
        </w:rPr>
        <w:fldChar w:fldCharType="separate"/>
      </w:r>
      <w:r w:rsidRPr="00AE52A4">
        <w:rPr>
          <w:rFonts w:ascii="Arial" w:eastAsia="Arial" w:hAnsi="Arial" w:cs="Arial"/>
          <w:noProof/>
          <w:sz w:val="24"/>
          <w:szCs w:val="24"/>
          <w:lang w:val="es-UY"/>
        </w:rPr>
        <w:t>(Camus, Berjot, &amp; Ernst-Vintila, 2014; Joireman et al., 2008, 2012; Nigro, Cosenza, Ciccarelli, &amp; Joireman, 2016; Toepoel, 2010; Vásquez-Echeverría, Antino, Alvarez-Nuñez, &amp; Rodríguez-Muñoz, 2018)</w:t>
      </w:r>
      <w:r w:rsidRPr="00AE52A4">
        <w:rPr>
          <w:rFonts w:ascii="Arial" w:eastAsia="Arial" w:hAnsi="Arial" w:cs="Arial"/>
          <w:sz w:val="24"/>
          <w:szCs w:val="24"/>
        </w:rPr>
        <w:fldChar w:fldCharType="end"/>
      </w:r>
      <w:r w:rsidRPr="00AE52A4">
        <w:rPr>
          <w:rFonts w:ascii="Arial" w:eastAsia="Arial" w:hAnsi="Arial" w:cs="Arial"/>
          <w:sz w:val="24"/>
          <w:szCs w:val="24"/>
          <w:lang w:val="es-UY"/>
        </w:rPr>
        <w:t xml:space="preserve"> aunque otras soluciones factoriales fueron propuestas (por ejemplo: </w:t>
      </w:r>
      <w:r w:rsidRPr="00AE52A4">
        <w:rPr>
          <w:rFonts w:ascii="Arial" w:eastAsia="Arial" w:hAnsi="Arial" w:cs="Arial"/>
          <w:sz w:val="24"/>
          <w:szCs w:val="24"/>
        </w:rPr>
        <w:fldChar w:fldCharType="begin" w:fldLock="1"/>
      </w:r>
      <w:r w:rsidRPr="00AE52A4">
        <w:rPr>
          <w:rFonts w:ascii="Arial" w:eastAsia="Arial" w:hAnsi="Arial" w:cs="Arial"/>
          <w:sz w:val="24"/>
          <w:szCs w:val="24"/>
          <w:lang w:val="es-UY"/>
        </w:rPr>
        <w:instrText>ADDIN CSL_CITATION {"citationItems":[{"id":"ITEM-1","itemData":{"DOI":"10.1016/j.paid.2015.07.022","ISBN":"0191-8869","ISSN":"01918869","abstract":"Consideration of either future consequences or immediate consequences plays an important role in our daily decision-making. However, no general consensus has been reached as to whether the construct - consideration of future consequences - consists of one factor or multiple factors. To examine the latent structure, we conducted two studies. In Study 1, we collected data online from 494 participants with the Consideration of Future Consequences (CFC) scale, and performed confirmatory factor analyses (CFAs) of alternative models derived from previous studies. The results indicated that a four-factor model fitted the data best. In Study 2, we administrated the CFC scale and an inter-temporal choice questionnaire to another sample of 496 participants in classrooms. Cross-validation with CFA demonstrated the four-factor solution as the best fit model. In addition, the four factors were differently correlated with the discounting rate facing various rewards. Further multilevel analysis indicated that two factors among the four moderated the magnitude effect. All these findings provided evidences for a four-factor distinction in the CFC scale.","author":[{"dropping-particle":"","family":"Zhang","given":"Ziyuan","non-dropping-particle":"","parse-names":false,"suffix":""},{"dropping-particle":"","family":"Kong","given":"Ming","non-dropping-particle":"","parse-names":false,"suffix":""},{"dropping-particle":"","family":"Zhang","given":"Lisong","non-dropping-particle":"","parse-names":false,"suffix":""},{"dropping-particle":"","family":"Li","given":"Zhongquan","non-dropping-particle":"","parse-names":false,"suffix":""}],"container-title":"Personality and Individual Differences","id":"ITEM-1","issued":{"date-parts":[["2015"]]},"page":"99-104","publisher":"Elsevier Ltd","title":"Consideration of future consequences: Preliminary evidences for a four-factor distinction","type":"article-journal","volume":"87"},"uris":["http://www.mendeley.com/documents/?uuid=bdb9d314-2d38-4d03-b0a4-838950de88dc"]}],"mendeley":{"formattedCitation":"(Zhang, Kong, Zhang, &amp; Li, 2015)","manualFormatting":"Zhang, Kong, Zhang, &amp; Li, 2015)","plainTextFormattedCitation":"(Zhang, Kong, Zhang, &amp; Li, 2015)","previouslyFormattedCitation":"(Zhang, Kong, Zhang, &amp; Li, 2015)"},"properties":{"noteIndex":0},"schema":"https://github.com/citation-style-language/schema/raw/master/csl-citation.json"}</w:instrText>
      </w:r>
      <w:r w:rsidRPr="00AE52A4">
        <w:rPr>
          <w:rFonts w:ascii="Arial" w:eastAsia="Arial" w:hAnsi="Arial" w:cs="Arial"/>
          <w:sz w:val="24"/>
          <w:szCs w:val="24"/>
        </w:rPr>
        <w:fldChar w:fldCharType="separate"/>
      </w:r>
      <w:r w:rsidRPr="00AE52A4">
        <w:rPr>
          <w:rFonts w:ascii="Arial" w:eastAsia="Arial" w:hAnsi="Arial" w:cs="Arial"/>
          <w:noProof/>
          <w:sz w:val="24"/>
          <w:szCs w:val="24"/>
          <w:lang w:val="es-UY"/>
        </w:rPr>
        <w:t>Zhang, Kong, Zhang, &amp; Li, 2015)</w:t>
      </w:r>
      <w:r w:rsidRPr="00AE52A4">
        <w:rPr>
          <w:rFonts w:ascii="Arial" w:eastAsia="Arial" w:hAnsi="Arial" w:cs="Arial"/>
          <w:sz w:val="24"/>
          <w:szCs w:val="24"/>
        </w:rPr>
        <w:fldChar w:fldCharType="end"/>
      </w:r>
      <w:r w:rsidRPr="00AE52A4">
        <w:rPr>
          <w:rFonts w:ascii="Arial" w:eastAsia="Arial" w:hAnsi="Arial" w:cs="Arial"/>
          <w:sz w:val="24"/>
          <w:szCs w:val="24"/>
          <w:lang w:val="es-UY"/>
        </w:rPr>
        <w:t>.</w:t>
      </w:r>
    </w:p>
    <w:p w14:paraId="17474D2B" w14:textId="6A020CA1" w:rsidR="00BD409A" w:rsidRPr="00AE52A4" w:rsidRDefault="00BD409A" w:rsidP="00731076">
      <w:pPr>
        <w:spacing w:line="240" w:lineRule="auto"/>
        <w:ind w:firstLine="709"/>
        <w:jc w:val="both"/>
        <w:rPr>
          <w:rFonts w:ascii="Arial" w:eastAsia="Arial" w:hAnsi="Arial" w:cs="Arial"/>
          <w:sz w:val="24"/>
          <w:szCs w:val="24"/>
          <w:highlight w:val="white"/>
          <w:lang w:val="es-UY"/>
        </w:rPr>
      </w:pPr>
      <w:r w:rsidRPr="00AE52A4">
        <w:rPr>
          <w:rFonts w:ascii="Arial" w:eastAsia="Arial" w:hAnsi="Arial" w:cs="Arial"/>
          <w:sz w:val="24"/>
          <w:szCs w:val="24"/>
          <w:lang w:val="es-UY"/>
        </w:rPr>
        <w:t xml:space="preserve">La ECCF-14 ha sido traducida y validada a diferentes idiomas y culturas. Por ejemplo: en Francés </w:t>
      </w:r>
      <w:r w:rsidRPr="00AE52A4">
        <w:rPr>
          <w:rFonts w:ascii="Arial" w:eastAsia="Arial" w:hAnsi="Arial" w:cs="Arial"/>
          <w:sz w:val="24"/>
          <w:szCs w:val="24"/>
        </w:rPr>
        <w:fldChar w:fldCharType="begin" w:fldLock="1"/>
      </w:r>
      <w:r w:rsidRPr="00AE52A4">
        <w:rPr>
          <w:rFonts w:ascii="Arial" w:eastAsia="Arial" w:hAnsi="Arial" w:cs="Arial"/>
          <w:sz w:val="24"/>
          <w:szCs w:val="24"/>
          <w:lang w:val="es-UY"/>
        </w:rPr>
        <w:instrText>ADDIN CSL_CITATION {"citationItems":[{"id":"ITEM-1","itemData":{"ISBN":"9782706121500","ISSN":"21194130","author":[{"dropping-particle":"","family":"Camus","given":"Gauthier","non-dropping-particle":"","parse-names":false,"suffix":""},{"dropping-particle":"","family":"Berjot","given":"Sophie","non-dropping-particle":"","parse-names":false,"suffix":""},{"dropping-particle":"","family":"Ernst-Vintila","given":"Andreea","non-dropping-particle":"","parse-names":false,"suffix":""}],"container-title":"Revue Internationale de Psychologie Sociale","id":"ITEM-1","issue":"1","issued":{"date-parts":[["2014"]]},"page":"35-63","title":"Validation française de l’échelle de prise en considération des conséquences futures de nos actes (CFC-14)","type":"article-journal","volume":"27"},"uris":["http://www.mendeley.com/documents/?uuid=77c6346d-e57e-4135-8122-eb6dc4f8be57"]}],"mendeley":{"formattedCitation":"(Camus et al., 2014)","plainTextFormattedCitation":"(Camus et al., 2014)","previouslyFormattedCitation":"(Camus et al., 2014)"},"properties":{"noteIndex":0},"schema":"https://github.com/citation-style-language/schema/raw/master/csl-citation.json"}</w:instrText>
      </w:r>
      <w:r w:rsidRPr="00AE52A4">
        <w:rPr>
          <w:rFonts w:ascii="Arial" w:eastAsia="Arial" w:hAnsi="Arial" w:cs="Arial"/>
          <w:sz w:val="24"/>
          <w:szCs w:val="24"/>
        </w:rPr>
        <w:fldChar w:fldCharType="separate"/>
      </w:r>
      <w:r w:rsidRPr="00AE52A4">
        <w:rPr>
          <w:rFonts w:ascii="Arial" w:eastAsia="Arial" w:hAnsi="Arial" w:cs="Arial"/>
          <w:noProof/>
          <w:sz w:val="24"/>
          <w:szCs w:val="24"/>
          <w:lang w:val="es-UY"/>
        </w:rPr>
        <w:t>(Camus et al., 2014)</w:t>
      </w:r>
      <w:r w:rsidRPr="00AE52A4">
        <w:rPr>
          <w:rFonts w:ascii="Arial" w:eastAsia="Arial" w:hAnsi="Arial" w:cs="Arial"/>
          <w:sz w:val="24"/>
          <w:szCs w:val="24"/>
        </w:rPr>
        <w:fldChar w:fldCharType="end"/>
      </w:r>
      <w:r w:rsidRPr="00AE52A4">
        <w:rPr>
          <w:rFonts w:ascii="Arial" w:eastAsia="Arial" w:hAnsi="Arial" w:cs="Arial"/>
          <w:sz w:val="24"/>
          <w:szCs w:val="24"/>
          <w:lang w:val="es-UY"/>
        </w:rPr>
        <w:t xml:space="preserve">, ingles </w:t>
      </w:r>
      <w:r w:rsidRPr="00AE52A4">
        <w:rPr>
          <w:rFonts w:ascii="Arial" w:eastAsia="Arial" w:hAnsi="Arial" w:cs="Arial"/>
          <w:sz w:val="24"/>
          <w:szCs w:val="24"/>
        </w:rPr>
        <w:fldChar w:fldCharType="begin" w:fldLock="1"/>
      </w:r>
      <w:r w:rsidRPr="00AE52A4">
        <w:rPr>
          <w:rFonts w:ascii="Arial" w:eastAsia="Arial" w:hAnsi="Arial" w:cs="Arial"/>
          <w:sz w:val="24"/>
          <w:szCs w:val="24"/>
          <w:lang w:val="es-UY"/>
        </w:rPr>
        <w:instrText>ADDIN CSL_CITATION {"citationItems":[{"id":"ITEM-1","itemData":{"DOI":"10.1016/j.paid.2016.03.097","ISSN":"01918869","abstract":"Researchers have proposed 1-factor, 2-factor, and bifactor solutions to the 12-item Consideration of Future Consequences Scale (CFCS-12). In order to overcome some measurement problems and to create a robust and conceptually useful two-factor scale the CFCS-12 was recently modified to include two new items and to become the CFCS-14. Using a University sample, we tested four competing models for the CFCS-14: (a) a 12-item unidimensional model, (b) a model fitted for two uncorrelated factors (CFC-Immediate and CFC-Future), (c) a model fitted for two correlated factors (CFC-I and CFC-F), and (d) a bifactor model. Results suggested that the addition of the two new items has strengthened the viability of a two factor solution of the CFCS-14. Results of linear regression models suggest that the CFC-F factor is redundant. Further studies using alcohol and mental health indicators are required to test this redundancy.","author":[{"dropping-particle":"","family":"McKay","given":"Michael T.","non-dropping-particle":"","parse-names":false,"suffix":""},{"dropping-particle":"","family":"Perry","given":"John L.","non-dropping-particle":"","parse-names":false,"suffix":""},{"dropping-particle":"","family":"Percy","given":"Andrew","non-dropping-particle":"","parse-names":false,"suffix":""},{"dropping-particle":"","family":"Cole","given":"Jon C.","non-dropping-particle":"","parse-names":false,"suffix":""}],"container-title":"Personality and Individual Differences","id":"ITEM-1","issued":{"date-parts":[["2016","8"]]},"page":"133-136","publisher":"Elsevier Ltd","title":"Evidence for the reliability and validity, but not the practical utility of the two-factor Consideration of Future Consequences Scale-14","type":"article-journal","volume":"98"},"uris":["http://www.mendeley.com/documents/?uuid=ec0cf733-f051-4303-947f-d5e6b773f299"]}],"mendeley":{"formattedCitation":"(McKay, Perry, Percy, &amp; Cole, 2016)","plainTextFormattedCitation":"(McKay, Perry, Percy, &amp; Cole, 2016)","previouslyFormattedCitation":"(McKay, Perry, Percy, &amp; Cole, 2016)"},"properties":{"noteIndex":0},"schema":"https://github.com/citation-style-language/schema/raw/master/csl-citation.json"}</w:instrText>
      </w:r>
      <w:r w:rsidRPr="00AE52A4">
        <w:rPr>
          <w:rFonts w:ascii="Arial" w:eastAsia="Arial" w:hAnsi="Arial" w:cs="Arial"/>
          <w:sz w:val="24"/>
          <w:szCs w:val="24"/>
        </w:rPr>
        <w:fldChar w:fldCharType="separate"/>
      </w:r>
      <w:r w:rsidRPr="00AE52A4">
        <w:rPr>
          <w:rFonts w:ascii="Arial" w:eastAsia="Arial" w:hAnsi="Arial" w:cs="Arial"/>
          <w:noProof/>
          <w:sz w:val="24"/>
          <w:szCs w:val="24"/>
          <w:lang w:val="es-UY"/>
        </w:rPr>
        <w:t>(McKay, Perry, Percy, &amp; Cole, 2016)</w:t>
      </w:r>
      <w:r w:rsidRPr="00AE52A4">
        <w:rPr>
          <w:rFonts w:ascii="Arial" w:eastAsia="Arial" w:hAnsi="Arial" w:cs="Arial"/>
          <w:sz w:val="24"/>
          <w:szCs w:val="24"/>
        </w:rPr>
        <w:fldChar w:fldCharType="end"/>
      </w:r>
      <w:r w:rsidRPr="00AE52A4">
        <w:rPr>
          <w:rFonts w:ascii="Arial" w:eastAsia="Arial" w:hAnsi="Arial" w:cs="Arial"/>
          <w:sz w:val="24"/>
          <w:szCs w:val="24"/>
          <w:highlight w:val="white"/>
          <w:lang w:val="es-UY"/>
        </w:rPr>
        <w:t xml:space="preserve">, italiano </w:t>
      </w:r>
      <w:r w:rsidRPr="00AE52A4">
        <w:rPr>
          <w:rFonts w:ascii="Arial" w:eastAsia="Arial" w:hAnsi="Arial" w:cs="Arial"/>
          <w:sz w:val="24"/>
          <w:szCs w:val="24"/>
          <w:highlight w:val="white"/>
        </w:rPr>
        <w:fldChar w:fldCharType="begin" w:fldLock="1"/>
      </w:r>
      <w:r w:rsidRPr="00AE52A4">
        <w:rPr>
          <w:rFonts w:ascii="Arial" w:eastAsia="Arial" w:hAnsi="Arial" w:cs="Arial"/>
          <w:sz w:val="24"/>
          <w:szCs w:val="24"/>
          <w:highlight w:val="white"/>
          <w:lang w:val="es-UY"/>
        </w:rPr>
        <w:instrText>ADDIN CSL_CITATION {"citationItems":[{"id":"ITEM-1","itemData":{"DOI":"10.1016/j.paid.2016.06.014","ISSN":"01918869","abstract":"Research on intertemporal decision-making has often used Strathman, Gleicher, Boninger, and Edwards's (1994) 12-item consideration of future consequences scale, or the CFC-14 scale (Joireman, Shaffer, Balliet, &amp; Strathman, 2012). The present studies examined the measurement properties of an Italian CFC-14 scale, and the utility of distinguishing between its two subscales (consideration of future and consideration of immediate consequences). In Study 1 (N = 832 adolescents, 964 adults), exploratory factor analyses suggested two factors and confirmatory factor analyses indicated the two-correlated factors and bi-factor models fit the data well. Study 2 (N = 152 undergraduates) assessed the relationship between the two scales with Zimbardo and Boyd's time perspective inventory and revealed a high 8-week test-retest reliability (&gt;. 0.74). Study 3 (N = 432 adolescents) revealed CFC-Immediate scores did not differ as a function of age, whereas CFC-Future scores were higher among adolescents 16 and older. Study 4 (N = 235 adolescents, 235 adults) revealed that adolescents and adults did not differ on CFC-Immediate, but adults scored significantly higher than adolescents on CFC-Future. Results support the validity of the Italian CFC-14, and provide insight into the developmental trajectory of time orientation, wherein adolescents and adults differ in concern with future (but not immediate) orientation.","author":[{"dropping-particle":"","family":"Nigro","given":"Giovanna","non-dropping-particle":"","parse-names":false,"suffix":""},{"dropping-particle":"","family":"Cosenza","given":"Marina","non-dropping-particle":"","parse-names":false,"suffix":""},{"dropping-particle":"","family":"Ciccarelli","given":"Maria","non-dropping-particle":"","parse-names":false,"suffix":""},{"dropping-particle":"","family":"Joireman","given":"Jeff","non-dropping-particle":"","parse-names":false,"suffix":""}],"container-title":"Personality and Individual Differences","id":"ITEM-1","issued":{"date-parts":[["2016"]]},"page":"333-340","publisher":"Elsevier Ltd","title":"An Italian translation and validation of the Consideration of Future Consequences-14 Scale","type":"article-journal","volume":"101"},"uris":["http://www.mendeley.com/documents/?uuid=0b25225d-db06-4e5c-92cb-b4b4544fa8fd"]}],"mendeley":{"formattedCitation":"(Nigro et al., 2016)","plainTextFormattedCitation":"(Nigro et al., 2016)","previouslyFormattedCitation":"(Nigro et al., 2016)"},"properties":{"noteIndex":0},"schema":"https://github.com/citation-style-language/schema/raw/master/csl-citation.json"}</w:instrText>
      </w:r>
      <w:r w:rsidRPr="00AE52A4">
        <w:rPr>
          <w:rFonts w:ascii="Arial" w:eastAsia="Arial" w:hAnsi="Arial" w:cs="Arial"/>
          <w:sz w:val="24"/>
          <w:szCs w:val="24"/>
          <w:highlight w:val="white"/>
        </w:rPr>
        <w:fldChar w:fldCharType="separate"/>
      </w:r>
      <w:r w:rsidRPr="00AE52A4">
        <w:rPr>
          <w:rFonts w:ascii="Arial" w:eastAsia="Arial" w:hAnsi="Arial" w:cs="Arial"/>
          <w:noProof/>
          <w:sz w:val="24"/>
          <w:szCs w:val="24"/>
          <w:highlight w:val="white"/>
          <w:lang w:val="es-UY"/>
        </w:rPr>
        <w:t>(Nigro et al., 2016)</w:t>
      </w:r>
      <w:r w:rsidRPr="00AE52A4">
        <w:rPr>
          <w:rFonts w:ascii="Arial" w:eastAsia="Arial" w:hAnsi="Arial" w:cs="Arial"/>
          <w:sz w:val="24"/>
          <w:szCs w:val="24"/>
          <w:highlight w:val="white"/>
        </w:rPr>
        <w:fldChar w:fldCharType="end"/>
      </w:r>
      <w:r w:rsidRPr="00AE52A4">
        <w:rPr>
          <w:rFonts w:ascii="Arial" w:eastAsia="Arial" w:hAnsi="Arial" w:cs="Arial"/>
          <w:sz w:val="24"/>
          <w:szCs w:val="24"/>
          <w:highlight w:val="white"/>
          <w:lang w:val="es-UY"/>
        </w:rPr>
        <w:t xml:space="preserve"> y en español </w:t>
      </w:r>
      <w:r w:rsidRPr="00AE52A4">
        <w:rPr>
          <w:rFonts w:ascii="Arial" w:eastAsia="Arial" w:hAnsi="Arial" w:cs="Arial"/>
          <w:sz w:val="24"/>
          <w:szCs w:val="24"/>
          <w:highlight w:val="white"/>
        </w:rPr>
        <w:fldChar w:fldCharType="begin" w:fldLock="1"/>
      </w:r>
      <w:r w:rsidRPr="00AE52A4">
        <w:rPr>
          <w:rFonts w:ascii="Arial" w:eastAsia="Arial" w:hAnsi="Arial" w:cs="Arial"/>
          <w:sz w:val="24"/>
          <w:szCs w:val="24"/>
          <w:highlight w:val="white"/>
          <w:lang w:val="es-UY"/>
        </w:rPr>
        <w:instrText>ADDIN CSL_CITATION {"citationItems":[{"id":"ITEM-1","itemData":{"DOI":"10.1016/j.paid.2017.11.021","ISSN":"01918869","abstract":"The factor structure of the Consideration of Future Consequences Scale (CFCS-14) is currently subject to debate and little is known about its temporal stability, or indeed whether temporal changes affect the factor structure. This study examined the factor structure of a Spanish version of the CFCS-14 in Uruguayan and Spanish samples. In Spain data were collected from a sample that completed the CFCS-14 on five consecutive days, which enabled separate analysis of the within-and between-subject factor structure. Simple and multilevel confirmatory factor analysis showed that a two-correlated factor structure provided the best fit to data from both samples and both the within and between-person levels. Further analyses revealed the expected pattern of correlations between CFCS-14 and ZTPI subscales. The results suggest that the Spanish version of the CFCS-14 is reliable and has a robust, two-factor structure. They also suggest that CFCS-14 scores fluctuate over short periods of time.","author":[{"dropping-particle":"","family":"Vásquez-Echeverría","given":"Alejandro","non-dropping-particle":"","parse-names":false,"suffix":""},{"dropping-particle":"","family":"Antino","given":"Mirko","non-dropping-particle":"","parse-names":false,"suffix":""},{"dropping-particle":"","family":"Alvarez-Nuñez","given":"Lucía","non-dropping-particle":"","parse-names":false,"suffix":""},{"dropping-particle":"","family":"Rodríguez-Muñoz","given":"Alfredo","non-dropping-particle":"","parse-names":false,"suffix":""}],"container-title":"Personality and Individual Differences","id":"ITEM-1","issued":{"date-parts":[["2018"]]},"page":"171-175","publisher":"Elsevier","title":"Evidence for the reliability and factor solution of the CFCS-14 in Spanish: A multi-method validation in Spain and Uruguay","type":"article-journal","volume":"123"},"uris":["http://www.mendeley.com/documents/?uuid=3926138c-469c-4a28-9750-8dfd751bc8f0"]}],"mendeley":{"formattedCitation":"(Vásquez-Echeverría et al., 2018)","plainTextFormattedCitation":"(Vásquez-Echeverría et al., 2018)","previouslyFormattedCitation":"(Vásquez-Echeverría et al., 2018)"},"properties":{"noteIndex":0},"schema":"https://github.com/citation-style-language/schema/raw/master/csl-citation.json"}</w:instrText>
      </w:r>
      <w:r w:rsidRPr="00AE52A4">
        <w:rPr>
          <w:rFonts w:ascii="Arial" w:eastAsia="Arial" w:hAnsi="Arial" w:cs="Arial"/>
          <w:sz w:val="24"/>
          <w:szCs w:val="24"/>
          <w:highlight w:val="white"/>
        </w:rPr>
        <w:fldChar w:fldCharType="separate"/>
      </w:r>
      <w:r w:rsidRPr="00AE52A4">
        <w:rPr>
          <w:rFonts w:ascii="Arial" w:eastAsia="Arial" w:hAnsi="Arial" w:cs="Arial"/>
          <w:noProof/>
          <w:sz w:val="24"/>
          <w:szCs w:val="24"/>
          <w:highlight w:val="white"/>
          <w:lang w:val="es-UY"/>
        </w:rPr>
        <w:t>(Vásquez-Echeverría et al., 2018)</w:t>
      </w:r>
      <w:r w:rsidRPr="00AE52A4">
        <w:rPr>
          <w:rFonts w:ascii="Arial" w:eastAsia="Arial" w:hAnsi="Arial" w:cs="Arial"/>
          <w:sz w:val="24"/>
          <w:szCs w:val="24"/>
          <w:highlight w:val="white"/>
        </w:rPr>
        <w:fldChar w:fldCharType="end"/>
      </w:r>
      <w:r w:rsidRPr="00AE52A4">
        <w:rPr>
          <w:rFonts w:ascii="Arial" w:eastAsia="Arial" w:hAnsi="Arial" w:cs="Arial"/>
          <w:sz w:val="24"/>
          <w:szCs w:val="24"/>
          <w:highlight w:val="white"/>
          <w:lang w:val="es-UY"/>
        </w:rPr>
        <w:t xml:space="preserve">. Para el caso del castellano, se han reportado adecuados valores de confiabilidad y validez de la escala CCF de 14 ítems con una estructura de dos factores correlacionados (Vásquez-Echeverría et al., 2018). Todos los estudios mencionados previamente se han realizado con muestras por conveniencia y en su mayoría, con estudiantes universitarios. Hasta ahora no se ha evaluado las propiedades psicométricas de la ECCF-14 con una muestra representativa de regiones o países, a nivel hispanoamericano, ni a nivel mundial. </w:t>
      </w:r>
    </w:p>
    <w:p w14:paraId="2568230B" w14:textId="77777777" w:rsidR="00BD409A" w:rsidRPr="00AE52A4" w:rsidRDefault="00BD409A" w:rsidP="00731076">
      <w:pPr>
        <w:spacing w:line="240" w:lineRule="auto"/>
        <w:ind w:firstLine="709"/>
        <w:jc w:val="both"/>
        <w:rPr>
          <w:rFonts w:ascii="Arial" w:eastAsia="Arial" w:hAnsi="Arial" w:cs="Arial"/>
          <w:sz w:val="24"/>
          <w:szCs w:val="24"/>
          <w:highlight w:val="white"/>
          <w:lang w:val="es-UY"/>
        </w:rPr>
      </w:pPr>
      <w:r w:rsidRPr="00AE52A4">
        <w:rPr>
          <w:rFonts w:ascii="Arial" w:eastAsia="Arial" w:hAnsi="Arial" w:cs="Arial"/>
          <w:sz w:val="24"/>
          <w:szCs w:val="24"/>
          <w:highlight w:val="white"/>
          <w:lang w:val="es-UY"/>
        </w:rPr>
        <w:t xml:space="preserve">El nivel de CCF de las personas ha sido </w:t>
      </w:r>
      <w:r w:rsidRPr="00AE52A4">
        <w:rPr>
          <w:rFonts w:ascii="Arial" w:eastAsia="Arial" w:hAnsi="Arial" w:cs="Arial"/>
          <w:sz w:val="24"/>
          <w:szCs w:val="24"/>
          <w:lang w:val="es-UY"/>
        </w:rPr>
        <w:t xml:space="preserve">asociado con diversas conductas relevantes para el bienestar. En una revisión, </w:t>
      </w:r>
      <w:r w:rsidRPr="00AE52A4">
        <w:rPr>
          <w:rFonts w:ascii="Arial" w:eastAsia="Arial" w:hAnsi="Arial" w:cs="Arial"/>
          <w:sz w:val="24"/>
          <w:szCs w:val="24"/>
        </w:rPr>
        <w:fldChar w:fldCharType="begin" w:fldLock="1"/>
      </w:r>
      <w:r w:rsidRPr="00AE52A4">
        <w:rPr>
          <w:rFonts w:ascii="Arial" w:eastAsia="Arial" w:hAnsi="Arial" w:cs="Arial"/>
          <w:sz w:val="24"/>
          <w:szCs w:val="24"/>
          <w:lang w:val="es-UY"/>
        </w:rPr>
        <w:instrText>ADDIN CSL_CITATION {"citationItems":[{"id":"ITEM-1","itemData":{"DOI":"10.1093/acprof:oso/9780195177664.003.0006","ISBN":"9780471558194","author":[{"dropping-particle":"","family":"Joireman","given":"Jeff","non-dropping-particle":"","parse-names":false,"suffix":""},{"dropping-particle":"","family":"Strathman","given":"Alan","non-dropping-particle":"","parse-names":false,"suffix":""},{"dropping-particle":"","family":"Balliet","given":"Daniel","non-dropping-particle":"","parse-names":false,"suffix":""}],"container-title":"Judgments Over Time The Interplay of Thoughts, Feelings, and Behaviors","editor":[{"dropping-particle":"","family":"Sanna","given":"E","non-dropping-particle":"","parse-names":false,"suffix":""},{"dropping-particle":"","family":"Lawrence","given":"J","non-dropping-particle":"","parse-names":false,"suffix":""},{"dropping-particle":"","family":"Chang","given":"E","non-dropping-particle":"","parse-names":false,"suffix":""}],"id":"ITEM-1","issued":{"date-parts":[["2006","3"]]},"page":"82-99","publisher":"Oxford University Press","publisher-place":"Oxford","title":"Considering Future Consequences An Integrative Model","type":"chapter"},"uris":["http://www.mendeley.com/documents/?uuid=4f758389-a049-4b49-8920-959b9c38f20d"]}],"mendeley":{"formattedCitation":"(Joireman, Strathman, &amp; Balliet, 2006)","plainTextFormattedCitation":"(Joireman, Strathman, &amp; Balliet, 2006)","previouslyFormattedCitation":"(Joireman, Strathman, &amp; Balliet, 2006)"},"properties":{"noteIndex":0},"schema":"https://github.com/citation-style-language/schema/raw/master/csl-citation.json"}</w:instrText>
      </w:r>
      <w:r w:rsidRPr="00AE52A4">
        <w:rPr>
          <w:rFonts w:ascii="Arial" w:eastAsia="Arial" w:hAnsi="Arial" w:cs="Arial"/>
          <w:sz w:val="24"/>
          <w:szCs w:val="24"/>
        </w:rPr>
        <w:fldChar w:fldCharType="separate"/>
      </w:r>
      <w:r w:rsidRPr="00AE52A4">
        <w:rPr>
          <w:rFonts w:ascii="Arial" w:eastAsia="Arial" w:hAnsi="Arial" w:cs="Arial"/>
          <w:noProof/>
          <w:sz w:val="24"/>
          <w:szCs w:val="24"/>
          <w:lang w:val="es-UY"/>
        </w:rPr>
        <w:t>Joireman, Strathman, &amp; Balliet (2006)</w:t>
      </w:r>
      <w:r w:rsidRPr="00AE52A4">
        <w:rPr>
          <w:rFonts w:ascii="Arial" w:eastAsia="Arial" w:hAnsi="Arial" w:cs="Arial"/>
          <w:sz w:val="24"/>
          <w:szCs w:val="24"/>
        </w:rPr>
        <w:fldChar w:fldCharType="end"/>
      </w:r>
      <w:r w:rsidRPr="00AE52A4">
        <w:rPr>
          <w:rFonts w:ascii="Arial" w:eastAsia="Arial" w:hAnsi="Arial" w:cs="Arial"/>
          <w:sz w:val="24"/>
          <w:szCs w:val="24"/>
          <w:lang w:val="es-UY"/>
        </w:rPr>
        <w:t xml:space="preserve"> plantearon que son cuatro los dominios de comportamiento relacionados con la CCF: </w:t>
      </w:r>
      <w:r w:rsidRPr="00AE52A4">
        <w:rPr>
          <w:rFonts w:ascii="Arial" w:eastAsia="Arial" w:hAnsi="Arial" w:cs="Arial"/>
          <w:i/>
          <w:sz w:val="24"/>
          <w:szCs w:val="24"/>
          <w:lang w:val="es-UY"/>
        </w:rPr>
        <w:t xml:space="preserve">(a) Comportamientos de salud, Conductas de Riesgo y Logros Académicos </w:t>
      </w:r>
      <w:r w:rsidRPr="00AE52A4">
        <w:rPr>
          <w:rFonts w:ascii="Arial" w:eastAsia="Arial" w:hAnsi="Arial" w:cs="Arial"/>
          <w:sz w:val="24"/>
          <w:szCs w:val="24"/>
          <w:lang w:val="es-UY"/>
        </w:rPr>
        <w:t xml:space="preserve">(e.g., </w:t>
      </w:r>
      <w:r w:rsidRPr="00AE52A4">
        <w:rPr>
          <w:rFonts w:ascii="Arial" w:eastAsia="Arial" w:hAnsi="Arial" w:cs="Arial"/>
          <w:sz w:val="24"/>
          <w:szCs w:val="24"/>
        </w:rPr>
        <w:fldChar w:fldCharType="begin" w:fldLock="1"/>
      </w:r>
      <w:r w:rsidRPr="00AE52A4">
        <w:rPr>
          <w:rFonts w:ascii="Arial" w:eastAsia="Arial" w:hAnsi="Arial" w:cs="Arial"/>
          <w:sz w:val="24"/>
          <w:szCs w:val="24"/>
          <w:lang w:val="es-UY"/>
        </w:rPr>
        <w:instrText>ADDIN CSL_CITATION {"citationItems":[{"id":"ITEM-1","itemData":{"DOI":"10.1093/eurpub/ckp225","ISSN":"1101-1262","abstract":"Background: Heavy alcohol consumption is associated with significant morbidity and mortality. Levels of alcohol consumption among students and young people are particularly high. Time perspective describes the varying value individuals place on outcomes in the present and future. In general, it has been found that individuals prefer to receive a gain today rather than in the future. There is evidence that time perspective is associated with addictive health behaviours, including alcoholism and cigarette smoking, but less evidence of its association with non-addictive, but hazardous, levels of alcohol consumption. The objective was to determine if there is an association between time perspective and hazardous alcohol consumption. Methods: A cross-sectional survey using a self-completion questionnaire was administered to willing undergraduate students attending a convenience sample of lectures in two university faculties. Hazardous alcohol consumption wa</w:instrText>
      </w:r>
      <w:r w:rsidRPr="00AE52A4">
        <w:rPr>
          <w:rFonts w:ascii="Arial" w:eastAsia="Arial" w:hAnsi="Arial" w:cs="Arial"/>
          <w:sz w:val="24"/>
          <w:szCs w:val="24"/>
        </w:rPr>
        <w:instrText>s defined as a score of ≥8 on the Alcohol Use Disorders Identification Test (AUDIT) and time perspective was measured using the Consideration of Future Consequences Scale (CFCS). Participants were 322 undergraduate university students in two faculties at a university in Northern England, UK. Results: Hazardous alcohol consumption was reported by 264 (82) respondents. After controlling for potential confounding by socio-demographic variables, greater consideration of future consequences was associated with lower odds of reporting hazardous drinking [odds ratio = 0.28; 95 confidence interval 0.15-0.54Ş. Conclusion: Interventions aimed at increasing future orientated time perspective may be effective in decreasing hazardous alcohol consumption in students. © The Author 2010. Published by Oxford University Press on behalf of the European Public Health Association. All rights reserved.","author":[{"dropping-particle":"","family":"Beenstock","given":"Jane","non-dropping-particle":"","parse-names":false,"suffix":""},{"dropping-particle":"","family":"Adams","given":"Jean","non-dropping-particle":"","parse-names":false,"suffix":""},{"dropping-particle":"","family":"White","given":"Martin","non-dropping-particle":"","parse-names":false,"suffix":""}],"container-title":"The European Journal of Public Health","id":"ITEM-1","issue":"4","issued":{"date-parts":[["2011","8","1"]]},"page":"438-443","title":"The association between time perspective and alcohol consumption in university students: cross-sectional study","type":"article-journal","volume":"21"},"uris":["http://www.mendeley.com/documents/?uuid=25f3e7a0-687e-4756-8a8e-7bd478a7b333"]}],"mendeley":{"formattedCitation":"(Beenstock, Adams, &amp; White, 2011)","manualFormatting":"Beenstock, Adams, &amp; White, 2011)","plainTextFormattedCitation":"(Beenstock, Adams, &amp; White, 2011)","previouslyFormattedCitation":"(Beenstock, Adams, &amp; White, 2011)"},"properties":{"noteIndex":0},"schema":"https://github.com/citation-style-language/schema/raw/master/csl-citation.json"}</w:instrText>
      </w:r>
      <w:r w:rsidRPr="00AE52A4">
        <w:rPr>
          <w:rFonts w:ascii="Arial" w:eastAsia="Arial" w:hAnsi="Arial" w:cs="Arial"/>
          <w:sz w:val="24"/>
          <w:szCs w:val="24"/>
        </w:rPr>
        <w:fldChar w:fldCharType="separate"/>
      </w:r>
      <w:r w:rsidRPr="00AE52A4">
        <w:rPr>
          <w:rFonts w:ascii="Arial" w:eastAsia="Arial" w:hAnsi="Arial" w:cs="Arial"/>
          <w:noProof/>
          <w:sz w:val="24"/>
          <w:szCs w:val="24"/>
        </w:rPr>
        <w:t>Beenstock, Adams, &amp; White, 2011)</w:t>
      </w:r>
      <w:r w:rsidRPr="00AE52A4">
        <w:rPr>
          <w:rFonts w:ascii="Arial" w:eastAsia="Arial" w:hAnsi="Arial" w:cs="Arial"/>
          <w:sz w:val="24"/>
          <w:szCs w:val="24"/>
        </w:rPr>
        <w:fldChar w:fldCharType="end"/>
      </w:r>
      <w:r w:rsidRPr="00AE52A4">
        <w:rPr>
          <w:rFonts w:ascii="Arial" w:eastAsia="Arial" w:hAnsi="Arial" w:cs="Arial"/>
          <w:sz w:val="24"/>
          <w:szCs w:val="24"/>
        </w:rPr>
        <w:t>, (</w:t>
      </w:r>
      <w:r w:rsidRPr="00AE52A4">
        <w:rPr>
          <w:rFonts w:ascii="Arial" w:eastAsia="Arial" w:hAnsi="Arial" w:cs="Arial"/>
          <w:i/>
          <w:sz w:val="24"/>
          <w:szCs w:val="24"/>
        </w:rPr>
        <w:t xml:space="preserve">b) </w:t>
      </w:r>
      <w:proofErr w:type="spellStart"/>
      <w:r w:rsidRPr="00AE52A4">
        <w:rPr>
          <w:rFonts w:ascii="Arial" w:eastAsia="Arial" w:hAnsi="Arial" w:cs="Arial"/>
          <w:i/>
          <w:sz w:val="24"/>
          <w:szCs w:val="24"/>
        </w:rPr>
        <w:t>Agresión</w:t>
      </w:r>
      <w:proofErr w:type="spellEnd"/>
      <w:r w:rsidRPr="00AE52A4">
        <w:rPr>
          <w:rFonts w:ascii="Arial" w:eastAsia="Arial" w:hAnsi="Arial" w:cs="Arial"/>
          <w:sz w:val="24"/>
          <w:szCs w:val="24"/>
        </w:rPr>
        <w:t xml:space="preserve"> (e.g., </w:t>
      </w:r>
      <w:proofErr w:type="spellStart"/>
      <w:r w:rsidRPr="00AE52A4">
        <w:rPr>
          <w:rFonts w:ascii="Arial" w:eastAsia="Arial" w:hAnsi="Arial" w:cs="Arial"/>
          <w:sz w:val="24"/>
          <w:szCs w:val="24"/>
        </w:rPr>
        <w:t>Joireman</w:t>
      </w:r>
      <w:proofErr w:type="spellEnd"/>
      <w:r w:rsidRPr="00AE52A4">
        <w:rPr>
          <w:rFonts w:ascii="Arial" w:eastAsia="Arial" w:hAnsi="Arial" w:cs="Arial"/>
          <w:sz w:val="24"/>
          <w:szCs w:val="24"/>
        </w:rPr>
        <w:t>, Becker, Barbosa-</w:t>
      </w:r>
      <w:proofErr w:type="spellStart"/>
      <w:r w:rsidRPr="00AE52A4">
        <w:rPr>
          <w:rFonts w:ascii="Arial" w:eastAsia="Arial" w:hAnsi="Arial" w:cs="Arial"/>
          <w:sz w:val="24"/>
          <w:szCs w:val="24"/>
        </w:rPr>
        <w:t>Leiker</w:t>
      </w:r>
      <w:proofErr w:type="spellEnd"/>
      <w:r w:rsidRPr="00AE52A4">
        <w:rPr>
          <w:rFonts w:ascii="Arial" w:eastAsia="Arial" w:hAnsi="Arial" w:cs="Arial"/>
          <w:sz w:val="24"/>
          <w:szCs w:val="24"/>
          <w:highlight w:val="white"/>
        </w:rPr>
        <w:t xml:space="preserve">, &amp; </w:t>
      </w:r>
      <w:proofErr w:type="spellStart"/>
      <w:r w:rsidRPr="00AE52A4">
        <w:rPr>
          <w:rFonts w:ascii="Arial" w:eastAsia="Arial" w:hAnsi="Arial" w:cs="Arial"/>
          <w:sz w:val="24"/>
          <w:szCs w:val="24"/>
          <w:highlight w:val="white"/>
        </w:rPr>
        <w:t>Duell</w:t>
      </w:r>
      <w:proofErr w:type="spellEnd"/>
      <w:r w:rsidRPr="00AE52A4">
        <w:rPr>
          <w:rFonts w:ascii="Arial" w:eastAsia="Arial" w:hAnsi="Arial" w:cs="Arial"/>
          <w:sz w:val="24"/>
          <w:szCs w:val="24"/>
          <w:highlight w:val="white"/>
        </w:rPr>
        <w:t xml:space="preserve">, 2005); </w:t>
      </w:r>
      <w:r w:rsidRPr="00AE52A4">
        <w:rPr>
          <w:rFonts w:ascii="Arial" w:eastAsia="Arial" w:hAnsi="Arial" w:cs="Arial"/>
          <w:i/>
          <w:sz w:val="24"/>
          <w:szCs w:val="24"/>
          <w:highlight w:val="white"/>
        </w:rPr>
        <w:t xml:space="preserve">(c) </w:t>
      </w:r>
      <w:proofErr w:type="spellStart"/>
      <w:r w:rsidRPr="00AE52A4">
        <w:rPr>
          <w:rFonts w:ascii="Arial" w:eastAsia="Arial" w:hAnsi="Arial" w:cs="Arial"/>
          <w:i/>
          <w:sz w:val="24"/>
          <w:szCs w:val="24"/>
          <w:highlight w:val="white"/>
        </w:rPr>
        <w:t>Comportamiento</w:t>
      </w:r>
      <w:proofErr w:type="spellEnd"/>
      <w:r w:rsidRPr="00AE52A4">
        <w:rPr>
          <w:rFonts w:ascii="Arial" w:eastAsia="Arial" w:hAnsi="Arial" w:cs="Arial"/>
          <w:i/>
          <w:sz w:val="24"/>
          <w:szCs w:val="24"/>
          <w:highlight w:val="white"/>
        </w:rPr>
        <w:t xml:space="preserve"> </w:t>
      </w:r>
      <w:proofErr w:type="spellStart"/>
      <w:r w:rsidRPr="00AE52A4">
        <w:rPr>
          <w:rFonts w:ascii="Arial" w:eastAsia="Arial" w:hAnsi="Arial" w:cs="Arial"/>
          <w:i/>
          <w:sz w:val="24"/>
          <w:szCs w:val="24"/>
          <w:highlight w:val="white"/>
        </w:rPr>
        <w:t>Organizacional</w:t>
      </w:r>
      <w:proofErr w:type="spellEnd"/>
      <w:r w:rsidRPr="00AE52A4">
        <w:rPr>
          <w:rFonts w:ascii="Arial" w:eastAsia="Arial" w:hAnsi="Arial" w:cs="Arial"/>
          <w:i/>
          <w:sz w:val="24"/>
          <w:szCs w:val="24"/>
          <w:highlight w:val="white"/>
        </w:rPr>
        <w:t xml:space="preserve"> Prosocial </w:t>
      </w:r>
      <w:r w:rsidRPr="00AE52A4">
        <w:rPr>
          <w:rFonts w:ascii="Arial" w:eastAsia="Arial" w:hAnsi="Arial" w:cs="Arial"/>
          <w:sz w:val="24"/>
          <w:szCs w:val="24"/>
          <w:highlight w:val="white"/>
        </w:rPr>
        <w:t xml:space="preserve">(e.g., </w:t>
      </w:r>
      <w:r w:rsidRPr="00AE52A4">
        <w:rPr>
          <w:rFonts w:ascii="Arial" w:eastAsia="Arial" w:hAnsi="Arial" w:cs="Arial"/>
          <w:sz w:val="24"/>
          <w:szCs w:val="24"/>
          <w:highlight w:val="white"/>
        </w:rPr>
        <w:fldChar w:fldCharType="begin" w:fldLock="1"/>
      </w:r>
      <w:r w:rsidRPr="00AE52A4">
        <w:rPr>
          <w:rFonts w:ascii="Arial" w:eastAsia="Arial" w:hAnsi="Arial" w:cs="Arial"/>
          <w:sz w:val="24"/>
          <w:szCs w:val="24"/>
          <w:highlight w:val="white"/>
        </w:rPr>
        <w:instrText>ADDIN CSL_CITATION {"citationItems":[{"id":"ITEM-1","itemData":{"DOI":"10.1016/j.obhdp.2012.04.004","ISBN":"0749-5978","ISSN":"07495978","abstract":"Prior research has yielded mixed findings regarding the relation of ostracism to prosocial behavior, with studies indicating ostracism leads people to become less prosocial, more prosocial, or that prosocial behavior is unaffected by workplace ostracism. By conceptualizing prosocial behavior at work as a social dilemma, we hypothesized that whether or not individuals reduce prosocial behaviors following ostracism can be understood by how individuals manage the conflict between the immediate temptation to treat others poorly and the long-term benefits of not giving into such temptations. Across three studies – a scenario (Study 1), experimental (Study 2), and field study on employed adults (Study 3) – we find support for the hypothesis that individuals who are less (versus more) oriented towards future outcomes engage in less prosocial behaviors with others who have ostracized them during prior interactions. We discuss both the practical and theoretical implications of these findings.","author":[{"dropping-particle":"","family":"Balliet","given":"Daniel","non-dropping-particle":"","parse-names":false,"suffix":""},{"dropping-particle":"","family":"Ferris","given":"D.Lance","non-dropping-particle":"","parse-names":false,"suffix":""}],"container-title":"Organizational Behavior and Human Decision Processes","id":"ITEM-1","issue":"2","issued":{"date-parts":[["2013"]]},"page":"298-308","publisher":"Elsevier Inc.","title":"Ostracism and prosocial behavior: A social dilemma perspective","type":"article-journal","volume":"120"},"uris":["http://www.mendeley.com/documents/?uuid=a3801247-b76b-4011-99cf-e495c8f59615"]}],"mendeley":{"formattedCitation":"(Balliet &amp; Ferris, 2013)","manualFormatting":"Balliet &amp; Ferris, 2013)","plainTextFormattedCitation":"(Balliet &amp; Ferris, 2013)","previouslyFormattedCitation":"(Balliet &amp; Ferris, 2013)"},"properties":{"noteIndex":0},"schema":"https://github.com/citation-style-language/schema/raw/master/csl-citation.json"}</w:instrText>
      </w:r>
      <w:r w:rsidRPr="00AE52A4">
        <w:rPr>
          <w:rFonts w:ascii="Arial" w:eastAsia="Arial" w:hAnsi="Arial" w:cs="Arial"/>
          <w:sz w:val="24"/>
          <w:szCs w:val="24"/>
          <w:highlight w:val="white"/>
        </w:rPr>
        <w:fldChar w:fldCharType="separate"/>
      </w:r>
      <w:r w:rsidRPr="00AE52A4">
        <w:rPr>
          <w:rFonts w:ascii="Arial" w:eastAsia="Arial" w:hAnsi="Arial" w:cs="Arial"/>
          <w:noProof/>
          <w:sz w:val="24"/>
          <w:szCs w:val="24"/>
          <w:highlight w:val="white"/>
        </w:rPr>
        <w:t>Balliet &amp; Ferris, 2013)</w:t>
      </w:r>
      <w:r w:rsidRPr="00AE52A4">
        <w:rPr>
          <w:rFonts w:ascii="Arial" w:eastAsia="Arial" w:hAnsi="Arial" w:cs="Arial"/>
          <w:sz w:val="24"/>
          <w:szCs w:val="24"/>
          <w:highlight w:val="white"/>
        </w:rPr>
        <w:fldChar w:fldCharType="end"/>
      </w:r>
      <w:r w:rsidRPr="00AE52A4">
        <w:rPr>
          <w:rFonts w:ascii="Arial" w:eastAsia="Arial" w:hAnsi="Arial" w:cs="Arial"/>
          <w:sz w:val="24"/>
          <w:szCs w:val="24"/>
          <w:highlight w:val="white"/>
        </w:rPr>
        <w:t xml:space="preserve"> y </w:t>
      </w:r>
      <w:r w:rsidRPr="00AE52A4">
        <w:rPr>
          <w:rFonts w:ascii="Arial" w:eastAsia="Arial" w:hAnsi="Arial" w:cs="Arial"/>
          <w:i/>
          <w:sz w:val="24"/>
          <w:szCs w:val="24"/>
          <w:highlight w:val="white"/>
        </w:rPr>
        <w:t xml:space="preserve">(d) </w:t>
      </w:r>
      <w:proofErr w:type="spellStart"/>
      <w:r w:rsidRPr="00AE52A4">
        <w:rPr>
          <w:rFonts w:ascii="Arial" w:eastAsia="Arial" w:hAnsi="Arial" w:cs="Arial"/>
          <w:i/>
          <w:sz w:val="24"/>
          <w:szCs w:val="24"/>
          <w:highlight w:val="white"/>
        </w:rPr>
        <w:t>Actitudes</w:t>
      </w:r>
      <w:proofErr w:type="spellEnd"/>
      <w:r w:rsidRPr="00AE52A4">
        <w:rPr>
          <w:rFonts w:ascii="Arial" w:eastAsia="Arial" w:hAnsi="Arial" w:cs="Arial"/>
          <w:i/>
          <w:sz w:val="24"/>
          <w:szCs w:val="24"/>
          <w:highlight w:val="white"/>
        </w:rPr>
        <w:t xml:space="preserve"> y </w:t>
      </w:r>
      <w:proofErr w:type="spellStart"/>
      <w:r w:rsidRPr="00AE52A4">
        <w:rPr>
          <w:rFonts w:ascii="Arial" w:eastAsia="Arial" w:hAnsi="Arial" w:cs="Arial"/>
          <w:i/>
          <w:sz w:val="24"/>
          <w:szCs w:val="24"/>
          <w:highlight w:val="white"/>
        </w:rPr>
        <w:t>conductas</w:t>
      </w:r>
      <w:proofErr w:type="spellEnd"/>
      <w:r w:rsidRPr="00AE52A4">
        <w:rPr>
          <w:rFonts w:ascii="Arial" w:eastAsia="Arial" w:hAnsi="Arial" w:cs="Arial"/>
          <w:i/>
          <w:sz w:val="24"/>
          <w:szCs w:val="24"/>
          <w:highlight w:val="white"/>
        </w:rPr>
        <w:t xml:space="preserve"> </w:t>
      </w:r>
      <w:proofErr w:type="spellStart"/>
      <w:r w:rsidRPr="00AE52A4">
        <w:rPr>
          <w:rFonts w:ascii="Arial" w:eastAsia="Arial" w:hAnsi="Arial" w:cs="Arial"/>
          <w:i/>
          <w:sz w:val="24"/>
          <w:szCs w:val="24"/>
          <w:highlight w:val="white"/>
        </w:rPr>
        <w:t>proambientales</w:t>
      </w:r>
      <w:proofErr w:type="spellEnd"/>
      <w:r w:rsidRPr="00AE52A4">
        <w:rPr>
          <w:rFonts w:ascii="Arial" w:eastAsia="Arial" w:hAnsi="Arial" w:cs="Arial"/>
          <w:sz w:val="24"/>
          <w:szCs w:val="24"/>
          <w:highlight w:val="white"/>
        </w:rPr>
        <w:t xml:space="preserve"> (e.g., </w:t>
      </w:r>
      <w:r w:rsidRPr="00AE52A4">
        <w:rPr>
          <w:rFonts w:ascii="Arial" w:eastAsia="Arial" w:hAnsi="Arial" w:cs="Arial"/>
          <w:sz w:val="24"/>
          <w:szCs w:val="24"/>
          <w:highlight w:val="white"/>
        </w:rPr>
        <w:fldChar w:fldCharType="begin" w:fldLock="1"/>
      </w:r>
      <w:r w:rsidRPr="00AE52A4">
        <w:rPr>
          <w:rFonts w:ascii="Arial" w:eastAsia="Arial" w:hAnsi="Arial" w:cs="Arial"/>
          <w:sz w:val="24"/>
          <w:szCs w:val="24"/>
          <w:highlight w:val="white"/>
        </w:rPr>
        <w:instrText>ADDIN CSL_CITATION {"citationItems":[{"id":"ITEM-1","itemData":{"DOI":"10.1111/j.1559-1816.1997.tb01626.x","ISBN":"1559-1816","ISSN":"0021-9029","abstract":"In an examination of environmentally related behavior, the health belief model (HBM) was applied to the recycling behavior of a random samp</w:instrText>
      </w:r>
      <w:r w:rsidRPr="00533A51">
        <w:rPr>
          <w:rFonts w:ascii="Arial" w:eastAsia="Arial" w:hAnsi="Arial" w:cs="Arial"/>
          <w:sz w:val="24"/>
          <w:szCs w:val="24"/>
          <w:highlight w:val="white"/>
          <w:lang w:val="es-UY"/>
        </w:rPr>
        <w:instrText>le of Missouri residents. The results indicated that both the basic and modified versions of the HBM significantly predict recycling behavior; significant predictors include perceived barriers, perceived likelihood of negative outcomes due to failure to recycle, self-efficacy, and consideration of future consequences. These findings are consistent with applications of the HBM to health-related actions. The poor performance of several variables provides evidence of the psychological processes underlying decisions to recycle.","author":[{"dropping-particle":"","family":"Lindsay","given":"James J.","non-dropping-particle":"","parse-names":false,"suffix":""},{"dropping-particle":"","family":"Strathman","given":"Alan","non-dropping-particle":"","parse-names":false,"suffix":""}],"container-title":"Journal of Applied Social Psychology","id":"ITEM-1","issue":"20","issued":{"date-parts":[["1997","10"]]},"page":"1799-1823","title":"Predictors of Recycling Behavior: An Application of a Modified Health Belief Model","type":"article-journal","volume":"27"},"uris":["http://www.mendeley.com/documents/?uuid=678cc55e-96b7-433a-</w:instrText>
      </w:r>
      <w:r w:rsidRPr="00AE52A4">
        <w:rPr>
          <w:rFonts w:ascii="Arial" w:eastAsia="Arial" w:hAnsi="Arial" w:cs="Arial"/>
          <w:sz w:val="24"/>
          <w:szCs w:val="24"/>
          <w:highlight w:val="white"/>
          <w:lang w:val="es-UY"/>
        </w:rPr>
        <w:instrText>aa8b-e7ee7d68f7d3"]}],"mendeley":{"formattedCitation":"(Lindsay &amp; Strathman, 1997)","manualFormatting":"Lindsay &amp; Strathman, 1997)","plainTextFormattedCitation":"(Lindsay &amp; Strathman, 1997)","previouslyFormattedCitation":"(Lindsay &amp; Strathman, 1997)"},"properties":{"noteIndex":0},"schema":"https://github.com/citation-style-language/schema/raw/master/csl-citation.json"}</w:instrText>
      </w:r>
      <w:r w:rsidRPr="00AE52A4">
        <w:rPr>
          <w:rFonts w:ascii="Arial" w:eastAsia="Arial" w:hAnsi="Arial" w:cs="Arial"/>
          <w:sz w:val="24"/>
          <w:szCs w:val="24"/>
          <w:highlight w:val="white"/>
        </w:rPr>
        <w:fldChar w:fldCharType="separate"/>
      </w:r>
      <w:r w:rsidRPr="00AE52A4">
        <w:rPr>
          <w:rFonts w:ascii="Arial" w:eastAsia="Arial" w:hAnsi="Arial" w:cs="Arial"/>
          <w:noProof/>
          <w:sz w:val="24"/>
          <w:szCs w:val="24"/>
          <w:highlight w:val="white"/>
          <w:lang w:val="es-UY"/>
        </w:rPr>
        <w:t>Lindsay &amp; Strathman, 1997)</w:t>
      </w:r>
      <w:r w:rsidRPr="00AE52A4">
        <w:rPr>
          <w:rFonts w:ascii="Arial" w:eastAsia="Arial" w:hAnsi="Arial" w:cs="Arial"/>
          <w:sz w:val="24"/>
          <w:szCs w:val="24"/>
          <w:highlight w:val="white"/>
        </w:rPr>
        <w:fldChar w:fldCharType="end"/>
      </w:r>
      <w:r w:rsidRPr="00AE52A4">
        <w:rPr>
          <w:rFonts w:ascii="Arial" w:eastAsia="Arial" w:hAnsi="Arial" w:cs="Arial"/>
          <w:sz w:val="24"/>
          <w:szCs w:val="24"/>
          <w:highlight w:val="white"/>
          <w:lang w:val="es-UY"/>
        </w:rPr>
        <w:t xml:space="preserve">. En relación al primer dominio, los comportamientos relacionados al cuidado de la salud implican costos inmediatos en términos de tiempo, dinero y diversas gratificaciones dejadas de lado para lograr beneficios a largo plazo </w:t>
      </w:r>
      <w:r w:rsidRPr="00AE52A4">
        <w:rPr>
          <w:rFonts w:ascii="Arial" w:eastAsia="Arial" w:hAnsi="Arial" w:cs="Arial"/>
          <w:sz w:val="24"/>
          <w:szCs w:val="24"/>
          <w:highlight w:val="white"/>
        </w:rPr>
        <w:fldChar w:fldCharType="begin" w:fldLock="1"/>
      </w:r>
      <w:r w:rsidRPr="00AE52A4">
        <w:rPr>
          <w:rFonts w:ascii="Arial" w:eastAsia="Arial" w:hAnsi="Arial" w:cs="Arial"/>
          <w:sz w:val="24"/>
          <w:szCs w:val="24"/>
          <w:highlight w:val="white"/>
          <w:lang w:val="es-UY"/>
        </w:rPr>
        <w:instrText>ADDIN CSL_CITATION {"citationItems":[{"id":"ITEM-1","itemData":{"DOI":"10.1037/a0025790","ISBN":"1930-7810 (Electronic)\\n0278-6133 (Linking)","ISSN":"1930-7810","PMID":"22103393","abstract":"OBJECTIVE: Health-related behaviors often involve immediate costs to achieve long-term benefits. How one considers the future outcomes of present day behaviors (e.g., temporal orientation) may play a role in engagement in healthy behaviors. The Consideration of Future Consequences Scale (CFCS) measures temporal orientation on a unidimensional continuum. Recently, 2 subscales of the CFCS have been reported: immediate (CFC-I) and future (CFC-F) consequences. These support a multidimensional conceptualization of temporal orientation. Confirmatory factor analysis was performed on CFCS data. The associations between 2 health-related variables [smoking and body mass index (BMI)] and each subscale were then explored, controlling for sociodemographic variables. METHOD: A random sample of 2,000 individuals aged 18 years or over was selected from the edited electoral role for one English city and sent a postal questionnaire, including the CFCS and questions on age, gender, socioeconomic position, and self-reported current smoking status and BMI. RESULTS: Complete data was provided by 800 participants (response rate = 40.0%). The 2-factor model fitted CFCS data better than the 1-factor model. In multiple linear regression, CFC-I was positively associated with BMI, B (95% confidence interval [CI]) = 0.47 (0.06 to 0.88), p = .025; and odds of being a current smoker, odds ratio (95% CI) = 1.28 (1.02 to 1.60), p = .035; CFC-F was not associated with health-related variables. CONCLUSIONS: These data support the multidimensional conceptualization of temporal orientation. Consideration of immediate consequences may be a more important determinant of health-related behaviors than consideration of future consequences.","author":[{"dropping-particle":"","family":"Adams","given":"Jean","non-dropping-particle":"","parse-names":false,"suffix":""}],"container-title":"Health Psychology","id":"ITEM-1","issue":"2","issued":{"date-parts":[["2012"]]},"note":"ME sirve para hablar de la salud","page":"260-263","title":"Consideration of immediate and future consequences, smoking status, and body mass index.","type":"article-journal","volume":"31"},"uris":["http://www.mendeley.com/documents/?uuid=236f3657-c44e-4c65-9782-6f3a49cf2cb4"]}],"mendeley":{"formattedCitation":"(Adams, 2012)","plainTextFormattedCitation":"(Adams, 2012)","previouslyFormattedCitation":"(Adams, 2012)"},"properties":{"noteIndex":0},"schema":"https://github.com/citation-style-language/schema/raw/master/csl-citation.json"}</w:instrText>
      </w:r>
      <w:r w:rsidRPr="00AE52A4">
        <w:rPr>
          <w:rFonts w:ascii="Arial" w:eastAsia="Arial" w:hAnsi="Arial" w:cs="Arial"/>
          <w:sz w:val="24"/>
          <w:szCs w:val="24"/>
          <w:highlight w:val="white"/>
        </w:rPr>
        <w:fldChar w:fldCharType="separate"/>
      </w:r>
      <w:r w:rsidRPr="00AE52A4">
        <w:rPr>
          <w:rFonts w:ascii="Arial" w:eastAsia="Arial" w:hAnsi="Arial" w:cs="Arial"/>
          <w:noProof/>
          <w:sz w:val="24"/>
          <w:szCs w:val="24"/>
          <w:highlight w:val="white"/>
          <w:lang w:val="es-UY"/>
        </w:rPr>
        <w:t>(Adams, 2012)</w:t>
      </w:r>
      <w:r w:rsidRPr="00AE52A4">
        <w:rPr>
          <w:rFonts w:ascii="Arial" w:eastAsia="Arial" w:hAnsi="Arial" w:cs="Arial"/>
          <w:sz w:val="24"/>
          <w:szCs w:val="24"/>
          <w:highlight w:val="white"/>
        </w:rPr>
        <w:fldChar w:fldCharType="end"/>
      </w:r>
      <w:r w:rsidRPr="00AE52A4">
        <w:rPr>
          <w:rFonts w:ascii="Arial" w:eastAsia="Arial" w:hAnsi="Arial" w:cs="Arial"/>
          <w:sz w:val="24"/>
          <w:szCs w:val="24"/>
          <w:highlight w:val="white"/>
          <w:lang w:val="es-UY"/>
        </w:rPr>
        <w:t xml:space="preserve">. Es así que la forma en que un individuo considere y anticipe los resultados futuros incide en los comportamientos saludables que realice. En relación a este punto, se ha comprobado que mayor orientación al futuro se asocia a menor frecuencia de </w:t>
      </w:r>
      <w:r w:rsidRPr="00AE52A4">
        <w:rPr>
          <w:rFonts w:ascii="Arial" w:eastAsia="Arial" w:hAnsi="Arial" w:cs="Arial"/>
          <w:sz w:val="24"/>
          <w:szCs w:val="24"/>
          <w:highlight w:val="white"/>
          <w:lang w:val="es-UY"/>
        </w:rPr>
        <w:lastRenderedPageBreak/>
        <w:t xml:space="preserve">consumo de sustancias psicoactivas, consumo de tabaco y bebidas alcohólicas </w:t>
      </w:r>
      <w:r w:rsidRPr="00AE52A4">
        <w:rPr>
          <w:rFonts w:ascii="Arial" w:eastAsia="Arial" w:hAnsi="Arial" w:cs="Arial"/>
          <w:sz w:val="24"/>
          <w:szCs w:val="24"/>
          <w:highlight w:val="white"/>
        </w:rPr>
        <w:fldChar w:fldCharType="begin" w:fldLock="1"/>
      </w:r>
      <w:r w:rsidRPr="00AE52A4">
        <w:rPr>
          <w:rFonts w:ascii="Arial" w:eastAsia="Arial" w:hAnsi="Arial" w:cs="Arial"/>
          <w:sz w:val="24"/>
          <w:szCs w:val="24"/>
          <w:highlight w:val="white"/>
          <w:lang w:val="es-UY"/>
        </w:rPr>
        <w:instrText>ADDIN CSL_CITATION {"citationItems":[{"id":"ITEM-1","itemData":{"DOI":"10.1016/j.paid.2009.10.007","ISBN":"0191-8869","ISSN":"01918869","abstract":"Delay discounting, a willingness to postpone receiving an immediate reward in order to gain additional benefits in the future, is conceptually related to time perspective, the cognitive processes which filter temporal information and influence behavior. One measure of delay discounting (Money Choice Questionnaire) and two measures of time perspective (Consideration of Future Consequences Scale and Zimbardo Time Perspective Inventory) were compared in this study to each other and to self-reported health behaviors with 467 undergraduates. Delay discounting and time perspective significantly improved the incremental prediction of tobacco, alcohol, and drug use, exercise frequency, eating breakfast, wearing a safety belt, estimated longevity, health concerns, and sociosexual orientation above and beyond sex and Big Five traits. These results further suggest that delay discounting and time perspective are indeed similar but also non-redundant constructs that are not reducible to global personality. © 2009 Elsevier Ltd.","author":[{"dropping-particle":"","family":"Daugherty","given":"James R.","non-dropping-particle":"","parse-names":false,"suffix":""},{"d</w:instrText>
      </w:r>
      <w:r w:rsidRPr="00AE52A4">
        <w:rPr>
          <w:rFonts w:ascii="Arial" w:eastAsia="Arial" w:hAnsi="Arial" w:cs="Arial"/>
          <w:sz w:val="24"/>
          <w:szCs w:val="24"/>
          <w:highlight w:val="white"/>
        </w:rPr>
        <w:instrText>ropping-particle":"","family":"Brase","given":"Gary L.","non-dropping-particle":"","parse-names":false,"suffix":""}],"container-title":"Personality and Individual Differences","id":"ITEM-1","issue":"2","issued":{"date-parts":[["2010","1"]]},"page":"202-207","title":"Taking time to be healthy: Predicting health behaviors with delay discounting and time perspective","type":"article-newspaper","volume":"48"},"uris":["http://www.mendeley.com/documents/?uuid=e24162e6-b178-4795-9375-5a0386843052"]},{"id":"ITEM-2","itemData":{"DOI":"10.1037/a0025790","ISBN":"1930-7810 (Electronic)\\n0278-6133 (Linking)","ISSN":"1930-7810","PMID":"22103393","abstract":"OBJECTIVE: Health-related behaviors often involve immediate costs to achieve long-term benefits. How one considers the future outcomes of present day behaviors (e.g., temporal orientation) may play a role in engagement in healthy behaviors. The Consideration of Future Consequences Scale (CFCS) measures temporal orientation on a unidimensional continuum. Recently, 2 subscales of the CFCS have been reported: immediate (CFC-I) and future (CFC-F) consequences. These support a multidimensional conceptualization of temporal orientation. Confirmatory factor analysis was performed on CFCS data. The associations between 2 health-related variables [smoking and body mass index (BMI)] and each subscale were then explored, controlling for sociodemographic variables. METHOD: A random sample of 2,000 individuals aged 18 years or over was selected from the edited electoral role for one English city and sent a postal questionnaire, including the CFCS and questions on age, gender, socioeconomic position, and self-reported current smoking status and BMI. RESULTS: Complete data was</w:instrText>
      </w:r>
      <w:r w:rsidRPr="00AE52A4">
        <w:rPr>
          <w:rFonts w:ascii="Arial" w:eastAsia="Arial" w:hAnsi="Arial" w:cs="Arial"/>
          <w:sz w:val="24"/>
          <w:szCs w:val="24"/>
          <w:highlight w:val="white"/>
          <w:lang w:val="es-UY"/>
        </w:rPr>
        <w:instrText xml:space="preserve"> provided by 800 participants (response rate = 40.0%). The 2-factor model fitted CFCS data better than the 1-factor model. In multiple linear regression, CFC-I was positively associated with BMI, B (95% confidence interval [CI]) = 0.47 (0.06 to 0.88), p = .025; and odds of being a current smoker, odds ratio (95% CI) = 1.28 (1.02 to 1.60), p = .035; CFC-F was not associated with health-related variables. CONCLUSIONS: These data support the multidimensional conceptualization of temporal orientation. Consideration of immediate consequences may be a more important determinant of health-related behaviors than consideration of future consequences.","author":[{"dropping-particle":"","family":"Adams","given":"Jean","non-dropping-particle":"","parse-names":false,"suffix":""}],"container-title":"Health Psychology","id":"ITEM-2","issue":"2","issued":{"date-parts":[["2012"]]},"note":"ME sirve para hablar de la salud","page":"260-263","title":"Consideration of immediate and future consequences, smoking status, and body mass index.","type":"article-journal","volume":"31"},"uris":["http://www.mendeley.com/documents/?uuid=236f3657-c44e-4c65-9782-6f3a49cf2cb4"]}],"mendeley":{"formattedCitation":"(Adams, 2012; Daugherty &amp; Brase, 2010)","plainTextFormattedCitation":"(Adams, 2012; Daugherty &amp; Brase, 2010)","previouslyFormattedCitation":"(Adams, 2012; Daugherty &amp; Brase, 2010)"},"properties":{"noteIndex":0},"schema":"https://github.com/citation-style-language/schema/raw/master/csl-citation.json"}</w:instrText>
      </w:r>
      <w:r w:rsidRPr="00AE52A4">
        <w:rPr>
          <w:rFonts w:ascii="Arial" w:eastAsia="Arial" w:hAnsi="Arial" w:cs="Arial"/>
          <w:sz w:val="24"/>
          <w:szCs w:val="24"/>
          <w:highlight w:val="white"/>
        </w:rPr>
        <w:fldChar w:fldCharType="separate"/>
      </w:r>
      <w:r w:rsidRPr="00AE52A4">
        <w:rPr>
          <w:rFonts w:ascii="Arial" w:eastAsia="Arial" w:hAnsi="Arial" w:cs="Arial"/>
          <w:noProof/>
          <w:sz w:val="24"/>
          <w:szCs w:val="24"/>
          <w:highlight w:val="white"/>
          <w:lang w:val="es-UY"/>
        </w:rPr>
        <w:t>(Adams, 2012; Daugherty &amp; Brase, 2010)</w:t>
      </w:r>
      <w:r w:rsidRPr="00AE52A4">
        <w:rPr>
          <w:rFonts w:ascii="Arial" w:eastAsia="Arial" w:hAnsi="Arial" w:cs="Arial"/>
          <w:sz w:val="24"/>
          <w:szCs w:val="24"/>
          <w:highlight w:val="white"/>
        </w:rPr>
        <w:fldChar w:fldCharType="end"/>
      </w:r>
      <w:r w:rsidRPr="00AE52A4">
        <w:rPr>
          <w:rFonts w:ascii="Arial" w:eastAsia="Arial" w:hAnsi="Arial" w:cs="Arial"/>
          <w:sz w:val="24"/>
          <w:szCs w:val="24"/>
          <w:highlight w:val="white"/>
          <w:lang w:val="es-UY"/>
        </w:rPr>
        <w:t xml:space="preserve">. A su vez, se ha evidenciado el poder predictivo de la CCF sobre el consumo de sustancias psicoactivas (e.g.:  </w:t>
      </w:r>
      <w:r w:rsidRPr="00AE52A4">
        <w:rPr>
          <w:rFonts w:ascii="Arial" w:eastAsia="Arial" w:hAnsi="Arial" w:cs="Arial"/>
          <w:sz w:val="24"/>
          <w:szCs w:val="24"/>
          <w:highlight w:val="white"/>
        </w:rPr>
        <w:fldChar w:fldCharType="begin" w:fldLock="1"/>
      </w:r>
      <w:r w:rsidRPr="00AE52A4">
        <w:rPr>
          <w:rFonts w:ascii="Arial" w:eastAsia="Arial" w:hAnsi="Arial" w:cs="Arial"/>
          <w:sz w:val="24"/>
          <w:szCs w:val="24"/>
          <w:highlight w:val="white"/>
          <w:lang w:val="es-UY"/>
        </w:rPr>
        <w:instrText>ADDIN CSL_CITATION {"citationItems":[{"id":"ITEM-1","itemData":{"DOI":"10.1016/j.paid.2016.03.097","ISSN":"01918869","abstract":"Researchers have proposed 1-factor, 2-factor, and bifactor solutions to the 12-item Consideration of Future Consequences Scale (CFCS-12). In order to overcome some measurement problems and to create a robust and conceptually useful two-factor scale the CFCS-12 was recently modified to include two new items and to become the CFCS-14. Using a University sample, we tested four competing models for the CFCS-14: (a) a 12-item unidimensional model, (b) a model fitted for two uncorrelated factors (CFC-Immediate and CFC-Future), (c) a model fitted for two correlated factors (CFC-I and CFC-F), and (d) a bifactor model. Results suggested that the addition of the two new items has strengthened the viability of a two factor solution of the CFCS-14. Results of linear regression models suggest that the CFC-F factor is redundant. Further studies using alcohol and mental health indicators are required to test this redundancy.","author":[{"dropping-particle":"","family":"McKay","given":"Michael T.","non-dropping-particle":"","parse-names":false,"suffix":""},{"dropping-particle":"","family":"Perry","given":"John L.","non-dropping-particle":"","parse-names":false,"suffix":""},{"dropping-particle":"","family":"Percy","given":"Andrew","non-dropping-particle":""</w:instrText>
      </w:r>
      <w:r w:rsidRPr="0008108E">
        <w:rPr>
          <w:rFonts w:ascii="Arial" w:eastAsia="Arial" w:hAnsi="Arial" w:cs="Arial"/>
          <w:sz w:val="24"/>
          <w:szCs w:val="24"/>
          <w:highlight w:val="white"/>
          <w:lang w:val="es-UY"/>
        </w:rPr>
        <w:instrText>,"parse-names":false,"suffix":""},{"dropping-particle":"","family":"Cole","given":"Jon C.","non-dropping-pa</w:instrText>
      </w:r>
      <w:r w:rsidRPr="00AE52A4">
        <w:rPr>
          <w:rFonts w:ascii="Arial" w:eastAsia="Arial" w:hAnsi="Arial" w:cs="Arial"/>
          <w:sz w:val="24"/>
          <w:szCs w:val="24"/>
          <w:highlight w:val="white"/>
        </w:rPr>
        <w:instrText>rticle":"","parse-names":false,"suffix":""}],"container-title":"Personality and Individual Differences","id":"ITEM-1","issued":{"date-parts":[["2016","8"]]},"page":"133-136","publisher":"Elsevier Ltd","title":"Evidence for the reliability and validity, but not the practical utility of the two-factor Consideration of Future Consequences Scale-14"</w:instrText>
      </w:r>
      <w:r w:rsidRPr="00AE52A4">
        <w:rPr>
          <w:rFonts w:ascii="Arial" w:eastAsia="Arial" w:hAnsi="Arial" w:cs="Arial"/>
          <w:sz w:val="24"/>
          <w:szCs w:val="24"/>
          <w:highlight w:val="white"/>
          <w:lang w:val="es-UY"/>
        </w:rPr>
        <w:instrText>,"type":"article-journal","volume":"98"},"uris":["http://www.mendeley.com/documents/?uuid=ec0cf733-f051-4303-947f-d5e6b773f299"]},{"id":"ITEM-2","itemData":{"DOI":"10.1007/s12144-018-9819-5","ISSN":"1046-1310","author":[{"dropping-particle":"","family":"Percy","given":"Andrew","non-dropping-particle":"","parse-names":false,"suffix":""},{"dropping-particle":"","family":"McKay","given":"Michael T.","non-dropping-particle":"","parse-names":false,"suffix":""},{"dropping-particle":"","family":"Perry","given":"John L","non-dropping-particle":"","parse-names":false,"suffix":""},{"dropping-particle":"","family":"Cole","given":"Jon C","non-dropping-particle":"","parse-names":false,"suffix":""}],"container-title":"Current Psychology","id":"ITEM-2","issued":{"date-parts":[["2018","3","7"]]},"publisher":"Current Psychology","title":"Refining the clinical application of the consideration of future consequences scale -14","type":"article-journal"},"uris":["http://www.mendeley.com/documents/?uuid=047bc673-077d-426c-9b16-3d944bc0da67"]}],"mendeley":{"formattedCitation":"(McKay et al., 2016; Percy, McKay, Perry, &amp; Cole, 2018)","manualFormatting":"McKay et al., 2016; Percy, McKay, Perry, &amp; Cole, 2018)","plainTextFormattedCitation":"(McKay et al., 2016; Percy, McKay, Perry, &amp; Cole, 2018)","previouslyFormattedCitation":"(McKay et al., 2016; Percy, McKay, Perry, &amp; Cole, 2018)"},"properties":{"noteIndex":0},"schema":"https://github.com/citation-style-language/schema/raw/master/csl-citation.json"}</w:instrText>
      </w:r>
      <w:r w:rsidRPr="00AE52A4">
        <w:rPr>
          <w:rFonts w:ascii="Arial" w:eastAsia="Arial" w:hAnsi="Arial" w:cs="Arial"/>
          <w:sz w:val="24"/>
          <w:szCs w:val="24"/>
          <w:highlight w:val="white"/>
        </w:rPr>
        <w:fldChar w:fldCharType="separate"/>
      </w:r>
      <w:r w:rsidRPr="00AE52A4">
        <w:rPr>
          <w:rFonts w:ascii="Arial" w:eastAsia="Arial" w:hAnsi="Arial" w:cs="Arial"/>
          <w:noProof/>
          <w:sz w:val="24"/>
          <w:szCs w:val="24"/>
          <w:highlight w:val="white"/>
          <w:lang w:val="es-UY"/>
        </w:rPr>
        <w:t>McKay et al., 2016; Percy, McKay, Perry, &amp; Cole, 2018)</w:t>
      </w:r>
      <w:r w:rsidRPr="00AE52A4">
        <w:rPr>
          <w:rFonts w:ascii="Arial" w:eastAsia="Arial" w:hAnsi="Arial" w:cs="Arial"/>
          <w:sz w:val="24"/>
          <w:szCs w:val="24"/>
          <w:highlight w:val="white"/>
        </w:rPr>
        <w:fldChar w:fldCharType="end"/>
      </w:r>
      <w:r w:rsidRPr="00AE52A4">
        <w:rPr>
          <w:rFonts w:ascii="Arial" w:eastAsia="Arial" w:hAnsi="Arial" w:cs="Arial"/>
          <w:sz w:val="24"/>
          <w:szCs w:val="24"/>
          <w:highlight w:val="white"/>
          <w:lang w:val="es-UY"/>
        </w:rPr>
        <w:t>.</w:t>
      </w:r>
    </w:p>
    <w:p w14:paraId="27152E38" w14:textId="77777777" w:rsidR="00BD409A" w:rsidRPr="00AE52A4" w:rsidRDefault="00BD409A" w:rsidP="00731076">
      <w:pPr>
        <w:spacing w:line="240" w:lineRule="auto"/>
        <w:ind w:firstLine="709"/>
        <w:jc w:val="both"/>
        <w:rPr>
          <w:rFonts w:ascii="Arial" w:eastAsia="Arial" w:hAnsi="Arial" w:cs="Arial"/>
          <w:sz w:val="24"/>
          <w:szCs w:val="24"/>
          <w:highlight w:val="white"/>
          <w:lang w:val="es-UY"/>
        </w:rPr>
      </w:pPr>
    </w:p>
    <w:p w14:paraId="729AF049" w14:textId="77777777" w:rsidR="00BD409A" w:rsidRPr="00AE52A4" w:rsidRDefault="00BD409A" w:rsidP="00731076">
      <w:pPr>
        <w:spacing w:line="240" w:lineRule="auto"/>
        <w:jc w:val="both"/>
        <w:rPr>
          <w:rFonts w:ascii="Arial" w:eastAsia="Arial" w:hAnsi="Arial" w:cs="Arial"/>
          <w:b/>
          <w:sz w:val="24"/>
          <w:szCs w:val="24"/>
          <w:highlight w:val="white"/>
          <w:lang w:val="es-UY"/>
        </w:rPr>
      </w:pPr>
      <w:r w:rsidRPr="00AE52A4">
        <w:rPr>
          <w:rFonts w:ascii="Arial" w:eastAsia="Arial" w:hAnsi="Arial" w:cs="Arial"/>
          <w:b/>
          <w:sz w:val="24"/>
          <w:szCs w:val="24"/>
          <w:highlight w:val="white"/>
          <w:lang w:val="es-UY"/>
        </w:rPr>
        <w:t>Este estudio</w:t>
      </w:r>
    </w:p>
    <w:p w14:paraId="3D010779" w14:textId="77777777" w:rsidR="00BD409A" w:rsidRPr="00AE52A4" w:rsidRDefault="00BD409A" w:rsidP="00731076">
      <w:pPr>
        <w:spacing w:line="240" w:lineRule="auto"/>
        <w:ind w:firstLine="709"/>
        <w:jc w:val="both"/>
        <w:rPr>
          <w:rFonts w:ascii="Arial" w:eastAsia="Arial" w:hAnsi="Arial" w:cs="Arial"/>
          <w:sz w:val="24"/>
          <w:szCs w:val="24"/>
          <w:highlight w:val="white"/>
          <w:lang w:val="es-UY"/>
        </w:rPr>
      </w:pPr>
      <w:r w:rsidRPr="00AE52A4">
        <w:rPr>
          <w:rFonts w:ascii="Arial" w:eastAsia="Arial" w:hAnsi="Arial" w:cs="Arial"/>
          <w:sz w:val="24"/>
          <w:szCs w:val="24"/>
          <w:highlight w:val="white"/>
          <w:lang w:val="es-UY"/>
        </w:rPr>
        <w:t xml:space="preserve">Utilizando datos de una muestra representativa de Montevideo (Uruguay) este trabajo tiene cuatro objetivos. El primero es evaluar la estructura factorial y la confiabilidad de la ECCF-14. Hasta ahora, no se conocen estudios que reporten estas propiedades psicométricas utilizando muestras representativas, ni en su versión en español, ni a nivel internacional. En base a la literatura previa, esperamos confirmar la solución de dos factores correlacionados y niveles de confiabilidad superiores a .70. </w:t>
      </w:r>
    </w:p>
    <w:p w14:paraId="6B88769C" w14:textId="77777777" w:rsidR="00BD409A" w:rsidRPr="00AE52A4" w:rsidRDefault="00BD409A" w:rsidP="00731076">
      <w:pPr>
        <w:spacing w:line="240" w:lineRule="auto"/>
        <w:ind w:firstLine="709"/>
        <w:jc w:val="both"/>
        <w:rPr>
          <w:rFonts w:ascii="Arial" w:eastAsia="Arial" w:hAnsi="Arial" w:cs="Arial"/>
          <w:sz w:val="24"/>
          <w:szCs w:val="24"/>
          <w:highlight w:val="white"/>
          <w:lang w:val="es-UY"/>
        </w:rPr>
      </w:pPr>
      <w:r w:rsidRPr="00AE52A4">
        <w:rPr>
          <w:rFonts w:ascii="Arial" w:eastAsia="Arial" w:hAnsi="Arial" w:cs="Arial"/>
          <w:sz w:val="24"/>
          <w:szCs w:val="24"/>
          <w:highlight w:val="white"/>
          <w:lang w:val="es-UY"/>
        </w:rPr>
        <w:t xml:space="preserve">Un segundo objetivo es establecer los baremos poblacionales de la Escala CCF. Contar con la muestra representativa nos permite asegurar que las puntuaciones obtenidas en este estudio sirvan de orientación para que otros investigadores que trabajan con poblaciones específicas puedan cotejar sus resultados. Hasta nuestro conocimiento, no existen baremos disponibles para ninguna de las versiones de la Escala CCF. </w:t>
      </w:r>
    </w:p>
    <w:p w14:paraId="6D3B2DB7" w14:textId="6086B351" w:rsidR="00BD409A" w:rsidRPr="00AE52A4" w:rsidRDefault="00BD409A" w:rsidP="00731076">
      <w:pPr>
        <w:spacing w:line="240" w:lineRule="auto"/>
        <w:ind w:firstLine="709"/>
        <w:jc w:val="both"/>
        <w:rPr>
          <w:rFonts w:ascii="Arial" w:eastAsia="Arial" w:hAnsi="Arial" w:cs="Arial"/>
          <w:sz w:val="24"/>
          <w:szCs w:val="24"/>
          <w:highlight w:val="white"/>
          <w:lang w:val="es-UY"/>
        </w:rPr>
      </w:pPr>
      <w:r w:rsidRPr="00AE52A4">
        <w:rPr>
          <w:rFonts w:ascii="Arial" w:eastAsia="Arial" w:hAnsi="Arial" w:cs="Arial"/>
          <w:sz w:val="24"/>
          <w:szCs w:val="24"/>
          <w:highlight w:val="white"/>
          <w:lang w:val="es-UY"/>
        </w:rPr>
        <w:t xml:space="preserve">Tercero, pretendemos explorar la distribución territorial de las puntuaciones de la  Escala CCF en Montevideo, los cuales presentan marcadas diferencias socioeconómicas. Varios académicos han señalado que la pobreza se relaciona con una mayor orientación hacia el presente </w:t>
      </w:r>
      <w:r w:rsidRPr="00AE52A4">
        <w:rPr>
          <w:rFonts w:ascii="Arial" w:eastAsia="Arial" w:hAnsi="Arial" w:cs="Arial"/>
          <w:sz w:val="24"/>
          <w:szCs w:val="24"/>
          <w:highlight w:val="white"/>
        </w:rPr>
        <w:fldChar w:fldCharType="begin" w:fldLock="1"/>
      </w:r>
      <w:r w:rsidRPr="00AE52A4">
        <w:rPr>
          <w:rFonts w:ascii="Arial" w:eastAsia="Arial" w:hAnsi="Arial" w:cs="Arial"/>
          <w:sz w:val="24"/>
          <w:szCs w:val="24"/>
          <w:highlight w:val="white"/>
          <w:lang w:val="es-UY"/>
        </w:rPr>
        <w:instrText>ADDIN CSL_CITATION {"citationItems":[{"id":"ITEM-1","itemData":{"DOI":"10.1037/0278-6133.28.1.83","ISBN":"0278-6133 (Print)\\r0278-6133 (Linking)","ISSN":"1930-7810","PMID":"19210021","abstract":"OBJECTIVE: To determine if time perspective plays a mediating role in the relationship between socio-economic position (SEP) and both smoking and body mass index (BMI). DESIGN: 2000 adults aged 18 years and over were randomly selected from the edited electoral register for the city of Newcastle upon Tyne, England and sent a postal questionnaire. Two reminders were sent. MAIN OUTCOME MEASURES: Socio-economic position was measured using the Index of Multiple Deprivation (IMD) of the area of residence. Time perspective was measured using the Consideration of Future Consequences Scale (CFCS). Smoking and BMI were self-reported. RESULTS: Full data was available for 804 individuals (response rate: 40.2%). After controlling for age, gender and health status, IMD was significantly associated with BMI, smoking status and CFCS score (p &lt; .001), and CFCS score was significantly associated with BMI (p &lt; .001), but not smoking status. There was evidence that CFCS score played a partial mediating role in the relationship between IMD and BMI but not that between IMD and smoking status. CONCLUSION: Further longitudinal work is required to confirm the mediating role of time perspective in socio-economic inequalities in BMI. Interventions tailored to individuals time perspective may be effective in reducing obesity and socio-economic inequalities in obesity.","author":[{"dropping-particle":"","family":"Adams","given":"Jean","non-dropping-particle":"","parse-names":false,"suffix":""},{"dropping-particle":"","family":"White","given":"Martin","non-dropping-particle":"","parse-names":false,"suffix":""}],"container-title":"Health Psychology","id":"ITEM-1","issue":"1","issued":{"date-parts":[["2009"]]},"page":"83-90","title":"Time perspective in socioeconomic inequalities in smoking and body mass index.","type":"article-journal","volume":"28"},"uris":["http://www.mendeley.com/documents/?uuid=b79f3738-9785-45d9-8293-c394a491e82b"]},{"id":"ITEM-2","itemData":{"DOI":"10.1126/science.1232491","ISBN":"0379-0355 (Print)\\r0379-0355 (Linking)","ISSN":"10959203","PMID":"24855262","abstract":"This article investigates the psychological experience of poor people and the pastoral responsibility to guide them towards poverty transition. A qualitative analysis of the narratives of three participants is compared to the enthralling history of Florcy Mabuza who in her book, Poverty mentality: The root of poverty, explains the dangers of a spiritual and emotional mindset that precipitates and feeds the plight of poverty. Usin</w:instrText>
      </w:r>
      <w:r w:rsidRPr="00AE52A4">
        <w:rPr>
          <w:rFonts w:ascii="Arial" w:eastAsia="Arial" w:hAnsi="Arial" w:cs="Arial"/>
          <w:sz w:val="24"/>
          <w:szCs w:val="24"/>
          <w:highlight w:val="white"/>
        </w:rPr>
        <w:instrText>g a literature study to interpret the narratives as well as a method of encoding, basic mindsets of poverty and factors that influence this mindset are identified. The study culminates in conclusions to encourage further research and pastoral involvement.","author":[{"dropping-particle":"","family":"Haushofer","given":"Johannes","non-dropping-particle":"","parse-names":false,"suffix":""},{"dropping-particle":"","family":"Fehr","given":"Ernst","non-dropping-particle":"","parse-names":false,"suffix":""}],"container-title":"Science","id":"ITEM-2","issue":"6186","issued":{"date-parts":[["2014"]]},"page":"862-867","title":"On the psychology of poverty","type":"article-journal","volume":"344"},"uris":["http://www.mendeley.com/documents/?uuid=8a6b58ac-d371-4cf7-a05a-4b3026664777"]},{"id":"ITEM-3","itemData":{"DOI":"10.1017/S0140525X1600234X","ISSN":"0140-525X","abstract":"Socioeconomic differences in behaviour are pervasive and well documented, but their causes are not yet well understood. Here, we make the case that a cluster of behaviours is associated with lower socioeconomic status (SES), which we call “the behavioural constellation of deprivation.” We propose that the relatively limited control associated with lower SES curtails the extent to which people can expect to realise deferred rewards, leading to more present-oriented behaviour in a range of domains. We illustrate this idea using the specific factor of extrinsic mortality risk, an important factor in evolutionary theoretical models. We emphasise the idea that the present-oriented behaviours of the constellation are a contextually appropriate response to structural and ecological factors rather than a pathology or a failure of willpower. We highlight some principles from evolutionary theoretical models that can deepen our understanding of how socioeconomic inequalities can become amplified and embedded. These principles are that (1) small initial disparities can lead to larger eventual inequalities, (2) feedback loops can embed early-life circumstances, (3) constraints can breed further constraints, and (4) feedback loops can operate over generations. We discuss some of the mechanisms by which SES may influence behaviour. We then review how the contextually appropriate response perspective that we have outlined fits with other findings about control and temporal discounting. Finally, we discuss the implications of this interpretation for research and policy.","author":[{"dropping-particle":"V.","family":"Pepper","given":"Gillian","non-dropping-particle":"","parse-names":false,"suffix":""},{"dropping-particle":"","family":"Nettle","given":"Daniel","non-dropping-particle":"","parse-names":false,"suffix":""}],"container-title":"Behavioral and Brain Sciences","id":"ITEM-3","issue":"July","issued":{"date-parts":[["2017","1","11"]]},"page":"e314","title":"The behavioural constellation of deprivation: Causes and consequences","type":"article-journal","volume":"40"},"uris":["http://www.mendeley.com/documents/?uuid=b4c4a644-aa0f-42b3-bed1-cea82060</w:instrText>
      </w:r>
      <w:r w:rsidRPr="00AE52A4">
        <w:rPr>
          <w:rFonts w:ascii="Arial" w:eastAsia="Arial" w:hAnsi="Arial" w:cs="Arial"/>
          <w:sz w:val="24"/>
          <w:szCs w:val="24"/>
          <w:highlight w:val="white"/>
          <w:lang w:val="es-UY"/>
        </w:rPr>
        <w:instrText>a8bb"]},{"id":"ITEM-4","itemData":{"DOI":"10.1186/s41155-019-0125-4","ISBN":"4115501901254","ISSN":"1678-7153","author":[{"dropping-particle":"","family":"Vásquez-Echeverría","given":"Alejandro","non-dropping-particle":"","parse-names":false,"suffix":""},{"dropping-particle":"","family":"Tomás","given":"Clementina","non-dropping-particle":"","parse-names":false,"suffix":""},{"dropping-particle":"","family":"Cruz","given":"Orlanda","non-dropping-particle":"","parse-names":false,"suffix":""}],"container-title":"Psicologia: Reflexão e Crítica","id":"ITEM-4","issue":"1","issued":{"date-parts":[["2019","12","15"]]},"page":"12","publisher":"Psicologia: Reflexão e Crítica","title":"The development of episodic foresight in preschoolers: the role of socioeconomic status, parental future orientation, and family context","type":"article-journal","volume":"32"},"uris":["http://www.mendeley.com/documents/?uuid=bbd9b8e2-10d0-4d30-8811-768b9c8a1a92"]}],"mendeley":{"formattedCitation":"(Adams &amp; White, 2009; Haushofer &amp; Fehr, 2014; Pepper &amp; Nettle, 2017; Vásquez-Echeverría, Tomás, &amp; Cruz, 2019)","plainTextFormattedCitation":"(Adams &amp; White, 2009; Haushofer &amp; Fehr, 2014; Pepper &amp; Nettle, 2017; Vásquez-Echeverría, Tomás, &amp; Cruz, 2019)","previouslyFormattedCitation":"(Adams &amp; White, 2009; Haushofer &amp; Fehr, 2014; Pepper &amp; Nettle, 2017; Vásquez-Echeverría, Tomás, &amp; Cruz, 2019)"},"properties":{"noteIndex":0},"schema":"https://github.com/citation-style-language/schema/raw/master/csl-citation.json"}</w:instrText>
      </w:r>
      <w:r w:rsidRPr="00AE52A4">
        <w:rPr>
          <w:rFonts w:ascii="Arial" w:eastAsia="Arial" w:hAnsi="Arial" w:cs="Arial"/>
          <w:sz w:val="24"/>
          <w:szCs w:val="24"/>
          <w:highlight w:val="white"/>
        </w:rPr>
        <w:fldChar w:fldCharType="separate"/>
      </w:r>
      <w:r w:rsidRPr="00AE52A4">
        <w:rPr>
          <w:rFonts w:ascii="Arial" w:eastAsia="Arial" w:hAnsi="Arial" w:cs="Arial"/>
          <w:noProof/>
          <w:sz w:val="24"/>
          <w:szCs w:val="24"/>
          <w:highlight w:val="white"/>
          <w:lang w:val="es-UY"/>
        </w:rPr>
        <w:t>(Adams &amp; White, 2009; Haushofer &amp; Fehr, 2014; Pepper &amp; Nettle, 2017; Vásquez-Echeverría, Tomás, &amp; Cruz, 2019)</w:t>
      </w:r>
      <w:r w:rsidRPr="00AE52A4">
        <w:rPr>
          <w:rFonts w:ascii="Arial" w:eastAsia="Arial" w:hAnsi="Arial" w:cs="Arial"/>
          <w:sz w:val="24"/>
          <w:szCs w:val="24"/>
          <w:highlight w:val="white"/>
        </w:rPr>
        <w:fldChar w:fldCharType="end"/>
      </w:r>
      <w:r w:rsidRPr="00AE52A4">
        <w:rPr>
          <w:rFonts w:ascii="Arial" w:eastAsia="Arial" w:hAnsi="Arial" w:cs="Arial"/>
          <w:sz w:val="24"/>
          <w:szCs w:val="24"/>
          <w:highlight w:val="white"/>
          <w:lang w:val="es-UY"/>
        </w:rPr>
        <w:t xml:space="preserve"> debido a que la privación de recursos y menor control del ambiente hace que las conductas que tienen consecuencias a largo plazo sean más inciertas en cuanto a su utilidad y retorno. Este fenómeno se ha postulado que es ambiental (o sea, un proceso colectivo), ya que factores como la tasa de criminalidad, la expectativa de vida y/o las tasas de desempleo a nivel de los barrios permean las forma en que cada persona valora el futuro </w:t>
      </w:r>
      <w:r w:rsidRPr="00AE52A4">
        <w:rPr>
          <w:rFonts w:ascii="Arial" w:eastAsia="Arial" w:hAnsi="Arial" w:cs="Arial"/>
          <w:sz w:val="24"/>
          <w:szCs w:val="24"/>
          <w:highlight w:val="white"/>
        </w:rPr>
        <w:fldChar w:fldCharType="begin" w:fldLock="1"/>
      </w:r>
      <w:r w:rsidRPr="00AE52A4">
        <w:rPr>
          <w:rFonts w:ascii="Arial" w:eastAsia="Arial" w:hAnsi="Arial" w:cs="Arial"/>
          <w:sz w:val="24"/>
          <w:szCs w:val="24"/>
          <w:highlight w:val="white"/>
          <w:lang w:val="es-UY"/>
        </w:rPr>
        <w:instrText>ADDIN CSL_CITATION {"citationItems":[{"id":"ITEM-1","itemData":{"DOI":"10.1017/S0140525X1600234X","ISSN":"0140-525X","abstract":"Socioeconomic differences in behaviour are pervasive and well documented, but their causes are not yet well understood. Here, we make the case that a cluster of behaviours is associated with lower socioeconomic status (SES), which we call “the behavioural constellation of deprivation.” We propose that the relatively limited control associated with lower SES curtails the extent to which people can expect to realise deferred rewards, leading to more present-oriented behaviour in a range of domains. We illustrate this idea using the specific factor of extrinsic mortality risk, an important factor in evolutionary theoretical models. We emphasise the idea that the present-oriented behaviours of the constellation are a contextually appropriate response to structural and ecological factors rather than a pathology or a failure of willpower. We highlight some principles from evolutionary theoretical models that can deepen our understanding of how socioeconomic inequalities can become amplified and embedded. These principles are that (1) small initial disparities can lead to larger eventual inequalities, (2) feedback loops can embed early-life circumstances, (3) constraints can breed further constraints, and (4) feedback loops can operate over generations. We discuss some of the mechanisms by which SES may influence behaviour. We then review how the contextually appropriate response perspective that we have outlined fits with other findings about control and temporal discounting. Finally, we discuss the implications of this interpretation for research and policy.","author":[{"dropping-particle":"V.","family":"Pepper","given":"Gillian","non-dropping-particle":"","parse-names":false,"suffix":""},{"dropping-particle":"","family":"Nettle","given":"Daniel","non-dropping-particle":"","parse-names":false,"suffix":""}],"container-title":"Behavioral and Brain Sciences","id":"ITEM-1","issue":"July","issued":{"date-parts":[["2017","1","11"]]},"page":"e314","title":"The behavioural constellation of deprivation: Causes and consequences","type":"article-journal","volume":"40"},"uris":["http://www.mendeley.com/documents/?uuid=b4c4a644-aa0f-42b3-bed1-cea82060a8bb"]}],"mendeley":{"formattedCitation":"(Pepper &amp; Nettle, 2017)","plainTextFormattedCitation":"(Pepper &amp; Nettle, 2017)","previouslyFormattedCitation":"(Pepper &amp; Nettle, 2017)"},"properties":{"noteIndex":0},"schema":"https://github.com/citation-style-language/schema/raw/master/csl-citation.json"}</w:instrText>
      </w:r>
      <w:r w:rsidRPr="00AE52A4">
        <w:rPr>
          <w:rFonts w:ascii="Arial" w:eastAsia="Arial" w:hAnsi="Arial" w:cs="Arial"/>
          <w:sz w:val="24"/>
          <w:szCs w:val="24"/>
          <w:highlight w:val="white"/>
        </w:rPr>
        <w:fldChar w:fldCharType="separate"/>
      </w:r>
      <w:r w:rsidRPr="00AE52A4">
        <w:rPr>
          <w:rFonts w:ascii="Arial" w:eastAsia="Arial" w:hAnsi="Arial" w:cs="Arial"/>
          <w:noProof/>
          <w:sz w:val="24"/>
          <w:szCs w:val="24"/>
          <w:highlight w:val="white"/>
          <w:lang w:val="es-UY"/>
        </w:rPr>
        <w:t>(Pepper &amp; Nettle, 2017)</w:t>
      </w:r>
      <w:r w:rsidRPr="00AE52A4">
        <w:rPr>
          <w:rFonts w:ascii="Arial" w:eastAsia="Arial" w:hAnsi="Arial" w:cs="Arial"/>
          <w:sz w:val="24"/>
          <w:szCs w:val="24"/>
          <w:highlight w:val="white"/>
        </w:rPr>
        <w:fldChar w:fldCharType="end"/>
      </w:r>
      <w:r w:rsidRPr="00AE52A4">
        <w:rPr>
          <w:rFonts w:ascii="Arial" w:eastAsia="Arial" w:hAnsi="Arial" w:cs="Arial"/>
          <w:sz w:val="24"/>
          <w:szCs w:val="24"/>
          <w:highlight w:val="white"/>
          <w:lang w:val="es-UY"/>
        </w:rPr>
        <w:t xml:space="preserve">. Para comprobar este fenómeno en una muestra representativa, analizaremos el desempeño en las puntuaciones de CCF en los </w:t>
      </w:r>
      <w:r w:rsidR="005861CF">
        <w:rPr>
          <w:rFonts w:ascii="Arial" w:eastAsia="Arial" w:hAnsi="Arial" w:cs="Arial"/>
          <w:sz w:val="24"/>
          <w:szCs w:val="24"/>
          <w:highlight w:val="white"/>
          <w:lang w:val="es-UY"/>
        </w:rPr>
        <w:t>siete grupos zonales</w:t>
      </w:r>
      <w:r w:rsidRPr="00AE52A4">
        <w:rPr>
          <w:rFonts w:ascii="Arial" w:eastAsia="Arial" w:hAnsi="Arial" w:cs="Arial"/>
          <w:sz w:val="24"/>
          <w:szCs w:val="24"/>
          <w:highlight w:val="white"/>
          <w:lang w:val="es-UY"/>
        </w:rPr>
        <w:t xml:space="preserve"> de Montevideo.  </w:t>
      </w:r>
    </w:p>
    <w:p w14:paraId="1255A6D1" w14:textId="77777777" w:rsidR="00BD409A" w:rsidRPr="00AE52A4" w:rsidRDefault="00BD409A" w:rsidP="00AE52A4">
      <w:pPr>
        <w:spacing w:line="240" w:lineRule="auto"/>
        <w:ind w:firstLine="709"/>
        <w:jc w:val="both"/>
        <w:rPr>
          <w:rFonts w:ascii="Arial" w:eastAsia="Arial" w:hAnsi="Arial" w:cs="Arial"/>
          <w:sz w:val="24"/>
          <w:szCs w:val="24"/>
          <w:highlight w:val="white"/>
          <w:lang w:val="es-UY"/>
        </w:rPr>
      </w:pPr>
      <w:r w:rsidRPr="00AE52A4">
        <w:rPr>
          <w:rFonts w:ascii="Arial" w:eastAsia="Arial" w:hAnsi="Arial" w:cs="Arial"/>
          <w:sz w:val="24"/>
          <w:szCs w:val="24"/>
          <w:highlight w:val="white"/>
          <w:lang w:val="es-UY"/>
        </w:rPr>
        <w:t xml:space="preserve">Cómo último objetivo nos propusimos explorar las asociaciones entre las puntuaciones de CCF y la frecuencia de consumo de sustancias psicoactivas. </w:t>
      </w:r>
      <w:proofErr w:type="spellStart"/>
      <w:r w:rsidRPr="00AE52A4">
        <w:rPr>
          <w:rFonts w:ascii="Arial" w:eastAsia="Arial" w:hAnsi="Arial" w:cs="Arial"/>
          <w:sz w:val="24"/>
          <w:szCs w:val="24"/>
          <w:highlight w:val="white"/>
        </w:rPr>
        <w:t>Basados</w:t>
      </w:r>
      <w:proofErr w:type="spellEnd"/>
      <w:r w:rsidRPr="00AE52A4">
        <w:rPr>
          <w:rFonts w:ascii="Arial" w:eastAsia="Arial" w:hAnsi="Arial" w:cs="Arial"/>
          <w:sz w:val="24"/>
          <w:szCs w:val="24"/>
          <w:highlight w:val="white"/>
        </w:rPr>
        <w:t xml:space="preserve"> </w:t>
      </w:r>
      <w:proofErr w:type="spellStart"/>
      <w:r w:rsidRPr="00AE52A4">
        <w:rPr>
          <w:rFonts w:ascii="Arial" w:eastAsia="Arial" w:hAnsi="Arial" w:cs="Arial"/>
          <w:sz w:val="24"/>
          <w:szCs w:val="24"/>
          <w:highlight w:val="white"/>
        </w:rPr>
        <w:t>en</w:t>
      </w:r>
      <w:proofErr w:type="spellEnd"/>
      <w:r w:rsidRPr="00AE52A4">
        <w:rPr>
          <w:rFonts w:ascii="Arial" w:eastAsia="Arial" w:hAnsi="Arial" w:cs="Arial"/>
          <w:sz w:val="24"/>
          <w:szCs w:val="24"/>
          <w:highlight w:val="white"/>
        </w:rPr>
        <w:t xml:space="preserve"> la </w:t>
      </w:r>
      <w:proofErr w:type="spellStart"/>
      <w:r w:rsidRPr="00AE52A4">
        <w:rPr>
          <w:rFonts w:ascii="Arial" w:eastAsia="Arial" w:hAnsi="Arial" w:cs="Arial"/>
          <w:sz w:val="24"/>
          <w:szCs w:val="24"/>
          <w:highlight w:val="white"/>
        </w:rPr>
        <w:t>literatura</w:t>
      </w:r>
      <w:proofErr w:type="spellEnd"/>
      <w:r w:rsidRPr="00AE52A4">
        <w:rPr>
          <w:rFonts w:ascii="Arial" w:eastAsia="Arial" w:hAnsi="Arial" w:cs="Arial"/>
          <w:sz w:val="24"/>
          <w:szCs w:val="24"/>
          <w:highlight w:val="white"/>
        </w:rPr>
        <w:t xml:space="preserve"> previa </w:t>
      </w:r>
      <w:r w:rsidRPr="00AE52A4">
        <w:rPr>
          <w:rFonts w:ascii="Arial" w:eastAsia="Arial" w:hAnsi="Arial" w:cs="Arial"/>
          <w:sz w:val="24"/>
          <w:szCs w:val="24"/>
          <w:highlight w:val="white"/>
        </w:rPr>
        <w:fldChar w:fldCharType="begin" w:fldLock="1"/>
      </w:r>
      <w:r w:rsidRPr="00AE52A4">
        <w:rPr>
          <w:rFonts w:ascii="Arial" w:eastAsia="Arial" w:hAnsi="Arial" w:cs="Arial"/>
          <w:sz w:val="24"/>
          <w:szCs w:val="24"/>
          <w:highlight w:val="white"/>
        </w:rPr>
        <w:instrText xml:space="preserve">ADDIN CSL_CITATION {"citationItems":[{"id":"ITEM-1","itemData":{"DOI":"10.1016/j.paid.2009.10.007","ISBN":"0191-8869","ISSN":"01918869","abstract":"Delay discounting, a willingness to postpone receiving an immediate reward in order to gain additional benefits in the future, is conceptually related to time perspective, the cognitive processes which filter temporal information and influence behavior. One measure of delay discounting (Money Choice Questionnaire) and two measures of time perspective (Consideration of Future Consequences Scale and Zimbardo Time Perspective Inventory) were compared in this study to each other and to self-reported health behaviors with 467 undergraduates. Delay discounting and time perspective significantly improved the incremental prediction of tobacco, alcohol, and drug use, exercise frequency, eating breakfast, wearing a safety belt, estimated longevity, health concerns, and sociosexual orientation above and beyond sex and Big Five traits. These results further suggest that delay discounting and time perspective are indeed similar but also non-redundant constructs that are not reducible to global personality. © 2009 Elsevier Ltd.","author":[{"dropping-particle":"","family":"Daugherty","given":"James R.","non-dropping-particle":"","parse-names":false,"suffix":""},{"dropping-particle":"","family":"Brase","given":"Gary L.","non-dropping-particle":"","parse-names":false,"suffix":""}],"container-title":"Personality and Individual Differences","id":"ITEM-1","issue":"2","issued":{"date-parts":[["2010","1"]]},"page":"202-207","title":"Taking time to be healthy: Predicting health behaviors with delay discounting and time perspective","type":"article-newspaper","volume":"48"},"uris":["http://www.mendeley.com/documents/?uuid=e24162e6-b178-4795-9375-5a0386843052"]},{"id":"ITEM-2","itemData":{"DOI":"10.1016/j.paid.2016.03.097","ISSN":"01918869","abstract":"Researchers have proposed 1-factor, 2-factor, and bifactor solutions to the 12-item Consideration of Future Consequences Scale (CFCS-12). In order to overcome some measurement problems and to create a robust and conceptually useful two-factor scale the CFCS-12 was recently modified to include two new items and to become the CFCS-14. Using a University sample, we tested four competing models for the CFCS-14: (a) a 12-item unidimensional model, (b) a model fitted for two uncorrelated factors (CFC-Immediate and CFC-Future), (c) a model fitted for two correlated factors (CFC-I and CFC-F), and (d) a bifactor model. Results suggested that the addition of the two new items has strengthened the viability of a two factor solution of the CFCS-14. Results of linear regression models suggest that the CFC-F factor is redundant. Further studies using alcohol and mental health indicators are required to test this redundancy.","author":[{"dropping-particle":"","family":"McKay","given":"Michael T.","non-dropping-particle":"","parse-names":false,"suffix":""},{"dropping-particle":"","family":"Perry","given":"John L.","non-dropping-particle":"","parse-names":false,"suffix":""},{"dropping-particle":"","family":"Percy","given":"Andrew","non-dropping-particle":"","parse-names":false,"suffix":""},{"dropping-particle":"","family":"Cole","given":"Jon C.","non-dropping-particle":"","parse-names":false,"suffix":""}],"container-title":"Personality and Individual Differences","id":"ITEM-2","issued":{"date-parts":[["2016","8"]]},"page":"133-136","publisher":"Elsevier Ltd","title":"Evidence for the reliability and validity, but not the practical utility of the two-factor </w:instrText>
      </w:r>
      <w:r w:rsidRPr="00AE52A4">
        <w:rPr>
          <w:rFonts w:ascii="Arial" w:eastAsia="Arial" w:hAnsi="Arial" w:cs="Arial"/>
          <w:sz w:val="24"/>
          <w:szCs w:val="24"/>
          <w:highlight w:val="white"/>
          <w:lang w:val="es-UY"/>
        </w:rPr>
        <w:instrText>Consideration of Future Consequences Scale-14","type":"article-journal","volume":"98"},"uris":["http://www.mendeley.com/documents/?uuid=ec0cf733-f051-4303-947f-d5e6b773f299"]},{"id":"ITEM-3","itemData":{"DOI":"10.1007/s12144-018-9819-5","ISSN":"1046-1310","author":[{"dropping-particle":"","family":"Percy","given":"Andrew","non-dropping-particle":"","parse-names":false,"suffix":""},{"dropping-particle":"","family":"McKay","given":"Michael T.","non-dropping-particle":"","parse-names":false,"suffix":""},{"dropping-particle":"","family":"Perry","given":"John L","non-dropping-particle":"","parse-names":false,"suffix":""},{"dropping-particle":"","family":"Cole","given":"Jon C","non-dropping-particle":"","parse-names":false,"suffix":""}],"container-title":"Current Psychology","id":"ITEM-3","issued":{"date-parts":[["2018","3","7"]]},"publisher":"Current Psychology","title":"Refining the clinical application of the consideration of future consequences scale -14","type":"article-journal"},"uris":["http://www.mendeley.com/documents/?uuid=047bc673-077d-426c-9b16-3d944bc0da67"]}],"mendeley":{"formattedCitation":"(Daugherty &amp; Brase, 2010; McKay et al., 2016; Percy et al., 2018)","plainTextFormattedCitation":"(Daugherty &amp; Brase, 2010; McKay et al., 2016; Percy et al., 2018)","previouslyFormattedCitation":"(Daugherty &amp; Brase, 2010; McKay et al., 2016; Percy et al., 2018)"},"properties":{"noteIndex":0},"schema":"https://github.com/citation-style-language/schema/raw/master/csl-citation.json"}</w:instrText>
      </w:r>
      <w:r w:rsidRPr="00AE52A4">
        <w:rPr>
          <w:rFonts w:ascii="Arial" w:eastAsia="Arial" w:hAnsi="Arial" w:cs="Arial"/>
          <w:sz w:val="24"/>
          <w:szCs w:val="24"/>
          <w:highlight w:val="white"/>
        </w:rPr>
        <w:fldChar w:fldCharType="separate"/>
      </w:r>
      <w:r w:rsidRPr="00AE52A4">
        <w:rPr>
          <w:rFonts w:ascii="Arial" w:eastAsia="Arial" w:hAnsi="Arial" w:cs="Arial"/>
          <w:noProof/>
          <w:sz w:val="24"/>
          <w:szCs w:val="24"/>
          <w:highlight w:val="white"/>
          <w:lang w:val="es-UY"/>
        </w:rPr>
        <w:t>(Daugherty &amp; Brase, 2010; McKay et al., 2016; Percy et al., 2018)</w:t>
      </w:r>
      <w:r w:rsidRPr="00AE52A4">
        <w:rPr>
          <w:rFonts w:ascii="Arial" w:eastAsia="Arial" w:hAnsi="Arial" w:cs="Arial"/>
          <w:sz w:val="24"/>
          <w:szCs w:val="24"/>
          <w:highlight w:val="white"/>
        </w:rPr>
        <w:fldChar w:fldCharType="end"/>
      </w:r>
      <w:r w:rsidR="00AE52A4" w:rsidRPr="00AE52A4">
        <w:rPr>
          <w:rFonts w:ascii="Arial" w:eastAsia="Arial" w:hAnsi="Arial" w:cs="Arial"/>
          <w:sz w:val="24"/>
          <w:szCs w:val="24"/>
          <w:highlight w:val="white"/>
          <w:lang w:val="es-UY"/>
        </w:rPr>
        <w:t xml:space="preserve"> </w:t>
      </w:r>
      <w:r w:rsidRPr="00AE52A4">
        <w:rPr>
          <w:rFonts w:ascii="Arial" w:eastAsia="Arial" w:hAnsi="Arial" w:cs="Arial"/>
          <w:sz w:val="24"/>
          <w:szCs w:val="24"/>
          <w:highlight w:val="white"/>
          <w:lang w:val="es-UY"/>
        </w:rPr>
        <w:t>esperamos que a mayor consideración de las consecuencias distantes y menor consideración de las consecuencias inmediatas sean factores protectores relativos al consumo de sustancias psicoactivas a nivel poblacional.</w:t>
      </w:r>
    </w:p>
    <w:p w14:paraId="7AED519A" w14:textId="77777777" w:rsidR="00BD409A" w:rsidRPr="00AE52A4" w:rsidRDefault="00BD409A" w:rsidP="00731076">
      <w:pPr>
        <w:spacing w:line="240" w:lineRule="auto"/>
        <w:jc w:val="both"/>
        <w:rPr>
          <w:rFonts w:ascii="Arial" w:eastAsia="Arial" w:hAnsi="Arial" w:cs="Arial"/>
          <w:sz w:val="24"/>
          <w:szCs w:val="24"/>
          <w:lang w:val="es-UY"/>
        </w:rPr>
      </w:pPr>
    </w:p>
    <w:p w14:paraId="7D606B31" w14:textId="77777777" w:rsidR="00AE52A4" w:rsidRPr="00AE52A4" w:rsidRDefault="00AE52A4">
      <w:pPr>
        <w:rPr>
          <w:rFonts w:ascii="Arial" w:eastAsia="Arial" w:hAnsi="Arial" w:cs="Arial"/>
          <w:b/>
          <w:sz w:val="24"/>
          <w:szCs w:val="24"/>
          <w:lang w:val="es-UY"/>
        </w:rPr>
      </w:pPr>
      <w:r w:rsidRPr="00AE52A4">
        <w:rPr>
          <w:rFonts w:ascii="Arial" w:eastAsia="Arial" w:hAnsi="Arial" w:cs="Arial"/>
          <w:b/>
          <w:sz w:val="24"/>
          <w:szCs w:val="24"/>
          <w:lang w:val="es-UY"/>
        </w:rPr>
        <w:br w:type="page"/>
      </w:r>
    </w:p>
    <w:p w14:paraId="76FD2684" w14:textId="77777777" w:rsidR="00BD409A" w:rsidRPr="00AE52A4" w:rsidRDefault="00BD409A" w:rsidP="00731076">
      <w:pPr>
        <w:spacing w:line="240" w:lineRule="auto"/>
        <w:jc w:val="both"/>
        <w:rPr>
          <w:rFonts w:ascii="Arial" w:eastAsia="Arial" w:hAnsi="Arial" w:cs="Arial"/>
          <w:b/>
          <w:sz w:val="24"/>
          <w:szCs w:val="24"/>
          <w:lang w:val="es-UY"/>
        </w:rPr>
      </w:pPr>
      <w:r w:rsidRPr="00AE52A4">
        <w:rPr>
          <w:rFonts w:ascii="Arial" w:eastAsia="Arial" w:hAnsi="Arial" w:cs="Arial"/>
          <w:b/>
          <w:sz w:val="24"/>
          <w:szCs w:val="24"/>
          <w:lang w:val="es-UY"/>
        </w:rPr>
        <w:lastRenderedPageBreak/>
        <w:t>Método</w:t>
      </w:r>
    </w:p>
    <w:p w14:paraId="2AA51D74" w14:textId="77777777" w:rsidR="001D42A6" w:rsidRDefault="00BD409A" w:rsidP="00731076">
      <w:pPr>
        <w:pStyle w:val="Ttulo2"/>
        <w:spacing w:line="240" w:lineRule="auto"/>
        <w:jc w:val="both"/>
        <w:rPr>
          <w:rFonts w:ascii="Arial" w:eastAsia="Arial" w:hAnsi="Arial" w:cs="Arial"/>
        </w:rPr>
      </w:pPr>
      <w:r w:rsidRPr="00AE52A4">
        <w:rPr>
          <w:rFonts w:ascii="Arial" w:eastAsia="Arial" w:hAnsi="Arial" w:cs="Arial"/>
        </w:rPr>
        <w:t>Participantes y procedimiento</w:t>
      </w:r>
    </w:p>
    <w:p w14:paraId="68BB8F8F" w14:textId="6BAB6DED" w:rsidR="00BD409A" w:rsidRPr="00AE52A4" w:rsidRDefault="00BD409A" w:rsidP="00731076">
      <w:pPr>
        <w:pStyle w:val="Ttulo2"/>
        <w:spacing w:line="240" w:lineRule="auto"/>
        <w:jc w:val="both"/>
        <w:rPr>
          <w:rFonts w:ascii="Arial" w:eastAsia="Arial" w:hAnsi="Arial" w:cs="Arial"/>
        </w:rPr>
      </w:pPr>
      <w:r w:rsidRPr="00AE52A4">
        <w:rPr>
          <w:rFonts w:ascii="Arial" w:eastAsia="Arial" w:hAnsi="Arial" w:cs="Arial"/>
        </w:rPr>
        <w:t xml:space="preserve"> </w:t>
      </w:r>
    </w:p>
    <w:p w14:paraId="7E7F59A8" w14:textId="77777777" w:rsidR="00BD409A" w:rsidRPr="00AE52A4" w:rsidRDefault="00BD409A" w:rsidP="00731076">
      <w:pPr>
        <w:spacing w:line="240" w:lineRule="auto"/>
        <w:ind w:firstLine="709"/>
        <w:jc w:val="both"/>
        <w:rPr>
          <w:rFonts w:ascii="Arial" w:eastAsia="Arial" w:hAnsi="Arial" w:cs="Arial"/>
          <w:sz w:val="24"/>
          <w:szCs w:val="24"/>
          <w:lang w:val="es-UY"/>
        </w:rPr>
      </w:pPr>
      <w:r w:rsidRPr="00AE52A4">
        <w:rPr>
          <w:rFonts w:ascii="Arial" w:eastAsia="Arial" w:hAnsi="Arial" w:cs="Arial"/>
          <w:sz w:val="24"/>
          <w:szCs w:val="24"/>
          <w:lang w:val="es-UY"/>
        </w:rPr>
        <w:t>Participaron 1.319 personas de entre 18 y 94 años (</w:t>
      </w:r>
      <w:r w:rsidRPr="0008108E">
        <w:rPr>
          <w:rFonts w:ascii="Arial" w:eastAsia="Arial" w:hAnsi="Arial" w:cs="Arial"/>
          <w:iCs/>
          <w:sz w:val="24"/>
          <w:szCs w:val="24"/>
          <w:lang w:val="es-UY"/>
        </w:rPr>
        <w:t>M</w:t>
      </w:r>
      <w:r w:rsidRPr="00AE52A4">
        <w:rPr>
          <w:rFonts w:ascii="Arial" w:eastAsia="Arial" w:hAnsi="Arial" w:cs="Arial"/>
          <w:sz w:val="24"/>
          <w:szCs w:val="24"/>
          <w:lang w:val="es-UY"/>
        </w:rPr>
        <w:t>= 37.77; DT=16.16), de los cuales 726 son mujeres (M= 37.88; DT= 16.32) y 593 hombres (M= 37.64; DT= 15.98).</w:t>
      </w:r>
    </w:p>
    <w:p w14:paraId="2A9CEBE5" w14:textId="5903B2F1" w:rsidR="005861CF" w:rsidRPr="00AE52A4" w:rsidRDefault="00BD409A" w:rsidP="00731076">
      <w:pPr>
        <w:spacing w:line="240" w:lineRule="auto"/>
        <w:ind w:firstLine="709"/>
        <w:jc w:val="both"/>
        <w:rPr>
          <w:rFonts w:ascii="Arial" w:eastAsia="Arial" w:hAnsi="Arial" w:cs="Arial"/>
          <w:sz w:val="24"/>
          <w:szCs w:val="24"/>
          <w:highlight w:val="white"/>
          <w:lang w:val="es-UY"/>
        </w:rPr>
      </w:pPr>
      <w:r w:rsidRPr="00AE52A4">
        <w:rPr>
          <w:rFonts w:ascii="Arial" w:eastAsia="Arial" w:hAnsi="Arial" w:cs="Arial"/>
          <w:sz w:val="24"/>
          <w:szCs w:val="24"/>
          <w:highlight w:val="white"/>
          <w:lang w:val="es-UY"/>
        </w:rPr>
        <w:t>Para alcanzar la representatividad de la muestra se sortearon 438 secciones censales del departamento de Montevideo. Dentro de cada sección censal se encuestaron a cuatro participantes. Dentro de cada sección censal sorteada, se seleccionaba al azar una esquina y desde allí se comenzaba a visitar los domicilios, invitando a un solo residente por domicilio a participar del estudio. Al alcanzar la cuarta aceptación dentro de una sección censal, se pasaba a la siguiente. Adicionalmente, los encuestadores, debían cumplir con cuotas según sexo y edad basadas en los datos del censo de pobl</w:t>
      </w:r>
      <w:r w:rsidRPr="00A33A95">
        <w:rPr>
          <w:rFonts w:ascii="Arial" w:eastAsia="Arial" w:hAnsi="Arial" w:cs="Arial"/>
          <w:sz w:val="24"/>
          <w:szCs w:val="24"/>
          <w:highlight w:val="white"/>
          <w:lang w:val="es-UY"/>
        </w:rPr>
        <w:t>ación de 2011 del Instituto Nacional de Estadística</w:t>
      </w:r>
      <w:r w:rsidR="00A33A95" w:rsidRPr="00A33A95">
        <w:rPr>
          <w:rFonts w:ascii="Arial" w:eastAsia="Arial" w:hAnsi="Arial" w:cs="Arial"/>
          <w:sz w:val="24"/>
          <w:szCs w:val="24"/>
          <w:highlight w:val="white"/>
          <w:lang w:val="es-UY"/>
        </w:rPr>
        <w:t xml:space="preserve"> (</w:t>
      </w:r>
      <w:r w:rsidR="00A33A95" w:rsidRPr="0008108E">
        <w:rPr>
          <w:rFonts w:ascii="Arial" w:hAnsi="Arial" w:cs="Arial"/>
          <w:color w:val="222222"/>
          <w:sz w:val="24"/>
          <w:szCs w:val="24"/>
          <w:shd w:val="clear" w:color="auto" w:fill="FFFFFF"/>
          <w:lang w:val="es-UY"/>
        </w:rPr>
        <w:t>Instituto Nacional de Estadística, 2011)</w:t>
      </w:r>
      <w:r w:rsidRPr="00A33A95">
        <w:rPr>
          <w:rFonts w:ascii="Arial" w:eastAsia="Arial" w:hAnsi="Arial" w:cs="Arial"/>
          <w:sz w:val="24"/>
          <w:szCs w:val="24"/>
          <w:highlight w:val="white"/>
          <w:lang w:val="es-UY"/>
        </w:rPr>
        <w:t>.</w:t>
      </w:r>
      <w:r w:rsidR="005861CF" w:rsidRPr="00A33A95">
        <w:rPr>
          <w:rFonts w:ascii="Arial" w:eastAsia="Arial" w:hAnsi="Arial" w:cs="Arial"/>
          <w:sz w:val="24"/>
          <w:szCs w:val="24"/>
          <w:highlight w:val="white"/>
          <w:lang w:val="es-UY"/>
        </w:rPr>
        <w:t xml:space="preserve"> Las secciones censales fueron clasificadas en zonas censales según </w:t>
      </w:r>
      <w:r w:rsidR="0008108E">
        <w:rPr>
          <w:rFonts w:ascii="Arial" w:eastAsia="Arial" w:hAnsi="Arial" w:cs="Arial"/>
          <w:sz w:val="24"/>
          <w:szCs w:val="24"/>
          <w:highlight w:val="white"/>
          <w:lang w:val="es-UY"/>
        </w:rPr>
        <w:t xml:space="preserve">los criterios de </w:t>
      </w:r>
      <w:r w:rsidR="005861CF" w:rsidRPr="0008108E">
        <w:rPr>
          <w:rFonts w:ascii="Arial" w:eastAsia="Arial" w:hAnsi="Arial" w:cs="Arial"/>
          <w:sz w:val="24"/>
          <w:szCs w:val="24"/>
          <w:highlight w:val="white"/>
          <w:lang w:val="es-UY"/>
        </w:rPr>
        <w:fldChar w:fldCharType="begin" w:fldLock="1"/>
      </w:r>
      <w:r w:rsidR="005861CF" w:rsidRPr="0008108E">
        <w:rPr>
          <w:rFonts w:ascii="Arial" w:eastAsia="Arial" w:hAnsi="Arial" w:cs="Arial"/>
          <w:sz w:val="24"/>
          <w:szCs w:val="24"/>
          <w:highlight w:val="white"/>
          <w:lang w:val="es-UY"/>
        </w:rPr>
        <w:instrText>ADDIN CSL_CITATION {"citationItems":[{"id":"ITEM-1","itemData":{"author":[{"dropping-particle":"","family":"Ponce","given":"Jorge","non-dropping-particle":"","parse-names":false,"suffix":""},{"dropping-particle":"","family":"Tubbio","given":"Magdalena","non-dropping-particle":"","parse-names":false,"suffix":""}],"container-title":"Documento de trabajo del Banco Central del Uruguay","id":"ITEM-1","issued":{"date-parts":[["2013"]]},"title":"Precios de inmuebles: aproximaciones metodológicas y aplicación empírica","type":"article-journal"},"uris":["http://www.mendeley.com/documents/?uuid=7bbb79bf-c863-4bd9-b802-8748e1d46c06"]}],"mendeley":{"formattedCitation":"(Ponce &amp; Tubbio, 2013)","plainTextFormattedCitation":"(Ponce &amp; Tubbio, 2013)","previouslyFormattedCitation":"(Ponce &amp; Tubbio, 2013)"},"properties":{"noteIndex":0},"schema":"https://github.com/citation-style-language/schema/raw/master/csl-citation.json"}</w:instrText>
      </w:r>
      <w:r w:rsidR="005861CF" w:rsidRPr="0008108E">
        <w:rPr>
          <w:rFonts w:ascii="Arial" w:eastAsia="Arial" w:hAnsi="Arial" w:cs="Arial"/>
          <w:sz w:val="24"/>
          <w:szCs w:val="24"/>
          <w:highlight w:val="white"/>
          <w:lang w:val="es-UY"/>
        </w:rPr>
        <w:fldChar w:fldCharType="separate"/>
      </w:r>
      <w:r w:rsidR="005861CF" w:rsidRPr="0008108E">
        <w:rPr>
          <w:rFonts w:ascii="Arial" w:eastAsia="Arial" w:hAnsi="Arial" w:cs="Arial"/>
          <w:sz w:val="24"/>
          <w:szCs w:val="24"/>
          <w:highlight w:val="white"/>
          <w:lang w:val="es-UY"/>
        </w:rPr>
        <w:t>Ponce &amp; Tubbio (2013)</w:t>
      </w:r>
      <w:r w:rsidR="005861CF" w:rsidRPr="0008108E">
        <w:rPr>
          <w:rFonts w:ascii="Arial" w:eastAsia="Arial" w:hAnsi="Arial" w:cs="Arial"/>
          <w:sz w:val="24"/>
          <w:szCs w:val="24"/>
          <w:highlight w:val="white"/>
          <w:lang w:val="es-UY"/>
        </w:rPr>
        <w:fldChar w:fldCharType="end"/>
      </w:r>
      <w:r w:rsidR="0008108E">
        <w:rPr>
          <w:rFonts w:ascii="Arial" w:eastAsia="Arial" w:hAnsi="Arial" w:cs="Arial"/>
          <w:sz w:val="24"/>
          <w:szCs w:val="24"/>
          <w:highlight w:val="white"/>
          <w:lang w:val="es-UY"/>
        </w:rPr>
        <w:t xml:space="preserve"> de valor inmobiliario de los barrios, para analizar la distribución territorial de las puntuaciones de C</w:t>
      </w:r>
      <w:r w:rsidR="00533A51">
        <w:rPr>
          <w:rFonts w:ascii="Arial" w:eastAsia="Arial" w:hAnsi="Arial" w:cs="Arial"/>
          <w:sz w:val="24"/>
          <w:szCs w:val="24"/>
          <w:highlight w:val="white"/>
          <w:lang w:val="es-UY"/>
        </w:rPr>
        <w:t>CF</w:t>
      </w:r>
      <w:r w:rsidR="005861CF" w:rsidRPr="0008108E">
        <w:rPr>
          <w:rFonts w:ascii="Arial" w:eastAsia="Arial" w:hAnsi="Arial" w:cs="Arial"/>
          <w:sz w:val="24"/>
          <w:szCs w:val="24"/>
          <w:highlight w:val="white"/>
          <w:lang w:val="es-UY"/>
        </w:rPr>
        <w:t>.</w:t>
      </w:r>
      <w:r w:rsidR="005861CF" w:rsidRPr="007C5FA5">
        <w:rPr>
          <w:rFonts w:ascii="Arial" w:eastAsia="Arial" w:hAnsi="Arial" w:cs="Arial"/>
          <w:sz w:val="24"/>
          <w:szCs w:val="24"/>
          <w:highlight w:val="white"/>
          <w:lang w:val="es-UY"/>
        </w:rPr>
        <w:t xml:space="preserve"> </w:t>
      </w:r>
      <w:r w:rsidR="0008108E" w:rsidRPr="007C5FA5">
        <w:rPr>
          <w:rFonts w:ascii="Arial" w:eastAsia="Arial" w:hAnsi="Arial" w:cs="Arial"/>
          <w:sz w:val="24"/>
          <w:szCs w:val="24"/>
          <w:highlight w:val="white"/>
          <w:lang w:val="es-UY"/>
        </w:rPr>
        <w:t xml:space="preserve">Debido a que en dicha clasificación no se encuentran todos los barrios </w:t>
      </w:r>
      <w:r w:rsidR="007C5FA5" w:rsidRPr="007C5FA5">
        <w:rPr>
          <w:rFonts w:ascii="Arial" w:eastAsia="Arial" w:hAnsi="Arial" w:cs="Arial"/>
          <w:sz w:val="24"/>
          <w:szCs w:val="24"/>
          <w:highlight w:val="white"/>
          <w:lang w:val="es-UY"/>
        </w:rPr>
        <w:t>que,</w:t>
      </w:r>
      <w:r w:rsidR="0008108E" w:rsidRPr="007C5FA5">
        <w:rPr>
          <w:rFonts w:ascii="Arial" w:eastAsia="Arial" w:hAnsi="Arial" w:cs="Arial"/>
          <w:sz w:val="24"/>
          <w:szCs w:val="24"/>
          <w:highlight w:val="white"/>
          <w:lang w:val="es-UY"/>
        </w:rPr>
        <w:t xml:space="preserve"> s</w:t>
      </w:r>
      <w:r w:rsidR="00062338">
        <w:rPr>
          <w:rFonts w:ascii="Arial" w:eastAsia="Arial" w:hAnsi="Arial" w:cs="Arial"/>
          <w:sz w:val="24"/>
          <w:szCs w:val="24"/>
          <w:highlight w:val="white"/>
          <w:lang w:val="es-UY"/>
        </w:rPr>
        <w:t>í</w:t>
      </w:r>
      <w:r w:rsidR="0008108E" w:rsidRPr="007C5FA5">
        <w:rPr>
          <w:rFonts w:ascii="Arial" w:eastAsia="Arial" w:hAnsi="Arial" w:cs="Arial"/>
          <w:sz w:val="24"/>
          <w:szCs w:val="24"/>
          <w:highlight w:val="white"/>
          <w:lang w:val="es-UY"/>
        </w:rPr>
        <w:t xml:space="preserve"> incluye nuestro estudio, dicho análisis está restringido </w:t>
      </w:r>
      <w:r w:rsidR="007C5FA5" w:rsidRPr="007C5FA5">
        <w:rPr>
          <w:rFonts w:ascii="Arial" w:eastAsia="Arial" w:hAnsi="Arial" w:cs="Arial"/>
          <w:sz w:val="24"/>
          <w:szCs w:val="24"/>
          <w:highlight w:val="white"/>
          <w:lang w:val="es-UY"/>
        </w:rPr>
        <w:t>a una muestra más pequeña.</w:t>
      </w:r>
      <w:r w:rsidR="007C5FA5">
        <w:rPr>
          <w:rFonts w:ascii="Arial" w:eastAsia="Arial" w:hAnsi="Arial" w:cs="Arial"/>
          <w:sz w:val="24"/>
          <w:szCs w:val="24"/>
          <w:highlight w:val="white"/>
          <w:lang w:val="es-UY"/>
        </w:rPr>
        <w:t xml:space="preserve"> Dicha agrupación se compone de siete grupos que describimos a continuación. Grupo 1: Colón, Maroñas, Peñarol; Grupo 2: Malvín Norte, Villa Española, </w:t>
      </w:r>
      <w:proofErr w:type="spellStart"/>
      <w:r w:rsidR="007C5FA5">
        <w:rPr>
          <w:rFonts w:ascii="Arial" w:eastAsia="Arial" w:hAnsi="Arial" w:cs="Arial"/>
          <w:sz w:val="24"/>
          <w:szCs w:val="24"/>
          <w:highlight w:val="white"/>
          <w:lang w:val="es-UY"/>
        </w:rPr>
        <w:t>Goes</w:t>
      </w:r>
      <w:proofErr w:type="spellEnd"/>
      <w:r w:rsidR="007C5FA5">
        <w:rPr>
          <w:rFonts w:ascii="Arial" w:eastAsia="Arial" w:hAnsi="Arial" w:cs="Arial"/>
          <w:sz w:val="24"/>
          <w:szCs w:val="24"/>
          <w:highlight w:val="white"/>
          <w:lang w:val="es-UY"/>
        </w:rPr>
        <w:t xml:space="preserve">, Sayago; Grupo 3: Ciudad Vieja, Aguada, La Comercial, Reducto y Brazo Oriental; Grupo 4: Cordón, Centro, Prado, Tres Cruces, La Blanqueada; Grupo 5: Buceo, Parque Batlle y Parque Rodó; Grupo 6: Pocitos y Malvín; Grupo 7: Carrasco y Punta Carretas. </w:t>
      </w:r>
    </w:p>
    <w:p w14:paraId="5E294294" w14:textId="721D1AFB" w:rsidR="00BD409A" w:rsidRPr="00AE52A4" w:rsidRDefault="00BD409A" w:rsidP="00731076">
      <w:pPr>
        <w:spacing w:line="240" w:lineRule="auto"/>
        <w:ind w:firstLine="709"/>
        <w:jc w:val="both"/>
        <w:rPr>
          <w:rFonts w:ascii="Arial" w:eastAsia="Arial" w:hAnsi="Arial" w:cs="Arial"/>
          <w:sz w:val="24"/>
          <w:szCs w:val="24"/>
          <w:highlight w:val="white"/>
          <w:lang w:val="es-UY"/>
        </w:rPr>
      </w:pPr>
      <w:r w:rsidRPr="00AE52A4">
        <w:rPr>
          <w:rFonts w:ascii="Arial" w:eastAsia="Arial" w:hAnsi="Arial" w:cs="Arial"/>
          <w:sz w:val="24"/>
          <w:szCs w:val="24"/>
          <w:highlight w:val="white"/>
          <w:lang w:val="es-UY"/>
        </w:rPr>
        <w:t xml:space="preserve">En la puerta del hogar, el encuestador explicaba los objetivos del estudio. Si la persona aceptaba formar parte, como primer paso se le solicitaba la firma de un consentimiento informado aprobado por el Comité de Ética de la Universidad implicada y en acuerdo con la legislación vigente. Una vez firmado, como segundo paso, se preguntaba oralmente el cuestionario sociodemográfico ad-hoc. Como tercer paso, se entregaba la ECCF </w:t>
      </w:r>
      <w:r w:rsidR="003F3725">
        <w:rPr>
          <w:rFonts w:ascii="Arial" w:eastAsia="Arial" w:hAnsi="Arial" w:cs="Arial"/>
          <w:sz w:val="24"/>
          <w:szCs w:val="24"/>
          <w:highlight w:val="white"/>
          <w:lang w:val="es-UY"/>
        </w:rPr>
        <w:t>(</w:t>
      </w:r>
      <w:r w:rsidRPr="00AE52A4">
        <w:rPr>
          <w:rFonts w:ascii="Arial" w:eastAsia="Arial" w:hAnsi="Arial" w:cs="Arial"/>
          <w:sz w:val="24"/>
          <w:szCs w:val="24"/>
          <w:highlight w:val="white"/>
          <w:lang w:val="es-UY"/>
        </w:rPr>
        <w:t>y otro cuestionario</w:t>
      </w:r>
      <w:r w:rsidR="003F3725">
        <w:rPr>
          <w:rFonts w:ascii="Arial" w:eastAsia="Arial" w:hAnsi="Arial" w:cs="Arial"/>
          <w:sz w:val="24"/>
          <w:szCs w:val="24"/>
          <w:highlight w:val="white"/>
          <w:lang w:val="es-UY"/>
        </w:rPr>
        <w:t xml:space="preserve"> </w:t>
      </w:r>
      <w:r w:rsidRPr="00AE52A4">
        <w:rPr>
          <w:rFonts w:ascii="Arial" w:eastAsia="Arial" w:hAnsi="Arial" w:cs="Arial"/>
          <w:sz w:val="24"/>
          <w:szCs w:val="24"/>
          <w:highlight w:val="white"/>
          <w:lang w:val="es-UY"/>
        </w:rPr>
        <w:t>no analizado en este estudio</w:t>
      </w:r>
      <w:r w:rsidR="003F3725">
        <w:rPr>
          <w:rFonts w:ascii="Arial" w:eastAsia="Arial" w:hAnsi="Arial" w:cs="Arial"/>
          <w:sz w:val="24"/>
          <w:szCs w:val="24"/>
          <w:highlight w:val="white"/>
          <w:lang w:val="es-UY"/>
        </w:rPr>
        <w:t>)</w:t>
      </w:r>
      <w:r w:rsidRPr="00AE52A4">
        <w:rPr>
          <w:rFonts w:ascii="Arial" w:eastAsia="Arial" w:hAnsi="Arial" w:cs="Arial"/>
          <w:sz w:val="24"/>
          <w:szCs w:val="24"/>
          <w:highlight w:val="white"/>
          <w:lang w:val="es-UY"/>
        </w:rPr>
        <w:t xml:space="preserve"> para que el participante autocompletara. Para mayor tranquilidad del participante en la cumplimentación, el entrevistador coordinaba un horario para pasar a retirarlos mientras visitaba otros hogares.</w:t>
      </w:r>
    </w:p>
    <w:p w14:paraId="6FEC04E6" w14:textId="77777777" w:rsidR="00BD409A" w:rsidRPr="00AE52A4" w:rsidRDefault="00BD409A" w:rsidP="00731076">
      <w:pPr>
        <w:spacing w:line="240" w:lineRule="auto"/>
        <w:jc w:val="both"/>
        <w:rPr>
          <w:rFonts w:ascii="Arial" w:eastAsia="Arial" w:hAnsi="Arial" w:cs="Arial"/>
          <w:sz w:val="24"/>
          <w:szCs w:val="24"/>
          <w:lang w:val="es-UY"/>
        </w:rPr>
      </w:pPr>
    </w:p>
    <w:p w14:paraId="4C84E34A" w14:textId="77777777" w:rsidR="00BD409A" w:rsidRPr="00AE52A4" w:rsidRDefault="00BD409A" w:rsidP="00731076">
      <w:pPr>
        <w:spacing w:line="240" w:lineRule="auto"/>
        <w:jc w:val="both"/>
        <w:rPr>
          <w:rFonts w:ascii="Arial" w:eastAsia="Arial" w:hAnsi="Arial" w:cs="Arial"/>
          <w:i/>
          <w:sz w:val="24"/>
          <w:szCs w:val="24"/>
          <w:lang w:val="es-UY"/>
        </w:rPr>
      </w:pPr>
      <w:r w:rsidRPr="00AE52A4">
        <w:rPr>
          <w:rFonts w:ascii="Arial" w:eastAsia="Arial" w:hAnsi="Arial" w:cs="Arial"/>
          <w:b/>
          <w:sz w:val="24"/>
          <w:szCs w:val="24"/>
          <w:lang w:val="es-UY"/>
        </w:rPr>
        <w:t xml:space="preserve">Instrumentos </w:t>
      </w:r>
    </w:p>
    <w:p w14:paraId="211071EA" w14:textId="19DD92DC" w:rsidR="00BD409A" w:rsidRPr="00AE52A4" w:rsidRDefault="005861CF" w:rsidP="00B511AF">
      <w:pPr>
        <w:spacing w:line="240" w:lineRule="auto"/>
        <w:ind w:firstLine="709"/>
        <w:jc w:val="both"/>
        <w:rPr>
          <w:rFonts w:ascii="Arial" w:eastAsia="Arial" w:hAnsi="Arial" w:cs="Arial"/>
          <w:sz w:val="24"/>
          <w:szCs w:val="24"/>
          <w:lang w:val="es-UY"/>
        </w:rPr>
      </w:pPr>
      <w:r w:rsidRPr="005861CF">
        <w:rPr>
          <w:rFonts w:ascii="Arial" w:eastAsia="Arial" w:hAnsi="Arial" w:cs="Arial"/>
          <w:sz w:val="24"/>
          <w:szCs w:val="24"/>
          <w:lang w:val="es-UY"/>
        </w:rPr>
        <w:t xml:space="preserve">Cuestionario sociodemográfico </w:t>
      </w:r>
      <w:r w:rsidRPr="0008108E">
        <w:rPr>
          <w:rFonts w:ascii="Arial" w:eastAsia="Arial" w:hAnsi="Arial" w:cs="Arial"/>
          <w:i/>
          <w:iCs/>
          <w:sz w:val="24"/>
          <w:szCs w:val="24"/>
          <w:lang w:val="es-UY"/>
        </w:rPr>
        <w:t>Ad-hoc</w:t>
      </w:r>
      <w:r w:rsidRPr="005861CF">
        <w:rPr>
          <w:rFonts w:ascii="Arial" w:eastAsia="Arial" w:hAnsi="Arial" w:cs="Arial"/>
          <w:sz w:val="24"/>
          <w:szCs w:val="24"/>
          <w:lang w:val="es-UY"/>
        </w:rPr>
        <w:t>. Se recolectó información sobre el sexo, edad y nivel educativo alcanzado</w:t>
      </w:r>
      <w:r w:rsidR="00A33A95">
        <w:rPr>
          <w:rFonts w:ascii="Arial" w:eastAsia="Arial" w:hAnsi="Arial" w:cs="Arial"/>
          <w:sz w:val="24"/>
          <w:szCs w:val="24"/>
          <w:lang w:val="es-UY"/>
        </w:rPr>
        <w:t xml:space="preserve"> por cada participante</w:t>
      </w:r>
      <w:r w:rsidRPr="005861CF">
        <w:rPr>
          <w:rFonts w:ascii="Arial" w:eastAsia="Arial" w:hAnsi="Arial" w:cs="Arial"/>
          <w:sz w:val="24"/>
          <w:szCs w:val="24"/>
          <w:lang w:val="es-UY"/>
        </w:rPr>
        <w:t>. El nivel educativo tiene las siguientes opciones de respuestas: 0= No posee primaria; 1= Primaria incompleta; 2= Primaria completa; 3= secundaria incompleta; 4= secundaria completa; 5= enseñanza técnica UTU o similar incompleto; 6= enseñanza técnica UTU o similar completo; 7= Estudios terciarios/universidad/magisterio incompleto; 8= Estudios terciarios/universidad/magisterio completo; 9= Posgrado incompleto; 10= Posgrado completo.</w:t>
      </w:r>
    </w:p>
    <w:p w14:paraId="0EEEE44B" w14:textId="77777777" w:rsidR="00BD409A" w:rsidRPr="00AE52A4" w:rsidRDefault="00BD409A" w:rsidP="00731076">
      <w:pPr>
        <w:spacing w:line="240" w:lineRule="auto"/>
        <w:ind w:firstLine="709"/>
        <w:jc w:val="both"/>
        <w:rPr>
          <w:rFonts w:ascii="Arial" w:eastAsia="Arial" w:hAnsi="Arial" w:cs="Arial"/>
          <w:sz w:val="24"/>
          <w:szCs w:val="24"/>
          <w:lang w:val="es-UY"/>
        </w:rPr>
      </w:pPr>
      <w:r w:rsidRPr="00AE52A4">
        <w:rPr>
          <w:rFonts w:ascii="Arial" w:eastAsia="Arial" w:hAnsi="Arial" w:cs="Arial"/>
          <w:i/>
          <w:sz w:val="24"/>
          <w:szCs w:val="24"/>
          <w:lang w:val="es-UY"/>
        </w:rPr>
        <w:t>Cuestionario de consumo de sustancias Ad-hoc</w:t>
      </w:r>
      <w:r w:rsidRPr="00AE52A4">
        <w:rPr>
          <w:rFonts w:ascii="Arial" w:eastAsia="Arial" w:hAnsi="Arial" w:cs="Arial"/>
          <w:sz w:val="24"/>
          <w:szCs w:val="24"/>
          <w:lang w:val="es-UY"/>
        </w:rPr>
        <w:t xml:space="preserve">. Se preguntó el tipo de sustancias consumidas, dentro de las siguientes opciones: cerveza, vino, tragos destilados, tabaco y marihuana. Para cada sustancia las personas debían responder </w:t>
      </w:r>
      <w:r w:rsidRPr="00AE52A4">
        <w:rPr>
          <w:rFonts w:ascii="Arial" w:eastAsia="Arial" w:hAnsi="Arial" w:cs="Arial"/>
          <w:sz w:val="24"/>
          <w:szCs w:val="24"/>
          <w:lang w:val="es-UY"/>
        </w:rPr>
        <w:lastRenderedPageBreak/>
        <w:t>cuál era la frecuencia de consumo, utilizando la siguiente escala: 0= Nunca, 1=Algunas veces; 2= Fines de semana; 3= Todos los días. Para las bebidas alcohólicas se realizó una sumatoria de las opciones brindadas (cerveza, vino y tragos destilados).</w:t>
      </w:r>
    </w:p>
    <w:p w14:paraId="7DB8D341" w14:textId="612C44BE" w:rsidR="00BD409A" w:rsidRPr="00AE52A4" w:rsidRDefault="00BD409A" w:rsidP="00731076">
      <w:pPr>
        <w:spacing w:line="240" w:lineRule="auto"/>
        <w:ind w:firstLine="709"/>
        <w:jc w:val="both"/>
        <w:rPr>
          <w:rFonts w:ascii="Arial" w:eastAsia="Arial" w:hAnsi="Arial" w:cs="Arial"/>
          <w:sz w:val="24"/>
          <w:szCs w:val="24"/>
          <w:lang w:val="es-UY"/>
        </w:rPr>
      </w:pPr>
      <w:r w:rsidRPr="00AE52A4">
        <w:rPr>
          <w:rFonts w:ascii="Arial" w:eastAsia="Arial" w:hAnsi="Arial" w:cs="Arial"/>
          <w:i/>
          <w:sz w:val="24"/>
          <w:szCs w:val="24"/>
          <w:lang w:val="es-UY"/>
        </w:rPr>
        <w:t xml:space="preserve">Escala de Consideración de las Consecuencias Futuras de 14 ítems (CCF-14).  </w:t>
      </w:r>
      <w:r w:rsidRPr="00AE52A4">
        <w:rPr>
          <w:rFonts w:ascii="Arial" w:eastAsia="Arial" w:hAnsi="Arial" w:cs="Arial"/>
          <w:sz w:val="24"/>
          <w:szCs w:val="24"/>
          <w:lang w:val="es-UY"/>
        </w:rPr>
        <w:t>En este estudio se empleó la versión de la ECCF adaptada al español por Vásquez-Echeverría et al. (2018). La ECCF-14 está compuesta por 14 ítems, evaluados con una escala Likert con siete valoraciones (1= Nada característico; 7 = Totalmente característico). El instrumento se compone de dos dominios: CCF-I y CCF-F. En Vásquez-Echeverría et al. (2018) los omega de McDonald son de .74 para CCF-I y de .78 para CCF-F. Asimismo, se reporta muy buenos índices de ajuste confirmatorio para la solución de dos factores correlacionados, análisis para el cual</w:t>
      </w:r>
      <w:r w:rsidR="00D953E1">
        <w:rPr>
          <w:rFonts w:ascii="Arial" w:eastAsia="Arial" w:hAnsi="Arial" w:cs="Arial"/>
          <w:sz w:val="24"/>
          <w:szCs w:val="24"/>
          <w:lang w:val="es-UY"/>
        </w:rPr>
        <w:t xml:space="preserve"> se</w:t>
      </w:r>
      <w:r w:rsidRPr="00AE52A4">
        <w:rPr>
          <w:rFonts w:ascii="Arial" w:eastAsia="Arial" w:hAnsi="Arial" w:cs="Arial"/>
          <w:sz w:val="24"/>
          <w:szCs w:val="24"/>
          <w:lang w:val="es-UY"/>
        </w:rPr>
        <w:t xml:space="preserve"> correlacionan el término de error del ítem 3 con el 4 y del ítem 13 con el 14 </w:t>
      </w:r>
      <w:r w:rsidRPr="00AE52A4">
        <w:rPr>
          <w:rFonts w:ascii="Arial" w:eastAsia="Arial" w:hAnsi="Arial" w:cs="Arial"/>
          <w:sz w:val="24"/>
          <w:szCs w:val="24"/>
        </w:rPr>
        <w:fldChar w:fldCharType="begin" w:fldLock="1"/>
      </w:r>
      <w:r w:rsidRPr="00AE52A4">
        <w:rPr>
          <w:rFonts w:ascii="Arial" w:eastAsia="Arial" w:hAnsi="Arial" w:cs="Arial"/>
          <w:sz w:val="24"/>
          <w:szCs w:val="24"/>
          <w:lang w:val="es-UY"/>
        </w:rPr>
        <w:instrText>ADDIN CSL_CITATION {"citationItems":[{"id":"ITEM-1","itemData":{"DOI":"10.1177/0146167219873478","ISSN":"0146-1672","abstract":"The consideration of future consequences (CFC) is a cognitive-motivational construct describing the extent to which individuals consider the future outcomes of behavior during decision-making. The current research examined the extent to which CFC may be a domain-specific, as opposed to global, temporal construct. Across three surveys, adults ( n = 498; 66.9% female; 41.2% students) completed the 14-item general CFC scale, five newly adapted domain-specific CFC scales, and self-report measures of behavior in five substantive domains (work, health, the environment, money, and college). Confirmatory factor analyses replicated the two-factor model in the CFC-14, supporting the distinction between CFC-Future and CFC-Immediate in domain-specific CFC-14 scales. Hierarchical regression analyses indicated that domain-specific, and not the general, CFC subscales were most strongly associated with the relevant domain-specific behavior and revealed differential patterns of association between domain-specific CFC subscales and behaviors in particular domains. The applied implications for behavioral interventions are discussed.","author":[{"dropping-particle":"","family":"Murphy","given":"Lisa","non-dropping-particle":"","parse-names":false,"suffix":""},{"dropping-particle":"","family":"Cadogan","given":"Eimer","non-dropping-particle":"","parse-names":false,"suffix":""},{"dropping-particle":"","family":"Dockray","given":"Samantha","non-dropping-particle":"","parse-names":false,"suffix":""}],"container-title":"Personality and Social Psychology Bulletin","id":"ITEM-1","issued":{"date-parts":[["2019","9","13"]]},"page":"014616721987347","title":"The Consideration of Future Consequences: Evidence for Domain Specificity Across Five Life Domains","type":"article-journal"},"uris":["http://www.mendeley.com/documents/?uuid=2df73ca2-4822-47fd-8d0e-0d7d7b39d168"]},{"id":"ITEM-2","itemData":{"DOI":"10.1016/j.paid.2017.11.021","ISSN":"01918869","abstract":"The factor structure of the Consideration of Future Consequences Scale (CFCS-14) is currently subject to debate and little is known about its temporal stability, or indeed whether temporal changes aff</w:instrText>
      </w:r>
      <w:r w:rsidRPr="00AE52A4">
        <w:rPr>
          <w:rFonts w:ascii="Arial" w:eastAsia="Arial" w:hAnsi="Arial" w:cs="Arial"/>
          <w:sz w:val="24"/>
          <w:szCs w:val="24"/>
        </w:rPr>
        <w:instrText>ect the factor structure. This study examined the factor structure of a Spanish version of the CFCS-14 in Uruguayan and Spanish samples. In Spain data were collected from a sample that completed the CFCS-14 on five consecutive days, which enabled separate analysis of the within-and between-subject factor structure. Simple and multilevel confirmatory factor analysis showed that a two-correlated factor structure provided the best fit to data from both samples and both the within and between-person levels. Further analyses revealed the expected pattern of correlations between CFCS-14 and ZTPI subscales. The results suggest that the Spanish version of the CFCS-14 is reliable and has a robust, two-factor structure. They also suggest that CFCS-14 scores fluctuate over short periods of time.","author":[{"dropping-particle":"","family":"Vásquez-Echeverría","given":"Alejandro","non-dropping-particle":"","parse-names":false,"suffix":""},{"dropping-particle":"","family":"Antino","given":"Mirko","non-dropping-particle":"","parse-names":false,"suffix":""},{"dropping-particle":"","family":"Alvarez-Nuñez","given":"Lucía","non-dropping-particle":"","parse-names":false,"suffix":""},{"dropping-particle":"","family":"Rodríguez-Muñoz","given":"Alfredo","non-dropping-particle":"","parse-names":false,"suffix":""}],"container-title":"Personality and Individual Differences","id":"ITEM-2","issued":{"date-parts":[["2018"]]},"page":"171-175","publisher":"Elsevier","title":"Evidence for the reliability and factor solution of the CFCS-14 in Spanish: A multi-method validation in Spain and Uruguay","type":"article-journal","volume":"123"},"uris":["http://www.mendeley.com/documents/?uuid=3926138c-469c-4a28-9750-8dfd751bc8f0"]},{"id":"ITEM-3","itemData":{"DOI":"10.1177/0146167212449362","ISBN":"0146-1672","ISSN":"0146-1672","PMID":"22833533","abstract":"The authors extended research linking individual differences in consideration of future consequences (CFC) with health behaviors by (a) testing whether individual differences in regulatory focus would mediate that link and (b) highlighting the value of a revised, two-factor CFC-14 scale with subscales assessing concern with future consequences (CFC-Future) and concern with immediate consequences (CFC-Immediate) proper. Exploratory and confirmatory factor analyses of the revised CFC-14 scale supported the presence of two highly reliable factors (CFC-Future and CFC-Immediate; αs from .80 to .84). Moreover, structural equation modeling showed that those high in CFC-Future engage in exercise and healthy eating because they adopt a promotion orientation. Future use of the two-factor CFC-14 scale is encouraged to shed additional light on how concern with future and concern with immediate consequences (proper) differentially impact the way people resolve a host of intertemporal d</w:instrText>
      </w:r>
      <w:r w:rsidRPr="00AE52A4">
        <w:rPr>
          <w:rFonts w:ascii="Arial" w:eastAsia="Arial" w:hAnsi="Arial" w:cs="Arial"/>
          <w:sz w:val="24"/>
          <w:szCs w:val="24"/>
          <w:lang w:val="es-UY"/>
        </w:rPr>
        <w:instrText>ilemmas (e.g., health, financial, and environmental behavior).","author":[{"dropping-particle":"","family":"Joireman","given":"Jeff","non-dropping-particle":"","parse-names":false,"suffix":""},{"dropping-particle":"","family":"Shaffer","given":"Monte J.","non-dropping-particle":"","parse-names":false,"suffix":""},{"dropping-particle":"","family":"Balliet","given":"Daniel","non-dropping-particle":"","parse-names":false,"suffix":""},{"dropping-particle":"","family":"Strathman","given":"Alan","non-dropping-particle":"","parse-names":false,"suffix":""}],"container-title":"Personality and Social Psychology Bulletin","id":"ITEM-3","issue":"10","issued":{"date-parts":[["2012","10","25"]]},"page":"1272-1287","title":"Promotion Orientation Explains Why Future-Oriented People Exercise and Eat Healthy: Evidence From the Two-Factor Consideration of Future Consequences-14 Scale","type":"article-journal","volume":"38"},"uris":["http://www.mendeley.com/documents/?uuid=ee52c1df-4a2f-48f9-8f08-516cf2a04247"]}],"mendeley":{"formattedCitation":"(Joireman et al., 2012; Murphy, Cadogan, &amp; Dockray, 2019; Vásquez-Echeverría et al., 2018)","plainTextFormattedCitation":"(Joireman et al., 2012; Murphy, Cadogan, &amp; Dockray, 2019; Vásquez-Echeverría et al., 2018)","previouslyFormattedCitation":"(Joireman et al., 2012; Murphy, Cadogan, &amp; Dockray, 2019; Vásquez-Echeverría et al., 2018)"},"properties":{"noteIndex":0},"schema":"https://github.com/citation-style-language/schema/raw/master/csl-citation.json"}</w:instrText>
      </w:r>
      <w:r w:rsidRPr="00AE52A4">
        <w:rPr>
          <w:rFonts w:ascii="Arial" w:eastAsia="Arial" w:hAnsi="Arial" w:cs="Arial"/>
          <w:sz w:val="24"/>
          <w:szCs w:val="24"/>
        </w:rPr>
        <w:fldChar w:fldCharType="separate"/>
      </w:r>
      <w:r w:rsidRPr="00AE52A4">
        <w:rPr>
          <w:rFonts w:ascii="Arial" w:eastAsia="Arial" w:hAnsi="Arial" w:cs="Arial"/>
          <w:noProof/>
          <w:sz w:val="24"/>
          <w:szCs w:val="24"/>
          <w:lang w:val="es-UY"/>
        </w:rPr>
        <w:t>(Joireman et al., 2012; Murphy, Cadogan, &amp; Dockray, 2019; Vásquez-Echeverría et al., 2018)</w:t>
      </w:r>
      <w:r w:rsidRPr="00AE52A4">
        <w:rPr>
          <w:rFonts w:ascii="Arial" w:eastAsia="Arial" w:hAnsi="Arial" w:cs="Arial"/>
          <w:sz w:val="24"/>
          <w:szCs w:val="24"/>
        </w:rPr>
        <w:fldChar w:fldCharType="end"/>
      </w:r>
      <w:r w:rsidRPr="00AE52A4">
        <w:rPr>
          <w:rFonts w:ascii="Arial" w:eastAsia="Arial" w:hAnsi="Arial" w:cs="Arial"/>
          <w:sz w:val="24"/>
          <w:szCs w:val="24"/>
          <w:lang w:val="es-UY"/>
        </w:rPr>
        <w:t>. Debido a un error técnico, en esta encuesta se utilizó una redacción anterior del ítem 5 a la utilizada en dicha validación.</w:t>
      </w:r>
    </w:p>
    <w:p w14:paraId="368D65CA" w14:textId="77777777" w:rsidR="00BD409A" w:rsidRPr="00AE52A4" w:rsidRDefault="00BD409A" w:rsidP="00731076">
      <w:pPr>
        <w:spacing w:line="240" w:lineRule="auto"/>
        <w:jc w:val="both"/>
        <w:rPr>
          <w:rFonts w:ascii="Arial" w:eastAsia="Arial" w:hAnsi="Arial" w:cs="Arial"/>
          <w:sz w:val="24"/>
          <w:szCs w:val="24"/>
          <w:highlight w:val="white"/>
          <w:lang w:val="es-UY"/>
        </w:rPr>
      </w:pPr>
    </w:p>
    <w:p w14:paraId="6986D5EA" w14:textId="77777777" w:rsidR="00BD409A" w:rsidRPr="00AE52A4" w:rsidRDefault="00BD409A" w:rsidP="00731076">
      <w:pPr>
        <w:spacing w:before="240" w:after="240" w:line="240" w:lineRule="auto"/>
        <w:jc w:val="both"/>
        <w:rPr>
          <w:rFonts w:ascii="Arial" w:eastAsia="Arial" w:hAnsi="Arial" w:cs="Arial"/>
          <w:b/>
          <w:sz w:val="24"/>
          <w:szCs w:val="24"/>
          <w:highlight w:val="white"/>
          <w:lang w:val="es-UY"/>
        </w:rPr>
      </w:pPr>
      <w:r w:rsidRPr="00AE52A4">
        <w:rPr>
          <w:rFonts w:ascii="Arial" w:eastAsia="Arial" w:hAnsi="Arial" w:cs="Arial"/>
          <w:b/>
          <w:sz w:val="24"/>
          <w:szCs w:val="24"/>
          <w:highlight w:val="white"/>
          <w:lang w:val="es-UY"/>
        </w:rPr>
        <w:t xml:space="preserve"> Análisis de datos</w:t>
      </w:r>
    </w:p>
    <w:p w14:paraId="74C9628C" w14:textId="14099C9F" w:rsidR="00BD409A" w:rsidRPr="00B279D6" w:rsidRDefault="00BD409A" w:rsidP="00731076">
      <w:pPr>
        <w:spacing w:before="240" w:after="240" w:line="240" w:lineRule="auto"/>
        <w:ind w:firstLine="720"/>
        <w:jc w:val="both"/>
        <w:rPr>
          <w:rFonts w:ascii="Arial" w:eastAsia="Arial" w:hAnsi="Arial" w:cs="Arial"/>
          <w:sz w:val="24"/>
          <w:szCs w:val="24"/>
          <w:highlight w:val="white"/>
          <w:lang w:val="es-UY"/>
        </w:rPr>
      </w:pPr>
      <w:r w:rsidRPr="00AE52A4">
        <w:rPr>
          <w:rFonts w:ascii="Arial" w:eastAsia="Arial" w:hAnsi="Arial" w:cs="Arial"/>
          <w:sz w:val="24"/>
          <w:szCs w:val="24"/>
          <w:highlight w:val="white"/>
          <w:lang w:val="es-UY"/>
        </w:rPr>
        <w:t xml:space="preserve">Para los análisis se utilizó el programa SPSS 20 y MPLUS 8.0. El primer programa fue empleado para realizar los estadísticos descriptivos, estimar los coeficientes de correlación, realizar el baremo (para este análisis se seleccionaron los puntos de corte correspondientes a los percentiles: 5; 10; 25; 33,3; 50; 66,6; 75; 90 y 95), comparación de medias (mediante una prueba t y ANOVA mediante el post hoc </w:t>
      </w:r>
      <w:r w:rsidR="00062338">
        <w:rPr>
          <w:rFonts w:ascii="Arial" w:eastAsia="Arial" w:hAnsi="Arial" w:cs="Arial"/>
          <w:sz w:val="24"/>
          <w:szCs w:val="24"/>
          <w:highlight w:val="white"/>
          <w:lang w:val="es-UY"/>
        </w:rPr>
        <w:t>Tukey</w:t>
      </w:r>
      <w:r w:rsidRPr="00AE52A4">
        <w:rPr>
          <w:rFonts w:ascii="Arial" w:eastAsia="Arial" w:hAnsi="Arial" w:cs="Arial"/>
          <w:sz w:val="24"/>
          <w:szCs w:val="24"/>
          <w:highlight w:val="white"/>
          <w:lang w:val="es-UY"/>
        </w:rPr>
        <w:t>) y análisis de regresión lineal múltiple. El análisis de regresión lineal múltiple fue realizado por pasos. En el primer paso, se incluyó la edad, sexo y máximo nivel educativo como variables control. En el segundo paso, se incluyó CCF-I y CCF-F</w:t>
      </w:r>
      <w:r w:rsidR="003F3725">
        <w:rPr>
          <w:rFonts w:ascii="Arial" w:eastAsia="Arial" w:hAnsi="Arial" w:cs="Arial"/>
          <w:sz w:val="24"/>
          <w:szCs w:val="24"/>
          <w:highlight w:val="white"/>
          <w:lang w:val="es-UY"/>
        </w:rPr>
        <w:t>.</w:t>
      </w:r>
      <w:r w:rsidRPr="00AE52A4">
        <w:rPr>
          <w:rFonts w:ascii="Arial" w:eastAsia="Arial" w:hAnsi="Arial" w:cs="Arial"/>
          <w:sz w:val="24"/>
          <w:szCs w:val="24"/>
          <w:highlight w:val="white"/>
          <w:lang w:val="es-UY"/>
        </w:rPr>
        <w:t xml:space="preserve"> </w:t>
      </w:r>
      <w:r w:rsidR="003F3725">
        <w:rPr>
          <w:rFonts w:ascii="Arial" w:eastAsia="Arial" w:hAnsi="Arial" w:cs="Arial"/>
          <w:sz w:val="24"/>
          <w:szCs w:val="24"/>
          <w:highlight w:val="white"/>
          <w:lang w:val="es-UY"/>
        </w:rPr>
        <w:t>E</w:t>
      </w:r>
      <w:r w:rsidRPr="00AE52A4">
        <w:rPr>
          <w:rFonts w:ascii="Arial" w:eastAsia="Arial" w:hAnsi="Arial" w:cs="Arial"/>
          <w:sz w:val="24"/>
          <w:szCs w:val="24"/>
          <w:highlight w:val="white"/>
          <w:lang w:val="es-UY"/>
        </w:rPr>
        <w:t>n este análisis no se incluye CCF-T por la alta correlación que presenta con las subescalas del instrumento. El segundo programa fue empleado para evaluar la estructura interna mediante un análisis factorial confirmatorio (AFC) y confiabilidad de la escala. Para estos análisis se seleccionó el estimador MLR (del inglés Maximum Likelihood Robust)</w:t>
      </w:r>
      <w:r w:rsidR="003F3725">
        <w:rPr>
          <w:rFonts w:ascii="Arial" w:eastAsia="Arial" w:hAnsi="Arial" w:cs="Arial"/>
          <w:sz w:val="24"/>
          <w:szCs w:val="24"/>
          <w:highlight w:val="white"/>
          <w:lang w:val="es-UY"/>
        </w:rPr>
        <w:t>,</w:t>
      </w:r>
      <w:r w:rsidRPr="00AE52A4">
        <w:rPr>
          <w:rFonts w:ascii="Arial" w:eastAsia="Arial" w:hAnsi="Arial" w:cs="Arial"/>
          <w:sz w:val="24"/>
          <w:szCs w:val="24"/>
          <w:highlight w:val="white"/>
          <w:lang w:val="es-UY"/>
        </w:rPr>
        <w:t xml:space="preserve"> con el fin de calcular las estimaciones de máxima verosimilitud con errores estándares robustos </w:t>
      </w:r>
      <w:r w:rsidRPr="00AE52A4">
        <w:rPr>
          <w:rFonts w:ascii="Arial" w:eastAsia="Arial" w:hAnsi="Arial" w:cs="Arial"/>
          <w:sz w:val="24"/>
          <w:szCs w:val="24"/>
          <w:highlight w:val="white"/>
        </w:rPr>
        <w:fldChar w:fldCharType="begin" w:fldLock="1"/>
      </w:r>
      <w:r w:rsidRPr="00AE52A4">
        <w:rPr>
          <w:rFonts w:ascii="Arial" w:eastAsia="Arial" w:hAnsi="Arial" w:cs="Arial"/>
          <w:sz w:val="24"/>
          <w:szCs w:val="24"/>
          <w:highlight w:val="white"/>
          <w:lang w:val="es-UY"/>
        </w:rPr>
        <w:instrText>ADDIN CSL_CITATION {"citationItems":[{"id":"ITEM-1","itemData":{"ISBN":"978-1-84872-839-4","author":[{"dropping-particle":"","family":"Byrne","given":"B.","non-dropping-particle":"","parse-names":false,"suffix":""}],"chapter-number":"11","container-title":"Structural equation modeling with Mplus: Basic concepts, applications, and programming","id":"ITEM-1","issued":{"date-parts":[["2013"]]},"page":"313-344","publisher":"Routledge","publisher-place":"New York","title":"Testing Change Over Time The Latent Growth Curve Model","type":"chapter"},"uris":["http://www.mendeley.com/documents/?uuid=6306a967-e027-46db-b901-73387d9f8929"]}],"mendeley":{"formattedCitation":"(Byrne, 2013)","plainTextFormattedCitation":"(Byrne, 2013)","previouslyFormattedCitation":"(Byrne, 2013)"},"properties":{"noteIndex":0},"schema":"https://github.com/citation-style-language/schema/raw/master/csl-citation.json"}</w:instrText>
      </w:r>
      <w:r w:rsidRPr="00AE52A4">
        <w:rPr>
          <w:rFonts w:ascii="Arial" w:eastAsia="Arial" w:hAnsi="Arial" w:cs="Arial"/>
          <w:sz w:val="24"/>
          <w:szCs w:val="24"/>
          <w:highlight w:val="white"/>
        </w:rPr>
        <w:fldChar w:fldCharType="separate"/>
      </w:r>
      <w:r w:rsidRPr="00AE52A4">
        <w:rPr>
          <w:rFonts w:ascii="Arial" w:eastAsia="Arial" w:hAnsi="Arial" w:cs="Arial"/>
          <w:noProof/>
          <w:sz w:val="24"/>
          <w:szCs w:val="24"/>
          <w:highlight w:val="white"/>
          <w:lang w:val="es-UY"/>
        </w:rPr>
        <w:t>(Byrne, 2013)</w:t>
      </w:r>
      <w:r w:rsidRPr="00AE52A4">
        <w:rPr>
          <w:rFonts w:ascii="Arial" w:eastAsia="Arial" w:hAnsi="Arial" w:cs="Arial"/>
          <w:sz w:val="24"/>
          <w:szCs w:val="24"/>
          <w:highlight w:val="white"/>
        </w:rPr>
        <w:fldChar w:fldCharType="end"/>
      </w:r>
      <w:r w:rsidR="00B279D6" w:rsidRPr="00B279D6">
        <w:rPr>
          <w:rFonts w:ascii="Arial" w:eastAsia="Arial" w:hAnsi="Arial" w:cs="Arial"/>
          <w:sz w:val="24"/>
          <w:szCs w:val="24"/>
          <w:highlight w:val="white"/>
          <w:lang w:val="es-UY"/>
        </w:rPr>
        <w:t>.</w:t>
      </w:r>
    </w:p>
    <w:p w14:paraId="6CD68E51" w14:textId="77777777" w:rsidR="00BD409A" w:rsidRPr="00AE52A4" w:rsidRDefault="00BD409A" w:rsidP="00731076">
      <w:pPr>
        <w:spacing w:line="240" w:lineRule="auto"/>
        <w:ind w:firstLine="720"/>
        <w:jc w:val="both"/>
        <w:rPr>
          <w:rFonts w:ascii="Arial" w:eastAsia="Arial Unicode MS" w:hAnsi="Arial" w:cs="Arial"/>
          <w:sz w:val="24"/>
          <w:szCs w:val="24"/>
          <w:highlight w:val="white"/>
          <w:lang w:val="es-UY"/>
        </w:rPr>
      </w:pPr>
      <w:r w:rsidRPr="00AE52A4">
        <w:rPr>
          <w:rFonts w:ascii="Arial" w:eastAsia="Arial Unicode MS" w:hAnsi="Arial" w:cs="Arial"/>
          <w:sz w:val="24"/>
          <w:szCs w:val="24"/>
          <w:highlight w:val="white"/>
          <w:lang w:val="es-UY"/>
        </w:rPr>
        <w:t xml:space="preserve">En el AFC se testeó el modelo unifactorial de Strathman et al. (1994), dos factores correlacionados de Joireman et al. (2012) y  modelo bifactorial de </w:t>
      </w:r>
      <w:r w:rsidRPr="00AE52A4">
        <w:rPr>
          <w:rFonts w:ascii="Arial" w:eastAsia="Arial Unicode MS" w:hAnsi="Arial" w:cs="Arial"/>
          <w:sz w:val="24"/>
          <w:szCs w:val="24"/>
          <w:highlight w:val="white"/>
        </w:rPr>
        <w:fldChar w:fldCharType="begin" w:fldLock="1"/>
      </w:r>
      <w:r w:rsidRPr="00AE52A4">
        <w:rPr>
          <w:rFonts w:ascii="Arial" w:eastAsia="Arial Unicode MS" w:hAnsi="Arial" w:cs="Arial"/>
          <w:sz w:val="24"/>
          <w:szCs w:val="24"/>
          <w:highlight w:val="white"/>
          <w:lang w:val="es-UY"/>
        </w:rPr>
        <w:instrText>ADDIN CSL_CITATION {"citationItems":[{"id":"ITEM-1","itemData":{"DOI":"10.1016/j.paid.2016.03.097","ISSN":"01918869","abstract":"Researchers have proposed 1-factor, 2-factor, and bifactor solutions to the 12-item Consideration of Future Consequences Scale (CFCS-12). In order to overcome some measurement problems and to create a robust and conceptually useful two-factor scale the CFCS-12 was recently modified to include two new items and to become the CFCS-14. Using a University sample, we tested four competing models for the CFCS-14: (a) a 12-item unidimensional model, (b) a model fitted for two uncorrelated factors (CFC-Immediate and CFC-Future), (c) a model fitted for two correlated factors (CFC-I and CFC-F), and (d) a bifactor model. Results suggested that the addition of the two new items has strengthened the viability of a two factor solution of the CFCS-14. Results of linear regression models suggest that the CFC-F factor is redundant. Further studies using alcohol and mental health indicators are required to test this redundancy.","author":[{"dropping-particle":"","family":"McKay","given":"Michael T.","non-dropping-particle":"","parse-names":false,"suffix":""},{"dropping-particle":"","family":"Perry","given":"John L.","non-dropping-particle":"","parse-names":false,"suffix":""},{"dropping-particle":"","family":"Percy","given":"Andrew","non-dropping-particle":"","parse-names":false,"suffix":""},{"dropping-particle":"","family":"Cole","given":"Jon C.","non-dropping-particle":"","parse-names":false,"suffix":""}],"container-title":"Personality and Individual Differences","id":"ITEM-1","issued":{"date-parts":[["2016","8"]]},"page":"133-136","publisher":"Elsevier Ltd","title":"Evidence for the reliability and validity, but not the practical utility of the two-factor Consideration of Future Consequences Scale-14","type":"article-journal","volume":"98"},"uris":["http://www.mendeley.com/documents/?uuid=ec0cf733-f051-4303-947f-d5e6b773f299"]}],"mendeley":{"formattedCitation":"(McKay et al., 2016)","manualFormatting":"McKay et al. (2016)","plainTextFormattedCitation":"(McKay et al., 2016)","previouslyFormattedCitation":"(McKay et al., 2016)"},"properties":{"noteIndex":0},"schema":"https://github.com/citation-style-language/schema/raw/master/csl-citation.json"}</w:instrText>
      </w:r>
      <w:r w:rsidRPr="00AE52A4">
        <w:rPr>
          <w:rFonts w:ascii="Arial" w:eastAsia="Arial Unicode MS" w:hAnsi="Arial" w:cs="Arial"/>
          <w:sz w:val="24"/>
          <w:szCs w:val="24"/>
          <w:highlight w:val="white"/>
        </w:rPr>
        <w:fldChar w:fldCharType="separate"/>
      </w:r>
      <w:r w:rsidRPr="00AE52A4">
        <w:rPr>
          <w:rFonts w:ascii="Arial" w:eastAsia="Arial Unicode MS" w:hAnsi="Arial" w:cs="Arial"/>
          <w:noProof/>
          <w:sz w:val="24"/>
          <w:szCs w:val="24"/>
          <w:highlight w:val="white"/>
          <w:lang w:val="es-UY"/>
        </w:rPr>
        <w:t>McKay et al. (2016)</w:t>
      </w:r>
      <w:r w:rsidRPr="00AE52A4">
        <w:rPr>
          <w:rFonts w:ascii="Arial" w:eastAsia="Arial Unicode MS" w:hAnsi="Arial" w:cs="Arial"/>
          <w:sz w:val="24"/>
          <w:szCs w:val="24"/>
          <w:highlight w:val="white"/>
        </w:rPr>
        <w:fldChar w:fldCharType="end"/>
      </w:r>
      <w:r w:rsidRPr="00AE52A4">
        <w:rPr>
          <w:rFonts w:ascii="Arial" w:eastAsia="Arial Unicode MS" w:hAnsi="Arial" w:cs="Arial"/>
          <w:sz w:val="24"/>
          <w:szCs w:val="24"/>
          <w:highlight w:val="white"/>
          <w:lang w:val="es-UY"/>
        </w:rPr>
        <w:t xml:space="preserve">. Luego, se evaluó la consistencia interna mediante el omega de McDonald,  los valores ≥ .70 fueron considerados adecuados </w:t>
      </w:r>
      <w:r w:rsidRPr="00AE52A4">
        <w:rPr>
          <w:rFonts w:ascii="Arial" w:eastAsia="Arial Unicode MS" w:hAnsi="Arial" w:cs="Arial"/>
          <w:sz w:val="24"/>
          <w:szCs w:val="24"/>
          <w:highlight w:val="white"/>
        </w:rPr>
        <w:fldChar w:fldCharType="begin" w:fldLock="1"/>
      </w:r>
      <w:r w:rsidRPr="00AE52A4">
        <w:rPr>
          <w:rFonts w:ascii="Arial" w:eastAsia="Arial Unicode MS" w:hAnsi="Arial" w:cs="Arial"/>
          <w:sz w:val="24"/>
          <w:szCs w:val="24"/>
          <w:highlight w:val="white"/>
          <w:lang w:val="es-UY"/>
        </w:rPr>
        <w:instrText>ADDIN CSL_CITATION {"citationItems":[{"id":"ITEM-1","itemData":{"DOI":"10.1037/1040-3590.6.4.284","ISBN":"1040-3590\\r1939-134X","ISSN":"1939-134X","abstract":"In the context of the development of prototypic assessment instruments in the areas of cognition, personality, and adaptive functioning, the issues of standardization, norming procedures, and the important psychometrics of test reliability and validity are evaluated critically. Criteria, guidelines, and simple rules of thumb are provided to assist the clinician faced with the challenge of choosing an appropriate test instrument for a given psychological assessment.","author":[{"dropping-particle":"V.","family":"Cicchetti","given":"Domenic","non-dropping-particle":"","parse-names":false,"suffix":""}],"container-title":"Psychological Assessment","id":"ITEM-1","issue":"4","issued":{"date-parts":[["1994"]]},"page":"284-290","title":"Guidelines, criteria, and rules of thumb for evaluating normed and standardized assessment instruments in psychology.","type":"article-journal","volume":"6"},"uris":["http://www.mendeley.com/documents/?uuid=95d735be-1c21-470d-9ba7-a0a48dacee62"]},{"id":"ITEM-2","itemData":{"DOI":"10.6018/analesps.33.3.268401","ISSN":"1695-2294","abstract":"&lt;p&gt;Based on recent psychometric developments, this paper presents a conceptual and practical guide for estimating internal consistency re</w:instrText>
      </w:r>
      <w:r w:rsidRPr="00AE52A4">
        <w:rPr>
          <w:rFonts w:ascii="Arial" w:eastAsia="Arial Unicode MS" w:hAnsi="Arial" w:cs="Arial"/>
          <w:sz w:val="24"/>
          <w:szCs w:val="24"/>
          <w:highlight w:val="white"/>
        </w:rPr>
        <w:instrText>liability of measures obtained as item sum or mean. The internal consistency reliability coefficient is presented as a by-product of the measurement model underlying the item responses. A three-step procedure is proposed for its estimation, including descriptive data analysis, test of relevant measurement models, and computation of internal consistency coefficient and its confidence interval. Provided formulas include: (a) Cronbach’s alpha and omega coefficients for unidimensional measures with quantitative item response scales, (b) coefficients ordinal omega, ordinal alpha and nonlinear reliability for unidimensional measures with dichotomic and ordinal items</w:instrText>
      </w:r>
      <w:r w:rsidRPr="00AE52A4">
        <w:rPr>
          <w:rFonts w:ascii="Arial" w:eastAsia="Arial Unicode MS" w:hAnsi="Arial" w:cs="Arial"/>
          <w:sz w:val="24"/>
          <w:szCs w:val="24"/>
          <w:highlight w:val="white"/>
          <w:lang w:val="es-UY"/>
        </w:rPr>
        <w:instrText>, (c) coefficients omega and omega hierarchical for essentially unidimensional scales presenting method effects. The procedure is generalized to weighted sum measures, multidimensional scales, complex designs with multilevel and/or missing data and to scale development. Four illustrative numerical examples are fully explained and the data and the R syntax are provided.&lt;/p&gt;","author":[{"dropping-particle":"","family":"Viladrich","given":"Carme","non-dropping-particle":"","parse-names":false,"suffix":""},{"dropping-particle":"","family":"Angulo-Brunet","given":"Ariadna","non-dropping-particle":"","parse-names":false,"suffix":""},{"dropping-particle":"","family":"Doval","given":"Eduardo","non-dropping-particle":"","parse-names":false,"suffix":""}],"container-title":"Anales de Psicología","id":"ITEM-2","issue":"3","issued":{"date-parts":[["2017","7","21"]]},"page":"755","title":"Un viaje alrededor de alfa y omega para estimar la fiabilidad de consistencia interna","type":"article-journal","volume":"33"},"uris":["http://www.mendeley.com/documents/?uuid=3f354d2a-1cec-4901-874d-6ca1351bd6d4"]}],"mendeley":{"formattedCitation":"(Cicchetti, 1994; Viladrich, Angulo-Brunet, &amp; Doval, 2017)","plainTextFormattedCitation":"(Cicchetti, 1994; Viladrich, Angulo-Brunet, &amp; Doval, 2017)","previouslyFormattedCitation":"(Cicchetti, 1994; Viladrich, Angulo-Brunet, &amp; Doval, 2017)"},"properties":{"noteIndex":0},"schema":"https://github.com/citation-style-language/schema/raw/master/csl-citation.json"}</w:instrText>
      </w:r>
      <w:r w:rsidRPr="00AE52A4">
        <w:rPr>
          <w:rFonts w:ascii="Arial" w:eastAsia="Arial Unicode MS" w:hAnsi="Arial" w:cs="Arial"/>
          <w:sz w:val="24"/>
          <w:szCs w:val="24"/>
          <w:highlight w:val="white"/>
        </w:rPr>
        <w:fldChar w:fldCharType="separate"/>
      </w:r>
      <w:r w:rsidRPr="00AE52A4">
        <w:rPr>
          <w:rFonts w:ascii="Arial" w:eastAsia="Arial Unicode MS" w:hAnsi="Arial" w:cs="Arial"/>
          <w:noProof/>
          <w:sz w:val="24"/>
          <w:szCs w:val="24"/>
          <w:highlight w:val="white"/>
          <w:lang w:val="es-UY"/>
        </w:rPr>
        <w:t>(Cicchetti, 1994; Viladrich, Angulo-Brunet, &amp; Doval, 2017)</w:t>
      </w:r>
      <w:r w:rsidRPr="00AE52A4">
        <w:rPr>
          <w:rFonts w:ascii="Arial" w:eastAsia="Arial Unicode MS" w:hAnsi="Arial" w:cs="Arial"/>
          <w:sz w:val="24"/>
          <w:szCs w:val="24"/>
          <w:highlight w:val="white"/>
        </w:rPr>
        <w:fldChar w:fldCharType="end"/>
      </w:r>
      <w:r w:rsidRPr="00AE52A4">
        <w:rPr>
          <w:rFonts w:ascii="Arial" w:eastAsia="Arial Unicode MS" w:hAnsi="Arial" w:cs="Arial"/>
          <w:sz w:val="24"/>
          <w:szCs w:val="24"/>
          <w:highlight w:val="white"/>
          <w:lang w:val="es-UY"/>
        </w:rPr>
        <w:t xml:space="preserve">, entre .80 a .89 buenos y ≥ .90 excelentes (Cicchetti, 1994). </w:t>
      </w:r>
    </w:p>
    <w:p w14:paraId="7E1EA432" w14:textId="77777777" w:rsidR="00BD409A" w:rsidRPr="00AE52A4" w:rsidRDefault="00BD409A" w:rsidP="00731076">
      <w:pPr>
        <w:spacing w:line="240" w:lineRule="auto"/>
        <w:jc w:val="both"/>
        <w:rPr>
          <w:rFonts w:ascii="Arial" w:eastAsia="Arial" w:hAnsi="Arial" w:cs="Arial"/>
          <w:sz w:val="24"/>
          <w:szCs w:val="24"/>
          <w:lang w:val="es-UY"/>
        </w:rPr>
      </w:pPr>
    </w:p>
    <w:p w14:paraId="788E0C38" w14:textId="77777777" w:rsidR="00BD409A" w:rsidRPr="00AE52A4" w:rsidRDefault="00BD409A" w:rsidP="00731076">
      <w:pPr>
        <w:spacing w:line="240" w:lineRule="auto"/>
        <w:jc w:val="both"/>
        <w:rPr>
          <w:rFonts w:ascii="Arial" w:eastAsia="Arial" w:hAnsi="Arial" w:cs="Arial"/>
          <w:b/>
          <w:sz w:val="24"/>
          <w:szCs w:val="24"/>
          <w:lang w:val="es-UY"/>
        </w:rPr>
      </w:pPr>
      <w:r w:rsidRPr="00AE52A4">
        <w:rPr>
          <w:rFonts w:ascii="Arial" w:eastAsia="Arial" w:hAnsi="Arial" w:cs="Arial"/>
          <w:b/>
          <w:sz w:val="24"/>
          <w:szCs w:val="24"/>
          <w:lang w:val="es-UY"/>
        </w:rPr>
        <w:t xml:space="preserve">Tratamiento de la base de datos </w:t>
      </w:r>
    </w:p>
    <w:p w14:paraId="7C77BC7F" w14:textId="31374F24" w:rsidR="00BD409A" w:rsidRPr="00AE52A4" w:rsidRDefault="00BD409A" w:rsidP="00731076">
      <w:pPr>
        <w:spacing w:line="240" w:lineRule="auto"/>
        <w:ind w:firstLine="708"/>
        <w:jc w:val="both"/>
        <w:rPr>
          <w:rFonts w:ascii="Arial" w:eastAsia="Arial" w:hAnsi="Arial" w:cs="Arial"/>
          <w:sz w:val="24"/>
          <w:szCs w:val="24"/>
          <w:highlight w:val="white"/>
          <w:lang w:val="es-UY"/>
        </w:rPr>
      </w:pPr>
      <w:r w:rsidRPr="00AE52A4">
        <w:rPr>
          <w:rFonts w:ascii="Arial" w:eastAsia="Arial" w:hAnsi="Arial" w:cs="Arial"/>
          <w:sz w:val="24"/>
          <w:szCs w:val="24"/>
          <w:highlight w:val="white"/>
          <w:lang w:val="es-UY"/>
        </w:rPr>
        <w:t>Se excluyeron las respuestas de 39 participantes por contestar más del 80% el mismo valor en algún ítem de la ECCF y 51 por ser identificados como valores extremos multivariados a través del cálculo de la distancia de Mahalanobis.</w:t>
      </w:r>
    </w:p>
    <w:p w14:paraId="18875398" w14:textId="77777777" w:rsidR="00BD409A" w:rsidRPr="00AE52A4" w:rsidRDefault="00BD409A" w:rsidP="00731076">
      <w:pPr>
        <w:spacing w:line="240" w:lineRule="auto"/>
        <w:ind w:firstLine="708"/>
        <w:jc w:val="both"/>
        <w:rPr>
          <w:rFonts w:ascii="Arial" w:eastAsia="Arial" w:hAnsi="Arial" w:cs="Arial"/>
          <w:sz w:val="24"/>
          <w:szCs w:val="24"/>
          <w:highlight w:val="white"/>
          <w:lang w:val="es-UY"/>
        </w:rPr>
      </w:pPr>
    </w:p>
    <w:p w14:paraId="1A9EA0A6" w14:textId="77777777" w:rsidR="00BD409A" w:rsidRPr="00AE52A4" w:rsidRDefault="00BD409A" w:rsidP="00AE52A4">
      <w:pPr>
        <w:spacing w:line="240" w:lineRule="auto"/>
        <w:jc w:val="both"/>
        <w:rPr>
          <w:rFonts w:ascii="Arial" w:eastAsia="Arial" w:hAnsi="Arial" w:cs="Arial"/>
          <w:b/>
          <w:sz w:val="24"/>
          <w:szCs w:val="24"/>
          <w:lang w:val="es-UY"/>
        </w:rPr>
      </w:pPr>
      <w:r w:rsidRPr="00AE52A4">
        <w:rPr>
          <w:rFonts w:ascii="Arial" w:eastAsia="Arial" w:hAnsi="Arial" w:cs="Arial"/>
          <w:b/>
          <w:sz w:val="24"/>
          <w:szCs w:val="24"/>
          <w:lang w:val="es-UY"/>
        </w:rPr>
        <w:lastRenderedPageBreak/>
        <w:t>Resultados</w:t>
      </w:r>
    </w:p>
    <w:p w14:paraId="5285BD25" w14:textId="77777777" w:rsidR="00BD409A" w:rsidRPr="00AE52A4" w:rsidRDefault="00BD409A" w:rsidP="00731076">
      <w:pPr>
        <w:spacing w:after="200" w:line="240" w:lineRule="auto"/>
        <w:jc w:val="both"/>
        <w:rPr>
          <w:rFonts w:ascii="Arial" w:eastAsia="Arial" w:hAnsi="Arial" w:cs="Arial"/>
          <w:i/>
          <w:sz w:val="24"/>
          <w:szCs w:val="24"/>
          <w:lang w:val="es-UY"/>
        </w:rPr>
      </w:pPr>
      <w:r w:rsidRPr="00AE52A4">
        <w:rPr>
          <w:rFonts w:ascii="Arial" w:eastAsia="Arial" w:hAnsi="Arial" w:cs="Arial"/>
          <w:i/>
          <w:sz w:val="24"/>
          <w:szCs w:val="24"/>
          <w:lang w:val="es-UY"/>
        </w:rPr>
        <w:t>3.1. Estadísticos descriptivos y correlaciones entre las variables del estudio</w:t>
      </w:r>
    </w:p>
    <w:p w14:paraId="6FB62129" w14:textId="1794A843" w:rsidR="00BD409A" w:rsidRPr="00AE52A4" w:rsidRDefault="00BD409A" w:rsidP="00731076">
      <w:pPr>
        <w:spacing w:line="240" w:lineRule="auto"/>
        <w:ind w:firstLine="709"/>
        <w:jc w:val="both"/>
        <w:rPr>
          <w:rFonts w:ascii="Arial" w:eastAsia="Arial" w:hAnsi="Arial" w:cs="Arial"/>
          <w:sz w:val="24"/>
          <w:szCs w:val="24"/>
          <w:lang w:val="es-UY"/>
        </w:rPr>
      </w:pPr>
      <w:r w:rsidRPr="00AE52A4">
        <w:rPr>
          <w:rFonts w:ascii="Arial" w:eastAsia="Arial" w:hAnsi="Arial" w:cs="Arial"/>
          <w:sz w:val="24"/>
          <w:szCs w:val="24"/>
          <w:lang w:val="es-UY"/>
        </w:rPr>
        <w:t>En la Tabla 1 se presentan los estadísticos descriptivos y coeficientes de correlaciones inter-ítem de la ECCF. Se utilizó todo el rango de respuesta de la escala</w:t>
      </w:r>
      <w:r w:rsidR="003F3725">
        <w:rPr>
          <w:rFonts w:ascii="Arial" w:eastAsia="Arial" w:hAnsi="Arial" w:cs="Arial"/>
          <w:sz w:val="24"/>
          <w:szCs w:val="24"/>
          <w:lang w:val="es-UY"/>
        </w:rPr>
        <w:t xml:space="preserve"> en todos los ítems</w:t>
      </w:r>
      <w:r w:rsidRPr="00AE52A4">
        <w:rPr>
          <w:rFonts w:ascii="Arial" w:eastAsia="Arial" w:hAnsi="Arial" w:cs="Arial"/>
          <w:sz w:val="24"/>
          <w:szCs w:val="24"/>
          <w:lang w:val="es-UY"/>
        </w:rPr>
        <w:t>. No se observan distorsiones graves en la curtosis y simetría. El ítem 5 es la variable con mayor cantidad de correlaciones sin significancia estadística. A su vez, se observan asociaciones sin significancia estadística en el ítem 12 y 14.</w:t>
      </w:r>
    </w:p>
    <w:p w14:paraId="2395C440" w14:textId="77777777" w:rsidR="00BD409A" w:rsidRPr="00AE52A4" w:rsidRDefault="00BD409A" w:rsidP="00731076">
      <w:pPr>
        <w:spacing w:line="240" w:lineRule="auto"/>
        <w:rPr>
          <w:rFonts w:ascii="Arial" w:hAnsi="Arial" w:cs="Arial"/>
          <w:sz w:val="24"/>
          <w:szCs w:val="24"/>
          <w:lang w:val="es-UY"/>
        </w:rPr>
        <w:sectPr w:rsidR="00BD409A" w:rsidRPr="00AE52A4">
          <w:footerReference w:type="default" r:id="rId7"/>
          <w:pgSz w:w="11906" w:h="16838"/>
          <w:pgMar w:top="1440" w:right="1440" w:bottom="1440" w:left="1440" w:header="708" w:footer="708" w:gutter="0"/>
          <w:cols w:space="708"/>
          <w:docGrid w:linePitch="360"/>
        </w:sectPr>
      </w:pPr>
    </w:p>
    <w:p w14:paraId="43968A7D" w14:textId="77777777" w:rsidR="00BD409A" w:rsidRPr="00AE52A4" w:rsidRDefault="00BD409A" w:rsidP="00731076">
      <w:pPr>
        <w:spacing w:line="240" w:lineRule="auto"/>
        <w:jc w:val="both"/>
        <w:rPr>
          <w:rFonts w:ascii="Arial" w:eastAsia="Arial" w:hAnsi="Arial" w:cs="Arial"/>
          <w:sz w:val="24"/>
          <w:szCs w:val="24"/>
          <w:lang w:val="es-UY"/>
        </w:rPr>
      </w:pPr>
      <w:r w:rsidRPr="00AE52A4">
        <w:rPr>
          <w:rFonts w:ascii="Arial" w:eastAsia="Arial" w:hAnsi="Arial" w:cs="Arial"/>
          <w:sz w:val="24"/>
          <w:szCs w:val="24"/>
          <w:lang w:val="es-UY"/>
        </w:rPr>
        <w:lastRenderedPageBreak/>
        <w:t>Tabla 1</w:t>
      </w:r>
    </w:p>
    <w:p w14:paraId="014BC2F1" w14:textId="77777777" w:rsidR="00BD409A" w:rsidRPr="00AE52A4" w:rsidRDefault="00BD409A" w:rsidP="00731076">
      <w:pPr>
        <w:tabs>
          <w:tab w:val="left" w:pos="7033"/>
        </w:tabs>
        <w:spacing w:after="0" w:line="240" w:lineRule="auto"/>
        <w:jc w:val="both"/>
        <w:rPr>
          <w:rFonts w:ascii="Arial" w:eastAsia="Arial" w:hAnsi="Arial" w:cs="Arial"/>
          <w:i/>
          <w:sz w:val="24"/>
          <w:szCs w:val="24"/>
          <w:lang w:val="es-UY"/>
        </w:rPr>
      </w:pPr>
      <w:r w:rsidRPr="00AE52A4">
        <w:rPr>
          <w:rFonts w:ascii="Arial" w:eastAsia="Arial" w:hAnsi="Arial" w:cs="Arial"/>
          <w:i/>
          <w:sz w:val="24"/>
          <w:szCs w:val="24"/>
          <w:lang w:val="es-UY"/>
        </w:rPr>
        <w:t>Estadísticos descriptivos de los ítems de la escala CCF-14 y correlaciones inter-ítem</w:t>
      </w:r>
    </w:p>
    <w:p w14:paraId="52824FBF" w14:textId="77777777" w:rsidR="00BD409A" w:rsidRPr="00AE52A4" w:rsidRDefault="00BD409A" w:rsidP="00731076">
      <w:pPr>
        <w:spacing w:line="240" w:lineRule="auto"/>
        <w:jc w:val="both"/>
        <w:rPr>
          <w:rFonts w:ascii="Arial" w:eastAsia="Arial" w:hAnsi="Arial" w:cs="Arial"/>
          <w:i/>
          <w:sz w:val="24"/>
          <w:szCs w:val="24"/>
          <w:lang w:val="es-UY"/>
        </w:rPr>
      </w:pPr>
    </w:p>
    <w:tbl>
      <w:tblPr>
        <w:tblW w:w="6763" w:type="dxa"/>
        <w:tblCellMar>
          <w:left w:w="70" w:type="dxa"/>
          <w:right w:w="70" w:type="dxa"/>
        </w:tblCellMar>
        <w:tblLook w:val="04A0" w:firstRow="1" w:lastRow="0" w:firstColumn="1" w:lastColumn="0" w:noHBand="0" w:noVBand="1"/>
      </w:tblPr>
      <w:tblGrid>
        <w:gridCol w:w="1341"/>
        <w:gridCol w:w="1301"/>
        <w:gridCol w:w="688"/>
        <w:gridCol w:w="688"/>
        <w:gridCol w:w="599"/>
        <w:gridCol w:w="679"/>
        <w:gridCol w:w="679"/>
        <w:gridCol w:w="599"/>
        <w:gridCol w:w="616"/>
        <w:gridCol w:w="679"/>
        <w:gridCol w:w="679"/>
        <w:gridCol w:w="679"/>
        <w:gridCol w:w="679"/>
        <w:gridCol w:w="679"/>
        <w:gridCol w:w="679"/>
        <w:gridCol w:w="679"/>
        <w:gridCol w:w="679"/>
      </w:tblGrid>
      <w:tr w:rsidR="00BD409A" w:rsidRPr="00AE52A4" w14:paraId="799C6C09" w14:textId="77777777" w:rsidTr="00731076">
        <w:trPr>
          <w:trHeight w:val="298"/>
        </w:trPr>
        <w:tc>
          <w:tcPr>
            <w:tcW w:w="0" w:type="auto"/>
            <w:tcBorders>
              <w:top w:val="single" w:sz="4" w:space="0" w:color="auto"/>
              <w:left w:val="nil"/>
              <w:bottom w:val="single" w:sz="4" w:space="0" w:color="auto"/>
              <w:right w:val="nil"/>
            </w:tcBorders>
            <w:shd w:val="clear" w:color="auto" w:fill="auto"/>
            <w:noWrap/>
            <w:vAlign w:val="bottom"/>
            <w:hideMark/>
          </w:tcPr>
          <w:p w14:paraId="6C3A3511" w14:textId="77777777" w:rsidR="00BD409A" w:rsidRPr="00AE52A4" w:rsidRDefault="00BD409A" w:rsidP="00731076">
            <w:pPr>
              <w:spacing w:after="0" w:line="240" w:lineRule="auto"/>
              <w:rPr>
                <w:rFonts w:ascii="Arial" w:eastAsia="Times New Roman" w:hAnsi="Arial" w:cs="Arial"/>
                <w:sz w:val="24"/>
                <w:szCs w:val="24"/>
              </w:rPr>
            </w:pPr>
            <w:proofErr w:type="spellStart"/>
            <w:r w:rsidRPr="00AE52A4">
              <w:rPr>
                <w:rFonts w:ascii="Arial" w:eastAsia="Times New Roman" w:hAnsi="Arial" w:cs="Arial"/>
                <w:sz w:val="24"/>
                <w:szCs w:val="24"/>
              </w:rPr>
              <w:t>Ítems</w:t>
            </w:r>
            <w:proofErr w:type="spellEnd"/>
          </w:p>
        </w:tc>
        <w:tc>
          <w:tcPr>
            <w:tcW w:w="0" w:type="auto"/>
            <w:tcBorders>
              <w:top w:val="single" w:sz="4" w:space="0" w:color="auto"/>
              <w:left w:val="nil"/>
              <w:bottom w:val="single" w:sz="4" w:space="0" w:color="auto"/>
              <w:right w:val="nil"/>
            </w:tcBorders>
            <w:shd w:val="clear" w:color="auto" w:fill="auto"/>
            <w:noWrap/>
            <w:vAlign w:val="bottom"/>
            <w:hideMark/>
          </w:tcPr>
          <w:p w14:paraId="1012BAF3"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M (DT)</w:t>
            </w:r>
          </w:p>
        </w:tc>
        <w:tc>
          <w:tcPr>
            <w:tcW w:w="0" w:type="auto"/>
            <w:tcBorders>
              <w:top w:val="single" w:sz="4" w:space="0" w:color="auto"/>
              <w:left w:val="nil"/>
              <w:bottom w:val="single" w:sz="4" w:space="0" w:color="auto"/>
              <w:right w:val="nil"/>
            </w:tcBorders>
            <w:shd w:val="clear" w:color="auto" w:fill="auto"/>
            <w:noWrap/>
            <w:vAlign w:val="bottom"/>
            <w:hideMark/>
          </w:tcPr>
          <w:p w14:paraId="399AB3CD"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As</w:t>
            </w:r>
          </w:p>
        </w:tc>
        <w:tc>
          <w:tcPr>
            <w:tcW w:w="0" w:type="auto"/>
            <w:tcBorders>
              <w:top w:val="single" w:sz="4" w:space="0" w:color="auto"/>
              <w:left w:val="nil"/>
              <w:bottom w:val="single" w:sz="4" w:space="0" w:color="auto"/>
              <w:right w:val="nil"/>
            </w:tcBorders>
            <w:shd w:val="clear" w:color="auto" w:fill="auto"/>
            <w:noWrap/>
            <w:vAlign w:val="bottom"/>
            <w:hideMark/>
          </w:tcPr>
          <w:p w14:paraId="7EF089CC"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Cu</w:t>
            </w:r>
          </w:p>
        </w:tc>
        <w:tc>
          <w:tcPr>
            <w:tcW w:w="0" w:type="auto"/>
            <w:tcBorders>
              <w:top w:val="single" w:sz="4" w:space="0" w:color="auto"/>
              <w:left w:val="nil"/>
              <w:bottom w:val="single" w:sz="4" w:space="0" w:color="auto"/>
              <w:right w:val="nil"/>
            </w:tcBorders>
            <w:shd w:val="clear" w:color="auto" w:fill="auto"/>
            <w:noWrap/>
            <w:vAlign w:val="bottom"/>
            <w:hideMark/>
          </w:tcPr>
          <w:p w14:paraId="6CE35E81"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w:t>
            </w:r>
          </w:p>
        </w:tc>
        <w:tc>
          <w:tcPr>
            <w:tcW w:w="0" w:type="auto"/>
            <w:tcBorders>
              <w:top w:val="single" w:sz="4" w:space="0" w:color="auto"/>
              <w:left w:val="nil"/>
              <w:bottom w:val="single" w:sz="4" w:space="0" w:color="auto"/>
              <w:right w:val="nil"/>
            </w:tcBorders>
            <w:shd w:val="clear" w:color="auto" w:fill="auto"/>
            <w:noWrap/>
            <w:vAlign w:val="bottom"/>
            <w:hideMark/>
          </w:tcPr>
          <w:p w14:paraId="69AD5D64"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3</w:t>
            </w:r>
          </w:p>
        </w:tc>
        <w:tc>
          <w:tcPr>
            <w:tcW w:w="0" w:type="auto"/>
            <w:tcBorders>
              <w:top w:val="single" w:sz="4" w:space="0" w:color="auto"/>
              <w:left w:val="nil"/>
              <w:bottom w:val="single" w:sz="4" w:space="0" w:color="auto"/>
              <w:right w:val="nil"/>
            </w:tcBorders>
            <w:shd w:val="clear" w:color="auto" w:fill="auto"/>
            <w:noWrap/>
            <w:vAlign w:val="bottom"/>
            <w:hideMark/>
          </w:tcPr>
          <w:p w14:paraId="3AE4C023"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4</w:t>
            </w:r>
          </w:p>
        </w:tc>
        <w:tc>
          <w:tcPr>
            <w:tcW w:w="0" w:type="auto"/>
            <w:tcBorders>
              <w:top w:val="single" w:sz="4" w:space="0" w:color="auto"/>
              <w:left w:val="nil"/>
              <w:bottom w:val="single" w:sz="4" w:space="0" w:color="auto"/>
              <w:right w:val="nil"/>
            </w:tcBorders>
            <w:shd w:val="clear" w:color="auto" w:fill="auto"/>
            <w:noWrap/>
            <w:vAlign w:val="bottom"/>
            <w:hideMark/>
          </w:tcPr>
          <w:p w14:paraId="74ABCD63"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5</w:t>
            </w:r>
          </w:p>
        </w:tc>
        <w:tc>
          <w:tcPr>
            <w:tcW w:w="0" w:type="auto"/>
            <w:tcBorders>
              <w:top w:val="single" w:sz="4" w:space="0" w:color="auto"/>
              <w:left w:val="nil"/>
              <w:bottom w:val="single" w:sz="4" w:space="0" w:color="auto"/>
              <w:right w:val="nil"/>
            </w:tcBorders>
            <w:shd w:val="clear" w:color="auto" w:fill="auto"/>
            <w:noWrap/>
            <w:vAlign w:val="bottom"/>
            <w:hideMark/>
          </w:tcPr>
          <w:p w14:paraId="7DF34486"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6</w:t>
            </w:r>
          </w:p>
        </w:tc>
        <w:tc>
          <w:tcPr>
            <w:tcW w:w="0" w:type="auto"/>
            <w:tcBorders>
              <w:top w:val="single" w:sz="4" w:space="0" w:color="auto"/>
              <w:left w:val="nil"/>
              <w:bottom w:val="single" w:sz="4" w:space="0" w:color="auto"/>
              <w:right w:val="nil"/>
            </w:tcBorders>
            <w:shd w:val="clear" w:color="auto" w:fill="auto"/>
            <w:noWrap/>
            <w:vAlign w:val="bottom"/>
            <w:hideMark/>
          </w:tcPr>
          <w:p w14:paraId="7898C8BB"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7</w:t>
            </w:r>
          </w:p>
        </w:tc>
        <w:tc>
          <w:tcPr>
            <w:tcW w:w="0" w:type="auto"/>
            <w:tcBorders>
              <w:top w:val="single" w:sz="4" w:space="0" w:color="auto"/>
              <w:left w:val="nil"/>
              <w:bottom w:val="single" w:sz="4" w:space="0" w:color="auto"/>
              <w:right w:val="nil"/>
            </w:tcBorders>
            <w:shd w:val="clear" w:color="auto" w:fill="auto"/>
            <w:noWrap/>
            <w:vAlign w:val="bottom"/>
            <w:hideMark/>
          </w:tcPr>
          <w:p w14:paraId="1859981C"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8</w:t>
            </w:r>
          </w:p>
        </w:tc>
        <w:tc>
          <w:tcPr>
            <w:tcW w:w="0" w:type="auto"/>
            <w:tcBorders>
              <w:top w:val="single" w:sz="4" w:space="0" w:color="auto"/>
              <w:left w:val="nil"/>
              <w:bottom w:val="single" w:sz="4" w:space="0" w:color="auto"/>
              <w:right w:val="nil"/>
            </w:tcBorders>
            <w:shd w:val="clear" w:color="auto" w:fill="auto"/>
            <w:noWrap/>
            <w:vAlign w:val="bottom"/>
            <w:hideMark/>
          </w:tcPr>
          <w:p w14:paraId="402D2C7C"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9</w:t>
            </w:r>
          </w:p>
        </w:tc>
        <w:tc>
          <w:tcPr>
            <w:tcW w:w="0" w:type="auto"/>
            <w:tcBorders>
              <w:top w:val="single" w:sz="4" w:space="0" w:color="auto"/>
              <w:left w:val="nil"/>
              <w:bottom w:val="single" w:sz="4" w:space="0" w:color="auto"/>
              <w:right w:val="nil"/>
            </w:tcBorders>
            <w:shd w:val="clear" w:color="auto" w:fill="auto"/>
            <w:noWrap/>
            <w:vAlign w:val="bottom"/>
            <w:hideMark/>
          </w:tcPr>
          <w:p w14:paraId="2010615F"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10</w:t>
            </w:r>
          </w:p>
        </w:tc>
        <w:tc>
          <w:tcPr>
            <w:tcW w:w="0" w:type="auto"/>
            <w:tcBorders>
              <w:top w:val="single" w:sz="4" w:space="0" w:color="auto"/>
              <w:left w:val="nil"/>
              <w:bottom w:val="single" w:sz="4" w:space="0" w:color="auto"/>
              <w:right w:val="nil"/>
            </w:tcBorders>
            <w:shd w:val="clear" w:color="auto" w:fill="auto"/>
            <w:noWrap/>
            <w:vAlign w:val="bottom"/>
            <w:hideMark/>
          </w:tcPr>
          <w:p w14:paraId="2F744890"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11</w:t>
            </w:r>
          </w:p>
        </w:tc>
        <w:tc>
          <w:tcPr>
            <w:tcW w:w="0" w:type="auto"/>
            <w:tcBorders>
              <w:top w:val="single" w:sz="4" w:space="0" w:color="auto"/>
              <w:left w:val="nil"/>
              <w:bottom w:val="single" w:sz="4" w:space="0" w:color="auto"/>
              <w:right w:val="nil"/>
            </w:tcBorders>
            <w:shd w:val="clear" w:color="auto" w:fill="auto"/>
            <w:noWrap/>
            <w:vAlign w:val="bottom"/>
            <w:hideMark/>
          </w:tcPr>
          <w:p w14:paraId="1B1087FE"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12</w:t>
            </w:r>
          </w:p>
        </w:tc>
        <w:tc>
          <w:tcPr>
            <w:tcW w:w="0" w:type="auto"/>
            <w:tcBorders>
              <w:top w:val="single" w:sz="4" w:space="0" w:color="auto"/>
              <w:left w:val="nil"/>
              <w:bottom w:val="single" w:sz="4" w:space="0" w:color="auto"/>
              <w:right w:val="nil"/>
            </w:tcBorders>
            <w:shd w:val="clear" w:color="auto" w:fill="auto"/>
            <w:noWrap/>
            <w:vAlign w:val="bottom"/>
            <w:hideMark/>
          </w:tcPr>
          <w:p w14:paraId="643DE048"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13</w:t>
            </w:r>
          </w:p>
        </w:tc>
        <w:tc>
          <w:tcPr>
            <w:tcW w:w="0" w:type="auto"/>
            <w:tcBorders>
              <w:top w:val="single" w:sz="4" w:space="0" w:color="auto"/>
              <w:left w:val="nil"/>
              <w:bottom w:val="single" w:sz="4" w:space="0" w:color="auto"/>
              <w:right w:val="nil"/>
            </w:tcBorders>
            <w:shd w:val="clear" w:color="auto" w:fill="auto"/>
            <w:noWrap/>
            <w:vAlign w:val="bottom"/>
            <w:hideMark/>
          </w:tcPr>
          <w:p w14:paraId="34D20F29"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14</w:t>
            </w:r>
          </w:p>
        </w:tc>
      </w:tr>
      <w:tr w:rsidR="00BD409A" w:rsidRPr="00AE52A4" w14:paraId="476CDC6E" w14:textId="77777777" w:rsidTr="00731076">
        <w:trPr>
          <w:trHeight w:val="298"/>
        </w:trPr>
        <w:tc>
          <w:tcPr>
            <w:tcW w:w="0" w:type="auto"/>
            <w:tcBorders>
              <w:top w:val="single" w:sz="4" w:space="0" w:color="auto"/>
              <w:left w:val="nil"/>
              <w:bottom w:val="single" w:sz="4" w:space="0" w:color="auto"/>
              <w:right w:val="nil"/>
            </w:tcBorders>
            <w:shd w:val="clear" w:color="auto" w:fill="auto"/>
            <w:noWrap/>
            <w:vAlign w:val="bottom"/>
          </w:tcPr>
          <w:p w14:paraId="00E994CD" w14:textId="77777777" w:rsidR="00BD409A" w:rsidRPr="00AE52A4" w:rsidRDefault="00BD409A" w:rsidP="00731076">
            <w:pPr>
              <w:spacing w:after="0" w:line="240" w:lineRule="auto"/>
              <w:rPr>
                <w:rFonts w:ascii="Arial" w:eastAsia="Times New Roman" w:hAnsi="Arial" w:cs="Arial"/>
                <w:sz w:val="24"/>
                <w:szCs w:val="24"/>
              </w:rPr>
            </w:pPr>
          </w:p>
        </w:tc>
        <w:tc>
          <w:tcPr>
            <w:tcW w:w="0" w:type="auto"/>
            <w:tcBorders>
              <w:top w:val="single" w:sz="4" w:space="0" w:color="auto"/>
              <w:left w:val="nil"/>
              <w:bottom w:val="single" w:sz="4" w:space="0" w:color="auto"/>
              <w:right w:val="nil"/>
            </w:tcBorders>
            <w:shd w:val="clear" w:color="auto" w:fill="auto"/>
            <w:noWrap/>
            <w:vAlign w:val="bottom"/>
          </w:tcPr>
          <w:p w14:paraId="1BFE35F2"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nil"/>
            </w:tcBorders>
            <w:shd w:val="clear" w:color="auto" w:fill="auto"/>
            <w:noWrap/>
            <w:vAlign w:val="bottom"/>
          </w:tcPr>
          <w:p w14:paraId="0268449C"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nil"/>
            </w:tcBorders>
            <w:shd w:val="clear" w:color="auto" w:fill="auto"/>
            <w:noWrap/>
            <w:vAlign w:val="bottom"/>
          </w:tcPr>
          <w:p w14:paraId="751CBC6B"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nil"/>
            </w:tcBorders>
            <w:shd w:val="clear" w:color="auto" w:fill="auto"/>
            <w:noWrap/>
            <w:vAlign w:val="bottom"/>
          </w:tcPr>
          <w:p w14:paraId="6A754FB7"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nil"/>
            </w:tcBorders>
            <w:shd w:val="clear" w:color="auto" w:fill="auto"/>
            <w:noWrap/>
            <w:vAlign w:val="bottom"/>
          </w:tcPr>
          <w:p w14:paraId="31801BF0"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nil"/>
            </w:tcBorders>
            <w:shd w:val="clear" w:color="auto" w:fill="auto"/>
            <w:noWrap/>
            <w:vAlign w:val="bottom"/>
          </w:tcPr>
          <w:p w14:paraId="1ABC94B7"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nil"/>
            </w:tcBorders>
            <w:shd w:val="clear" w:color="auto" w:fill="auto"/>
            <w:noWrap/>
            <w:vAlign w:val="bottom"/>
          </w:tcPr>
          <w:p w14:paraId="4FA1F1BE"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nil"/>
            </w:tcBorders>
            <w:shd w:val="clear" w:color="auto" w:fill="auto"/>
            <w:noWrap/>
            <w:vAlign w:val="bottom"/>
          </w:tcPr>
          <w:p w14:paraId="12C3E7E2"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nil"/>
            </w:tcBorders>
            <w:shd w:val="clear" w:color="auto" w:fill="auto"/>
            <w:noWrap/>
            <w:vAlign w:val="bottom"/>
          </w:tcPr>
          <w:p w14:paraId="00A38520"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nil"/>
            </w:tcBorders>
            <w:shd w:val="clear" w:color="auto" w:fill="auto"/>
            <w:noWrap/>
            <w:vAlign w:val="bottom"/>
          </w:tcPr>
          <w:p w14:paraId="1C36BCB2"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nil"/>
            </w:tcBorders>
            <w:shd w:val="clear" w:color="auto" w:fill="auto"/>
            <w:noWrap/>
            <w:vAlign w:val="bottom"/>
          </w:tcPr>
          <w:p w14:paraId="7AF1C89C"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nil"/>
            </w:tcBorders>
            <w:shd w:val="clear" w:color="auto" w:fill="auto"/>
            <w:noWrap/>
            <w:vAlign w:val="bottom"/>
          </w:tcPr>
          <w:p w14:paraId="28AA0D1C"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nil"/>
            </w:tcBorders>
            <w:shd w:val="clear" w:color="auto" w:fill="auto"/>
            <w:noWrap/>
            <w:vAlign w:val="bottom"/>
          </w:tcPr>
          <w:p w14:paraId="1EC5B3C8"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nil"/>
            </w:tcBorders>
            <w:shd w:val="clear" w:color="auto" w:fill="auto"/>
            <w:noWrap/>
            <w:vAlign w:val="bottom"/>
          </w:tcPr>
          <w:p w14:paraId="218EB382"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nil"/>
            </w:tcBorders>
            <w:shd w:val="clear" w:color="auto" w:fill="auto"/>
            <w:noWrap/>
            <w:vAlign w:val="bottom"/>
          </w:tcPr>
          <w:p w14:paraId="7A895060"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nil"/>
            </w:tcBorders>
            <w:shd w:val="clear" w:color="auto" w:fill="auto"/>
            <w:noWrap/>
            <w:vAlign w:val="bottom"/>
          </w:tcPr>
          <w:p w14:paraId="00DD5E07" w14:textId="77777777" w:rsidR="00BD409A" w:rsidRPr="00AE52A4" w:rsidRDefault="00BD409A" w:rsidP="00731076">
            <w:pPr>
              <w:spacing w:after="0" w:line="240" w:lineRule="auto"/>
              <w:jc w:val="center"/>
              <w:rPr>
                <w:rFonts w:ascii="Arial" w:eastAsia="Times New Roman" w:hAnsi="Arial" w:cs="Arial"/>
                <w:sz w:val="24"/>
                <w:szCs w:val="24"/>
              </w:rPr>
            </w:pPr>
          </w:p>
        </w:tc>
      </w:tr>
      <w:tr w:rsidR="00AE52A4" w:rsidRPr="00AE52A4" w14:paraId="50BCD017" w14:textId="77777777" w:rsidTr="00731076">
        <w:trPr>
          <w:trHeight w:val="298"/>
        </w:trPr>
        <w:tc>
          <w:tcPr>
            <w:tcW w:w="0" w:type="auto"/>
            <w:tcBorders>
              <w:top w:val="nil"/>
              <w:left w:val="nil"/>
              <w:bottom w:val="nil"/>
              <w:right w:val="nil"/>
            </w:tcBorders>
            <w:shd w:val="clear" w:color="auto" w:fill="auto"/>
            <w:noWrap/>
            <w:vAlign w:val="bottom"/>
            <w:hideMark/>
          </w:tcPr>
          <w:p w14:paraId="3651300B"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xml:space="preserve">1. </w:t>
            </w:r>
            <w:proofErr w:type="spellStart"/>
            <w:r w:rsidRPr="00AE52A4">
              <w:rPr>
                <w:rFonts w:ascii="Arial" w:eastAsia="Times New Roman" w:hAnsi="Arial" w:cs="Arial"/>
                <w:sz w:val="24"/>
                <w:szCs w:val="24"/>
              </w:rPr>
              <w:t>Ítem</w:t>
            </w:r>
            <w:proofErr w:type="spellEnd"/>
            <w:r w:rsidRPr="00AE52A4">
              <w:rPr>
                <w:rFonts w:ascii="Arial" w:eastAsia="Times New Roman" w:hAnsi="Arial" w:cs="Arial"/>
                <w:sz w:val="24"/>
                <w:szCs w:val="24"/>
              </w:rPr>
              <w:t xml:space="preserve"> 1</w:t>
            </w:r>
          </w:p>
        </w:tc>
        <w:tc>
          <w:tcPr>
            <w:tcW w:w="0" w:type="auto"/>
            <w:tcBorders>
              <w:top w:val="nil"/>
              <w:left w:val="nil"/>
              <w:bottom w:val="nil"/>
              <w:right w:val="nil"/>
            </w:tcBorders>
            <w:shd w:val="clear" w:color="auto" w:fill="auto"/>
            <w:noWrap/>
            <w:vAlign w:val="center"/>
            <w:hideMark/>
          </w:tcPr>
          <w:p w14:paraId="63ACF142" w14:textId="77777777" w:rsidR="00BD409A" w:rsidRPr="00AE52A4" w:rsidRDefault="00BD409A" w:rsidP="00731076">
            <w:pPr>
              <w:spacing w:after="0" w:line="240" w:lineRule="auto"/>
              <w:jc w:val="right"/>
              <w:rPr>
                <w:rFonts w:ascii="Arial" w:eastAsia="Times New Roman" w:hAnsi="Arial" w:cs="Arial"/>
                <w:sz w:val="24"/>
                <w:szCs w:val="24"/>
              </w:rPr>
            </w:pPr>
            <w:r w:rsidRPr="00AE52A4">
              <w:rPr>
                <w:rFonts w:ascii="Arial" w:eastAsia="Times New Roman" w:hAnsi="Arial" w:cs="Arial"/>
                <w:sz w:val="24"/>
                <w:szCs w:val="24"/>
              </w:rPr>
              <w:t>4.92 (1.87)</w:t>
            </w:r>
          </w:p>
        </w:tc>
        <w:tc>
          <w:tcPr>
            <w:tcW w:w="0" w:type="auto"/>
            <w:tcBorders>
              <w:top w:val="nil"/>
              <w:left w:val="nil"/>
              <w:bottom w:val="nil"/>
              <w:right w:val="nil"/>
            </w:tcBorders>
            <w:shd w:val="clear" w:color="auto" w:fill="auto"/>
            <w:noWrap/>
            <w:vAlign w:val="bottom"/>
            <w:hideMark/>
          </w:tcPr>
          <w:p w14:paraId="7CB053F4"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-0.69</w:t>
            </w:r>
          </w:p>
        </w:tc>
        <w:tc>
          <w:tcPr>
            <w:tcW w:w="0" w:type="auto"/>
            <w:tcBorders>
              <w:top w:val="nil"/>
              <w:left w:val="nil"/>
              <w:bottom w:val="nil"/>
              <w:right w:val="nil"/>
            </w:tcBorders>
            <w:shd w:val="clear" w:color="auto" w:fill="auto"/>
            <w:noWrap/>
            <w:vAlign w:val="bottom"/>
            <w:hideMark/>
          </w:tcPr>
          <w:p w14:paraId="1391B5D3"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-0.46</w:t>
            </w:r>
          </w:p>
        </w:tc>
        <w:tc>
          <w:tcPr>
            <w:tcW w:w="0" w:type="auto"/>
            <w:tcBorders>
              <w:top w:val="nil"/>
              <w:left w:val="nil"/>
              <w:bottom w:val="nil"/>
              <w:right w:val="nil"/>
            </w:tcBorders>
            <w:shd w:val="clear" w:color="auto" w:fill="auto"/>
            <w:noWrap/>
            <w:hideMark/>
          </w:tcPr>
          <w:p w14:paraId="57F90EA2"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.38</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08B3326C"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-.26</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5DA21D58"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-.16</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2F4C9714"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.04</w:t>
            </w:r>
          </w:p>
        </w:tc>
        <w:tc>
          <w:tcPr>
            <w:tcW w:w="0" w:type="auto"/>
            <w:tcBorders>
              <w:top w:val="nil"/>
              <w:left w:val="nil"/>
              <w:bottom w:val="nil"/>
              <w:right w:val="nil"/>
            </w:tcBorders>
            <w:shd w:val="clear" w:color="auto" w:fill="auto"/>
            <w:noWrap/>
            <w:hideMark/>
          </w:tcPr>
          <w:p w14:paraId="284CB980"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.18</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2275382C"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.28</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05F8AD34"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.32</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301966BA"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-.16</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5986C84F"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-.23</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22BF5744"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-.21</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21839A01"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-.08</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50B7EB15"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.37</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3AC272D9"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.37</w:t>
            </w:r>
            <w:r w:rsidRPr="00AE52A4">
              <w:rPr>
                <w:rFonts w:ascii="Arial" w:eastAsia="Times New Roman" w:hAnsi="Arial" w:cs="Arial"/>
                <w:sz w:val="24"/>
                <w:szCs w:val="24"/>
                <w:vertAlign w:val="superscript"/>
              </w:rPr>
              <w:t>**</w:t>
            </w:r>
          </w:p>
        </w:tc>
      </w:tr>
      <w:tr w:rsidR="00AE52A4" w:rsidRPr="00AE52A4" w14:paraId="09F15F78" w14:textId="77777777" w:rsidTr="00731076">
        <w:trPr>
          <w:trHeight w:val="298"/>
        </w:trPr>
        <w:tc>
          <w:tcPr>
            <w:tcW w:w="0" w:type="auto"/>
            <w:tcBorders>
              <w:top w:val="nil"/>
              <w:left w:val="nil"/>
              <w:bottom w:val="nil"/>
              <w:right w:val="nil"/>
            </w:tcBorders>
            <w:shd w:val="clear" w:color="auto" w:fill="auto"/>
            <w:noWrap/>
            <w:vAlign w:val="bottom"/>
            <w:hideMark/>
          </w:tcPr>
          <w:p w14:paraId="7687D35A"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xml:space="preserve">2. </w:t>
            </w:r>
            <w:proofErr w:type="spellStart"/>
            <w:r w:rsidRPr="00AE52A4">
              <w:rPr>
                <w:rFonts w:ascii="Arial" w:eastAsia="Times New Roman" w:hAnsi="Arial" w:cs="Arial"/>
                <w:sz w:val="24"/>
                <w:szCs w:val="24"/>
              </w:rPr>
              <w:t>Ítem</w:t>
            </w:r>
            <w:proofErr w:type="spellEnd"/>
            <w:r w:rsidRPr="00AE52A4">
              <w:rPr>
                <w:rFonts w:ascii="Arial" w:eastAsia="Times New Roman" w:hAnsi="Arial" w:cs="Arial"/>
                <w:sz w:val="24"/>
                <w:szCs w:val="24"/>
              </w:rPr>
              <w:t xml:space="preserve"> 2</w:t>
            </w:r>
          </w:p>
        </w:tc>
        <w:tc>
          <w:tcPr>
            <w:tcW w:w="0" w:type="auto"/>
            <w:tcBorders>
              <w:top w:val="nil"/>
              <w:left w:val="nil"/>
              <w:bottom w:val="nil"/>
              <w:right w:val="nil"/>
            </w:tcBorders>
            <w:shd w:val="clear" w:color="auto" w:fill="auto"/>
            <w:noWrap/>
            <w:vAlign w:val="center"/>
            <w:hideMark/>
          </w:tcPr>
          <w:p w14:paraId="53C40B18" w14:textId="77777777" w:rsidR="00BD409A" w:rsidRPr="00AE52A4" w:rsidRDefault="00BD409A" w:rsidP="00731076">
            <w:pPr>
              <w:spacing w:after="0" w:line="240" w:lineRule="auto"/>
              <w:jc w:val="right"/>
              <w:rPr>
                <w:rFonts w:ascii="Arial" w:eastAsia="Times New Roman" w:hAnsi="Arial" w:cs="Arial"/>
                <w:sz w:val="24"/>
                <w:szCs w:val="24"/>
              </w:rPr>
            </w:pPr>
            <w:r w:rsidRPr="00AE52A4">
              <w:rPr>
                <w:rFonts w:ascii="Arial" w:eastAsia="Times New Roman" w:hAnsi="Arial" w:cs="Arial"/>
                <w:sz w:val="24"/>
                <w:szCs w:val="24"/>
              </w:rPr>
              <w:t>3.68 (2.04)</w:t>
            </w:r>
          </w:p>
        </w:tc>
        <w:tc>
          <w:tcPr>
            <w:tcW w:w="0" w:type="auto"/>
            <w:tcBorders>
              <w:top w:val="nil"/>
              <w:left w:val="nil"/>
              <w:bottom w:val="nil"/>
              <w:right w:val="nil"/>
            </w:tcBorders>
            <w:shd w:val="clear" w:color="auto" w:fill="auto"/>
            <w:noWrap/>
            <w:vAlign w:val="bottom"/>
            <w:hideMark/>
          </w:tcPr>
          <w:p w14:paraId="22EA8B09"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0.14</w:t>
            </w:r>
          </w:p>
        </w:tc>
        <w:tc>
          <w:tcPr>
            <w:tcW w:w="0" w:type="auto"/>
            <w:tcBorders>
              <w:top w:val="nil"/>
              <w:left w:val="nil"/>
              <w:bottom w:val="nil"/>
              <w:right w:val="nil"/>
            </w:tcBorders>
            <w:shd w:val="clear" w:color="auto" w:fill="auto"/>
            <w:noWrap/>
            <w:vAlign w:val="bottom"/>
            <w:hideMark/>
          </w:tcPr>
          <w:p w14:paraId="1AE4A0A7"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-1.20</w:t>
            </w:r>
          </w:p>
        </w:tc>
        <w:tc>
          <w:tcPr>
            <w:tcW w:w="0" w:type="auto"/>
            <w:tcBorders>
              <w:top w:val="nil"/>
              <w:left w:val="nil"/>
              <w:bottom w:val="nil"/>
              <w:right w:val="nil"/>
            </w:tcBorders>
            <w:shd w:val="clear" w:color="auto" w:fill="auto"/>
            <w:noWrap/>
            <w:vAlign w:val="bottom"/>
            <w:hideMark/>
          </w:tcPr>
          <w:p w14:paraId="4FF3EBFA"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5BB0B055"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-.11</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246996E8"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-.08</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01CEF696"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-.01</w:t>
            </w:r>
          </w:p>
        </w:tc>
        <w:tc>
          <w:tcPr>
            <w:tcW w:w="0" w:type="auto"/>
            <w:tcBorders>
              <w:top w:val="nil"/>
              <w:left w:val="nil"/>
              <w:bottom w:val="nil"/>
              <w:right w:val="nil"/>
            </w:tcBorders>
            <w:shd w:val="clear" w:color="auto" w:fill="auto"/>
            <w:noWrap/>
            <w:hideMark/>
          </w:tcPr>
          <w:p w14:paraId="7BD683B9"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.25</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6F8848FE"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.26</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5A6521B2"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.26</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74CA9961"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-.06</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1B6B17C6"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-.07</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767BD261"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-.17</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0742D013"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-.04</w:t>
            </w:r>
          </w:p>
        </w:tc>
        <w:tc>
          <w:tcPr>
            <w:tcW w:w="0" w:type="auto"/>
            <w:tcBorders>
              <w:top w:val="nil"/>
              <w:left w:val="nil"/>
              <w:bottom w:val="nil"/>
              <w:right w:val="nil"/>
            </w:tcBorders>
            <w:shd w:val="clear" w:color="auto" w:fill="auto"/>
            <w:noWrap/>
            <w:hideMark/>
          </w:tcPr>
          <w:p w14:paraId="29350DB2"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.21</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735B2041"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.23</w:t>
            </w:r>
            <w:r w:rsidRPr="00AE52A4">
              <w:rPr>
                <w:rFonts w:ascii="Arial" w:eastAsia="Times New Roman" w:hAnsi="Arial" w:cs="Arial"/>
                <w:sz w:val="24"/>
                <w:szCs w:val="24"/>
                <w:vertAlign w:val="superscript"/>
              </w:rPr>
              <w:t>**</w:t>
            </w:r>
          </w:p>
        </w:tc>
      </w:tr>
      <w:tr w:rsidR="00AE52A4" w:rsidRPr="00AE52A4" w14:paraId="3DF65EEF" w14:textId="77777777" w:rsidTr="00731076">
        <w:trPr>
          <w:trHeight w:val="298"/>
        </w:trPr>
        <w:tc>
          <w:tcPr>
            <w:tcW w:w="0" w:type="auto"/>
            <w:tcBorders>
              <w:top w:val="nil"/>
              <w:left w:val="nil"/>
              <w:bottom w:val="nil"/>
              <w:right w:val="nil"/>
            </w:tcBorders>
            <w:shd w:val="clear" w:color="auto" w:fill="auto"/>
            <w:noWrap/>
            <w:vAlign w:val="bottom"/>
            <w:hideMark/>
          </w:tcPr>
          <w:p w14:paraId="0BE829D5"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xml:space="preserve">3. </w:t>
            </w:r>
            <w:proofErr w:type="spellStart"/>
            <w:r w:rsidRPr="00AE52A4">
              <w:rPr>
                <w:rFonts w:ascii="Arial" w:eastAsia="Times New Roman" w:hAnsi="Arial" w:cs="Arial"/>
                <w:sz w:val="24"/>
                <w:szCs w:val="24"/>
              </w:rPr>
              <w:t>Ítem</w:t>
            </w:r>
            <w:proofErr w:type="spellEnd"/>
            <w:r w:rsidRPr="00AE52A4">
              <w:rPr>
                <w:rFonts w:ascii="Arial" w:eastAsia="Times New Roman" w:hAnsi="Arial" w:cs="Arial"/>
                <w:sz w:val="24"/>
                <w:szCs w:val="24"/>
              </w:rPr>
              <w:t xml:space="preserve"> 3</w:t>
            </w:r>
          </w:p>
        </w:tc>
        <w:tc>
          <w:tcPr>
            <w:tcW w:w="0" w:type="auto"/>
            <w:tcBorders>
              <w:top w:val="nil"/>
              <w:left w:val="nil"/>
              <w:bottom w:val="nil"/>
              <w:right w:val="nil"/>
            </w:tcBorders>
            <w:shd w:val="clear" w:color="auto" w:fill="auto"/>
            <w:noWrap/>
            <w:vAlign w:val="center"/>
            <w:hideMark/>
          </w:tcPr>
          <w:p w14:paraId="64997C6F" w14:textId="77777777" w:rsidR="00BD409A" w:rsidRPr="00AE52A4" w:rsidRDefault="00BD409A" w:rsidP="00731076">
            <w:pPr>
              <w:spacing w:after="0" w:line="240" w:lineRule="auto"/>
              <w:jc w:val="right"/>
              <w:rPr>
                <w:rFonts w:ascii="Arial" w:eastAsia="Times New Roman" w:hAnsi="Arial" w:cs="Arial"/>
                <w:sz w:val="24"/>
                <w:szCs w:val="24"/>
              </w:rPr>
            </w:pPr>
            <w:r w:rsidRPr="00AE52A4">
              <w:rPr>
                <w:rFonts w:ascii="Arial" w:eastAsia="Times New Roman" w:hAnsi="Arial" w:cs="Arial"/>
                <w:sz w:val="24"/>
                <w:szCs w:val="24"/>
              </w:rPr>
              <w:t>2.86 (2.01)</w:t>
            </w:r>
          </w:p>
        </w:tc>
        <w:tc>
          <w:tcPr>
            <w:tcW w:w="0" w:type="auto"/>
            <w:tcBorders>
              <w:top w:val="nil"/>
              <w:left w:val="nil"/>
              <w:bottom w:val="nil"/>
              <w:right w:val="nil"/>
            </w:tcBorders>
            <w:shd w:val="clear" w:color="auto" w:fill="auto"/>
            <w:noWrap/>
            <w:vAlign w:val="bottom"/>
            <w:hideMark/>
          </w:tcPr>
          <w:p w14:paraId="6F47A708"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0.79</w:t>
            </w:r>
          </w:p>
        </w:tc>
        <w:tc>
          <w:tcPr>
            <w:tcW w:w="0" w:type="auto"/>
            <w:tcBorders>
              <w:top w:val="nil"/>
              <w:left w:val="nil"/>
              <w:bottom w:val="nil"/>
              <w:right w:val="nil"/>
            </w:tcBorders>
            <w:shd w:val="clear" w:color="auto" w:fill="auto"/>
            <w:noWrap/>
            <w:vAlign w:val="bottom"/>
            <w:hideMark/>
          </w:tcPr>
          <w:p w14:paraId="2ADFCFA6"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-0.68</w:t>
            </w:r>
          </w:p>
        </w:tc>
        <w:tc>
          <w:tcPr>
            <w:tcW w:w="0" w:type="auto"/>
            <w:tcBorders>
              <w:top w:val="nil"/>
              <w:left w:val="nil"/>
              <w:bottom w:val="nil"/>
              <w:right w:val="nil"/>
            </w:tcBorders>
            <w:shd w:val="clear" w:color="auto" w:fill="auto"/>
            <w:noWrap/>
            <w:vAlign w:val="bottom"/>
            <w:hideMark/>
          </w:tcPr>
          <w:p w14:paraId="672DE2F4"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66887B3"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532ACECB"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.54</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2C4C29C0"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.14</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00EA62BA"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-.07</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3ADA20FC"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-.15</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5D302BDA"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-.22</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1C0F3A5E"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.27</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0F3ED868"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.31</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7900C05B"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.48</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2CE05434"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.34</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350B0D28"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-.25</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04048F34"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-.21</w:t>
            </w:r>
            <w:r w:rsidRPr="00AE52A4">
              <w:rPr>
                <w:rFonts w:ascii="Arial" w:eastAsia="Times New Roman" w:hAnsi="Arial" w:cs="Arial"/>
                <w:sz w:val="24"/>
                <w:szCs w:val="24"/>
                <w:vertAlign w:val="superscript"/>
              </w:rPr>
              <w:t>**</w:t>
            </w:r>
          </w:p>
        </w:tc>
      </w:tr>
      <w:tr w:rsidR="00AE52A4" w:rsidRPr="00AE52A4" w14:paraId="30017CDF" w14:textId="77777777" w:rsidTr="00731076">
        <w:trPr>
          <w:trHeight w:val="298"/>
        </w:trPr>
        <w:tc>
          <w:tcPr>
            <w:tcW w:w="0" w:type="auto"/>
            <w:tcBorders>
              <w:top w:val="nil"/>
              <w:left w:val="nil"/>
              <w:bottom w:val="nil"/>
              <w:right w:val="nil"/>
            </w:tcBorders>
            <w:shd w:val="clear" w:color="auto" w:fill="auto"/>
            <w:noWrap/>
            <w:vAlign w:val="bottom"/>
            <w:hideMark/>
          </w:tcPr>
          <w:p w14:paraId="2FA4D4A3"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xml:space="preserve">4. </w:t>
            </w:r>
            <w:proofErr w:type="spellStart"/>
            <w:r w:rsidRPr="00AE52A4">
              <w:rPr>
                <w:rFonts w:ascii="Arial" w:eastAsia="Times New Roman" w:hAnsi="Arial" w:cs="Arial"/>
                <w:sz w:val="24"/>
                <w:szCs w:val="24"/>
              </w:rPr>
              <w:t>Ítem</w:t>
            </w:r>
            <w:proofErr w:type="spellEnd"/>
            <w:r w:rsidRPr="00AE52A4">
              <w:rPr>
                <w:rFonts w:ascii="Arial" w:eastAsia="Times New Roman" w:hAnsi="Arial" w:cs="Arial"/>
                <w:sz w:val="24"/>
                <w:szCs w:val="24"/>
              </w:rPr>
              <w:t xml:space="preserve"> 4</w:t>
            </w:r>
          </w:p>
        </w:tc>
        <w:tc>
          <w:tcPr>
            <w:tcW w:w="0" w:type="auto"/>
            <w:tcBorders>
              <w:top w:val="nil"/>
              <w:left w:val="nil"/>
              <w:bottom w:val="nil"/>
              <w:right w:val="nil"/>
            </w:tcBorders>
            <w:shd w:val="clear" w:color="auto" w:fill="auto"/>
            <w:noWrap/>
            <w:vAlign w:val="center"/>
            <w:hideMark/>
          </w:tcPr>
          <w:p w14:paraId="617E3493" w14:textId="77777777" w:rsidR="00BD409A" w:rsidRPr="00AE52A4" w:rsidRDefault="00BD409A" w:rsidP="00731076">
            <w:pPr>
              <w:spacing w:after="0" w:line="240" w:lineRule="auto"/>
              <w:jc w:val="right"/>
              <w:rPr>
                <w:rFonts w:ascii="Arial" w:eastAsia="Times New Roman" w:hAnsi="Arial" w:cs="Arial"/>
                <w:sz w:val="24"/>
                <w:szCs w:val="24"/>
              </w:rPr>
            </w:pPr>
            <w:r w:rsidRPr="00AE52A4">
              <w:rPr>
                <w:rFonts w:ascii="Arial" w:eastAsia="Times New Roman" w:hAnsi="Arial" w:cs="Arial"/>
                <w:sz w:val="24"/>
                <w:szCs w:val="24"/>
              </w:rPr>
              <w:t>2.83 (1.97)</w:t>
            </w:r>
          </w:p>
        </w:tc>
        <w:tc>
          <w:tcPr>
            <w:tcW w:w="0" w:type="auto"/>
            <w:tcBorders>
              <w:top w:val="nil"/>
              <w:left w:val="nil"/>
              <w:bottom w:val="nil"/>
              <w:right w:val="nil"/>
            </w:tcBorders>
            <w:shd w:val="clear" w:color="auto" w:fill="auto"/>
            <w:noWrap/>
            <w:vAlign w:val="bottom"/>
            <w:hideMark/>
          </w:tcPr>
          <w:p w14:paraId="41B3D08E"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0.81</w:t>
            </w:r>
          </w:p>
        </w:tc>
        <w:tc>
          <w:tcPr>
            <w:tcW w:w="0" w:type="auto"/>
            <w:tcBorders>
              <w:top w:val="nil"/>
              <w:left w:val="nil"/>
              <w:bottom w:val="nil"/>
              <w:right w:val="nil"/>
            </w:tcBorders>
            <w:shd w:val="clear" w:color="auto" w:fill="auto"/>
            <w:noWrap/>
            <w:vAlign w:val="bottom"/>
            <w:hideMark/>
          </w:tcPr>
          <w:p w14:paraId="2A54B9AB"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-0.60</w:t>
            </w:r>
          </w:p>
        </w:tc>
        <w:tc>
          <w:tcPr>
            <w:tcW w:w="0" w:type="auto"/>
            <w:tcBorders>
              <w:top w:val="nil"/>
              <w:left w:val="nil"/>
              <w:bottom w:val="nil"/>
              <w:right w:val="nil"/>
            </w:tcBorders>
            <w:shd w:val="clear" w:color="auto" w:fill="auto"/>
            <w:noWrap/>
            <w:vAlign w:val="bottom"/>
            <w:hideMark/>
          </w:tcPr>
          <w:p w14:paraId="0F63A60C"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CE5D46D"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8135109"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38188E6D"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.17</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211CC25E"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-.07</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675950A9"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-.09</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68784C4B"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-.19</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6A13BE79"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.27</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127F1102"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.32</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2FBC4688"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.47</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64EA89D9"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.33</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14B73DC0"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-.22</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54C8A226"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-.21</w:t>
            </w:r>
            <w:r w:rsidRPr="00AE52A4">
              <w:rPr>
                <w:rFonts w:ascii="Arial" w:eastAsia="Times New Roman" w:hAnsi="Arial" w:cs="Arial"/>
                <w:sz w:val="24"/>
                <w:szCs w:val="24"/>
                <w:vertAlign w:val="superscript"/>
              </w:rPr>
              <w:t>**</w:t>
            </w:r>
          </w:p>
        </w:tc>
      </w:tr>
      <w:tr w:rsidR="00AE52A4" w:rsidRPr="00AE52A4" w14:paraId="3D87DE4E" w14:textId="77777777" w:rsidTr="00731076">
        <w:trPr>
          <w:trHeight w:val="298"/>
        </w:trPr>
        <w:tc>
          <w:tcPr>
            <w:tcW w:w="0" w:type="auto"/>
            <w:tcBorders>
              <w:top w:val="nil"/>
              <w:left w:val="nil"/>
              <w:bottom w:val="nil"/>
              <w:right w:val="nil"/>
            </w:tcBorders>
            <w:shd w:val="clear" w:color="auto" w:fill="auto"/>
            <w:noWrap/>
            <w:vAlign w:val="bottom"/>
            <w:hideMark/>
          </w:tcPr>
          <w:p w14:paraId="44205486"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xml:space="preserve">5. </w:t>
            </w:r>
            <w:proofErr w:type="spellStart"/>
            <w:r w:rsidRPr="00AE52A4">
              <w:rPr>
                <w:rFonts w:ascii="Arial" w:eastAsia="Times New Roman" w:hAnsi="Arial" w:cs="Arial"/>
                <w:sz w:val="24"/>
                <w:szCs w:val="24"/>
              </w:rPr>
              <w:t>Ítem</w:t>
            </w:r>
            <w:proofErr w:type="spellEnd"/>
            <w:r w:rsidRPr="00AE52A4">
              <w:rPr>
                <w:rFonts w:ascii="Arial" w:eastAsia="Times New Roman" w:hAnsi="Arial" w:cs="Arial"/>
                <w:sz w:val="24"/>
                <w:szCs w:val="24"/>
              </w:rPr>
              <w:t xml:space="preserve"> 5</w:t>
            </w:r>
          </w:p>
        </w:tc>
        <w:tc>
          <w:tcPr>
            <w:tcW w:w="0" w:type="auto"/>
            <w:tcBorders>
              <w:top w:val="nil"/>
              <w:left w:val="nil"/>
              <w:bottom w:val="nil"/>
              <w:right w:val="nil"/>
            </w:tcBorders>
            <w:shd w:val="clear" w:color="auto" w:fill="auto"/>
            <w:noWrap/>
            <w:vAlign w:val="center"/>
            <w:hideMark/>
          </w:tcPr>
          <w:p w14:paraId="27576688" w14:textId="77777777" w:rsidR="00BD409A" w:rsidRPr="00AE52A4" w:rsidRDefault="00BD409A" w:rsidP="00731076">
            <w:pPr>
              <w:spacing w:after="0" w:line="240" w:lineRule="auto"/>
              <w:jc w:val="right"/>
              <w:rPr>
                <w:rFonts w:ascii="Arial" w:eastAsia="Times New Roman" w:hAnsi="Arial" w:cs="Arial"/>
                <w:sz w:val="24"/>
                <w:szCs w:val="24"/>
              </w:rPr>
            </w:pPr>
            <w:r w:rsidRPr="00AE52A4">
              <w:rPr>
                <w:rFonts w:ascii="Arial" w:eastAsia="Times New Roman" w:hAnsi="Arial" w:cs="Arial"/>
                <w:sz w:val="24"/>
                <w:szCs w:val="24"/>
              </w:rPr>
              <w:t>4.59 (2.01)</w:t>
            </w:r>
          </w:p>
        </w:tc>
        <w:tc>
          <w:tcPr>
            <w:tcW w:w="0" w:type="auto"/>
            <w:tcBorders>
              <w:top w:val="nil"/>
              <w:left w:val="nil"/>
              <w:bottom w:val="nil"/>
              <w:right w:val="nil"/>
            </w:tcBorders>
            <w:shd w:val="clear" w:color="auto" w:fill="auto"/>
            <w:noWrap/>
            <w:vAlign w:val="bottom"/>
            <w:hideMark/>
          </w:tcPr>
          <w:p w14:paraId="5F053EAE"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-0.44</w:t>
            </w:r>
          </w:p>
        </w:tc>
        <w:tc>
          <w:tcPr>
            <w:tcW w:w="0" w:type="auto"/>
            <w:tcBorders>
              <w:top w:val="nil"/>
              <w:left w:val="nil"/>
              <w:bottom w:val="nil"/>
              <w:right w:val="nil"/>
            </w:tcBorders>
            <w:shd w:val="clear" w:color="auto" w:fill="auto"/>
            <w:noWrap/>
            <w:vAlign w:val="bottom"/>
            <w:hideMark/>
          </w:tcPr>
          <w:p w14:paraId="674279CB"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-0.97</w:t>
            </w:r>
          </w:p>
        </w:tc>
        <w:tc>
          <w:tcPr>
            <w:tcW w:w="0" w:type="auto"/>
            <w:tcBorders>
              <w:top w:val="nil"/>
              <w:left w:val="nil"/>
              <w:bottom w:val="nil"/>
              <w:right w:val="nil"/>
            </w:tcBorders>
            <w:shd w:val="clear" w:color="auto" w:fill="auto"/>
            <w:noWrap/>
            <w:vAlign w:val="bottom"/>
            <w:hideMark/>
          </w:tcPr>
          <w:p w14:paraId="7C473FC0"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465B53D"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CE6D52D"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E8D0E65"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246DF383"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-.07</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2923B29F"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.01</w:t>
            </w:r>
          </w:p>
        </w:tc>
        <w:tc>
          <w:tcPr>
            <w:tcW w:w="0" w:type="auto"/>
            <w:tcBorders>
              <w:top w:val="nil"/>
              <w:left w:val="nil"/>
              <w:bottom w:val="nil"/>
              <w:right w:val="nil"/>
            </w:tcBorders>
            <w:shd w:val="clear" w:color="auto" w:fill="auto"/>
            <w:noWrap/>
            <w:hideMark/>
          </w:tcPr>
          <w:p w14:paraId="598842EB"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.02</w:t>
            </w:r>
          </w:p>
        </w:tc>
        <w:tc>
          <w:tcPr>
            <w:tcW w:w="0" w:type="auto"/>
            <w:tcBorders>
              <w:top w:val="nil"/>
              <w:left w:val="nil"/>
              <w:bottom w:val="nil"/>
              <w:right w:val="nil"/>
            </w:tcBorders>
            <w:shd w:val="clear" w:color="auto" w:fill="auto"/>
            <w:noWrap/>
            <w:hideMark/>
          </w:tcPr>
          <w:p w14:paraId="5B7C244F"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.12</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4489DCF7"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.14</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77EEC9A4"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.19</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1EBA9795"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.14</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77560478"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.09</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39F66B87"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w:t>
            </w:r>
          </w:p>
        </w:tc>
      </w:tr>
      <w:tr w:rsidR="00AE52A4" w:rsidRPr="00AE52A4" w14:paraId="54FF0994" w14:textId="77777777" w:rsidTr="00731076">
        <w:trPr>
          <w:trHeight w:val="298"/>
        </w:trPr>
        <w:tc>
          <w:tcPr>
            <w:tcW w:w="0" w:type="auto"/>
            <w:tcBorders>
              <w:top w:val="nil"/>
              <w:left w:val="nil"/>
              <w:bottom w:val="nil"/>
              <w:right w:val="nil"/>
            </w:tcBorders>
            <w:shd w:val="clear" w:color="auto" w:fill="auto"/>
            <w:noWrap/>
            <w:vAlign w:val="bottom"/>
            <w:hideMark/>
          </w:tcPr>
          <w:p w14:paraId="20681C06"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xml:space="preserve">6. </w:t>
            </w:r>
            <w:proofErr w:type="spellStart"/>
            <w:r w:rsidRPr="00AE52A4">
              <w:rPr>
                <w:rFonts w:ascii="Arial" w:eastAsia="Times New Roman" w:hAnsi="Arial" w:cs="Arial"/>
                <w:sz w:val="24"/>
                <w:szCs w:val="24"/>
              </w:rPr>
              <w:t>Ítem</w:t>
            </w:r>
            <w:proofErr w:type="spellEnd"/>
            <w:r w:rsidRPr="00AE52A4">
              <w:rPr>
                <w:rFonts w:ascii="Arial" w:eastAsia="Times New Roman" w:hAnsi="Arial" w:cs="Arial"/>
                <w:sz w:val="24"/>
                <w:szCs w:val="24"/>
              </w:rPr>
              <w:t xml:space="preserve"> 6</w:t>
            </w:r>
          </w:p>
        </w:tc>
        <w:tc>
          <w:tcPr>
            <w:tcW w:w="0" w:type="auto"/>
            <w:tcBorders>
              <w:top w:val="nil"/>
              <w:left w:val="nil"/>
              <w:bottom w:val="nil"/>
              <w:right w:val="nil"/>
            </w:tcBorders>
            <w:shd w:val="clear" w:color="auto" w:fill="auto"/>
            <w:noWrap/>
            <w:vAlign w:val="center"/>
            <w:hideMark/>
          </w:tcPr>
          <w:p w14:paraId="5507C2CF" w14:textId="77777777" w:rsidR="00BD409A" w:rsidRPr="00AE52A4" w:rsidRDefault="00BD409A" w:rsidP="00731076">
            <w:pPr>
              <w:spacing w:after="0" w:line="240" w:lineRule="auto"/>
              <w:jc w:val="right"/>
              <w:rPr>
                <w:rFonts w:ascii="Arial" w:eastAsia="Times New Roman" w:hAnsi="Arial" w:cs="Arial"/>
                <w:sz w:val="24"/>
                <w:szCs w:val="24"/>
              </w:rPr>
            </w:pPr>
            <w:r w:rsidRPr="00AE52A4">
              <w:rPr>
                <w:rFonts w:ascii="Arial" w:eastAsia="Times New Roman" w:hAnsi="Arial" w:cs="Arial"/>
                <w:sz w:val="24"/>
                <w:szCs w:val="24"/>
              </w:rPr>
              <w:t>3.72 (2.10)</w:t>
            </w:r>
          </w:p>
        </w:tc>
        <w:tc>
          <w:tcPr>
            <w:tcW w:w="0" w:type="auto"/>
            <w:tcBorders>
              <w:top w:val="nil"/>
              <w:left w:val="nil"/>
              <w:bottom w:val="nil"/>
              <w:right w:val="nil"/>
            </w:tcBorders>
            <w:shd w:val="clear" w:color="auto" w:fill="auto"/>
            <w:noWrap/>
            <w:vAlign w:val="bottom"/>
            <w:hideMark/>
          </w:tcPr>
          <w:p w14:paraId="25C9549F"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0.08</w:t>
            </w:r>
          </w:p>
        </w:tc>
        <w:tc>
          <w:tcPr>
            <w:tcW w:w="0" w:type="auto"/>
            <w:tcBorders>
              <w:top w:val="nil"/>
              <w:left w:val="nil"/>
              <w:bottom w:val="nil"/>
              <w:right w:val="nil"/>
            </w:tcBorders>
            <w:shd w:val="clear" w:color="auto" w:fill="auto"/>
            <w:noWrap/>
            <w:vAlign w:val="bottom"/>
            <w:hideMark/>
          </w:tcPr>
          <w:p w14:paraId="37C00DF0"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-1.33</w:t>
            </w:r>
          </w:p>
        </w:tc>
        <w:tc>
          <w:tcPr>
            <w:tcW w:w="0" w:type="auto"/>
            <w:tcBorders>
              <w:top w:val="nil"/>
              <w:left w:val="nil"/>
              <w:bottom w:val="nil"/>
              <w:right w:val="nil"/>
            </w:tcBorders>
            <w:shd w:val="clear" w:color="auto" w:fill="auto"/>
            <w:noWrap/>
            <w:vAlign w:val="bottom"/>
            <w:hideMark/>
          </w:tcPr>
          <w:p w14:paraId="5DE3702D"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9534CD4"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BB76318"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5614FC9"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13E911C"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6851B6C3"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.21</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21DD3DA5"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.24</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3F929E82"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-.07</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76D7CA93"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-.17</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4F835214"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-.16</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7BF099A9"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-.12</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5843E4C6"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.19</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3FAC6DDA"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.25</w:t>
            </w:r>
            <w:r w:rsidRPr="00AE52A4">
              <w:rPr>
                <w:rFonts w:ascii="Arial" w:eastAsia="Times New Roman" w:hAnsi="Arial" w:cs="Arial"/>
                <w:sz w:val="24"/>
                <w:szCs w:val="24"/>
                <w:vertAlign w:val="superscript"/>
              </w:rPr>
              <w:t>**</w:t>
            </w:r>
          </w:p>
        </w:tc>
      </w:tr>
      <w:tr w:rsidR="00AE52A4" w:rsidRPr="00AE52A4" w14:paraId="47330330" w14:textId="77777777" w:rsidTr="00731076">
        <w:trPr>
          <w:trHeight w:val="298"/>
        </w:trPr>
        <w:tc>
          <w:tcPr>
            <w:tcW w:w="0" w:type="auto"/>
            <w:tcBorders>
              <w:top w:val="nil"/>
              <w:left w:val="nil"/>
              <w:bottom w:val="nil"/>
              <w:right w:val="nil"/>
            </w:tcBorders>
            <w:shd w:val="clear" w:color="auto" w:fill="auto"/>
            <w:noWrap/>
            <w:vAlign w:val="bottom"/>
            <w:hideMark/>
          </w:tcPr>
          <w:p w14:paraId="571F543F"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xml:space="preserve">7. </w:t>
            </w:r>
            <w:proofErr w:type="spellStart"/>
            <w:r w:rsidRPr="00AE52A4">
              <w:rPr>
                <w:rFonts w:ascii="Arial" w:eastAsia="Times New Roman" w:hAnsi="Arial" w:cs="Arial"/>
                <w:sz w:val="24"/>
                <w:szCs w:val="24"/>
              </w:rPr>
              <w:t>Ítem</w:t>
            </w:r>
            <w:proofErr w:type="spellEnd"/>
            <w:r w:rsidRPr="00AE52A4">
              <w:rPr>
                <w:rFonts w:ascii="Arial" w:eastAsia="Times New Roman" w:hAnsi="Arial" w:cs="Arial"/>
                <w:sz w:val="24"/>
                <w:szCs w:val="24"/>
              </w:rPr>
              <w:t xml:space="preserve"> 7</w:t>
            </w:r>
          </w:p>
        </w:tc>
        <w:tc>
          <w:tcPr>
            <w:tcW w:w="0" w:type="auto"/>
            <w:tcBorders>
              <w:top w:val="nil"/>
              <w:left w:val="nil"/>
              <w:bottom w:val="nil"/>
              <w:right w:val="nil"/>
            </w:tcBorders>
            <w:shd w:val="clear" w:color="auto" w:fill="auto"/>
            <w:noWrap/>
            <w:vAlign w:val="center"/>
            <w:hideMark/>
          </w:tcPr>
          <w:p w14:paraId="67EFDAC9" w14:textId="77777777" w:rsidR="00BD409A" w:rsidRPr="00AE52A4" w:rsidRDefault="00BD409A" w:rsidP="00731076">
            <w:pPr>
              <w:spacing w:after="0" w:line="240" w:lineRule="auto"/>
              <w:jc w:val="right"/>
              <w:rPr>
                <w:rFonts w:ascii="Arial" w:eastAsia="Times New Roman" w:hAnsi="Arial" w:cs="Arial"/>
                <w:sz w:val="24"/>
                <w:szCs w:val="24"/>
              </w:rPr>
            </w:pPr>
            <w:r w:rsidRPr="00AE52A4">
              <w:rPr>
                <w:rFonts w:ascii="Arial" w:eastAsia="Times New Roman" w:hAnsi="Arial" w:cs="Arial"/>
                <w:sz w:val="24"/>
                <w:szCs w:val="24"/>
              </w:rPr>
              <w:t>4.65 (1.92)</w:t>
            </w:r>
          </w:p>
        </w:tc>
        <w:tc>
          <w:tcPr>
            <w:tcW w:w="0" w:type="auto"/>
            <w:tcBorders>
              <w:top w:val="nil"/>
              <w:left w:val="nil"/>
              <w:bottom w:val="nil"/>
              <w:right w:val="nil"/>
            </w:tcBorders>
            <w:shd w:val="clear" w:color="auto" w:fill="auto"/>
            <w:noWrap/>
            <w:vAlign w:val="bottom"/>
            <w:hideMark/>
          </w:tcPr>
          <w:p w14:paraId="77A9526B"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-0.45</w:t>
            </w:r>
          </w:p>
        </w:tc>
        <w:tc>
          <w:tcPr>
            <w:tcW w:w="0" w:type="auto"/>
            <w:tcBorders>
              <w:top w:val="nil"/>
              <w:left w:val="nil"/>
              <w:bottom w:val="nil"/>
              <w:right w:val="nil"/>
            </w:tcBorders>
            <w:shd w:val="clear" w:color="auto" w:fill="auto"/>
            <w:noWrap/>
            <w:vAlign w:val="bottom"/>
            <w:hideMark/>
          </w:tcPr>
          <w:p w14:paraId="35CBC750"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-0.87</w:t>
            </w:r>
          </w:p>
        </w:tc>
        <w:tc>
          <w:tcPr>
            <w:tcW w:w="0" w:type="auto"/>
            <w:tcBorders>
              <w:top w:val="nil"/>
              <w:left w:val="nil"/>
              <w:bottom w:val="nil"/>
              <w:right w:val="nil"/>
            </w:tcBorders>
            <w:shd w:val="clear" w:color="auto" w:fill="auto"/>
            <w:noWrap/>
            <w:vAlign w:val="bottom"/>
            <w:hideMark/>
          </w:tcPr>
          <w:p w14:paraId="65AA0607"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46B61CB3"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377D6EB"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77CD1AF"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4A84F805"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A2BC2A9"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2BD7CE59"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.39</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1113F6F7"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-.21</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45F611E9"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-.10</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0C19E99F"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-.09</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5924214C"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w:t>
            </w:r>
          </w:p>
        </w:tc>
        <w:tc>
          <w:tcPr>
            <w:tcW w:w="0" w:type="auto"/>
            <w:tcBorders>
              <w:top w:val="nil"/>
              <w:left w:val="nil"/>
              <w:bottom w:val="nil"/>
              <w:right w:val="nil"/>
            </w:tcBorders>
            <w:shd w:val="clear" w:color="auto" w:fill="auto"/>
            <w:noWrap/>
            <w:hideMark/>
          </w:tcPr>
          <w:p w14:paraId="5A1E44B6"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.31</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563EEDBB"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.29</w:t>
            </w:r>
            <w:r w:rsidRPr="00AE52A4">
              <w:rPr>
                <w:rFonts w:ascii="Arial" w:eastAsia="Times New Roman" w:hAnsi="Arial" w:cs="Arial"/>
                <w:sz w:val="24"/>
                <w:szCs w:val="24"/>
                <w:vertAlign w:val="superscript"/>
              </w:rPr>
              <w:t>**</w:t>
            </w:r>
          </w:p>
        </w:tc>
      </w:tr>
      <w:tr w:rsidR="00AE52A4" w:rsidRPr="00AE52A4" w14:paraId="0CE977A0" w14:textId="77777777" w:rsidTr="00731076">
        <w:trPr>
          <w:trHeight w:val="298"/>
        </w:trPr>
        <w:tc>
          <w:tcPr>
            <w:tcW w:w="0" w:type="auto"/>
            <w:tcBorders>
              <w:top w:val="nil"/>
              <w:left w:val="nil"/>
              <w:bottom w:val="nil"/>
              <w:right w:val="nil"/>
            </w:tcBorders>
            <w:shd w:val="clear" w:color="auto" w:fill="auto"/>
            <w:noWrap/>
            <w:vAlign w:val="bottom"/>
            <w:hideMark/>
          </w:tcPr>
          <w:p w14:paraId="0B0E23A1"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xml:space="preserve">8. </w:t>
            </w:r>
            <w:proofErr w:type="spellStart"/>
            <w:r w:rsidRPr="00AE52A4">
              <w:rPr>
                <w:rFonts w:ascii="Arial" w:eastAsia="Times New Roman" w:hAnsi="Arial" w:cs="Arial"/>
                <w:sz w:val="24"/>
                <w:szCs w:val="24"/>
              </w:rPr>
              <w:t>Ítem</w:t>
            </w:r>
            <w:proofErr w:type="spellEnd"/>
            <w:r w:rsidRPr="00AE52A4">
              <w:rPr>
                <w:rFonts w:ascii="Arial" w:eastAsia="Times New Roman" w:hAnsi="Arial" w:cs="Arial"/>
                <w:sz w:val="24"/>
                <w:szCs w:val="24"/>
              </w:rPr>
              <w:t xml:space="preserve"> 8</w:t>
            </w:r>
          </w:p>
        </w:tc>
        <w:tc>
          <w:tcPr>
            <w:tcW w:w="0" w:type="auto"/>
            <w:tcBorders>
              <w:top w:val="nil"/>
              <w:left w:val="nil"/>
              <w:bottom w:val="nil"/>
              <w:right w:val="nil"/>
            </w:tcBorders>
            <w:shd w:val="clear" w:color="auto" w:fill="auto"/>
            <w:noWrap/>
            <w:vAlign w:val="center"/>
            <w:hideMark/>
          </w:tcPr>
          <w:p w14:paraId="38798D23" w14:textId="77777777" w:rsidR="00BD409A" w:rsidRPr="00AE52A4" w:rsidRDefault="00BD409A" w:rsidP="00731076">
            <w:pPr>
              <w:spacing w:after="0" w:line="240" w:lineRule="auto"/>
              <w:jc w:val="right"/>
              <w:rPr>
                <w:rFonts w:ascii="Arial" w:eastAsia="Times New Roman" w:hAnsi="Arial" w:cs="Arial"/>
                <w:sz w:val="24"/>
                <w:szCs w:val="24"/>
              </w:rPr>
            </w:pPr>
            <w:r w:rsidRPr="00AE52A4">
              <w:rPr>
                <w:rFonts w:ascii="Arial" w:eastAsia="Times New Roman" w:hAnsi="Arial" w:cs="Arial"/>
                <w:sz w:val="24"/>
                <w:szCs w:val="24"/>
              </w:rPr>
              <w:t>4.88 (1.83)</w:t>
            </w:r>
          </w:p>
        </w:tc>
        <w:tc>
          <w:tcPr>
            <w:tcW w:w="0" w:type="auto"/>
            <w:tcBorders>
              <w:top w:val="nil"/>
              <w:left w:val="nil"/>
              <w:bottom w:val="nil"/>
              <w:right w:val="nil"/>
            </w:tcBorders>
            <w:shd w:val="clear" w:color="auto" w:fill="auto"/>
            <w:noWrap/>
            <w:vAlign w:val="bottom"/>
            <w:hideMark/>
          </w:tcPr>
          <w:p w14:paraId="2A2853A7"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-0.57</w:t>
            </w:r>
          </w:p>
        </w:tc>
        <w:tc>
          <w:tcPr>
            <w:tcW w:w="0" w:type="auto"/>
            <w:tcBorders>
              <w:top w:val="nil"/>
              <w:left w:val="nil"/>
              <w:bottom w:val="nil"/>
              <w:right w:val="nil"/>
            </w:tcBorders>
            <w:shd w:val="clear" w:color="auto" w:fill="auto"/>
            <w:noWrap/>
            <w:vAlign w:val="bottom"/>
            <w:hideMark/>
          </w:tcPr>
          <w:p w14:paraId="681E02A2"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-0.62</w:t>
            </w:r>
          </w:p>
        </w:tc>
        <w:tc>
          <w:tcPr>
            <w:tcW w:w="0" w:type="auto"/>
            <w:tcBorders>
              <w:top w:val="nil"/>
              <w:left w:val="nil"/>
              <w:bottom w:val="nil"/>
              <w:right w:val="nil"/>
            </w:tcBorders>
            <w:shd w:val="clear" w:color="auto" w:fill="auto"/>
            <w:noWrap/>
            <w:vAlign w:val="bottom"/>
            <w:hideMark/>
          </w:tcPr>
          <w:p w14:paraId="6258004E"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510890D"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466693F6"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8470ED8"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9116371"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B2099E6"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2CBD0112"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69DED465"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-.10</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24872420"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-.18</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6F8195A5"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-.14</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5956D9B8"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-.09</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73EB4E91"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.34</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25321201"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.36</w:t>
            </w:r>
            <w:r w:rsidRPr="00AE52A4">
              <w:rPr>
                <w:rFonts w:ascii="Arial" w:eastAsia="Times New Roman" w:hAnsi="Arial" w:cs="Arial"/>
                <w:sz w:val="24"/>
                <w:szCs w:val="24"/>
                <w:vertAlign w:val="superscript"/>
              </w:rPr>
              <w:t>**</w:t>
            </w:r>
          </w:p>
        </w:tc>
      </w:tr>
      <w:tr w:rsidR="00AE52A4" w:rsidRPr="00AE52A4" w14:paraId="52A69A53" w14:textId="77777777" w:rsidTr="00731076">
        <w:trPr>
          <w:trHeight w:val="298"/>
        </w:trPr>
        <w:tc>
          <w:tcPr>
            <w:tcW w:w="0" w:type="auto"/>
            <w:tcBorders>
              <w:top w:val="nil"/>
              <w:left w:val="nil"/>
              <w:bottom w:val="nil"/>
              <w:right w:val="nil"/>
            </w:tcBorders>
            <w:shd w:val="clear" w:color="auto" w:fill="auto"/>
            <w:noWrap/>
            <w:vAlign w:val="bottom"/>
            <w:hideMark/>
          </w:tcPr>
          <w:p w14:paraId="739EDEA2"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xml:space="preserve">9. </w:t>
            </w:r>
            <w:proofErr w:type="spellStart"/>
            <w:r w:rsidRPr="00AE52A4">
              <w:rPr>
                <w:rFonts w:ascii="Arial" w:eastAsia="Times New Roman" w:hAnsi="Arial" w:cs="Arial"/>
                <w:sz w:val="24"/>
                <w:szCs w:val="24"/>
              </w:rPr>
              <w:t>Ítem</w:t>
            </w:r>
            <w:proofErr w:type="spellEnd"/>
            <w:r w:rsidRPr="00AE52A4">
              <w:rPr>
                <w:rFonts w:ascii="Arial" w:eastAsia="Times New Roman" w:hAnsi="Arial" w:cs="Arial"/>
                <w:sz w:val="24"/>
                <w:szCs w:val="24"/>
              </w:rPr>
              <w:t xml:space="preserve"> 9</w:t>
            </w:r>
          </w:p>
        </w:tc>
        <w:tc>
          <w:tcPr>
            <w:tcW w:w="0" w:type="auto"/>
            <w:tcBorders>
              <w:top w:val="nil"/>
              <w:left w:val="nil"/>
              <w:bottom w:val="nil"/>
              <w:right w:val="nil"/>
            </w:tcBorders>
            <w:shd w:val="clear" w:color="auto" w:fill="auto"/>
            <w:noWrap/>
            <w:vAlign w:val="center"/>
            <w:hideMark/>
          </w:tcPr>
          <w:p w14:paraId="30CFDED2" w14:textId="77777777" w:rsidR="00BD409A" w:rsidRPr="00AE52A4" w:rsidRDefault="00BD409A" w:rsidP="00731076">
            <w:pPr>
              <w:spacing w:after="0" w:line="240" w:lineRule="auto"/>
              <w:jc w:val="right"/>
              <w:rPr>
                <w:rFonts w:ascii="Arial" w:eastAsia="Times New Roman" w:hAnsi="Arial" w:cs="Arial"/>
                <w:sz w:val="24"/>
                <w:szCs w:val="24"/>
              </w:rPr>
            </w:pPr>
            <w:r w:rsidRPr="00AE52A4">
              <w:rPr>
                <w:rFonts w:ascii="Arial" w:eastAsia="Times New Roman" w:hAnsi="Arial" w:cs="Arial"/>
                <w:sz w:val="24"/>
                <w:szCs w:val="24"/>
              </w:rPr>
              <w:t>3.29 (2.01)</w:t>
            </w:r>
          </w:p>
        </w:tc>
        <w:tc>
          <w:tcPr>
            <w:tcW w:w="0" w:type="auto"/>
            <w:tcBorders>
              <w:top w:val="nil"/>
              <w:left w:val="nil"/>
              <w:bottom w:val="nil"/>
              <w:right w:val="nil"/>
            </w:tcBorders>
            <w:shd w:val="clear" w:color="auto" w:fill="auto"/>
            <w:noWrap/>
            <w:vAlign w:val="bottom"/>
            <w:hideMark/>
          </w:tcPr>
          <w:p w14:paraId="31A3DC68"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0.48</w:t>
            </w:r>
          </w:p>
        </w:tc>
        <w:tc>
          <w:tcPr>
            <w:tcW w:w="0" w:type="auto"/>
            <w:tcBorders>
              <w:top w:val="nil"/>
              <w:left w:val="nil"/>
              <w:bottom w:val="nil"/>
              <w:right w:val="nil"/>
            </w:tcBorders>
            <w:shd w:val="clear" w:color="auto" w:fill="auto"/>
            <w:noWrap/>
            <w:vAlign w:val="bottom"/>
            <w:hideMark/>
          </w:tcPr>
          <w:p w14:paraId="764B4B82"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-1.02</w:t>
            </w:r>
          </w:p>
        </w:tc>
        <w:tc>
          <w:tcPr>
            <w:tcW w:w="0" w:type="auto"/>
            <w:tcBorders>
              <w:top w:val="nil"/>
              <w:left w:val="nil"/>
              <w:bottom w:val="nil"/>
              <w:right w:val="nil"/>
            </w:tcBorders>
            <w:shd w:val="clear" w:color="auto" w:fill="auto"/>
            <w:noWrap/>
            <w:vAlign w:val="bottom"/>
            <w:hideMark/>
          </w:tcPr>
          <w:p w14:paraId="419CB03D"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321F14C"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832C1FB"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E489E11"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2E4AA86"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96EA0EE"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420CAE3"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9144D0C"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6ADC6C05"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.45</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2528F188"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.43</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2EC6AFAC"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.30</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174E14FB"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-.11</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29879D34"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-.13</w:t>
            </w:r>
            <w:r w:rsidRPr="00AE52A4">
              <w:rPr>
                <w:rFonts w:ascii="Arial" w:eastAsia="Times New Roman" w:hAnsi="Arial" w:cs="Arial"/>
                <w:sz w:val="24"/>
                <w:szCs w:val="24"/>
                <w:vertAlign w:val="superscript"/>
              </w:rPr>
              <w:t>**</w:t>
            </w:r>
          </w:p>
        </w:tc>
      </w:tr>
      <w:tr w:rsidR="00AE52A4" w:rsidRPr="00AE52A4" w14:paraId="4FA10742" w14:textId="77777777" w:rsidTr="00731076">
        <w:trPr>
          <w:trHeight w:val="298"/>
        </w:trPr>
        <w:tc>
          <w:tcPr>
            <w:tcW w:w="0" w:type="auto"/>
            <w:tcBorders>
              <w:top w:val="nil"/>
              <w:left w:val="nil"/>
              <w:bottom w:val="nil"/>
              <w:right w:val="nil"/>
            </w:tcBorders>
            <w:shd w:val="clear" w:color="auto" w:fill="auto"/>
            <w:noWrap/>
            <w:vAlign w:val="bottom"/>
            <w:hideMark/>
          </w:tcPr>
          <w:p w14:paraId="5C7B3219"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xml:space="preserve">10. </w:t>
            </w:r>
            <w:proofErr w:type="spellStart"/>
            <w:r w:rsidRPr="00AE52A4">
              <w:rPr>
                <w:rFonts w:ascii="Arial" w:eastAsia="Times New Roman" w:hAnsi="Arial" w:cs="Arial"/>
                <w:sz w:val="24"/>
                <w:szCs w:val="24"/>
              </w:rPr>
              <w:t>Ítem</w:t>
            </w:r>
            <w:proofErr w:type="spellEnd"/>
            <w:r w:rsidRPr="00AE52A4">
              <w:rPr>
                <w:rFonts w:ascii="Arial" w:eastAsia="Times New Roman" w:hAnsi="Arial" w:cs="Arial"/>
                <w:sz w:val="24"/>
                <w:szCs w:val="24"/>
              </w:rPr>
              <w:t xml:space="preserve"> 10</w:t>
            </w:r>
          </w:p>
        </w:tc>
        <w:tc>
          <w:tcPr>
            <w:tcW w:w="0" w:type="auto"/>
            <w:tcBorders>
              <w:top w:val="nil"/>
              <w:left w:val="nil"/>
              <w:bottom w:val="nil"/>
              <w:right w:val="nil"/>
            </w:tcBorders>
            <w:shd w:val="clear" w:color="auto" w:fill="auto"/>
            <w:noWrap/>
            <w:vAlign w:val="center"/>
            <w:hideMark/>
          </w:tcPr>
          <w:p w14:paraId="7D3DE203" w14:textId="77777777" w:rsidR="00BD409A" w:rsidRPr="00AE52A4" w:rsidRDefault="00BD409A" w:rsidP="00731076">
            <w:pPr>
              <w:spacing w:after="0" w:line="240" w:lineRule="auto"/>
              <w:jc w:val="right"/>
              <w:rPr>
                <w:rFonts w:ascii="Arial" w:eastAsia="Times New Roman" w:hAnsi="Arial" w:cs="Arial"/>
                <w:sz w:val="24"/>
                <w:szCs w:val="24"/>
              </w:rPr>
            </w:pPr>
            <w:r w:rsidRPr="00AE52A4">
              <w:rPr>
                <w:rFonts w:ascii="Arial" w:eastAsia="Times New Roman" w:hAnsi="Arial" w:cs="Arial"/>
                <w:sz w:val="24"/>
                <w:szCs w:val="24"/>
              </w:rPr>
              <w:t>2.80 (1.91)</w:t>
            </w:r>
          </w:p>
        </w:tc>
        <w:tc>
          <w:tcPr>
            <w:tcW w:w="0" w:type="auto"/>
            <w:tcBorders>
              <w:top w:val="nil"/>
              <w:left w:val="nil"/>
              <w:bottom w:val="nil"/>
              <w:right w:val="nil"/>
            </w:tcBorders>
            <w:shd w:val="clear" w:color="auto" w:fill="auto"/>
            <w:noWrap/>
            <w:vAlign w:val="bottom"/>
            <w:hideMark/>
          </w:tcPr>
          <w:p w14:paraId="4A1493BC"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0.82</w:t>
            </w:r>
          </w:p>
        </w:tc>
        <w:tc>
          <w:tcPr>
            <w:tcW w:w="0" w:type="auto"/>
            <w:tcBorders>
              <w:top w:val="nil"/>
              <w:left w:val="nil"/>
              <w:bottom w:val="nil"/>
              <w:right w:val="nil"/>
            </w:tcBorders>
            <w:shd w:val="clear" w:color="auto" w:fill="auto"/>
            <w:noWrap/>
            <w:vAlign w:val="bottom"/>
            <w:hideMark/>
          </w:tcPr>
          <w:p w14:paraId="12747CE0"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-0.44</w:t>
            </w:r>
          </w:p>
        </w:tc>
        <w:tc>
          <w:tcPr>
            <w:tcW w:w="0" w:type="auto"/>
            <w:tcBorders>
              <w:top w:val="nil"/>
              <w:left w:val="nil"/>
              <w:bottom w:val="nil"/>
              <w:right w:val="nil"/>
            </w:tcBorders>
            <w:shd w:val="clear" w:color="auto" w:fill="auto"/>
            <w:noWrap/>
            <w:vAlign w:val="bottom"/>
            <w:hideMark/>
          </w:tcPr>
          <w:p w14:paraId="19E74E3B"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9B0F164"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4297FDD"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71B28C2"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7F794D5"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2015A10C"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8D011E3"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14B2B12"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BC04A40"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3AED44A1"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.45</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3B6EA3FD"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.31</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1E95F009"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-.17</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79265BEA"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-.16</w:t>
            </w:r>
            <w:r w:rsidRPr="00AE52A4">
              <w:rPr>
                <w:rFonts w:ascii="Arial" w:eastAsia="Times New Roman" w:hAnsi="Arial" w:cs="Arial"/>
                <w:sz w:val="24"/>
                <w:szCs w:val="24"/>
                <w:vertAlign w:val="superscript"/>
              </w:rPr>
              <w:t>**</w:t>
            </w:r>
          </w:p>
        </w:tc>
      </w:tr>
      <w:tr w:rsidR="00AE52A4" w:rsidRPr="00AE52A4" w14:paraId="1FBEE3E2" w14:textId="77777777" w:rsidTr="00731076">
        <w:trPr>
          <w:trHeight w:val="298"/>
        </w:trPr>
        <w:tc>
          <w:tcPr>
            <w:tcW w:w="0" w:type="auto"/>
            <w:tcBorders>
              <w:top w:val="nil"/>
              <w:left w:val="nil"/>
              <w:bottom w:val="nil"/>
              <w:right w:val="nil"/>
            </w:tcBorders>
            <w:shd w:val="clear" w:color="auto" w:fill="auto"/>
            <w:noWrap/>
            <w:vAlign w:val="bottom"/>
            <w:hideMark/>
          </w:tcPr>
          <w:p w14:paraId="6FA05480"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xml:space="preserve">11. </w:t>
            </w:r>
            <w:proofErr w:type="spellStart"/>
            <w:r w:rsidRPr="00AE52A4">
              <w:rPr>
                <w:rFonts w:ascii="Arial" w:eastAsia="Times New Roman" w:hAnsi="Arial" w:cs="Arial"/>
                <w:sz w:val="24"/>
                <w:szCs w:val="24"/>
              </w:rPr>
              <w:t>Ítem</w:t>
            </w:r>
            <w:proofErr w:type="spellEnd"/>
            <w:r w:rsidRPr="00AE52A4">
              <w:rPr>
                <w:rFonts w:ascii="Arial" w:eastAsia="Times New Roman" w:hAnsi="Arial" w:cs="Arial"/>
                <w:sz w:val="24"/>
                <w:szCs w:val="24"/>
              </w:rPr>
              <w:t xml:space="preserve"> 11</w:t>
            </w:r>
          </w:p>
        </w:tc>
        <w:tc>
          <w:tcPr>
            <w:tcW w:w="0" w:type="auto"/>
            <w:tcBorders>
              <w:top w:val="nil"/>
              <w:left w:val="nil"/>
              <w:bottom w:val="nil"/>
              <w:right w:val="nil"/>
            </w:tcBorders>
            <w:shd w:val="clear" w:color="auto" w:fill="auto"/>
            <w:noWrap/>
            <w:vAlign w:val="center"/>
            <w:hideMark/>
          </w:tcPr>
          <w:p w14:paraId="74D6B76B" w14:textId="77777777" w:rsidR="00BD409A" w:rsidRPr="00AE52A4" w:rsidRDefault="00BD409A" w:rsidP="00731076">
            <w:pPr>
              <w:spacing w:after="0" w:line="240" w:lineRule="auto"/>
              <w:jc w:val="right"/>
              <w:rPr>
                <w:rFonts w:ascii="Arial" w:eastAsia="Times New Roman" w:hAnsi="Arial" w:cs="Arial"/>
                <w:sz w:val="24"/>
                <w:szCs w:val="24"/>
              </w:rPr>
            </w:pPr>
            <w:r w:rsidRPr="00AE52A4">
              <w:rPr>
                <w:rFonts w:ascii="Arial" w:eastAsia="Times New Roman" w:hAnsi="Arial" w:cs="Arial"/>
                <w:sz w:val="24"/>
                <w:szCs w:val="24"/>
              </w:rPr>
              <w:t>3.24 (2.06)</w:t>
            </w:r>
          </w:p>
        </w:tc>
        <w:tc>
          <w:tcPr>
            <w:tcW w:w="0" w:type="auto"/>
            <w:tcBorders>
              <w:top w:val="nil"/>
              <w:left w:val="nil"/>
              <w:bottom w:val="nil"/>
              <w:right w:val="nil"/>
            </w:tcBorders>
            <w:shd w:val="clear" w:color="auto" w:fill="auto"/>
            <w:noWrap/>
            <w:vAlign w:val="bottom"/>
            <w:hideMark/>
          </w:tcPr>
          <w:p w14:paraId="6C478D10"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0.52</w:t>
            </w:r>
          </w:p>
        </w:tc>
        <w:tc>
          <w:tcPr>
            <w:tcW w:w="0" w:type="auto"/>
            <w:tcBorders>
              <w:top w:val="nil"/>
              <w:left w:val="nil"/>
              <w:bottom w:val="nil"/>
              <w:right w:val="nil"/>
            </w:tcBorders>
            <w:shd w:val="clear" w:color="auto" w:fill="auto"/>
            <w:noWrap/>
            <w:vAlign w:val="bottom"/>
            <w:hideMark/>
          </w:tcPr>
          <w:p w14:paraId="0FFB8F22"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-1.03</w:t>
            </w:r>
          </w:p>
        </w:tc>
        <w:tc>
          <w:tcPr>
            <w:tcW w:w="0" w:type="auto"/>
            <w:tcBorders>
              <w:top w:val="nil"/>
              <w:left w:val="nil"/>
              <w:bottom w:val="nil"/>
              <w:right w:val="nil"/>
            </w:tcBorders>
            <w:shd w:val="clear" w:color="auto" w:fill="auto"/>
            <w:noWrap/>
            <w:vAlign w:val="bottom"/>
            <w:hideMark/>
          </w:tcPr>
          <w:p w14:paraId="40AEC99E"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C798A11"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2DB27595"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255B2F1"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CBE8AEA"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4E3F1CC"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47C00131"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2BFA85BA"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44E8EAA4"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67E66A7"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2A34DCAD"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.44</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4902A1AD"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-.16</w:t>
            </w:r>
            <w:r w:rsidRPr="00AE52A4">
              <w:rPr>
                <w:rFonts w:ascii="Arial" w:eastAsia="Times New Roman" w:hAnsi="Arial" w:cs="Arial"/>
                <w:sz w:val="24"/>
                <w:szCs w:val="24"/>
                <w:vertAlign w:val="superscript"/>
              </w:rPr>
              <w:t>**</w:t>
            </w:r>
          </w:p>
        </w:tc>
        <w:tc>
          <w:tcPr>
            <w:tcW w:w="0" w:type="auto"/>
            <w:tcBorders>
              <w:top w:val="nil"/>
              <w:left w:val="nil"/>
              <w:bottom w:val="nil"/>
              <w:right w:val="nil"/>
            </w:tcBorders>
            <w:shd w:val="clear" w:color="auto" w:fill="auto"/>
            <w:noWrap/>
            <w:hideMark/>
          </w:tcPr>
          <w:p w14:paraId="050158F8"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-.19</w:t>
            </w:r>
            <w:r w:rsidRPr="00AE52A4">
              <w:rPr>
                <w:rFonts w:ascii="Arial" w:eastAsia="Times New Roman" w:hAnsi="Arial" w:cs="Arial"/>
                <w:sz w:val="24"/>
                <w:szCs w:val="24"/>
                <w:vertAlign w:val="superscript"/>
              </w:rPr>
              <w:t>**</w:t>
            </w:r>
          </w:p>
        </w:tc>
      </w:tr>
      <w:tr w:rsidR="00AE52A4" w:rsidRPr="00AE52A4" w14:paraId="038AB065" w14:textId="77777777" w:rsidTr="00731076">
        <w:trPr>
          <w:trHeight w:val="298"/>
        </w:trPr>
        <w:tc>
          <w:tcPr>
            <w:tcW w:w="0" w:type="auto"/>
            <w:tcBorders>
              <w:top w:val="nil"/>
              <w:left w:val="nil"/>
              <w:bottom w:val="nil"/>
              <w:right w:val="nil"/>
            </w:tcBorders>
            <w:shd w:val="clear" w:color="auto" w:fill="auto"/>
            <w:noWrap/>
            <w:vAlign w:val="bottom"/>
            <w:hideMark/>
          </w:tcPr>
          <w:p w14:paraId="79391B02"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xml:space="preserve">12. </w:t>
            </w:r>
            <w:proofErr w:type="spellStart"/>
            <w:r w:rsidRPr="00AE52A4">
              <w:rPr>
                <w:rFonts w:ascii="Arial" w:eastAsia="Times New Roman" w:hAnsi="Arial" w:cs="Arial"/>
                <w:sz w:val="24"/>
                <w:szCs w:val="24"/>
              </w:rPr>
              <w:t>Ítem</w:t>
            </w:r>
            <w:proofErr w:type="spellEnd"/>
            <w:r w:rsidRPr="00AE52A4">
              <w:rPr>
                <w:rFonts w:ascii="Arial" w:eastAsia="Times New Roman" w:hAnsi="Arial" w:cs="Arial"/>
                <w:sz w:val="24"/>
                <w:szCs w:val="24"/>
              </w:rPr>
              <w:t xml:space="preserve"> 12</w:t>
            </w:r>
          </w:p>
        </w:tc>
        <w:tc>
          <w:tcPr>
            <w:tcW w:w="0" w:type="auto"/>
            <w:tcBorders>
              <w:top w:val="nil"/>
              <w:left w:val="nil"/>
              <w:bottom w:val="nil"/>
              <w:right w:val="nil"/>
            </w:tcBorders>
            <w:shd w:val="clear" w:color="auto" w:fill="auto"/>
            <w:noWrap/>
            <w:vAlign w:val="center"/>
            <w:hideMark/>
          </w:tcPr>
          <w:p w14:paraId="1ECE07A0" w14:textId="77777777" w:rsidR="00BD409A" w:rsidRPr="00AE52A4" w:rsidRDefault="00BD409A" w:rsidP="00731076">
            <w:pPr>
              <w:spacing w:after="0" w:line="240" w:lineRule="auto"/>
              <w:jc w:val="right"/>
              <w:rPr>
                <w:rFonts w:ascii="Arial" w:eastAsia="Times New Roman" w:hAnsi="Arial" w:cs="Arial"/>
                <w:sz w:val="24"/>
                <w:szCs w:val="24"/>
              </w:rPr>
            </w:pPr>
            <w:r w:rsidRPr="00AE52A4">
              <w:rPr>
                <w:rFonts w:ascii="Arial" w:eastAsia="Times New Roman" w:hAnsi="Arial" w:cs="Arial"/>
                <w:sz w:val="24"/>
                <w:szCs w:val="24"/>
              </w:rPr>
              <w:t>3.61 (1.94)</w:t>
            </w:r>
          </w:p>
        </w:tc>
        <w:tc>
          <w:tcPr>
            <w:tcW w:w="0" w:type="auto"/>
            <w:tcBorders>
              <w:top w:val="nil"/>
              <w:left w:val="nil"/>
              <w:bottom w:val="nil"/>
              <w:right w:val="nil"/>
            </w:tcBorders>
            <w:shd w:val="clear" w:color="auto" w:fill="auto"/>
            <w:noWrap/>
            <w:vAlign w:val="bottom"/>
            <w:hideMark/>
          </w:tcPr>
          <w:p w14:paraId="61074E2E"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0.29</w:t>
            </w:r>
          </w:p>
        </w:tc>
        <w:tc>
          <w:tcPr>
            <w:tcW w:w="0" w:type="auto"/>
            <w:tcBorders>
              <w:top w:val="nil"/>
              <w:left w:val="nil"/>
              <w:bottom w:val="nil"/>
              <w:right w:val="nil"/>
            </w:tcBorders>
            <w:shd w:val="clear" w:color="auto" w:fill="auto"/>
            <w:noWrap/>
            <w:vAlign w:val="bottom"/>
            <w:hideMark/>
          </w:tcPr>
          <w:p w14:paraId="704F185E"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-0.96</w:t>
            </w:r>
          </w:p>
        </w:tc>
        <w:tc>
          <w:tcPr>
            <w:tcW w:w="0" w:type="auto"/>
            <w:tcBorders>
              <w:top w:val="nil"/>
              <w:left w:val="nil"/>
              <w:bottom w:val="nil"/>
              <w:right w:val="nil"/>
            </w:tcBorders>
            <w:shd w:val="clear" w:color="auto" w:fill="auto"/>
            <w:noWrap/>
            <w:vAlign w:val="bottom"/>
            <w:hideMark/>
          </w:tcPr>
          <w:p w14:paraId="2566D04D"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451E114"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434A492"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29A2285"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E2B2BF9"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942B968"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FCFD5B4"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34604E0"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2035DED7"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4DB2B34C"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B95589A"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0B74FEAA"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w:t>
            </w:r>
          </w:p>
        </w:tc>
        <w:tc>
          <w:tcPr>
            <w:tcW w:w="0" w:type="auto"/>
            <w:tcBorders>
              <w:top w:val="nil"/>
              <w:left w:val="nil"/>
              <w:bottom w:val="nil"/>
              <w:right w:val="nil"/>
            </w:tcBorders>
            <w:shd w:val="clear" w:color="auto" w:fill="auto"/>
            <w:noWrap/>
            <w:hideMark/>
          </w:tcPr>
          <w:p w14:paraId="225A76C2"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-.09</w:t>
            </w:r>
            <w:r w:rsidRPr="00AE52A4">
              <w:rPr>
                <w:rFonts w:ascii="Arial" w:eastAsia="Times New Roman" w:hAnsi="Arial" w:cs="Arial"/>
                <w:sz w:val="24"/>
                <w:szCs w:val="24"/>
                <w:vertAlign w:val="superscript"/>
              </w:rPr>
              <w:t>**</w:t>
            </w:r>
          </w:p>
        </w:tc>
      </w:tr>
      <w:tr w:rsidR="00AE52A4" w:rsidRPr="00AE52A4" w14:paraId="5BC09350" w14:textId="77777777" w:rsidTr="00731076">
        <w:trPr>
          <w:trHeight w:val="298"/>
        </w:trPr>
        <w:tc>
          <w:tcPr>
            <w:tcW w:w="0" w:type="auto"/>
            <w:tcBorders>
              <w:top w:val="nil"/>
              <w:left w:val="nil"/>
              <w:bottom w:val="nil"/>
              <w:right w:val="nil"/>
            </w:tcBorders>
            <w:shd w:val="clear" w:color="auto" w:fill="auto"/>
            <w:noWrap/>
            <w:vAlign w:val="bottom"/>
            <w:hideMark/>
          </w:tcPr>
          <w:p w14:paraId="7A9DC3D7"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xml:space="preserve">13. </w:t>
            </w:r>
            <w:proofErr w:type="spellStart"/>
            <w:r w:rsidRPr="00AE52A4">
              <w:rPr>
                <w:rFonts w:ascii="Arial" w:eastAsia="Times New Roman" w:hAnsi="Arial" w:cs="Arial"/>
                <w:sz w:val="24"/>
                <w:szCs w:val="24"/>
              </w:rPr>
              <w:t>Ítem</w:t>
            </w:r>
            <w:proofErr w:type="spellEnd"/>
            <w:r w:rsidRPr="00AE52A4">
              <w:rPr>
                <w:rFonts w:ascii="Arial" w:eastAsia="Times New Roman" w:hAnsi="Arial" w:cs="Arial"/>
                <w:sz w:val="24"/>
                <w:szCs w:val="24"/>
              </w:rPr>
              <w:t xml:space="preserve"> 13</w:t>
            </w:r>
          </w:p>
        </w:tc>
        <w:tc>
          <w:tcPr>
            <w:tcW w:w="0" w:type="auto"/>
            <w:tcBorders>
              <w:top w:val="nil"/>
              <w:left w:val="nil"/>
              <w:bottom w:val="nil"/>
              <w:right w:val="nil"/>
            </w:tcBorders>
            <w:shd w:val="clear" w:color="auto" w:fill="auto"/>
            <w:noWrap/>
            <w:vAlign w:val="center"/>
            <w:hideMark/>
          </w:tcPr>
          <w:p w14:paraId="116F154E" w14:textId="77777777" w:rsidR="00BD409A" w:rsidRPr="00AE52A4" w:rsidRDefault="00BD409A" w:rsidP="00731076">
            <w:pPr>
              <w:spacing w:after="0" w:line="240" w:lineRule="auto"/>
              <w:jc w:val="right"/>
              <w:rPr>
                <w:rFonts w:ascii="Arial" w:eastAsia="Times New Roman" w:hAnsi="Arial" w:cs="Arial"/>
                <w:sz w:val="24"/>
                <w:szCs w:val="24"/>
              </w:rPr>
            </w:pPr>
            <w:r w:rsidRPr="00AE52A4">
              <w:rPr>
                <w:rFonts w:ascii="Arial" w:eastAsia="Times New Roman" w:hAnsi="Arial" w:cs="Arial"/>
                <w:sz w:val="24"/>
                <w:szCs w:val="24"/>
              </w:rPr>
              <w:t>5.28 (1.81)</w:t>
            </w:r>
          </w:p>
        </w:tc>
        <w:tc>
          <w:tcPr>
            <w:tcW w:w="0" w:type="auto"/>
            <w:tcBorders>
              <w:top w:val="nil"/>
              <w:left w:val="nil"/>
              <w:bottom w:val="nil"/>
              <w:right w:val="nil"/>
            </w:tcBorders>
            <w:shd w:val="clear" w:color="auto" w:fill="auto"/>
            <w:noWrap/>
            <w:vAlign w:val="bottom"/>
            <w:hideMark/>
          </w:tcPr>
          <w:p w14:paraId="6D911119"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-0.99</w:t>
            </w:r>
          </w:p>
        </w:tc>
        <w:tc>
          <w:tcPr>
            <w:tcW w:w="0" w:type="auto"/>
            <w:tcBorders>
              <w:top w:val="nil"/>
              <w:left w:val="nil"/>
              <w:bottom w:val="nil"/>
              <w:right w:val="nil"/>
            </w:tcBorders>
            <w:shd w:val="clear" w:color="auto" w:fill="auto"/>
            <w:noWrap/>
            <w:vAlign w:val="bottom"/>
            <w:hideMark/>
          </w:tcPr>
          <w:p w14:paraId="7149DC06"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0.04</w:t>
            </w:r>
          </w:p>
        </w:tc>
        <w:tc>
          <w:tcPr>
            <w:tcW w:w="0" w:type="auto"/>
            <w:tcBorders>
              <w:top w:val="nil"/>
              <w:left w:val="nil"/>
              <w:bottom w:val="nil"/>
              <w:right w:val="nil"/>
            </w:tcBorders>
            <w:shd w:val="clear" w:color="auto" w:fill="auto"/>
            <w:noWrap/>
            <w:vAlign w:val="bottom"/>
            <w:hideMark/>
          </w:tcPr>
          <w:p w14:paraId="398ABA68"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A1DF4BC"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A4298AE"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7E81085"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CCE98D4"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CC9E709"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8B1454B"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3BC465A"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8E3F16B"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BB1601F"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EC185B0"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413297AA" w14:textId="77777777" w:rsidR="00BD409A" w:rsidRPr="00AE52A4" w:rsidRDefault="00BD409A">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4CF12FB8" w14:textId="77777777" w:rsidR="00BD409A" w:rsidRPr="00AE52A4" w:rsidRDefault="00BD409A">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.65</w:t>
            </w:r>
            <w:r w:rsidRPr="00AE52A4">
              <w:rPr>
                <w:rFonts w:ascii="Arial" w:eastAsia="Times New Roman" w:hAnsi="Arial" w:cs="Arial"/>
                <w:sz w:val="24"/>
                <w:szCs w:val="24"/>
                <w:vertAlign w:val="superscript"/>
              </w:rPr>
              <w:t>**</w:t>
            </w:r>
          </w:p>
        </w:tc>
      </w:tr>
      <w:tr w:rsidR="00AE52A4" w:rsidRPr="00AE52A4" w14:paraId="7ADCED25" w14:textId="77777777" w:rsidTr="00731076">
        <w:trPr>
          <w:trHeight w:val="298"/>
        </w:trPr>
        <w:tc>
          <w:tcPr>
            <w:tcW w:w="0" w:type="auto"/>
            <w:tcBorders>
              <w:top w:val="nil"/>
              <w:left w:val="nil"/>
              <w:bottom w:val="single" w:sz="4" w:space="0" w:color="auto"/>
              <w:right w:val="nil"/>
            </w:tcBorders>
            <w:shd w:val="clear" w:color="auto" w:fill="auto"/>
            <w:noWrap/>
            <w:vAlign w:val="bottom"/>
            <w:hideMark/>
          </w:tcPr>
          <w:p w14:paraId="05E04C5E"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xml:space="preserve">14. </w:t>
            </w:r>
            <w:proofErr w:type="spellStart"/>
            <w:r w:rsidRPr="00AE52A4">
              <w:rPr>
                <w:rFonts w:ascii="Arial" w:eastAsia="Times New Roman" w:hAnsi="Arial" w:cs="Arial"/>
                <w:sz w:val="24"/>
                <w:szCs w:val="24"/>
              </w:rPr>
              <w:t>Ítem</w:t>
            </w:r>
            <w:proofErr w:type="spellEnd"/>
            <w:r w:rsidRPr="00AE52A4">
              <w:rPr>
                <w:rFonts w:ascii="Arial" w:eastAsia="Times New Roman" w:hAnsi="Arial" w:cs="Arial"/>
                <w:sz w:val="24"/>
                <w:szCs w:val="24"/>
              </w:rPr>
              <w:t xml:space="preserve"> 14</w:t>
            </w:r>
          </w:p>
        </w:tc>
        <w:tc>
          <w:tcPr>
            <w:tcW w:w="0" w:type="auto"/>
            <w:tcBorders>
              <w:top w:val="nil"/>
              <w:left w:val="nil"/>
              <w:bottom w:val="single" w:sz="4" w:space="0" w:color="auto"/>
              <w:right w:val="nil"/>
            </w:tcBorders>
            <w:shd w:val="clear" w:color="auto" w:fill="auto"/>
            <w:noWrap/>
            <w:vAlign w:val="center"/>
            <w:hideMark/>
          </w:tcPr>
          <w:p w14:paraId="08DE5FA2" w14:textId="77777777" w:rsidR="00BD409A" w:rsidRPr="00AE52A4" w:rsidRDefault="00BD409A" w:rsidP="00731076">
            <w:pPr>
              <w:spacing w:after="0" w:line="240" w:lineRule="auto"/>
              <w:jc w:val="right"/>
              <w:rPr>
                <w:rFonts w:ascii="Arial" w:eastAsia="Times New Roman" w:hAnsi="Arial" w:cs="Arial"/>
                <w:sz w:val="24"/>
                <w:szCs w:val="24"/>
              </w:rPr>
            </w:pPr>
            <w:r w:rsidRPr="00AE52A4">
              <w:rPr>
                <w:rFonts w:ascii="Arial" w:eastAsia="Times New Roman" w:hAnsi="Arial" w:cs="Arial"/>
                <w:sz w:val="24"/>
                <w:szCs w:val="24"/>
              </w:rPr>
              <w:t>4.66 (1.97)</w:t>
            </w:r>
          </w:p>
        </w:tc>
        <w:tc>
          <w:tcPr>
            <w:tcW w:w="0" w:type="auto"/>
            <w:tcBorders>
              <w:top w:val="nil"/>
              <w:left w:val="nil"/>
              <w:bottom w:val="single" w:sz="4" w:space="0" w:color="auto"/>
              <w:right w:val="nil"/>
            </w:tcBorders>
            <w:shd w:val="clear" w:color="auto" w:fill="auto"/>
            <w:noWrap/>
            <w:vAlign w:val="bottom"/>
            <w:hideMark/>
          </w:tcPr>
          <w:p w14:paraId="56078724"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-0.52</w:t>
            </w:r>
          </w:p>
        </w:tc>
        <w:tc>
          <w:tcPr>
            <w:tcW w:w="0" w:type="auto"/>
            <w:tcBorders>
              <w:top w:val="nil"/>
              <w:left w:val="nil"/>
              <w:bottom w:val="single" w:sz="4" w:space="0" w:color="auto"/>
              <w:right w:val="nil"/>
            </w:tcBorders>
            <w:shd w:val="clear" w:color="auto" w:fill="auto"/>
            <w:noWrap/>
            <w:vAlign w:val="bottom"/>
            <w:hideMark/>
          </w:tcPr>
          <w:p w14:paraId="79D8603E"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-0.88</w:t>
            </w:r>
          </w:p>
        </w:tc>
        <w:tc>
          <w:tcPr>
            <w:tcW w:w="0" w:type="auto"/>
            <w:tcBorders>
              <w:top w:val="nil"/>
              <w:left w:val="nil"/>
              <w:bottom w:val="single" w:sz="4" w:space="0" w:color="auto"/>
              <w:right w:val="nil"/>
            </w:tcBorders>
            <w:shd w:val="clear" w:color="auto" w:fill="auto"/>
            <w:noWrap/>
            <w:vAlign w:val="bottom"/>
            <w:hideMark/>
          </w:tcPr>
          <w:p w14:paraId="7CF12780"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w:t>
            </w:r>
          </w:p>
        </w:tc>
        <w:tc>
          <w:tcPr>
            <w:tcW w:w="0" w:type="auto"/>
            <w:tcBorders>
              <w:top w:val="nil"/>
              <w:left w:val="nil"/>
              <w:bottom w:val="single" w:sz="4" w:space="0" w:color="auto"/>
              <w:right w:val="nil"/>
            </w:tcBorders>
            <w:shd w:val="clear" w:color="auto" w:fill="auto"/>
            <w:noWrap/>
            <w:vAlign w:val="bottom"/>
            <w:hideMark/>
          </w:tcPr>
          <w:p w14:paraId="4A8558CE"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w:t>
            </w:r>
          </w:p>
        </w:tc>
        <w:tc>
          <w:tcPr>
            <w:tcW w:w="0" w:type="auto"/>
            <w:tcBorders>
              <w:top w:val="nil"/>
              <w:left w:val="nil"/>
              <w:bottom w:val="single" w:sz="4" w:space="0" w:color="auto"/>
              <w:right w:val="nil"/>
            </w:tcBorders>
            <w:shd w:val="clear" w:color="auto" w:fill="auto"/>
            <w:noWrap/>
            <w:vAlign w:val="bottom"/>
            <w:hideMark/>
          </w:tcPr>
          <w:p w14:paraId="78ACA1B0"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w:t>
            </w:r>
          </w:p>
        </w:tc>
        <w:tc>
          <w:tcPr>
            <w:tcW w:w="0" w:type="auto"/>
            <w:tcBorders>
              <w:top w:val="nil"/>
              <w:left w:val="nil"/>
              <w:bottom w:val="single" w:sz="4" w:space="0" w:color="auto"/>
              <w:right w:val="nil"/>
            </w:tcBorders>
            <w:shd w:val="clear" w:color="auto" w:fill="auto"/>
            <w:noWrap/>
            <w:vAlign w:val="bottom"/>
            <w:hideMark/>
          </w:tcPr>
          <w:p w14:paraId="11C3C863"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w:t>
            </w:r>
          </w:p>
        </w:tc>
        <w:tc>
          <w:tcPr>
            <w:tcW w:w="0" w:type="auto"/>
            <w:tcBorders>
              <w:top w:val="nil"/>
              <w:left w:val="nil"/>
              <w:bottom w:val="single" w:sz="4" w:space="0" w:color="auto"/>
              <w:right w:val="nil"/>
            </w:tcBorders>
            <w:shd w:val="clear" w:color="auto" w:fill="auto"/>
            <w:noWrap/>
            <w:vAlign w:val="bottom"/>
            <w:hideMark/>
          </w:tcPr>
          <w:p w14:paraId="1EEB43BA"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w:t>
            </w:r>
          </w:p>
        </w:tc>
        <w:tc>
          <w:tcPr>
            <w:tcW w:w="0" w:type="auto"/>
            <w:tcBorders>
              <w:top w:val="nil"/>
              <w:left w:val="nil"/>
              <w:bottom w:val="single" w:sz="4" w:space="0" w:color="auto"/>
              <w:right w:val="nil"/>
            </w:tcBorders>
            <w:shd w:val="clear" w:color="auto" w:fill="auto"/>
            <w:noWrap/>
            <w:vAlign w:val="bottom"/>
            <w:hideMark/>
          </w:tcPr>
          <w:p w14:paraId="4291EE2B"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w:t>
            </w:r>
          </w:p>
        </w:tc>
        <w:tc>
          <w:tcPr>
            <w:tcW w:w="0" w:type="auto"/>
            <w:tcBorders>
              <w:top w:val="nil"/>
              <w:left w:val="nil"/>
              <w:bottom w:val="single" w:sz="4" w:space="0" w:color="auto"/>
              <w:right w:val="nil"/>
            </w:tcBorders>
            <w:shd w:val="clear" w:color="auto" w:fill="auto"/>
            <w:noWrap/>
            <w:vAlign w:val="bottom"/>
            <w:hideMark/>
          </w:tcPr>
          <w:p w14:paraId="736AB8EA"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w:t>
            </w:r>
          </w:p>
        </w:tc>
        <w:tc>
          <w:tcPr>
            <w:tcW w:w="0" w:type="auto"/>
            <w:tcBorders>
              <w:top w:val="nil"/>
              <w:left w:val="nil"/>
              <w:bottom w:val="single" w:sz="4" w:space="0" w:color="auto"/>
              <w:right w:val="nil"/>
            </w:tcBorders>
            <w:shd w:val="clear" w:color="auto" w:fill="auto"/>
            <w:noWrap/>
            <w:vAlign w:val="bottom"/>
            <w:hideMark/>
          </w:tcPr>
          <w:p w14:paraId="6044EC48"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w:t>
            </w:r>
          </w:p>
        </w:tc>
        <w:tc>
          <w:tcPr>
            <w:tcW w:w="0" w:type="auto"/>
            <w:tcBorders>
              <w:top w:val="nil"/>
              <w:left w:val="nil"/>
              <w:bottom w:val="single" w:sz="4" w:space="0" w:color="auto"/>
              <w:right w:val="nil"/>
            </w:tcBorders>
            <w:shd w:val="clear" w:color="auto" w:fill="auto"/>
            <w:noWrap/>
            <w:vAlign w:val="bottom"/>
            <w:hideMark/>
          </w:tcPr>
          <w:p w14:paraId="4F2968FC"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w:t>
            </w:r>
          </w:p>
        </w:tc>
        <w:tc>
          <w:tcPr>
            <w:tcW w:w="0" w:type="auto"/>
            <w:tcBorders>
              <w:top w:val="nil"/>
              <w:left w:val="nil"/>
              <w:bottom w:val="single" w:sz="4" w:space="0" w:color="auto"/>
              <w:right w:val="nil"/>
            </w:tcBorders>
            <w:shd w:val="clear" w:color="auto" w:fill="auto"/>
            <w:noWrap/>
            <w:vAlign w:val="bottom"/>
            <w:hideMark/>
          </w:tcPr>
          <w:p w14:paraId="02AD7BCB"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w:t>
            </w:r>
          </w:p>
        </w:tc>
        <w:tc>
          <w:tcPr>
            <w:tcW w:w="0" w:type="auto"/>
            <w:tcBorders>
              <w:top w:val="nil"/>
              <w:left w:val="nil"/>
              <w:bottom w:val="single" w:sz="4" w:space="0" w:color="auto"/>
              <w:right w:val="nil"/>
            </w:tcBorders>
            <w:shd w:val="clear" w:color="auto" w:fill="auto"/>
            <w:noWrap/>
            <w:vAlign w:val="bottom"/>
            <w:hideMark/>
          </w:tcPr>
          <w:p w14:paraId="5472D1F8"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w:t>
            </w:r>
          </w:p>
        </w:tc>
        <w:tc>
          <w:tcPr>
            <w:tcW w:w="0" w:type="auto"/>
            <w:tcBorders>
              <w:top w:val="nil"/>
              <w:left w:val="nil"/>
              <w:bottom w:val="single" w:sz="4" w:space="0" w:color="auto"/>
              <w:right w:val="nil"/>
            </w:tcBorders>
            <w:shd w:val="clear" w:color="auto" w:fill="auto"/>
            <w:noWrap/>
            <w:vAlign w:val="bottom"/>
            <w:hideMark/>
          </w:tcPr>
          <w:p w14:paraId="53EDEBEA"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w:t>
            </w:r>
          </w:p>
        </w:tc>
        <w:tc>
          <w:tcPr>
            <w:tcW w:w="0" w:type="auto"/>
            <w:tcBorders>
              <w:top w:val="nil"/>
              <w:left w:val="nil"/>
              <w:bottom w:val="single" w:sz="4" w:space="0" w:color="auto"/>
              <w:right w:val="nil"/>
            </w:tcBorders>
            <w:shd w:val="clear" w:color="auto" w:fill="auto"/>
            <w:noWrap/>
            <w:vAlign w:val="bottom"/>
            <w:hideMark/>
          </w:tcPr>
          <w:p w14:paraId="69805229"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w:t>
            </w:r>
          </w:p>
        </w:tc>
      </w:tr>
      <w:tr w:rsidR="00AE52A4" w:rsidRPr="00533A51" w14:paraId="1751FB59" w14:textId="77777777" w:rsidTr="00731076">
        <w:trPr>
          <w:trHeight w:val="298"/>
        </w:trPr>
        <w:tc>
          <w:tcPr>
            <w:tcW w:w="0" w:type="auto"/>
            <w:gridSpan w:val="17"/>
            <w:tcBorders>
              <w:top w:val="nil"/>
              <w:left w:val="nil"/>
              <w:bottom w:val="nil"/>
              <w:right w:val="nil"/>
            </w:tcBorders>
            <w:shd w:val="clear" w:color="auto" w:fill="auto"/>
            <w:noWrap/>
            <w:vAlign w:val="bottom"/>
            <w:hideMark/>
          </w:tcPr>
          <w:p w14:paraId="0882A71F" w14:textId="77777777" w:rsidR="00BD409A" w:rsidRPr="00AE52A4" w:rsidRDefault="00BD409A" w:rsidP="00731076">
            <w:pPr>
              <w:spacing w:after="0" w:line="240" w:lineRule="auto"/>
              <w:rPr>
                <w:rFonts w:ascii="Arial" w:eastAsia="Times New Roman" w:hAnsi="Arial" w:cs="Arial"/>
                <w:sz w:val="24"/>
                <w:szCs w:val="24"/>
                <w:lang w:val="es-UY"/>
              </w:rPr>
            </w:pPr>
            <w:r w:rsidRPr="00AE52A4">
              <w:rPr>
                <w:rFonts w:ascii="Arial" w:eastAsia="Times New Roman" w:hAnsi="Arial" w:cs="Arial"/>
                <w:i/>
                <w:iCs/>
                <w:sz w:val="24"/>
                <w:szCs w:val="24"/>
                <w:lang w:val="es-UY"/>
              </w:rPr>
              <w:t>Notas.</w:t>
            </w:r>
            <w:r w:rsidRPr="00AE52A4">
              <w:rPr>
                <w:rFonts w:ascii="Arial" w:eastAsia="Times New Roman" w:hAnsi="Arial" w:cs="Arial"/>
                <w:sz w:val="24"/>
                <w:szCs w:val="24"/>
                <w:lang w:val="es-UY"/>
              </w:rPr>
              <w:t xml:space="preserve"> M (DT)= Media (Desviación Típica); AS= Asimetría; Cu=Curtosis.</w:t>
            </w:r>
          </w:p>
        </w:tc>
      </w:tr>
    </w:tbl>
    <w:p w14:paraId="3F2449D1" w14:textId="77777777" w:rsidR="00BD409A" w:rsidRPr="00AE52A4" w:rsidRDefault="00BD409A" w:rsidP="00731076">
      <w:pPr>
        <w:spacing w:line="240" w:lineRule="auto"/>
        <w:rPr>
          <w:rFonts w:ascii="Arial" w:hAnsi="Arial" w:cs="Arial"/>
          <w:sz w:val="24"/>
          <w:szCs w:val="24"/>
          <w:lang w:val="es-UY"/>
        </w:rPr>
        <w:sectPr w:rsidR="00BD409A" w:rsidRPr="00AE52A4" w:rsidSect="00BD409A">
          <w:pgSz w:w="16838" w:h="11906" w:orient="landscape"/>
          <w:pgMar w:top="1440" w:right="1440" w:bottom="1440" w:left="1440" w:header="709" w:footer="709" w:gutter="0"/>
          <w:cols w:space="708"/>
          <w:docGrid w:linePitch="360"/>
        </w:sectPr>
      </w:pPr>
    </w:p>
    <w:p w14:paraId="6E30B183" w14:textId="77777777" w:rsidR="00BD409A" w:rsidRPr="00AE52A4" w:rsidRDefault="00BD409A" w:rsidP="00731076">
      <w:pPr>
        <w:spacing w:line="240" w:lineRule="auto"/>
        <w:jc w:val="both"/>
        <w:rPr>
          <w:rFonts w:ascii="Arial" w:eastAsia="Arial" w:hAnsi="Arial" w:cs="Arial"/>
          <w:i/>
          <w:sz w:val="24"/>
          <w:szCs w:val="24"/>
          <w:lang w:val="es-UY"/>
        </w:rPr>
      </w:pPr>
      <w:r w:rsidRPr="00AE52A4">
        <w:rPr>
          <w:rFonts w:ascii="Arial" w:eastAsia="Arial" w:hAnsi="Arial" w:cs="Arial"/>
          <w:i/>
          <w:sz w:val="24"/>
          <w:szCs w:val="24"/>
          <w:lang w:val="es-UY"/>
        </w:rPr>
        <w:lastRenderedPageBreak/>
        <w:t xml:space="preserve">3.2. Consistencia interna  y estructura factorial de la ECCF. </w:t>
      </w:r>
    </w:p>
    <w:p w14:paraId="5D16DF95" w14:textId="77777777" w:rsidR="00BD409A" w:rsidRPr="00AE52A4" w:rsidRDefault="00BD409A" w:rsidP="00731076">
      <w:pPr>
        <w:spacing w:line="240" w:lineRule="auto"/>
        <w:ind w:firstLine="708"/>
        <w:jc w:val="both"/>
        <w:rPr>
          <w:rFonts w:ascii="Arial" w:eastAsia="Arial" w:hAnsi="Arial" w:cs="Arial"/>
          <w:sz w:val="24"/>
          <w:szCs w:val="24"/>
          <w:lang w:val="es-UY"/>
        </w:rPr>
      </w:pPr>
      <w:r w:rsidRPr="00AE52A4">
        <w:rPr>
          <w:rFonts w:ascii="Arial" w:eastAsia="Arial" w:hAnsi="Arial" w:cs="Arial"/>
          <w:sz w:val="24"/>
          <w:szCs w:val="24"/>
          <w:lang w:val="es-UY"/>
        </w:rPr>
        <w:t>La puntuación total de la ECCF (en adelante CCF-T) presenta un omega de McDonald de .73, CCF-I de .69 y CCF-F de .67. Si el ítem 5 se elimina la confiabilidad en CCF-T aumenta a .74 y CCF-I a .70.  La media de correlación inter-ítem de CCF-I es de .31. El ítem 5 es el que presenta menor correlación, la media de correlación inter-ítem aumenta .07 si el mismo es eliminado. La media de correlación inter-ítem de CCF-F es de .30.</w:t>
      </w:r>
    </w:p>
    <w:p w14:paraId="518C2DAC" w14:textId="77777777" w:rsidR="00BD409A" w:rsidRPr="00AE52A4" w:rsidRDefault="00BD409A" w:rsidP="00731076">
      <w:pPr>
        <w:spacing w:line="240" w:lineRule="auto"/>
        <w:ind w:firstLine="708"/>
        <w:jc w:val="both"/>
        <w:rPr>
          <w:rFonts w:ascii="Arial" w:eastAsia="Arial" w:hAnsi="Arial" w:cs="Arial"/>
          <w:sz w:val="24"/>
          <w:szCs w:val="24"/>
          <w:lang w:val="es-UY"/>
        </w:rPr>
      </w:pPr>
      <w:r w:rsidRPr="00AE52A4">
        <w:rPr>
          <w:rFonts w:ascii="Arial" w:eastAsia="Arial" w:hAnsi="Arial" w:cs="Arial"/>
          <w:sz w:val="24"/>
          <w:szCs w:val="24"/>
          <w:lang w:val="es-UY"/>
        </w:rPr>
        <w:t xml:space="preserve">Dado los inconvenientes psicométricos del ítem 5 reportados en una versión anterior de la ECCF </w:t>
      </w:r>
      <w:r w:rsidRPr="00AE52A4">
        <w:rPr>
          <w:rFonts w:ascii="Arial" w:eastAsia="Arial" w:hAnsi="Arial" w:cs="Arial"/>
          <w:sz w:val="24"/>
          <w:szCs w:val="24"/>
        </w:rPr>
        <w:fldChar w:fldCharType="begin" w:fldLock="1"/>
      </w:r>
      <w:r w:rsidRPr="00AE52A4">
        <w:rPr>
          <w:rFonts w:ascii="Arial" w:eastAsia="Arial" w:hAnsi="Arial" w:cs="Arial"/>
          <w:sz w:val="24"/>
          <w:szCs w:val="24"/>
          <w:lang w:val="es-UY"/>
        </w:rPr>
        <w:instrText>ADDIN CSL_CITATION {"citationItems":[{"id":"ITEM-1","itemData":{"author":[{"dropping-particle":"","family":"Vásquez Echeverría","given":"Alejandro","non-dropping-particle":"","parse-names":false,"suffix":""},{"dropping-particle":"","family":"Martín","given":"Ana","non-dropping-particle":"","parse-names":false,"suffix":""},{"dropping-particle":"","family":"Ortuño","given":"Victor","non-dropping-particle":"","parse-names":false,"suffix":""},{"dropping-particle":"","family":"Esteves","given":"Cristina","non-dropping-particle":"","parse-names":false,"suffix":""},{"dropping-particle":"","family":"Joirema","given":"Jeff","non-dropping-particle":"","parse-names":false,"suffix":""}],"container-title":"Revista Iberoamericana de Diagnóstico y Evaluación-e Avaliação Psicológica","id":"ITEM-1","issue":"2","issued":{"date-parts":[["2017","7","1"]]},"page":"5-15","title":"Adaptación y validación inicial al castellano de la Escala Consideración de las Consecuencias Futuras","type":"article-journal","volume":"44"},"uris":["http://www.mendeley.com/documents/?uuid=7db97c5c-437e-4a00-9c3a-a82ff71c3184"]}],"mendeley":{"formattedCitation":"(Vásquez Echeverría, Martín, Ortuño, Esteves, &amp; Joirema, 2017)","plainTextFormattedCitation":"(Vásquez Echeverría, Martín, Ortuño, Esteves, &amp; Joirema, 2017)","previouslyFormattedCitation":"(Vásquez Echeverría, Martín, Ortuño, Esteves, &amp; Joirema, 2017)"},"properties":{"noteIndex":0},"schema":"https://github.com/citation-style-language/schema/raw/master/csl-citation.json"}</w:instrText>
      </w:r>
      <w:r w:rsidRPr="00AE52A4">
        <w:rPr>
          <w:rFonts w:ascii="Arial" w:eastAsia="Arial" w:hAnsi="Arial" w:cs="Arial"/>
          <w:sz w:val="24"/>
          <w:szCs w:val="24"/>
        </w:rPr>
        <w:fldChar w:fldCharType="separate"/>
      </w:r>
      <w:r w:rsidRPr="00AE52A4">
        <w:rPr>
          <w:rFonts w:ascii="Arial" w:eastAsia="Arial" w:hAnsi="Arial" w:cs="Arial"/>
          <w:noProof/>
          <w:sz w:val="24"/>
          <w:szCs w:val="24"/>
          <w:lang w:val="es-UY"/>
        </w:rPr>
        <w:t>(Vásquez Echeverría, Martín, Ortuño, Esteves, &amp; Joirema</w:t>
      </w:r>
      <w:r w:rsidR="00D953E1">
        <w:rPr>
          <w:rFonts w:ascii="Arial" w:eastAsia="Arial" w:hAnsi="Arial" w:cs="Arial"/>
          <w:noProof/>
          <w:sz w:val="24"/>
          <w:szCs w:val="24"/>
          <w:lang w:val="es-UY"/>
        </w:rPr>
        <w:t>n</w:t>
      </w:r>
      <w:r w:rsidRPr="00AE52A4">
        <w:rPr>
          <w:rFonts w:ascii="Arial" w:eastAsia="Arial" w:hAnsi="Arial" w:cs="Arial"/>
          <w:noProof/>
          <w:sz w:val="24"/>
          <w:szCs w:val="24"/>
          <w:lang w:val="es-UY"/>
        </w:rPr>
        <w:t>, 2017)</w:t>
      </w:r>
      <w:r w:rsidRPr="00AE52A4">
        <w:rPr>
          <w:rFonts w:ascii="Arial" w:eastAsia="Arial" w:hAnsi="Arial" w:cs="Arial"/>
          <w:sz w:val="24"/>
          <w:szCs w:val="24"/>
        </w:rPr>
        <w:fldChar w:fldCharType="end"/>
      </w:r>
      <w:r w:rsidRPr="00AE52A4">
        <w:rPr>
          <w:rFonts w:ascii="Arial" w:eastAsia="Arial" w:hAnsi="Arial" w:cs="Arial"/>
          <w:sz w:val="24"/>
          <w:szCs w:val="24"/>
          <w:lang w:val="es-UY"/>
        </w:rPr>
        <w:t xml:space="preserve"> los AFC se realizaron tanto con el ítem 5 y sin el mismo. Al comparar los resultados de ambos análisis se evidencia que los índices de ajustes y cargas factoriales de los modelos mejoran al excluir el ítem 5. Dado que hay evidencia para su exclusión en este estudio, en los análisis siguientes se presentan los resultados de los modelos sin dicho ítem.</w:t>
      </w:r>
    </w:p>
    <w:p w14:paraId="09C0F176" w14:textId="77777777" w:rsidR="00BD409A" w:rsidRPr="00AE52A4" w:rsidRDefault="00BD409A" w:rsidP="00731076">
      <w:pPr>
        <w:spacing w:line="240" w:lineRule="auto"/>
        <w:ind w:firstLine="720"/>
        <w:jc w:val="both"/>
        <w:rPr>
          <w:rFonts w:ascii="Arial" w:eastAsia="Arial" w:hAnsi="Arial" w:cs="Arial"/>
          <w:sz w:val="24"/>
          <w:szCs w:val="24"/>
          <w:lang w:val="es-UY"/>
        </w:rPr>
      </w:pPr>
      <w:r w:rsidRPr="00AE52A4">
        <w:rPr>
          <w:rFonts w:ascii="Arial" w:eastAsia="Arial" w:hAnsi="Arial" w:cs="Arial"/>
          <w:sz w:val="24"/>
          <w:szCs w:val="24"/>
          <w:lang w:val="es-UY"/>
        </w:rPr>
        <w:t xml:space="preserve">CCF-T presenta una media de 4.71 (DT=1.05), CCF-I de 3.11 (DT= 1.38) y CCF-F de 4.54 (DT= 1.22). En la Tabla </w:t>
      </w:r>
      <w:r w:rsidR="00731076" w:rsidRPr="00AE52A4">
        <w:rPr>
          <w:rFonts w:ascii="Arial" w:eastAsia="Arial" w:hAnsi="Arial" w:cs="Arial"/>
          <w:sz w:val="24"/>
          <w:szCs w:val="24"/>
          <w:lang w:val="es-UY"/>
        </w:rPr>
        <w:t>2</w:t>
      </w:r>
      <w:r w:rsidRPr="00AE52A4">
        <w:rPr>
          <w:rFonts w:ascii="Arial" w:eastAsia="Arial" w:hAnsi="Arial" w:cs="Arial"/>
          <w:sz w:val="24"/>
          <w:szCs w:val="24"/>
          <w:lang w:val="es-UY"/>
        </w:rPr>
        <w:t xml:space="preserve"> se presentan los índices de ajuste de cada modelo evaluado en el AFC. El modelo unifactorial presenta índices de ajuste subóptimos para esta muestra. A su vez, el modelo bifactor presenta CFI adecuado, pero TLI y RMSEA subóptimos. El modelo de dos factores correlacionados presentar índices de ajustes adecuado para la muestra en todas las propiedades evaluadas.</w:t>
      </w:r>
    </w:p>
    <w:p w14:paraId="49FBE467" w14:textId="77777777" w:rsidR="00BD409A" w:rsidRPr="00AE52A4" w:rsidRDefault="00BD409A" w:rsidP="00731076">
      <w:pPr>
        <w:spacing w:line="240" w:lineRule="auto"/>
        <w:jc w:val="both"/>
        <w:rPr>
          <w:rFonts w:ascii="Arial" w:eastAsia="Arial" w:hAnsi="Arial" w:cs="Arial"/>
          <w:sz w:val="24"/>
          <w:szCs w:val="24"/>
          <w:lang w:val="es-UY"/>
        </w:rPr>
      </w:pPr>
    </w:p>
    <w:p w14:paraId="5F762785" w14:textId="77777777" w:rsidR="00BD409A" w:rsidRPr="00AE52A4" w:rsidRDefault="00BD409A" w:rsidP="00731076">
      <w:pPr>
        <w:spacing w:line="240" w:lineRule="auto"/>
        <w:jc w:val="both"/>
        <w:rPr>
          <w:rFonts w:ascii="Arial" w:eastAsia="Arial" w:hAnsi="Arial" w:cs="Arial"/>
          <w:iCs/>
          <w:sz w:val="24"/>
          <w:szCs w:val="24"/>
          <w:lang w:val="es-UY"/>
        </w:rPr>
      </w:pPr>
      <w:r w:rsidRPr="00AE52A4">
        <w:rPr>
          <w:rFonts w:ascii="Arial" w:eastAsia="Arial" w:hAnsi="Arial" w:cs="Arial"/>
          <w:iCs/>
          <w:sz w:val="24"/>
          <w:szCs w:val="24"/>
          <w:lang w:val="es-UY"/>
        </w:rPr>
        <w:t>Tabla 2</w:t>
      </w:r>
    </w:p>
    <w:p w14:paraId="52D70CEE" w14:textId="77777777" w:rsidR="00BD409A" w:rsidRPr="00AE52A4" w:rsidRDefault="00BD409A" w:rsidP="00731076">
      <w:pPr>
        <w:spacing w:line="240" w:lineRule="auto"/>
        <w:jc w:val="both"/>
        <w:rPr>
          <w:rFonts w:ascii="Arial" w:eastAsia="Arial" w:hAnsi="Arial" w:cs="Arial"/>
          <w:i/>
          <w:sz w:val="24"/>
          <w:szCs w:val="24"/>
          <w:lang w:val="es-UY"/>
        </w:rPr>
      </w:pPr>
      <w:r w:rsidRPr="00AE52A4">
        <w:rPr>
          <w:rFonts w:ascii="Arial" w:eastAsia="Arial" w:hAnsi="Arial" w:cs="Arial"/>
          <w:i/>
          <w:sz w:val="24"/>
          <w:szCs w:val="24"/>
          <w:lang w:val="es-UY"/>
        </w:rPr>
        <w:t>Índices de ajustes de los modelos factoriales testeados para la ECCF</w:t>
      </w:r>
    </w:p>
    <w:tbl>
      <w:tblPr>
        <w:tblW w:w="9040" w:type="dxa"/>
        <w:tblCellMar>
          <w:left w:w="70" w:type="dxa"/>
          <w:right w:w="70" w:type="dxa"/>
        </w:tblCellMar>
        <w:tblLook w:val="04A0" w:firstRow="1" w:lastRow="0" w:firstColumn="1" w:lastColumn="0" w:noHBand="0" w:noVBand="1"/>
      </w:tblPr>
      <w:tblGrid>
        <w:gridCol w:w="1836"/>
        <w:gridCol w:w="1101"/>
        <w:gridCol w:w="870"/>
        <w:gridCol w:w="924"/>
        <w:gridCol w:w="924"/>
        <w:gridCol w:w="2425"/>
        <w:gridCol w:w="960"/>
      </w:tblGrid>
      <w:tr w:rsidR="00AE52A4" w:rsidRPr="00AE52A4" w14:paraId="02203B0A" w14:textId="77777777" w:rsidTr="00AE52A4">
        <w:trPr>
          <w:trHeight w:val="300"/>
        </w:trPr>
        <w:tc>
          <w:tcPr>
            <w:tcW w:w="1836" w:type="dxa"/>
            <w:tcBorders>
              <w:top w:val="single" w:sz="4" w:space="0" w:color="auto"/>
              <w:left w:val="nil"/>
              <w:bottom w:val="single" w:sz="4" w:space="0" w:color="auto"/>
              <w:right w:val="nil"/>
            </w:tcBorders>
            <w:shd w:val="clear" w:color="000000" w:fill="FFFFFF"/>
            <w:vAlign w:val="center"/>
            <w:hideMark/>
          </w:tcPr>
          <w:p w14:paraId="1F17EAB8" w14:textId="77777777" w:rsidR="00BD409A" w:rsidRPr="00AE52A4" w:rsidRDefault="00BD409A" w:rsidP="00AE52A4">
            <w:pPr>
              <w:spacing w:after="0" w:line="240" w:lineRule="auto"/>
              <w:rPr>
                <w:rFonts w:ascii="Arial" w:eastAsia="Times New Roman" w:hAnsi="Arial" w:cs="Arial"/>
                <w:sz w:val="24"/>
                <w:szCs w:val="24"/>
              </w:rPr>
            </w:pPr>
            <w:proofErr w:type="spellStart"/>
            <w:r w:rsidRPr="00AE52A4">
              <w:rPr>
                <w:rFonts w:ascii="Arial" w:eastAsia="Times New Roman" w:hAnsi="Arial" w:cs="Arial"/>
                <w:sz w:val="24"/>
                <w:szCs w:val="24"/>
              </w:rPr>
              <w:t>Modelo</w:t>
            </w:r>
            <w:proofErr w:type="spellEnd"/>
          </w:p>
        </w:tc>
        <w:tc>
          <w:tcPr>
            <w:tcW w:w="1101" w:type="dxa"/>
            <w:tcBorders>
              <w:top w:val="single" w:sz="4" w:space="0" w:color="auto"/>
              <w:left w:val="nil"/>
              <w:bottom w:val="single" w:sz="4" w:space="0" w:color="auto"/>
              <w:right w:val="nil"/>
            </w:tcBorders>
            <w:shd w:val="clear" w:color="000000" w:fill="FFFFFF"/>
            <w:vAlign w:val="center"/>
            <w:hideMark/>
          </w:tcPr>
          <w:p w14:paraId="739449AA"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χ2</w:t>
            </w:r>
          </w:p>
        </w:tc>
        <w:tc>
          <w:tcPr>
            <w:tcW w:w="870" w:type="dxa"/>
            <w:tcBorders>
              <w:top w:val="single" w:sz="4" w:space="0" w:color="auto"/>
              <w:left w:val="nil"/>
              <w:bottom w:val="single" w:sz="4" w:space="0" w:color="auto"/>
              <w:right w:val="nil"/>
            </w:tcBorders>
            <w:shd w:val="clear" w:color="000000" w:fill="FFFFFF"/>
            <w:vAlign w:val="center"/>
            <w:hideMark/>
          </w:tcPr>
          <w:p w14:paraId="1ADB0123" w14:textId="6F4AE870" w:rsidR="00BD409A" w:rsidRPr="00AE52A4" w:rsidRDefault="003F3725" w:rsidP="00AE52A4">
            <w:pPr>
              <w:spacing w:after="0" w:line="240" w:lineRule="auto"/>
              <w:jc w:val="center"/>
              <w:rPr>
                <w:rFonts w:ascii="Arial" w:eastAsia="Times New Roman" w:hAnsi="Arial" w:cs="Arial"/>
                <w:sz w:val="24"/>
                <w:szCs w:val="24"/>
              </w:rPr>
            </w:pPr>
            <w:proofErr w:type="spellStart"/>
            <w:r w:rsidRPr="00AE52A4">
              <w:rPr>
                <w:rFonts w:ascii="Arial" w:eastAsia="Times New Roman" w:hAnsi="Arial" w:cs="Arial"/>
                <w:sz w:val="24"/>
                <w:szCs w:val="24"/>
              </w:rPr>
              <w:t>G</w:t>
            </w:r>
            <w:r w:rsidR="00BD409A" w:rsidRPr="00AE52A4">
              <w:rPr>
                <w:rFonts w:ascii="Arial" w:eastAsia="Times New Roman" w:hAnsi="Arial" w:cs="Arial"/>
                <w:sz w:val="24"/>
                <w:szCs w:val="24"/>
              </w:rPr>
              <w:t>l</w:t>
            </w:r>
            <w:proofErr w:type="spellEnd"/>
          </w:p>
        </w:tc>
        <w:tc>
          <w:tcPr>
            <w:tcW w:w="924" w:type="dxa"/>
            <w:tcBorders>
              <w:top w:val="single" w:sz="4" w:space="0" w:color="auto"/>
              <w:left w:val="nil"/>
              <w:bottom w:val="single" w:sz="4" w:space="0" w:color="auto"/>
              <w:right w:val="nil"/>
            </w:tcBorders>
            <w:shd w:val="clear" w:color="000000" w:fill="FFFFFF"/>
            <w:vAlign w:val="center"/>
            <w:hideMark/>
          </w:tcPr>
          <w:p w14:paraId="5EC75149"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CFI</w:t>
            </w:r>
          </w:p>
        </w:tc>
        <w:tc>
          <w:tcPr>
            <w:tcW w:w="924" w:type="dxa"/>
            <w:tcBorders>
              <w:top w:val="single" w:sz="4" w:space="0" w:color="auto"/>
              <w:left w:val="nil"/>
              <w:bottom w:val="single" w:sz="4" w:space="0" w:color="auto"/>
              <w:right w:val="nil"/>
            </w:tcBorders>
            <w:shd w:val="clear" w:color="000000" w:fill="FFFFFF"/>
            <w:vAlign w:val="center"/>
            <w:hideMark/>
          </w:tcPr>
          <w:p w14:paraId="1F8658DB"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TLI</w:t>
            </w:r>
          </w:p>
        </w:tc>
        <w:tc>
          <w:tcPr>
            <w:tcW w:w="2425" w:type="dxa"/>
            <w:tcBorders>
              <w:top w:val="single" w:sz="4" w:space="0" w:color="auto"/>
              <w:left w:val="nil"/>
              <w:bottom w:val="single" w:sz="4" w:space="0" w:color="auto"/>
              <w:right w:val="nil"/>
            </w:tcBorders>
            <w:shd w:val="clear" w:color="000000" w:fill="FFFFFF"/>
            <w:vAlign w:val="center"/>
            <w:hideMark/>
          </w:tcPr>
          <w:p w14:paraId="000B7C4A"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RMSEA (90% CI)</w:t>
            </w:r>
          </w:p>
        </w:tc>
        <w:tc>
          <w:tcPr>
            <w:tcW w:w="960" w:type="dxa"/>
            <w:tcBorders>
              <w:top w:val="single" w:sz="4" w:space="0" w:color="auto"/>
              <w:left w:val="nil"/>
              <w:bottom w:val="single" w:sz="4" w:space="0" w:color="auto"/>
              <w:right w:val="nil"/>
            </w:tcBorders>
            <w:shd w:val="clear" w:color="000000" w:fill="FFFFFF"/>
            <w:vAlign w:val="center"/>
            <w:hideMark/>
          </w:tcPr>
          <w:p w14:paraId="53ABD53C"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SRMR</w:t>
            </w:r>
          </w:p>
        </w:tc>
      </w:tr>
      <w:tr w:rsidR="00AE52A4" w:rsidRPr="00AE52A4" w14:paraId="1D26D0C0" w14:textId="77777777" w:rsidTr="00AE52A4">
        <w:trPr>
          <w:trHeight w:val="300"/>
        </w:trPr>
        <w:tc>
          <w:tcPr>
            <w:tcW w:w="1836" w:type="dxa"/>
            <w:tcBorders>
              <w:top w:val="nil"/>
              <w:left w:val="nil"/>
              <w:bottom w:val="nil"/>
              <w:right w:val="nil"/>
            </w:tcBorders>
            <w:shd w:val="clear" w:color="000000" w:fill="FFFFFF"/>
            <w:vAlign w:val="center"/>
            <w:hideMark/>
          </w:tcPr>
          <w:p w14:paraId="2985A063" w14:textId="77777777" w:rsidR="00BD409A" w:rsidRPr="00AE52A4" w:rsidRDefault="00BD409A" w:rsidP="00AE52A4">
            <w:pPr>
              <w:spacing w:after="0" w:line="240" w:lineRule="auto"/>
              <w:rPr>
                <w:rFonts w:ascii="Arial" w:eastAsia="Times New Roman" w:hAnsi="Arial" w:cs="Arial"/>
                <w:sz w:val="24"/>
                <w:szCs w:val="24"/>
              </w:rPr>
            </w:pPr>
            <w:r w:rsidRPr="00AE52A4">
              <w:rPr>
                <w:rFonts w:ascii="Arial" w:eastAsia="Times New Roman" w:hAnsi="Arial" w:cs="Arial"/>
                <w:sz w:val="24"/>
                <w:szCs w:val="24"/>
              </w:rPr>
              <w:t>I. Unifactorial</w:t>
            </w:r>
          </w:p>
        </w:tc>
        <w:tc>
          <w:tcPr>
            <w:tcW w:w="1101" w:type="dxa"/>
            <w:tcBorders>
              <w:top w:val="nil"/>
              <w:left w:val="nil"/>
              <w:bottom w:val="nil"/>
              <w:right w:val="nil"/>
            </w:tcBorders>
            <w:shd w:val="clear" w:color="000000" w:fill="FFFFFF"/>
            <w:vAlign w:val="center"/>
            <w:hideMark/>
          </w:tcPr>
          <w:p w14:paraId="0666C0D3"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876.664*</w:t>
            </w:r>
          </w:p>
        </w:tc>
        <w:tc>
          <w:tcPr>
            <w:tcW w:w="870" w:type="dxa"/>
            <w:tcBorders>
              <w:top w:val="nil"/>
              <w:left w:val="nil"/>
              <w:bottom w:val="nil"/>
              <w:right w:val="nil"/>
            </w:tcBorders>
            <w:shd w:val="clear" w:color="000000" w:fill="FFFFFF"/>
            <w:vAlign w:val="center"/>
            <w:hideMark/>
          </w:tcPr>
          <w:p w14:paraId="2F001461"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63</w:t>
            </w:r>
          </w:p>
        </w:tc>
        <w:tc>
          <w:tcPr>
            <w:tcW w:w="924" w:type="dxa"/>
            <w:tcBorders>
              <w:top w:val="nil"/>
              <w:left w:val="nil"/>
              <w:bottom w:val="nil"/>
              <w:right w:val="nil"/>
            </w:tcBorders>
            <w:shd w:val="clear" w:color="000000" w:fill="FFFFFF"/>
            <w:vAlign w:val="center"/>
            <w:hideMark/>
          </w:tcPr>
          <w:p w14:paraId="311A89C8"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0.734</w:t>
            </w:r>
          </w:p>
        </w:tc>
        <w:tc>
          <w:tcPr>
            <w:tcW w:w="924" w:type="dxa"/>
            <w:tcBorders>
              <w:top w:val="nil"/>
              <w:left w:val="nil"/>
              <w:bottom w:val="nil"/>
              <w:right w:val="nil"/>
            </w:tcBorders>
            <w:shd w:val="clear" w:color="000000" w:fill="FFFFFF"/>
            <w:vAlign w:val="center"/>
            <w:hideMark/>
          </w:tcPr>
          <w:p w14:paraId="62248E81"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0.671</w:t>
            </w:r>
          </w:p>
        </w:tc>
        <w:tc>
          <w:tcPr>
            <w:tcW w:w="2425" w:type="dxa"/>
            <w:tcBorders>
              <w:top w:val="nil"/>
              <w:left w:val="nil"/>
              <w:bottom w:val="nil"/>
              <w:right w:val="nil"/>
            </w:tcBorders>
            <w:shd w:val="clear" w:color="000000" w:fill="FFFFFF"/>
            <w:vAlign w:val="center"/>
            <w:hideMark/>
          </w:tcPr>
          <w:p w14:paraId="2F7BC454"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0.099 (0.093 - 0.105)</w:t>
            </w:r>
          </w:p>
        </w:tc>
        <w:tc>
          <w:tcPr>
            <w:tcW w:w="960" w:type="dxa"/>
            <w:tcBorders>
              <w:top w:val="nil"/>
              <w:left w:val="nil"/>
              <w:bottom w:val="nil"/>
              <w:right w:val="nil"/>
            </w:tcBorders>
            <w:shd w:val="clear" w:color="auto" w:fill="auto"/>
            <w:noWrap/>
            <w:vAlign w:val="bottom"/>
            <w:hideMark/>
          </w:tcPr>
          <w:p w14:paraId="3A279FB6"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0.093</w:t>
            </w:r>
          </w:p>
        </w:tc>
      </w:tr>
      <w:tr w:rsidR="00AE52A4" w:rsidRPr="00AE52A4" w14:paraId="15C99D86" w14:textId="77777777" w:rsidTr="00AE52A4">
        <w:trPr>
          <w:trHeight w:val="510"/>
        </w:trPr>
        <w:tc>
          <w:tcPr>
            <w:tcW w:w="1836" w:type="dxa"/>
            <w:tcBorders>
              <w:top w:val="nil"/>
              <w:left w:val="nil"/>
              <w:bottom w:val="nil"/>
              <w:right w:val="nil"/>
            </w:tcBorders>
            <w:shd w:val="clear" w:color="000000" w:fill="FFFFFF"/>
            <w:vAlign w:val="center"/>
            <w:hideMark/>
          </w:tcPr>
          <w:p w14:paraId="75232219" w14:textId="77777777" w:rsidR="00BD409A" w:rsidRPr="00AE52A4" w:rsidRDefault="00BD409A" w:rsidP="00AE52A4">
            <w:pPr>
              <w:spacing w:after="0" w:line="240" w:lineRule="auto"/>
              <w:rPr>
                <w:rFonts w:ascii="Arial" w:eastAsia="Times New Roman" w:hAnsi="Arial" w:cs="Arial"/>
                <w:sz w:val="24"/>
                <w:szCs w:val="24"/>
              </w:rPr>
            </w:pPr>
            <w:r w:rsidRPr="00AE52A4">
              <w:rPr>
                <w:rFonts w:ascii="Arial" w:eastAsia="Times New Roman" w:hAnsi="Arial" w:cs="Arial"/>
                <w:sz w:val="24"/>
                <w:szCs w:val="24"/>
              </w:rPr>
              <w:t xml:space="preserve">II. Dos </w:t>
            </w:r>
            <w:proofErr w:type="spellStart"/>
            <w:r w:rsidRPr="00AE52A4">
              <w:rPr>
                <w:rFonts w:ascii="Arial" w:eastAsia="Times New Roman" w:hAnsi="Arial" w:cs="Arial"/>
                <w:sz w:val="24"/>
                <w:szCs w:val="24"/>
              </w:rPr>
              <w:t>factores</w:t>
            </w:r>
            <w:proofErr w:type="spellEnd"/>
            <w:r w:rsidRPr="00AE52A4">
              <w:rPr>
                <w:rFonts w:ascii="Arial" w:eastAsia="Times New Roman" w:hAnsi="Arial" w:cs="Arial"/>
                <w:sz w:val="24"/>
                <w:szCs w:val="24"/>
              </w:rPr>
              <w:t xml:space="preserve"> </w:t>
            </w:r>
            <w:proofErr w:type="spellStart"/>
            <w:r w:rsidRPr="00AE52A4">
              <w:rPr>
                <w:rFonts w:ascii="Arial" w:eastAsia="Times New Roman" w:hAnsi="Arial" w:cs="Arial"/>
                <w:sz w:val="24"/>
                <w:szCs w:val="24"/>
              </w:rPr>
              <w:t>correlacionados</w:t>
            </w:r>
            <w:proofErr w:type="spellEnd"/>
          </w:p>
        </w:tc>
        <w:tc>
          <w:tcPr>
            <w:tcW w:w="1101" w:type="dxa"/>
            <w:tcBorders>
              <w:top w:val="nil"/>
              <w:left w:val="nil"/>
              <w:bottom w:val="nil"/>
              <w:right w:val="nil"/>
            </w:tcBorders>
            <w:shd w:val="clear" w:color="000000" w:fill="FFFFFF"/>
            <w:vAlign w:val="center"/>
            <w:hideMark/>
          </w:tcPr>
          <w:p w14:paraId="5FE01CCE"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284.966*</w:t>
            </w:r>
          </w:p>
        </w:tc>
        <w:tc>
          <w:tcPr>
            <w:tcW w:w="870" w:type="dxa"/>
            <w:tcBorders>
              <w:top w:val="nil"/>
              <w:left w:val="nil"/>
              <w:bottom w:val="nil"/>
              <w:right w:val="nil"/>
            </w:tcBorders>
            <w:shd w:val="clear" w:color="000000" w:fill="FFFFFF"/>
            <w:vAlign w:val="center"/>
            <w:hideMark/>
          </w:tcPr>
          <w:p w14:paraId="33BDF144"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62</w:t>
            </w:r>
          </w:p>
        </w:tc>
        <w:tc>
          <w:tcPr>
            <w:tcW w:w="924" w:type="dxa"/>
            <w:tcBorders>
              <w:top w:val="nil"/>
              <w:left w:val="nil"/>
              <w:bottom w:val="nil"/>
              <w:right w:val="nil"/>
            </w:tcBorders>
            <w:shd w:val="clear" w:color="000000" w:fill="FFFFFF"/>
            <w:vAlign w:val="center"/>
            <w:hideMark/>
          </w:tcPr>
          <w:p w14:paraId="18DD7CCC"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0.927</w:t>
            </w:r>
          </w:p>
        </w:tc>
        <w:tc>
          <w:tcPr>
            <w:tcW w:w="924" w:type="dxa"/>
            <w:tcBorders>
              <w:top w:val="nil"/>
              <w:left w:val="nil"/>
              <w:bottom w:val="nil"/>
              <w:right w:val="nil"/>
            </w:tcBorders>
            <w:shd w:val="clear" w:color="000000" w:fill="FFFFFF"/>
            <w:vAlign w:val="center"/>
            <w:hideMark/>
          </w:tcPr>
          <w:p w14:paraId="04094F57"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0.908</w:t>
            </w:r>
          </w:p>
        </w:tc>
        <w:tc>
          <w:tcPr>
            <w:tcW w:w="2425" w:type="dxa"/>
            <w:tcBorders>
              <w:top w:val="nil"/>
              <w:left w:val="nil"/>
              <w:bottom w:val="nil"/>
              <w:right w:val="nil"/>
            </w:tcBorders>
            <w:shd w:val="clear" w:color="000000" w:fill="FFFFFF"/>
            <w:vAlign w:val="center"/>
            <w:hideMark/>
          </w:tcPr>
          <w:p w14:paraId="74357D0A"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0.052 (0.046 - 0.058)</w:t>
            </w:r>
          </w:p>
        </w:tc>
        <w:tc>
          <w:tcPr>
            <w:tcW w:w="960" w:type="dxa"/>
            <w:tcBorders>
              <w:top w:val="nil"/>
              <w:left w:val="nil"/>
              <w:bottom w:val="nil"/>
              <w:right w:val="nil"/>
            </w:tcBorders>
            <w:shd w:val="clear" w:color="auto" w:fill="auto"/>
            <w:noWrap/>
            <w:vAlign w:val="bottom"/>
            <w:hideMark/>
          </w:tcPr>
          <w:p w14:paraId="430AF0ED"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0.042</w:t>
            </w:r>
          </w:p>
        </w:tc>
      </w:tr>
      <w:tr w:rsidR="00AE52A4" w:rsidRPr="00AE52A4" w14:paraId="348158BD" w14:textId="77777777" w:rsidTr="00AE52A4">
        <w:trPr>
          <w:trHeight w:val="300"/>
        </w:trPr>
        <w:tc>
          <w:tcPr>
            <w:tcW w:w="1836" w:type="dxa"/>
            <w:tcBorders>
              <w:top w:val="nil"/>
              <w:left w:val="nil"/>
              <w:bottom w:val="single" w:sz="4" w:space="0" w:color="auto"/>
              <w:right w:val="nil"/>
            </w:tcBorders>
            <w:shd w:val="clear" w:color="000000" w:fill="FFFFFF"/>
            <w:vAlign w:val="center"/>
            <w:hideMark/>
          </w:tcPr>
          <w:p w14:paraId="72ACE6F5" w14:textId="77777777" w:rsidR="00BD409A" w:rsidRPr="00AE52A4" w:rsidRDefault="00BD409A" w:rsidP="00AE52A4">
            <w:pPr>
              <w:spacing w:after="0" w:line="240" w:lineRule="auto"/>
              <w:rPr>
                <w:rFonts w:ascii="Arial" w:eastAsia="Times New Roman" w:hAnsi="Arial" w:cs="Arial"/>
                <w:sz w:val="24"/>
                <w:szCs w:val="24"/>
              </w:rPr>
            </w:pPr>
            <w:r w:rsidRPr="00AE52A4">
              <w:rPr>
                <w:rFonts w:ascii="Arial" w:eastAsia="Times New Roman" w:hAnsi="Arial" w:cs="Arial"/>
                <w:sz w:val="24"/>
                <w:szCs w:val="24"/>
              </w:rPr>
              <w:t>III. Bifactor</w:t>
            </w:r>
          </w:p>
        </w:tc>
        <w:tc>
          <w:tcPr>
            <w:tcW w:w="1101" w:type="dxa"/>
            <w:tcBorders>
              <w:top w:val="nil"/>
              <w:left w:val="nil"/>
              <w:bottom w:val="single" w:sz="4" w:space="0" w:color="auto"/>
              <w:right w:val="nil"/>
            </w:tcBorders>
            <w:shd w:val="clear" w:color="000000" w:fill="FFFFFF"/>
            <w:vAlign w:val="center"/>
            <w:hideMark/>
          </w:tcPr>
          <w:p w14:paraId="6E253791"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321.438*</w:t>
            </w:r>
          </w:p>
        </w:tc>
        <w:tc>
          <w:tcPr>
            <w:tcW w:w="870" w:type="dxa"/>
            <w:tcBorders>
              <w:top w:val="nil"/>
              <w:left w:val="nil"/>
              <w:bottom w:val="single" w:sz="4" w:space="0" w:color="auto"/>
              <w:right w:val="nil"/>
            </w:tcBorders>
            <w:shd w:val="clear" w:color="000000" w:fill="FFFFFF"/>
            <w:vAlign w:val="center"/>
            <w:hideMark/>
          </w:tcPr>
          <w:p w14:paraId="24D1AB8A"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52</w:t>
            </w:r>
          </w:p>
        </w:tc>
        <w:tc>
          <w:tcPr>
            <w:tcW w:w="924" w:type="dxa"/>
            <w:tcBorders>
              <w:top w:val="nil"/>
              <w:left w:val="nil"/>
              <w:bottom w:val="single" w:sz="4" w:space="0" w:color="auto"/>
              <w:right w:val="nil"/>
            </w:tcBorders>
            <w:shd w:val="clear" w:color="000000" w:fill="FFFFFF"/>
            <w:vAlign w:val="center"/>
            <w:hideMark/>
          </w:tcPr>
          <w:p w14:paraId="1AAE9C56"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0.912</w:t>
            </w:r>
          </w:p>
        </w:tc>
        <w:tc>
          <w:tcPr>
            <w:tcW w:w="924" w:type="dxa"/>
            <w:tcBorders>
              <w:top w:val="nil"/>
              <w:left w:val="nil"/>
              <w:bottom w:val="single" w:sz="4" w:space="0" w:color="auto"/>
              <w:right w:val="nil"/>
            </w:tcBorders>
            <w:shd w:val="clear" w:color="000000" w:fill="FFFFFF"/>
            <w:vAlign w:val="center"/>
            <w:hideMark/>
          </w:tcPr>
          <w:p w14:paraId="37B0427E"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0.868</w:t>
            </w:r>
          </w:p>
        </w:tc>
        <w:tc>
          <w:tcPr>
            <w:tcW w:w="2425" w:type="dxa"/>
            <w:tcBorders>
              <w:top w:val="nil"/>
              <w:left w:val="nil"/>
              <w:bottom w:val="single" w:sz="4" w:space="0" w:color="auto"/>
              <w:right w:val="nil"/>
            </w:tcBorders>
            <w:shd w:val="clear" w:color="000000" w:fill="FFFFFF"/>
            <w:vAlign w:val="center"/>
            <w:hideMark/>
          </w:tcPr>
          <w:p w14:paraId="7FF3BEE6"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0.063 (0.056 -0.069)</w:t>
            </w:r>
          </w:p>
        </w:tc>
        <w:tc>
          <w:tcPr>
            <w:tcW w:w="960" w:type="dxa"/>
            <w:tcBorders>
              <w:top w:val="nil"/>
              <w:left w:val="nil"/>
              <w:bottom w:val="single" w:sz="4" w:space="0" w:color="auto"/>
              <w:right w:val="nil"/>
            </w:tcBorders>
            <w:shd w:val="clear" w:color="auto" w:fill="auto"/>
            <w:noWrap/>
            <w:vAlign w:val="bottom"/>
            <w:hideMark/>
          </w:tcPr>
          <w:p w14:paraId="44EF89AC"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0.038</w:t>
            </w:r>
          </w:p>
        </w:tc>
      </w:tr>
    </w:tbl>
    <w:p w14:paraId="6136088D" w14:textId="77777777" w:rsidR="00BD409A" w:rsidRPr="00AE52A4" w:rsidRDefault="00BD409A" w:rsidP="00731076">
      <w:pPr>
        <w:spacing w:line="240" w:lineRule="auto"/>
        <w:ind w:firstLine="708"/>
        <w:jc w:val="both"/>
        <w:rPr>
          <w:rFonts w:ascii="Arial" w:eastAsia="Arial" w:hAnsi="Arial" w:cs="Arial"/>
          <w:i/>
          <w:sz w:val="24"/>
          <w:szCs w:val="24"/>
        </w:rPr>
      </w:pPr>
    </w:p>
    <w:p w14:paraId="70F2E468" w14:textId="77777777" w:rsidR="00BD409A" w:rsidRPr="00AE52A4" w:rsidRDefault="00BD409A" w:rsidP="00731076">
      <w:pPr>
        <w:spacing w:line="240" w:lineRule="auto"/>
        <w:ind w:firstLine="708"/>
        <w:jc w:val="both"/>
        <w:rPr>
          <w:rFonts w:ascii="Arial" w:eastAsia="Arial" w:hAnsi="Arial" w:cs="Arial"/>
          <w:sz w:val="24"/>
          <w:szCs w:val="24"/>
          <w:lang w:val="es-UY"/>
        </w:rPr>
      </w:pPr>
      <w:r w:rsidRPr="00AE52A4">
        <w:rPr>
          <w:rFonts w:ascii="Arial" w:eastAsia="Arial" w:hAnsi="Arial" w:cs="Arial"/>
          <w:sz w:val="24"/>
          <w:szCs w:val="24"/>
          <w:lang w:val="es-UY"/>
        </w:rPr>
        <w:t xml:space="preserve">En la Tabla 3 se presentan las cargas factoriales del modelo de dos factores correlacionados y modelo bifactorial. En el primer modelo todas las saturaciones son mayores a .40 (con la excepción del ítem 6 que presenta un </w:t>
      </w:r>
      <w:r w:rsidRPr="00AE52A4">
        <w:rPr>
          <w:rFonts w:ascii="Arial" w:eastAsia="Arial" w:hAnsi="Arial" w:cs="Arial"/>
          <w:sz w:val="24"/>
          <w:szCs w:val="24"/>
        </w:rPr>
        <w:t>β</w:t>
      </w:r>
      <w:r w:rsidRPr="00AE52A4">
        <w:rPr>
          <w:rFonts w:ascii="Arial" w:eastAsia="Arial" w:hAnsi="Arial" w:cs="Arial"/>
          <w:sz w:val="24"/>
          <w:szCs w:val="24"/>
          <w:lang w:val="es-UY"/>
        </w:rPr>
        <w:t xml:space="preserve"> de .39), positivas y estadísticamente significativas. La puntuación factorial de las subescalas presenta una correlación negativa (r = -.40, p &lt;.001). En el modelo bifactorial, el factor general presenta saturaciones estadísticamente significativas, pero con saturaciones menores a .30.  En el factor específico referido a CCF-I se observan cargas mayores a .40, estadísticamente significativas y en la valencia esperada. En CCF-F todas las cargas son </w:t>
      </w:r>
      <w:r w:rsidRPr="00AE52A4">
        <w:rPr>
          <w:rFonts w:ascii="Arial" w:eastAsia="Arial" w:hAnsi="Arial" w:cs="Arial"/>
          <w:sz w:val="24"/>
          <w:szCs w:val="24"/>
          <w:highlight w:val="white"/>
          <w:lang w:val="es-UY"/>
        </w:rPr>
        <w:t>&lt;</w:t>
      </w:r>
      <w:r w:rsidRPr="00AE52A4">
        <w:rPr>
          <w:rFonts w:ascii="Arial" w:eastAsia="Arial" w:hAnsi="Arial" w:cs="Arial"/>
          <w:sz w:val="24"/>
          <w:szCs w:val="24"/>
          <w:lang w:val="es-UY"/>
        </w:rPr>
        <w:t xml:space="preserve"> .40 (con la excepción del ítem 13). Además, cuatro saturaciones no son significativas.</w:t>
      </w:r>
    </w:p>
    <w:p w14:paraId="31316C28" w14:textId="77777777" w:rsidR="00BD409A" w:rsidRPr="00AE52A4" w:rsidRDefault="00BD409A" w:rsidP="00731076">
      <w:pPr>
        <w:spacing w:line="240" w:lineRule="auto"/>
        <w:ind w:firstLine="708"/>
        <w:jc w:val="both"/>
        <w:rPr>
          <w:rFonts w:ascii="Arial" w:eastAsia="Arial" w:hAnsi="Arial" w:cs="Arial"/>
          <w:sz w:val="24"/>
          <w:szCs w:val="24"/>
          <w:lang w:val="es-UY"/>
        </w:rPr>
      </w:pPr>
    </w:p>
    <w:p w14:paraId="500F1678" w14:textId="77777777" w:rsidR="00BD409A" w:rsidRPr="00AE52A4" w:rsidRDefault="00BD409A" w:rsidP="00731076">
      <w:pPr>
        <w:spacing w:line="240" w:lineRule="auto"/>
        <w:rPr>
          <w:rFonts w:ascii="Arial" w:eastAsia="Arial" w:hAnsi="Arial" w:cs="Arial"/>
          <w:i/>
          <w:sz w:val="24"/>
          <w:szCs w:val="24"/>
          <w:lang w:val="es-UY"/>
        </w:rPr>
      </w:pPr>
      <w:r w:rsidRPr="00AE52A4">
        <w:rPr>
          <w:rFonts w:ascii="Arial" w:eastAsia="Arial" w:hAnsi="Arial" w:cs="Arial"/>
          <w:i/>
          <w:sz w:val="24"/>
          <w:szCs w:val="24"/>
          <w:lang w:val="es-UY"/>
        </w:rPr>
        <w:br w:type="page"/>
      </w:r>
    </w:p>
    <w:p w14:paraId="6DDDCE8F" w14:textId="77777777" w:rsidR="00BD409A" w:rsidRPr="00AE52A4" w:rsidRDefault="00BD409A" w:rsidP="00731076">
      <w:pPr>
        <w:spacing w:line="240" w:lineRule="auto"/>
        <w:jc w:val="both"/>
        <w:rPr>
          <w:rFonts w:ascii="Arial" w:eastAsia="Arial" w:hAnsi="Arial" w:cs="Arial"/>
          <w:iCs/>
          <w:sz w:val="24"/>
          <w:szCs w:val="24"/>
          <w:lang w:val="es-UY"/>
        </w:rPr>
      </w:pPr>
      <w:r w:rsidRPr="00AE52A4">
        <w:rPr>
          <w:rFonts w:ascii="Arial" w:eastAsia="Arial" w:hAnsi="Arial" w:cs="Arial"/>
          <w:iCs/>
          <w:sz w:val="24"/>
          <w:szCs w:val="24"/>
          <w:lang w:val="es-UY"/>
        </w:rPr>
        <w:lastRenderedPageBreak/>
        <w:t xml:space="preserve">Tabla </w:t>
      </w:r>
      <w:r w:rsidR="00731076" w:rsidRPr="00AE52A4">
        <w:rPr>
          <w:rFonts w:ascii="Arial" w:eastAsia="Arial" w:hAnsi="Arial" w:cs="Arial"/>
          <w:iCs/>
          <w:sz w:val="24"/>
          <w:szCs w:val="24"/>
          <w:lang w:val="es-UY"/>
        </w:rPr>
        <w:t>3</w:t>
      </w:r>
    </w:p>
    <w:p w14:paraId="714A4366" w14:textId="77777777" w:rsidR="00BD409A" w:rsidRPr="00AE52A4" w:rsidRDefault="00BD409A" w:rsidP="00731076">
      <w:pPr>
        <w:spacing w:line="240" w:lineRule="auto"/>
        <w:jc w:val="both"/>
        <w:rPr>
          <w:rFonts w:ascii="Arial" w:eastAsia="Arial" w:hAnsi="Arial" w:cs="Arial"/>
          <w:sz w:val="24"/>
          <w:szCs w:val="24"/>
          <w:lang w:val="es-UY"/>
        </w:rPr>
      </w:pPr>
      <w:r w:rsidRPr="00AE52A4">
        <w:rPr>
          <w:rFonts w:ascii="Arial" w:eastAsia="Arial" w:hAnsi="Arial" w:cs="Arial"/>
          <w:i/>
          <w:sz w:val="24"/>
          <w:szCs w:val="24"/>
          <w:lang w:val="es-UY"/>
        </w:rPr>
        <w:t xml:space="preserve">Cargas factoriales de los dos modelos testeados </w:t>
      </w:r>
    </w:p>
    <w:tbl>
      <w:tblPr>
        <w:tblW w:w="0" w:type="auto"/>
        <w:tblCellMar>
          <w:left w:w="70" w:type="dxa"/>
          <w:right w:w="70" w:type="dxa"/>
        </w:tblCellMar>
        <w:tblLook w:val="04A0" w:firstRow="1" w:lastRow="0" w:firstColumn="1" w:lastColumn="0" w:noHBand="0" w:noVBand="1"/>
      </w:tblPr>
      <w:tblGrid>
        <w:gridCol w:w="848"/>
        <w:gridCol w:w="1346"/>
        <w:gridCol w:w="419"/>
        <w:gridCol w:w="1475"/>
        <w:gridCol w:w="250"/>
        <w:gridCol w:w="2058"/>
        <w:gridCol w:w="250"/>
        <w:gridCol w:w="969"/>
        <w:gridCol w:w="250"/>
        <w:gridCol w:w="1161"/>
      </w:tblGrid>
      <w:tr w:rsidR="00AE52A4" w:rsidRPr="00AE52A4" w14:paraId="389A3B9E" w14:textId="77777777" w:rsidTr="00731076">
        <w:trPr>
          <w:trHeight w:val="300"/>
        </w:trPr>
        <w:tc>
          <w:tcPr>
            <w:tcW w:w="0" w:type="auto"/>
            <w:vMerge w:val="restart"/>
            <w:tcBorders>
              <w:top w:val="single" w:sz="4" w:space="0" w:color="auto"/>
              <w:left w:val="nil"/>
              <w:bottom w:val="single" w:sz="4" w:space="0" w:color="000000"/>
              <w:right w:val="nil"/>
            </w:tcBorders>
            <w:shd w:val="clear" w:color="auto" w:fill="auto"/>
            <w:noWrap/>
            <w:vAlign w:val="bottom"/>
            <w:hideMark/>
          </w:tcPr>
          <w:p w14:paraId="49089F35" w14:textId="77777777" w:rsidR="00BD409A" w:rsidRPr="00AE52A4" w:rsidRDefault="00BD409A" w:rsidP="00AE52A4">
            <w:pPr>
              <w:spacing w:after="0" w:line="240" w:lineRule="auto"/>
              <w:rPr>
                <w:rFonts w:ascii="Arial" w:eastAsia="Times New Roman" w:hAnsi="Arial" w:cs="Arial"/>
                <w:sz w:val="24"/>
                <w:szCs w:val="24"/>
              </w:rPr>
            </w:pPr>
            <w:bookmarkStart w:id="1" w:name="_Hlk35283422"/>
            <w:r w:rsidRPr="00AE52A4">
              <w:rPr>
                <w:rFonts w:ascii="Arial" w:eastAsia="Times New Roman" w:hAnsi="Arial" w:cs="Arial"/>
                <w:sz w:val="24"/>
                <w:szCs w:val="24"/>
                <w:lang w:val="es-UY"/>
              </w:rPr>
              <w:t> </w:t>
            </w:r>
            <w:proofErr w:type="spellStart"/>
            <w:r w:rsidRPr="00AE52A4">
              <w:rPr>
                <w:rFonts w:ascii="Arial" w:eastAsia="Times New Roman" w:hAnsi="Arial" w:cs="Arial"/>
                <w:sz w:val="24"/>
                <w:szCs w:val="24"/>
              </w:rPr>
              <w:t>Ítem</w:t>
            </w:r>
            <w:proofErr w:type="spellEnd"/>
          </w:p>
        </w:tc>
        <w:tc>
          <w:tcPr>
            <w:tcW w:w="0" w:type="auto"/>
            <w:gridSpan w:val="3"/>
            <w:tcBorders>
              <w:top w:val="single" w:sz="4" w:space="0" w:color="auto"/>
              <w:left w:val="nil"/>
              <w:bottom w:val="single" w:sz="4" w:space="0" w:color="auto"/>
              <w:right w:val="nil"/>
            </w:tcBorders>
            <w:shd w:val="clear" w:color="auto" w:fill="auto"/>
            <w:noWrap/>
            <w:vAlign w:val="bottom"/>
            <w:hideMark/>
          </w:tcPr>
          <w:p w14:paraId="6AD09788" w14:textId="77777777" w:rsidR="00BD409A" w:rsidRPr="00AE52A4" w:rsidRDefault="00BD409A" w:rsidP="00AE52A4">
            <w:pPr>
              <w:spacing w:after="0" w:line="240" w:lineRule="auto"/>
              <w:jc w:val="center"/>
              <w:rPr>
                <w:rFonts w:ascii="Arial" w:eastAsia="Times New Roman" w:hAnsi="Arial" w:cs="Arial"/>
                <w:sz w:val="24"/>
                <w:szCs w:val="24"/>
              </w:rPr>
            </w:pPr>
            <w:proofErr w:type="spellStart"/>
            <w:r w:rsidRPr="00AE52A4">
              <w:rPr>
                <w:rFonts w:ascii="Arial" w:eastAsia="Times New Roman" w:hAnsi="Arial" w:cs="Arial"/>
                <w:sz w:val="24"/>
                <w:szCs w:val="24"/>
              </w:rPr>
              <w:t>Modelo</w:t>
            </w:r>
            <w:proofErr w:type="spellEnd"/>
            <w:r w:rsidRPr="00AE52A4">
              <w:rPr>
                <w:rFonts w:ascii="Arial" w:eastAsia="Times New Roman" w:hAnsi="Arial" w:cs="Arial"/>
                <w:sz w:val="24"/>
                <w:szCs w:val="24"/>
              </w:rPr>
              <w:t xml:space="preserve"> de dos </w:t>
            </w:r>
            <w:proofErr w:type="spellStart"/>
            <w:r w:rsidRPr="00AE52A4">
              <w:rPr>
                <w:rFonts w:ascii="Arial" w:eastAsia="Times New Roman" w:hAnsi="Arial" w:cs="Arial"/>
                <w:sz w:val="24"/>
                <w:szCs w:val="24"/>
              </w:rPr>
              <w:t>factores</w:t>
            </w:r>
            <w:proofErr w:type="spellEnd"/>
          </w:p>
        </w:tc>
        <w:tc>
          <w:tcPr>
            <w:tcW w:w="0" w:type="auto"/>
            <w:tcBorders>
              <w:top w:val="single" w:sz="4" w:space="0" w:color="auto"/>
              <w:left w:val="nil"/>
              <w:bottom w:val="nil"/>
              <w:right w:val="nil"/>
            </w:tcBorders>
            <w:shd w:val="clear" w:color="auto" w:fill="auto"/>
            <w:noWrap/>
            <w:vAlign w:val="bottom"/>
            <w:hideMark/>
          </w:tcPr>
          <w:p w14:paraId="5F523018"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6F0BF3F0" w14:textId="77777777" w:rsidR="00BD409A" w:rsidRPr="00AE52A4" w:rsidRDefault="00BD409A" w:rsidP="00AE52A4">
            <w:pPr>
              <w:spacing w:after="0" w:line="240" w:lineRule="auto"/>
              <w:jc w:val="center"/>
              <w:rPr>
                <w:rFonts w:ascii="Arial" w:eastAsia="Times New Roman" w:hAnsi="Arial" w:cs="Arial"/>
                <w:sz w:val="24"/>
                <w:szCs w:val="24"/>
              </w:rPr>
            </w:pPr>
            <w:proofErr w:type="spellStart"/>
            <w:r w:rsidRPr="00AE52A4">
              <w:rPr>
                <w:rFonts w:ascii="Arial" w:eastAsia="Times New Roman" w:hAnsi="Arial" w:cs="Arial"/>
                <w:sz w:val="24"/>
                <w:szCs w:val="24"/>
              </w:rPr>
              <w:t>Modelo</w:t>
            </w:r>
            <w:proofErr w:type="spellEnd"/>
            <w:r w:rsidRPr="00AE52A4">
              <w:rPr>
                <w:rFonts w:ascii="Arial" w:eastAsia="Times New Roman" w:hAnsi="Arial" w:cs="Arial"/>
                <w:sz w:val="24"/>
                <w:szCs w:val="24"/>
              </w:rPr>
              <w:t xml:space="preserve"> bifactorial</w:t>
            </w:r>
          </w:p>
        </w:tc>
      </w:tr>
      <w:tr w:rsidR="00AE52A4" w:rsidRPr="00AE52A4" w14:paraId="25AB63D2" w14:textId="77777777" w:rsidTr="00731076">
        <w:trPr>
          <w:trHeight w:val="300"/>
        </w:trPr>
        <w:tc>
          <w:tcPr>
            <w:tcW w:w="0" w:type="auto"/>
            <w:vMerge/>
            <w:tcBorders>
              <w:top w:val="single" w:sz="4" w:space="0" w:color="auto"/>
              <w:left w:val="nil"/>
              <w:bottom w:val="single" w:sz="4" w:space="0" w:color="000000"/>
              <w:right w:val="nil"/>
            </w:tcBorders>
            <w:shd w:val="clear" w:color="auto" w:fill="auto"/>
            <w:vAlign w:val="center"/>
            <w:hideMark/>
          </w:tcPr>
          <w:p w14:paraId="0FEDF8F0" w14:textId="77777777" w:rsidR="00BD409A" w:rsidRPr="00AE52A4" w:rsidRDefault="00BD409A" w:rsidP="00AE52A4">
            <w:pPr>
              <w:spacing w:after="0" w:line="240" w:lineRule="auto"/>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noWrap/>
            <w:vAlign w:val="bottom"/>
            <w:hideMark/>
          </w:tcPr>
          <w:p w14:paraId="3773CF2D"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CCF-I</w:t>
            </w:r>
          </w:p>
        </w:tc>
        <w:tc>
          <w:tcPr>
            <w:tcW w:w="0" w:type="auto"/>
            <w:tcBorders>
              <w:top w:val="nil"/>
              <w:left w:val="nil"/>
              <w:bottom w:val="nil"/>
              <w:right w:val="nil"/>
            </w:tcBorders>
            <w:shd w:val="clear" w:color="auto" w:fill="auto"/>
            <w:noWrap/>
            <w:vAlign w:val="bottom"/>
            <w:hideMark/>
          </w:tcPr>
          <w:p w14:paraId="70DFCFD4"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noWrap/>
            <w:vAlign w:val="bottom"/>
            <w:hideMark/>
          </w:tcPr>
          <w:p w14:paraId="5534FA17"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CCF-F</w:t>
            </w:r>
          </w:p>
        </w:tc>
        <w:tc>
          <w:tcPr>
            <w:tcW w:w="0" w:type="auto"/>
            <w:tcBorders>
              <w:top w:val="nil"/>
              <w:left w:val="nil"/>
              <w:bottom w:val="nil"/>
              <w:right w:val="nil"/>
            </w:tcBorders>
            <w:shd w:val="clear" w:color="auto" w:fill="auto"/>
            <w:noWrap/>
            <w:vAlign w:val="bottom"/>
            <w:hideMark/>
          </w:tcPr>
          <w:p w14:paraId="6C6B2AC8"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noWrap/>
            <w:vAlign w:val="bottom"/>
            <w:hideMark/>
          </w:tcPr>
          <w:p w14:paraId="6655201B"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Factor General</w:t>
            </w:r>
          </w:p>
        </w:tc>
        <w:tc>
          <w:tcPr>
            <w:tcW w:w="0" w:type="auto"/>
            <w:tcBorders>
              <w:top w:val="nil"/>
              <w:left w:val="nil"/>
              <w:bottom w:val="nil"/>
              <w:right w:val="nil"/>
            </w:tcBorders>
            <w:shd w:val="clear" w:color="auto" w:fill="auto"/>
            <w:noWrap/>
            <w:vAlign w:val="bottom"/>
            <w:hideMark/>
          </w:tcPr>
          <w:p w14:paraId="6ABDA9E9"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noWrap/>
            <w:vAlign w:val="bottom"/>
            <w:hideMark/>
          </w:tcPr>
          <w:p w14:paraId="092C4463"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CCF-I</w:t>
            </w:r>
          </w:p>
        </w:tc>
        <w:tc>
          <w:tcPr>
            <w:tcW w:w="0" w:type="auto"/>
            <w:tcBorders>
              <w:top w:val="nil"/>
              <w:left w:val="nil"/>
              <w:bottom w:val="nil"/>
              <w:right w:val="nil"/>
            </w:tcBorders>
            <w:shd w:val="clear" w:color="auto" w:fill="auto"/>
            <w:noWrap/>
            <w:vAlign w:val="bottom"/>
            <w:hideMark/>
          </w:tcPr>
          <w:p w14:paraId="02483D4B"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noWrap/>
            <w:vAlign w:val="bottom"/>
            <w:hideMark/>
          </w:tcPr>
          <w:p w14:paraId="286429FC"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CCF-F</w:t>
            </w:r>
          </w:p>
        </w:tc>
      </w:tr>
      <w:tr w:rsidR="00AE52A4" w:rsidRPr="00AE52A4" w14:paraId="219A9CE7" w14:textId="77777777" w:rsidTr="00731076">
        <w:trPr>
          <w:trHeight w:val="300"/>
        </w:trPr>
        <w:tc>
          <w:tcPr>
            <w:tcW w:w="0" w:type="auto"/>
            <w:vMerge/>
            <w:tcBorders>
              <w:top w:val="single" w:sz="4" w:space="0" w:color="auto"/>
              <w:left w:val="nil"/>
              <w:bottom w:val="single" w:sz="4" w:space="0" w:color="000000"/>
              <w:right w:val="nil"/>
            </w:tcBorders>
            <w:shd w:val="clear" w:color="auto" w:fill="auto"/>
            <w:vAlign w:val="center"/>
            <w:hideMark/>
          </w:tcPr>
          <w:p w14:paraId="3B212D68" w14:textId="77777777" w:rsidR="00BD409A" w:rsidRPr="00AE52A4" w:rsidRDefault="00BD409A" w:rsidP="00AE52A4">
            <w:pPr>
              <w:spacing w:after="0" w:line="240" w:lineRule="auto"/>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noWrap/>
            <w:vAlign w:val="bottom"/>
            <w:hideMark/>
          </w:tcPr>
          <w:p w14:paraId="02D7B884" w14:textId="54405C34" w:rsidR="00BD409A" w:rsidRPr="00AE52A4" w:rsidRDefault="001D42A6"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Β</w:t>
            </w:r>
          </w:p>
        </w:tc>
        <w:tc>
          <w:tcPr>
            <w:tcW w:w="0" w:type="auto"/>
            <w:tcBorders>
              <w:top w:val="nil"/>
              <w:left w:val="nil"/>
              <w:bottom w:val="single" w:sz="4" w:space="0" w:color="auto"/>
              <w:right w:val="nil"/>
            </w:tcBorders>
            <w:shd w:val="clear" w:color="auto" w:fill="auto"/>
            <w:noWrap/>
            <w:vAlign w:val="bottom"/>
            <w:hideMark/>
          </w:tcPr>
          <w:p w14:paraId="28CE493E"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w:t>
            </w:r>
          </w:p>
        </w:tc>
        <w:tc>
          <w:tcPr>
            <w:tcW w:w="0" w:type="auto"/>
            <w:tcBorders>
              <w:top w:val="nil"/>
              <w:left w:val="nil"/>
              <w:bottom w:val="single" w:sz="4" w:space="0" w:color="auto"/>
              <w:right w:val="nil"/>
            </w:tcBorders>
            <w:shd w:val="clear" w:color="auto" w:fill="auto"/>
            <w:noWrap/>
            <w:vAlign w:val="bottom"/>
            <w:hideMark/>
          </w:tcPr>
          <w:p w14:paraId="0CDC863A" w14:textId="3EE195F3" w:rsidR="00BD409A" w:rsidRPr="00AE52A4" w:rsidRDefault="003F3725"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β</w:t>
            </w:r>
          </w:p>
        </w:tc>
        <w:tc>
          <w:tcPr>
            <w:tcW w:w="0" w:type="auto"/>
            <w:tcBorders>
              <w:top w:val="nil"/>
              <w:left w:val="nil"/>
              <w:bottom w:val="single" w:sz="4" w:space="0" w:color="auto"/>
              <w:right w:val="nil"/>
            </w:tcBorders>
            <w:shd w:val="clear" w:color="auto" w:fill="auto"/>
            <w:noWrap/>
            <w:vAlign w:val="bottom"/>
            <w:hideMark/>
          </w:tcPr>
          <w:p w14:paraId="03161A1E"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noWrap/>
            <w:vAlign w:val="bottom"/>
            <w:hideMark/>
          </w:tcPr>
          <w:p w14:paraId="01F4A979"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β</w:t>
            </w:r>
          </w:p>
        </w:tc>
        <w:tc>
          <w:tcPr>
            <w:tcW w:w="0" w:type="auto"/>
            <w:tcBorders>
              <w:top w:val="nil"/>
              <w:left w:val="nil"/>
              <w:bottom w:val="single" w:sz="4" w:space="0" w:color="auto"/>
              <w:right w:val="nil"/>
            </w:tcBorders>
            <w:shd w:val="clear" w:color="auto" w:fill="auto"/>
            <w:noWrap/>
            <w:vAlign w:val="bottom"/>
            <w:hideMark/>
          </w:tcPr>
          <w:p w14:paraId="22163FC2"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noWrap/>
            <w:vAlign w:val="bottom"/>
            <w:hideMark/>
          </w:tcPr>
          <w:p w14:paraId="4A98B3D0"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β</w:t>
            </w:r>
          </w:p>
        </w:tc>
        <w:tc>
          <w:tcPr>
            <w:tcW w:w="0" w:type="auto"/>
            <w:tcBorders>
              <w:top w:val="nil"/>
              <w:left w:val="nil"/>
              <w:bottom w:val="single" w:sz="4" w:space="0" w:color="auto"/>
              <w:right w:val="nil"/>
            </w:tcBorders>
            <w:shd w:val="clear" w:color="auto" w:fill="auto"/>
            <w:noWrap/>
            <w:vAlign w:val="bottom"/>
            <w:hideMark/>
          </w:tcPr>
          <w:p w14:paraId="5F37098D"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noWrap/>
            <w:vAlign w:val="bottom"/>
            <w:hideMark/>
          </w:tcPr>
          <w:p w14:paraId="5D766201"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β</w:t>
            </w:r>
          </w:p>
        </w:tc>
      </w:tr>
      <w:tr w:rsidR="00AE52A4" w:rsidRPr="00AE52A4" w14:paraId="41574E82" w14:textId="77777777" w:rsidTr="00731076">
        <w:trPr>
          <w:trHeight w:val="300"/>
        </w:trPr>
        <w:tc>
          <w:tcPr>
            <w:tcW w:w="0" w:type="auto"/>
            <w:tcBorders>
              <w:top w:val="nil"/>
              <w:left w:val="nil"/>
              <w:bottom w:val="nil"/>
              <w:right w:val="nil"/>
            </w:tcBorders>
            <w:shd w:val="clear" w:color="auto" w:fill="auto"/>
            <w:noWrap/>
            <w:vAlign w:val="bottom"/>
            <w:hideMark/>
          </w:tcPr>
          <w:p w14:paraId="438209E8" w14:textId="77777777" w:rsidR="00BD409A" w:rsidRPr="00AE52A4" w:rsidRDefault="00BD409A" w:rsidP="00AE52A4">
            <w:pPr>
              <w:spacing w:after="0" w:line="240" w:lineRule="auto"/>
              <w:rPr>
                <w:rFonts w:ascii="Arial" w:eastAsia="Times New Roman" w:hAnsi="Arial" w:cs="Arial"/>
                <w:sz w:val="24"/>
                <w:szCs w:val="24"/>
              </w:rPr>
            </w:pPr>
            <w:r w:rsidRPr="00AE52A4">
              <w:rPr>
                <w:rFonts w:ascii="Arial" w:eastAsia="Times New Roman" w:hAnsi="Arial" w:cs="Arial"/>
                <w:sz w:val="24"/>
                <w:szCs w:val="24"/>
              </w:rPr>
              <w:t>1</w:t>
            </w:r>
          </w:p>
        </w:tc>
        <w:tc>
          <w:tcPr>
            <w:tcW w:w="0" w:type="auto"/>
            <w:tcBorders>
              <w:top w:val="nil"/>
              <w:left w:val="nil"/>
              <w:bottom w:val="nil"/>
              <w:right w:val="nil"/>
            </w:tcBorders>
            <w:shd w:val="clear" w:color="auto" w:fill="auto"/>
            <w:noWrap/>
            <w:vAlign w:val="bottom"/>
            <w:hideMark/>
          </w:tcPr>
          <w:p w14:paraId="6EC2E7C3"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464225EA"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2B5686F"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0.61</w:t>
            </w:r>
          </w:p>
        </w:tc>
        <w:tc>
          <w:tcPr>
            <w:tcW w:w="0" w:type="auto"/>
            <w:tcBorders>
              <w:top w:val="nil"/>
              <w:left w:val="nil"/>
              <w:bottom w:val="nil"/>
              <w:right w:val="nil"/>
            </w:tcBorders>
            <w:shd w:val="clear" w:color="auto" w:fill="auto"/>
            <w:noWrap/>
            <w:vAlign w:val="bottom"/>
            <w:hideMark/>
          </w:tcPr>
          <w:p w14:paraId="34744FC7"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D255D08"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0.59</w:t>
            </w:r>
          </w:p>
        </w:tc>
        <w:tc>
          <w:tcPr>
            <w:tcW w:w="0" w:type="auto"/>
            <w:tcBorders>
              <w:top w:val="nil"/>
              <w:left w:val="nil"/>
              <w:bottom w:val="nil"/>
              <w:right w:val="nil"/>
            </w:tcBorders>
            <w:shd w:val="clear" w:color="auto" w:fill="auto"/>
            <w:noWrap/>
            <w:vAlign w:val="bottom"/>
            <w:hideMark/>
          </w:tcPr>
          <w:p w14:paraId="4D6EF0A5"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412C3C8"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4EEDA154"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D52ECE9"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xml:space="preserve">-0.13 </w:t>
            </w:r>
            <w:r w:rsidRPr="00AE52A4">
              <w:rPr>
                <w:rFonts w:ascii="Arial" w:eastAsia="Times New Roman" w:hAnsi="Arial" w:cs="Arial"/>
                <w:sz w:val="24"/>
                <w:szCs w:val="24"/>
                <w:vertAlign w:val="superscript"/>
              </w:rPr>
              <w:t>(1)</w:t>
            </w:r>
          </w:p>
        </w:tc>
      </w:tr>
      <w:tr w:rsidR="00AE52A4" w:rsidRPr="00AE52A4" w14:paraId="40903AA8" w14:textId="77777777" w:rsidTr="00731076">
        <w:trPr>
          <w:trHeight w:val="300"/>
        </w:trPr>
        <w:tc>
          <w:tcPr>
            <w:tcW w:w="0" w:type="auto"/>
            <w:tcBorders>
              <w:top w:val="nil"/>
              <w:left w:val="nil"/>
              <w:bottom w:val="nil"/>
              <w:right w:val="nil"/>
            </w:tcBorders>
            <w:shd w:val="clear" w:color="auto" w:fill="auto"/>
            <w:noWrap/>
            <w:vAlign w:val="bottom"/>
            <w:hideMark/>
          </w:tcPr>
          <w:p w14:paraId="4D6B9CFB" w14:textId="77777777" w:rsidR="00BD409A" w:rsidRPr="00AE52A4" w:rsidRDefault="00BD409A" w:rsidP="00AE52A4">
            <w:pPr>
              <w:spacing w:after="0" w:line="240" w:lineRule="auto"/>
              <w:rPr>
                <w:rFonts w:ascii="Arial" w:eastAsia="Times New Roman" w:hAnsi="Arial" w:cs="Arial"/>
                <w:sz w:val="24"/>
                <w:szCs w:val="24"/>
              </w:rPr>
            </w:pPr>
            <w:r w:rsidRPr="00AE52A4">
              <w:rPr>
                <w:rFonts w:ascii="Arial" w:eastAsia="Times New Roman" w:hAnsi="Arial" w:cs="Arial"/>
                <w:sz w:val="24"/>
                <w:szCs w:val="24"/>
              </w:rPr>
              <w:t>2</w:t>
            </w:r>
          </w:p>
        </w:tc>
        <w:tc>
          <w:tcPr>
            <w:tcW w:w="0" w:type="auto"/>
            <w:tcBorders>
              <w:top w:val="nil"/>
              <w:left w:val="nil"/>
              <w:bottom w:val="nil"/>
              <w:right w:val="nil"/>
            </w:tcBorders>
            <w:shd w:val="clear" w:color="auto" w:fill="auto"/>
            <w:noWrap/>
            <w:vAlign w:val="bottom"/>
            <w:hideMark/>
          </w:tcPr>
          <w:p w14:paraId="34721529"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7A2A6C8"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5E4F4D0"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0.49</w:t>
            </w:r>
          </w:p>
        </w:tc>
        <w:tc>
          <w:tcPr>
            <w:tcW w:w="0" w:type="auto"/>
            <w:tcBorders>
              <w:top w:val="nil"/>
              <w:left w:val="nil"/>
              <w:bottom w:val="nil"/>
              <w:right w:val="nil"/>
            </w:tcBorders>
            <w:shd w:val="clear" w:color="auto" w:fill="auto"/>
            <w:noWrap/>
            <w:vAlign w:val="bottom"/>
            <w:hideMark/>
          </w:tcPr>
          <w:p w14:paraId="4B90A535"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71EAD56"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0.47</w:t>
            </w:r>
          </w:p>
        </w:tc>
        <w:tc>
          <w:tcPr>
            <w:tcW w:w="0" w:type="auto"/>
            <w:tcBorders>
              <w:top w:val="nil"/>
              <w:left w:val="nil"/>
              <w:bottom w:val="nil"/>
              <w:right w:val="nil"/>
            </w:tcBorders>
            <w:shd w:val="clear" w:color="auto" w:fill="auto"/>
            <w:noWrap/>
            <w:vAlign w:val="bottom"/>
            <w:hideMark/>
          </w:tcPr>
          <w:p w14:paraId="3EEC6FDE"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F8C7743"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AC7F020"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353CA9A"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-0.28</w:t>
            </w:r>
          </w:p>
        </w:tc>
      </w:tr>
      <w:tr w:rsidR="00AE52A4" w:rsidRPr="00AE52A4" w14:paraId="56D27842" w14:textId="77777777" w:rsidTr="00731076">
        <w:trPr>
          <w:trHeight w:val="300"/>
        </w:trPr>
        <w:tc>
          <w:tcPr>
            <w:tcW w:w="0" w:type="auto"/>
            <w:tcBorders>
              <w:top w:val="nil"/>
              <w:left w:val="nil"/>
              <w:bottom w:val="nil"/>
              <w:right w:val="nil"/>
            </w:tcBorders>
            <w:shd w:val="clear" w:color="auto" w:fill="auto"/>
            <w:noWrap/>
            <w:vAlign w:val="bottom"/>
            <w:hideMark/>
          </w:tcPr>
          <w:p w14:paraId="78270829" w14:textId="77777777" w:rsidR="00BD409A" w:rsidRPr="00AE52A4" w:rsidRDefault="00BD409A" w:rsidP="00AE52A4">
            <w:pPr>
              <w:spacing w:after="0" w:line="240" w:lineRule="auto"/>
              <w:rPr>
                <w:rFonts w:ascii="Arial" w:eastAsia="Times New Roman" w:hAnsi="Arial" w:cs="Arial"/>
                <w:sz w:val="24"/>
                <w:szCs w:val="24"/>
              </w:rPr>
            </w:pPr>
            <w:r w:rsidRPr="00AE52A4">
              <w:rPr>
                <w:rFonts w:ascii="Arial" w:eastAsia="Times New Roman" w:hAnsi="Arial" w:cs="Arial"/>
                <w:sz w:val="24"/>
                <w:szCs w:val="24"/>
              </w:rPr>
              <w:t>3</w:t>
            </w:r>
          </w:p>
        </w:tc>
        <w:tc>
          <w:tcPr>
            <w:tcW w:w="0" w:type="auto"/>
            <w:tcBorders>
              <w:top w:val="nil"/>
              <w:left w:val="nil"/>
              <w:bottom w:val="nil"/>
              <w:right w:val="nil"/>
            </w:tcBorders>
            <w:shd w:val="clear" w:color="auto" w:fill="auto"/>
            <w:noWrap/>
            <w:vAlign w:val="bottom"/>
            <w:hideMark/>
          </w:tcPr>
          <w:p w14:paraId="0C710888"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0.59</w:t>
            </w:r>
          </w:p>
        </w:tc>
        <w:tc>
          <w:tcPr>
            <w:tcW w:w="0" w:type="auto"/>
            <w:tcBorders>
              <w:top w:val="nil"/>
              <w:left w:val="nil"/>
              <w:bottom w:val="nil"/>
              <w:right w:val="nil"/>
            </w:tcBorders>
            <w:shd w:val="clear" w:color="auto" w:fill="auto"/>
            <w:noWrap/>
            <w:vAlign w:val="bottom"/>
            <w:hideMark/>
          </w:tcPr>
          <w:p w14:paraId="6760F1CA"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D28CEEB"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196BC80"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ECA5E01"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-0.33</w:t>
            </w:r>
          </w:p>
        </w:tc>
        <w:tc>
          <w:tcPr>
            <w:tcW w:w="0" w:type="auto"/>
            <w:tcBorders>
              <w:top w:val="nil"/>
              <w:left w:val="nil"/>
              <w:bottom w:val="nil"/>
              <w:right w:val="nil"/>
            </w:tcBorders>
            <w:shd w:val="clear" w:color="auto" w:fill="auto"/>
            <w:noWrap/>
            <w:vAlign w:val="bottom"/>
            <w:hideMark/>
          </w:tcPr>
          <w:p w14:paraId="74852E97"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4595C14"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0.56</w:t>
            </w:r>
          </w:p>
        </w:tc>
        <w:tc>
          <w:tcPr>
            <w:tcW w:w="0" w:type="auto"/>
            <w:tcBorders>
              <w:top w:val="nil"/>
              <w:left w:val="nil"/>
              <w:bottom w:val="nil"/>
              <w:right w:val="nil"/>
            </w:tcBorders>
            <w:shd w:val="clear" w:color="auto" w:fill="auto"/>
            <w:noWrap/>
            <w:vAlign w:val="bottom"/>
            <w:hideMark/>
          </w:tcPr>
          <w:p w14:paraId="632E439B"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0E47112" w14:textId="77777777" w:rsidR="00BD409A" w:rsidRPr="00AE52A4" w:rsidRDefault="00BD409A" w:rsidP="00AE52A4">
            <w:pPr>
              <w:spacing w:after="0" w:line="240" w:lineRule="auto"/>
              <w:jc w:val="center"/>
              <w:rPr>
                <w:rFonts w:ascii="Arial" w:eastAsia="Times New Roman" w:hAnsi="Arial" w:cs="Arial"/>
                <w:sz w:val="24"/>
                <w:szCs w:val="24"/>
              </w:rPr>
            </w:pPr>
          </w:p>
        </w:tc>
      </w:tr>
      <w:tr w:rsidR="00AE52A4" w:rsidRPr="00AE52A4" w14:paraId="32091CCD" w14:textId="77777777" w:rsidTr="00731076">
        <w:trPr>
          <w:trHeight w:val="300"/>
        </w:trPr>
        <w:tc>
          <w:tcPr>
            <w:tcW w:w="0" w:type="auto"/>
            <w:tcBorders>
              <w:top w:val="nil"/>
              <w:left w:val="nil"/>
              <w:bottom w:val="nil"/>
              <w:right w:val="nil"/>
            </w:tcBorders>
            <w:shd w:val="clear" w:color="auto" w:fill="auto"/>
            <w:noWrap/>
            <w:vAlign w:val="bottom"/>
            <w:hideMark/>
          </w:tcPr>
          <w:p w14:paraId="635C6912" w14:textId="77777777" w:rsidR="00BD409A" w:rsidRPr="00AE52A4" w:rsidRDefault="00BD409A" w:rsidP="00AE52A4">
            <w:pPr>
              <w:spacing w:after="0" w:line="240" w:lineRule="auto"/>
              <w:rPr>
                <w:rFonts w:ascii="Arial" w:eastAsia="Times New Roman" w:hAnsi="Arial" w:cs="Arial"/>
                <w:sz w:val="24"/>
                <w:szCs w:val="24"/>
              </w:rPr>
            </w:pPr>
            <w:r w:rsidRPr="00AE52A4">
              <w:rPr>
                <w:rFonts w:ascii="Arial" w:eastAsia="Times New Roman" w:hAnsi="Arial" w:cs="Arial"/>
                <w:sz w:val="24"/>
                <w:szCs w:val="24"/>
              </w:rPr>
              <w:t>4</w:t>
            </w:r>
          </w:p>
        </w:tc>
        <w:tc>
          <w:tcPr>
            <w:tcW w:w="0" w:type="auto"/>
            <w:tcBorders>
              <w:top w:val="nil"/>
              <w:left w:val="nil"/>
              <w:bottom w:val="nil"/>
              <w:right w:val="nil"/>
            </w:tcBorders>
            <w:shd w:val="clear" w:color="auto" w:fill="auto"/>
            <w:noWrap/>
            <w:vAlign w:val="bottom"/>
            <w:hideMark/>
          </w:tcPr>
          <w:p w14:paraId="6B37CED3"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0.57</w:t>
            </w:r>
          </w:p>
        </w:tc>
        <w:tc>
          <w:tcPr>
            <w:tcW w:w="0" w:type="auto"/>
            <w:tcBorders>
              <w:top w:val="nil"/>
              <w:left w:val="nil"/>
              <w:bottom w:val="nil"/>
              <w:right w:val="nil"/>
            </w:tcBorders>
            <w:shd w:val="clear" w:color="auto" w:fill="auto"/>
            <w:noWrap/>
            <w:vAlign w:val="bottom"/>
            <w:hideMark/>
          </w:tcPr>
          <w:p w14:paraId="57065515"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28FAFE24"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FF47A0E"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20FB2FCC"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-0.28</w:t>
            </w:r>
          </w:p>
        </w:tc>
        <w:tc>
          <w:tcPr>
            <w:tcW w:w="0" w:type="auto"/>
            <w:tcBorders>
              <w:top w:val="nil"/>
              <w:left w:val="nil"/>
              <w:bottom w:val="nil"/>
              <w:right w:val="nil"/>
            </w:tcBorders>
            <w:shd w:val="clear" w:color="auto" w:fill="auto"/>
            <w:noWrap/>
            <w:vAlign w:val="bottom"/>
            <w:hideMark/>
          </w:tcPr>
          <w:p w14:paraId="5F656E3D"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142FECA"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0.57</w:t>
            </w:r>
          </w:p>
        </w:tc>
        <w:tc>
          <w:tcPr>
            <w:tcW w:w="0" w:type="auto"/>
            <w:tcBorders>
              <w:top w:val="nil"/>
              <w:left w:val="nil"/>
              <w:bottom w:val="nil"/>
              <w:right w:val="nil"/>
            </w:tcBorders>
            <w:shd w:val="clear" w:color="auto" w:fill="auto"/>
            <w:noWrap/>
            <w:vAlign w:val="bottom"/>
            <w:hideMark/>
          </w:tcPr>
          <w:p w14:paraId="1235630D"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2525B122" w14:textId="77777777" w:rsidR="00BD409A" w:rsidRPr="00AE52A4" w:rsidRDefault="00BD409A" w:rsidP="00AE52A4">
            <w:pPr>
              <w:spacing w:after="0" w:line="240" w:lineRule="auto"/>
              <w:jc w:val="center"/>
              <w:rPr>
                <w:rFonts w:ascii="Arial" w:eastAsia="Times New Roman" w:hAnsi="Arial" w:cs="Arial"/>
                <w:sz w:val="24"/>
                <w:szCs w:val="24"/>
              </w:rPr>
            </w:pPr>
          </w:p>
        </w:tc>
      </w:tr>
      <w:tr w:rsidR="00AE52A4" w:rsidRPr="00AE52A4" w14:paraId="107AF87F" w14:textId="77777777" w:rsidTr="00731076">
        <w:trPr>
          <w:trHeight w:val="300"/>
        </w:trPr>
        <w:tc>
          <w:tcPr>
            <w:tcW w:w="0" w:type="auto"/>
            <w:tcBorders>
              <w:top w:val="nil"/>
              <w:left w:val="nil"/>
              <w:bottom w:val="nil"/>
              <w:right w:val="nil"/>
            </w:tcBorders>
            <w:shd w:val="clear" w:color="auto" w:fill="auto"/>
            <w:noWrap/>
            <w:vAlign w:val="bottom"/>
            <w:hideMark/>
          </w:tcPr>
          <w:p w14:paraId="22A2A7D6" w14:textId="77777777" w:rsidR="00BD409A" w:rsidRPr="00AE52A4" w:rsidRDefault="00BD409A" w:rsidP="00AE52A4">
            <w:pPr>
              <w:spacing w:after="0" w:line="240" w:lineRule="auto"/>
              <w:rPr>
                <w:rFonts w:ascii="Arial" w:eastAsia="Times New Roman" w:hAnsi="Arial" w:cs="Arial"/>
                <w:sz w:val="24"/>
                <w:szCs w:val="24"/>
              </w:rPr>
            </w:pPr>
            <w:r w:rsidRPr="00AE52A4">
              <w:rPr>
                <w:rFonts w:ascii="Arial" w:eastAsia="Times New Roman" w:hAnsi="Arial" w:cs="Arial"/>
                <w:sz w:val="24"/>
                <w:szCs w:val="24"/>
              </w:rPr>
              <w:t>6</w:t>
            </w:r>
          </w:p>
        </w:tc>
        <w:tc>
          <w:tcPr>
            <w:tcW w:w="0" w:type="auto"/>
            <w:tcBorders>
              <w:top w:val="nil"/>
              <w:left w:val="nil"/>
              <w:bottom w:val="nil"/>
              <w:right w:val="nil"/>
            </w:tcBorders>
            <w:shd w:val="clear" w:color="auto" w:fill="auto"/>
            <w:noWrap/>
            <w:vAlign w:val="bottom"/>
            <w:hideMark/>
          </w:tcPr>
          <w:p w14:paraId="550D7B88"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148F27E"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68B7655"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0.39</w:t>
            </w:r>
          </w:p>
        </w:tc>
        <w:tc>
          <w:tcPr>
            <w:tcW w:w="0" w:type="auto"/>
            <w:tcBorders>
              <w:top w:val="nil"/>
              <w:left w:val="nil"/>
              <w:bottom w:val="nil"/>
              <w:right w:val="nil"/>
            </w:tcBorders>
            <w:shd w:val="clear" w:color="auto" w:fill="auto"/>
            <w:noWrap/>
            <w:vAlign w:val="bottom"/>
            <w:hideMark/>
          </w:tcPr>
          <w:p w14:paraId="0F477B51"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44528899"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0.37</w:t>
            </w:r>
          </w:p>
        </w:tc>
        <w:tc>
          <w:tcPr>
            <w:tcW w:w="0" w:type="auto"/>
            <w:tcBorders>
              <w:top w:val="nil"/>
              <w:left w:val="nil"/>
              <w:bottom w:val="nil"/>
              <w:right w:val="nil"/>
            </w:tcBorders>
            <w:shd w:val="clear" w:color="auto" w:fill="auto"/>
            <w:noWrap/>
            <w:vAlign w:val="bottom"/>
            <w:hideMark/>
          </w:tcPr>
          <w:p w14:paraId="2D4F3BEF"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3BB1E4F"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4C869869"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291DA92"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xml:space="preserve">-0.14 </w:t>
            </w:r>
            <w:r w:rsidRPr="00AE52A4">
              <w:rPr>
                <w:rFonts w:ascii="Arial" w:eastAsia="Times New Roman" w:hAnsi="Arial" w:cs="Arial"/>
                <w:sz w:val="24"/>
                <w:szCs w:val="24"/>
                <w:vertAlign w:val="superscript"/>
              </w:rPr>
              <w:t>(1)</w:t>
            </w:r>
          </w:p>
        </w:tc>
      </w:tr>
      <w:tr w:rsidR="00AE52A4" w:rsidRPr="00AE52A4" w14:paraId="31C7388B" w14:textId="77777777" w:rsidTr="00731076">
        <w:trPr>
          <w:trHeight w:val="300"/>
        </w:trPr>
        <w:tc>
          <w:tcPr>
            <w:tcW w:w="0" w:type="auto"/>
            <w:tcBorders>
              <w:top w:val="nil"/>
              <w:left w:val="nil"/>
              <w:bottom w:val="nil"/>
              <w:right w:val="nil"/>
            </w:tcBorders>
            <w:shd w:val="clear" w:color="auto" w:fill="auto"/>
            <w:noWrap/>
            <w:vAlign w:val="bottom"/>
            <w:hideMark/>
          </w:tcPr>
          <w:p w14:paraId="589BD15D" w14:textId="77777777" w:rsidR="00BD409A" w:rsidRPr="00AE52A4" w:rsidRDefault="00BD409A" w:rsidP="00AE52A4">
            <w:pPr>
              <w:spacing w:after="0" w:line="240" w:lineRule="auto"/>
              <w:rPr>
                <w:rFonts w:ascii="Arial" w:eastAsia="Times New Roman" w:hAnsi="Arial" w:cs="Arial"/>
                <w:sz w:val="24"/>
                <w:szCs w:val="24"/>
              </w:rPr>
            </w:pPr>
            <w:r w:rsidRPr="00AE52A4">
              <w:rPr>
                <w:rFonts w:ascii="Arial" w:eastAsia="Times New Roman" w:hAnsi="Arial" w:cs="Arial"/>
                <w:sz w:val="24"/>
                <w:szCs w:val="24"/>
              </w:rPr>
              <w:t>7</w:t>
            </w:r>
          </w:p>
        </w:tc>
        <w:tc>
          <w:tcPr>
            <w:tcW w:w="0" w:type="auto"/>
            <w:tcBorders>
              <w:top w:val="nil"/>
              <w:left w:val="nil"/>
              <w:bottom w:val="nil"/>
              <w:right w:val="nil"/>
            </w:tcBorders>
            <w:shd w:val="clear" w:color="auto" w:fill="auto"/>
            <w:noWrap/>
            <w:vAlign w:val="bottom"/>
            <w:hideMark/>
          </w:tcPr>
          <w:p w14:paraId="6CBBC396"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A4B336C"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2009FA9"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0.53</w:t>
            </w:r>
          </w:p>
        </w:tc>
        <w:tc>
          <w:tcPr>
            <w:tcW w:w="0" w:type="auto"/>
            <w:tcBorders>
              <w:top w:val="nil"/>
              <w:left w:val="nil"/>
              <w:bottom w:val="nil"/>
              <w:right w:val="nil"/>
            </w:tcBorders>
            <w:shd w:val="clear" w:color="auto" w:fill="auto"/>
            <w:noWrap/>
            <w:vAlign w:val="bottom"/>
            <w:hideMark/>
          </w:tcPr>
          <w:p w14:paraId="5CF9DFBF"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9099BEB"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0.51</w:t>
            </w:r>
          </w:p>
        </w:tc>
        <w:tc>
          <w:tcPr>
            <w:tcW w:w="0" w:type="auto"/>
            <w:tcBorders>
              <w:top w:val="nil"/>
              <w:left w:val="nil"/>
              <w:bottom w:val="nil"/>
              <w:right w:val="nil"/>
            </w:tcBorders>
            <w:shd w:val="clear" w:color="auto" w:fill="auto"/>
            <w:noWrap/>
            <w:vAlign w:val="bottom"/>
            <w:hideMark/>
          </w:tcPr>
          <w:p w14:paraId="00AF780B"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69CE03C"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2B535E60"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858627D"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xml:space="preserve">-0.15 </w:t>
            </w:r>
            <w:r w:rsidRPr="00AE52A4">
              <w:rPr>
                <w:rFonts w:ascii="Arial" w:eastAsia="Times New Roman" w:hAnsi="Arial" w:cs="Arial"/>
                <w:sz w:val="24"/>
                <w:szCs w:val="24"/>
                <w:vertAlign w:val="superscript"/>
              </w:rPr>
              <w:t>(1)</w:t>
            </w:r>
          </w:p>
        </w:tc>
      </w:tr>
      <w:tr w:rsidR="00AE52A4" w:rsidRPr="00AE52A4" w14:paraId="57B98B18" w14:textId="77777777" w:rsidTr="00731076">
        <w:trPr>
          <w:trHeight w:val="300"/>
        </w:trPr>
        <w:tc>
          <w:tcPr>
            <w:tcW w:w="0" w:type="auto"/>
            <w:tcBorders>
              <w:top w:val="nil"/>
              <w:left w:val="nil"/>
              <w:bottom w:val="nil"/>
              <w:right w:val="nil"/>
            </w:tcBorders>
            <w:shd w:val="clear" w:color="auto" w:fill="auto"/>
            <w:noWrap/>
            <w:vAlign w:val="bottom"/>
            <w:hideMark/>
          </w:tcPr>
          <w:p w14:paraId="42D0EBE3" w14:textId="77777777" w:rsidR="00BD409A" w:rsidRPr="00AE52A4" w:rsidRDefault="00BD409A" w:rsidP="00AE52A4">
            <w:pPr>
              <w:spacing w:after="0" w:line="240" w:lineRule="auto"/>
              <w:rPr>
                <w:rFonts w:ascii="Arial" w:eastAsia="Times New Roman" w:hAnsi="Arial" w:cs="Arial"/>
                <w:sz w:val="24"/>
                <w:szCs w:val="24"/>
              </w:rPr>
            </w:pPr>
            <w:r w:rsidRPr="00AE52A4">
              <w:rPr>
                <w:rFonts w:ascii="Arial" w:eastAsia="Times New Roman" w:hAnsi="Arial" w:cs="Arial"/>
                <w:sz w:val="24"/>
                <w:szCs w:val="24"/>
              </w:rPr>
              <w:t>8</w:t>
            </w:r>
          </w:p>
        </w:tc>
        <w:tc>
          <w:tcPr>
            <w:tcW w:w="0" w:type="auto"/>
            <w:tcBorders>
              <w:top w:val="nil"/>
              <w:left w:val="nil"/>
              <w:bottom w:val="nil"/>
              <w:right w:val="nil"/>
            </w:tcBorders>
            <w:shd w:val="clear" w:color="auto" w:fill="auto"/>
            <w:noWrap/>
            <w:vAlign w:val="bottom"/>
            <w:hideMark/>
          </w:tcPr>
          <w:p w14:paraId="63F63090"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6B200FD"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25DCF3B5"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0.60</w:t>
            </w:r>
          </w:p>
        </w:tc>
        <w:tc>
          <w:tcPr>
            <w:tcW w:w="0" w:type="auto"/>
            <w:tcBorders>
              <w:top w:val="nil"/>
              <w:left w:val="nil"/>
              <w:bottom w:val="nil"/>
              <w:right w:val="nil"/>
            </w:tcBorders>
            <w:shd w:val="clear" w:color="auto" w:fill="auto"/>
            <w:noWrap/>
            <w:vAlign w:val="bottom"/>
            <w:hideMark/>
          </w:tcPr>
          <w:p w14:paraId="287E1BBB"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8FA9886"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0.57</w:t>
            </w:r>
          </w:p>
        </w:tc>
        <w:tc>
          <w:tcPr>
            <w:tcW w:w="0" w:type="auto"/>
            <w:tcBorders>
              <w:top w:val="nil"/>
              <w:left w:val="nil"/>
              <w:bottom w:val="nil"/>
              <w:right w:val="nil"/>
            </w:tcBorders>
            <w:shd w:val="clear" w:color="auto" w:fill="auto"/>
            <w:noWrap/>
            <w:vAlign w:val="bottom"/>
            <w:hideMark/>
          </w:tcPr>
          <w:p w14:paraId="10B9FA04"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49B91ACF"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D46493F"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C74CBC1"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 xml:space="preserve">-0.13 </w:t>
            </w:r>
            <w:r w:rsidRPr="00AE52A4">
              <w:rPr>
                <w:rFonts w:ascii="Arial" w:eastAsia="Times New Roman" w:hAnsi="Arial" w:cs="Arial"/>
                <w:sz w:val="24"/>
                <w:szCs w:val="24"/>
                <w:vertAlign w:val="superscript"/>
              </w:rPr>
              <w:t>(1)</w:t>
            </w:r>
          </w:p>
        </w:tc>
      </w:tr>
      <w:tr w:rsidR="00AE52A4" w:rsidRPr="00AE52A4" w14:paraId="78387B9F" w14:textId="77777777" w:rsidTr="00731076">
        <w:trPr>
          <w:trHeight w:val="300"/>
        </w:trPr>
        <w:tc>
          <w:tcPr>
            <w:tcW w:w="0" w:type="auto"/>
            <w:tcBorders>
              <w:top w:val="nil"/>
              <w:left w:val="nil"/>
              <w:bottom w:val="nil"/>
              <w:right w:val="nil"/>
            </w:tcBorders>
            <w:shd w:val="clear" w:color="auto" w:fill="auto"/>
            <w:noWrap/>
            <w:vAlign w:val="bottom"/>
            <w:hideMark/>
          </w:tcPr>
          <w:p w14:paraId="041A0BC9" w14:textId="77777777" w:rsidR="00BD409A" w:rsidRPr="00AE52A4" w:rsidRDefault="00BD409A" w:rsidP="00AE52A4">
            <w:pPr>
              <w:spacing w:after="0" w:line="240" w:lineRule="auto"/>
              <w:rPr>
                <w:rFonts w:ascii="Arial" w:eastAsia="Times New Roman" w:hAnsi="Arial" w:cs="Arial"/>
                <w:sz w:val="24"/>
                <w:szCs w:val="24"/>
              </w:rPr>
            </w:pPr>
            <w:r w:rsidRPr="00AE52A4">
              <w:rPr>
                <w:rFonts w:ascii="Arial" w:eastAsia="Times New Roman" w:hAnsi="Arial" w:cs="Arial"/>
                <w:sz w:val="24"/>
                <w:szCs w:val="24"/>
              </w:rPr>
              <w:t>9</w:t>
            </w:r>
          </w:p>
        </w:tc>
        <w:tc>
          <w:tcPr>
            <w:tcW w:w="0" w:type="auto"/>
            <w:tcBorders>
              <w:top w:val="nil"/>
              <w:left w:val="nil"/>
              <w:bottom w:val="nil"/>
              <w:right w:val="nil"/>
            </w:tcBorders>
            <w:shd w:val="clear" w:color="auto" w:fill="auto"/>
            <w:noWrap/>
            <w:vAlign w:val="bottom"/>
            <w:hideMark/>
          </w:tcPr>
          <w:p w14:paraId="7642DF5B"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0.56</w:t>
            </w:r>
          </w:p>
        </w:tc>
        <w:tc>
          <w:tcPr>
            <w:tcW w:w="0" w:type="auto"/>
            <w:tcBorders>
              <w:top w:val="nil"/>
              <w:left w:val="nil"/>
              <w:bottom w:val="nil"/>
              <w:right w:val="nil"/>
            </w:tcBorders>
            <w:shd w:val="clear" w:color="auto" w:fill="auto"/>
            <w:noWrap/>
            <w:vAlign w:val="bottom"/>
            <w:hideMark/>
          </w:tcPr>
          <w:p w14:paraId="7E7F8EE1"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E99526F"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AFC6089"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F105D7C"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-0.20</w:t>
            </w:r>
          </w:p>
        </w:tc>
        <w:tc>
          <w:tcPr>
            <w:tcW w:w="0" w:type="auto"/>
            <w:tcBorders>
              <w:top w:val="nil"/>
              <w:left w:val="nil"/>
              <w:bottom w:val="nil"/>
              <w:right w:val="nil"/>
            </w:tcBorders>
            <w:shd w:val="clear" w:color="auto" w:fill="auto"/>
            <w:noWrap/>
            <w:vAlign w:val="bottom"/>
            <w:hideMark/>
          </w:tcPr>
          <w:p w14:paraId="51DF1F3C"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7BE1BAF"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0.50</w:t>
            </w:r>
          </w:p>
        </w:tc>
        <w:tc>
          <w:tcPr>
            <w:tcW w:w="0" w:type="auto"/>
            <w:tcBorders>
              <w:top w:val="nil"/>
              <w:left w:val="nil"/>
              <w:bottom w:val="nil"/>
              <w:right w:val="nil"/>
            </w:tcBorders>
            <w:shd w:val="clear" w:color="auto" w:fill="auto"/>
            <w:noWrap/>
            <w:vAlign w:val="bottom"/>
            <w:hideMark/>
          </w:tcPr>
          <w:p w14:paraId="5338EF13"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4A389853" w14:textId="77777777" w:rsidR="00BD409A" w:rsidRPr="00AE52A4" w:rsidRDefault="00BD409A" w:rsidP="00AE52A4">
            <w:pPr>
              <w:spacing w:after="0" w:line="240" w:lineRule="auto"/>
              <w:jc w:val="center"/>
              <w:rPr>
                <w:rFonts w:ascii="Arial" w:eastAsia="Times New Roman" w:hAnsi="Arial" w:cs="Arial"/>
                <w:sz w:val="24"/>
                <w:szCs w:val="24"/>
              </w:rPr>
            </w:pPr>
          </w:p>
        </w:tc>
      </w:tr>
      <w:tr w:rsidR="00AE52A4" w:rsidRPr="00AE52A4" w14:paraId="77FF4B23" w14:textId="77777777" w:rsidTr="00731076">
        <w:trPr>
          <w:trHeight w:val="300"/>
        </w:trPr>
        <w:tc>
          <w:tcPr>
            <w:tcW w:w="0" w:type="auto"/>
            <w:tcBorders>
              <w:top w:val="nil"/>
              <w:left w:val="nil"/>
              <w:bottom w:val="nil"/>
              <w:right w:val="nil"/>
            </w:tcBorders>
            <w:shd w:val="clear" w:color="auto" w:fill="auto"/>
            <w:noWrap/>
            <w:vAlign w:val="bottom"/>
            <w:hideMark/>
          </w:tcPr>
          <w:p w14:paraId="29EB69F1" w14:textId="77777777" w:rsidR="00BD409A" w:rsidRPr="00AE52A4" w:rsidRDefault="00BD409A" w:rsidP="00AE52A4">
            <w:pPr>
              <w:spacing w:after="0" w:line="240" w:lineRule="auto"/>
              <w:rPr>
                <w:rFonts w:ascii="Arial" w:eastAsia="Times New Roman" w:hAnsi="Arial" w:cs="Arial"/>
                <w:sz w:val="24"/>
                <w:szCs w:val="24"/>
              </w:rPr>
            </w:pPr>
            <w:r w:rsidRPr="00AE52A4">
              <w:rPr>
                <w:rFonts w:ascii="Arial" w:eastAsia="Times New Roman" w:hAnsi="Arial" w:cs="Arial"/>
                <w:sz w:val="24"/>
                <w:szCs w:val="24"/>
              </w:rPr>
              <w:t>10</w:t>
            </w:r>
          </w:p>
        </w:tc>
        <w:tc>
          <w:tcPr>
            <w:tcW w:w="0" w:type="auto"/>
            <w:tcBorders>
              <w:top w:val="nil"/>
              <w:left w:val="nil"/>
              <w:bottom w:val="nil"/>
              <w:right w:val="nil"/>
            </w:tcBorders>
            <w:shd w:val="clear" w:color="auto" w:fill="auto"/>
            <w:noWrap/>
            <w:vAlign w:val="bottom"/>
            <w:hideMark/>
          </w:tcPr>
          <w:p w14:paraId="474BFAAC"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0.60</w:t>
            </w:r>
          </w:p>
        </w:tc>
        <w:tc>
          <w:tcPr>
            <w:tcW w:w="0" w:type="auto"/>
            <w:tcBorders>
              <w:top w:val="nil"/>
              <w:left w:val="nil"/>
              <w:bottom w:val="nil"/>
              <w:right w:val="nil"/>
            </w:tcBorders>
            <w:shd w:val="clear" w:color="auto" w:fill="auto"/>
            <w:noWrap/>
            <w:vAlign w:val="bottom"/>
            <w:hideMark/>
          </w:tcPr>
          <w:p w14:paraId="48DC7432"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4C628897"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B1EEE4E"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CA9244A"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-0.26</w:t>
            </w:r>
          </w:p>
        </w:tc>
        <w:tc>
          <w:tcPr>
            <w:tcW w:w="0" w:type="auto"/>
            <w:tcBorders>
              <w:top w:val="nil"/>
              <w:left w:val="nil"/>
              <w:bottom w:val="nil"/>
              <w:right w:val="nil"/>
            </w:tcBorders>
            <w:shd w:val="clear" w:color="auto" w:fill="auto"/>
            <w:noWrap/>
            <w:vAlign w:val="bottom"/>
            <w:hideMark/>
          </w:tcPr>
          <w:p w14:paraId="2FE211C3"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ED02874"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0.52</w:t>
            </w:r>
          </w:p>
        </w:tc>
        <w:tc>
          <w:tcPr>
            <w:tcW w:w="0" w:type="auto"/>
            <w:tcBorders>
              <w:top w:val="nil"/>
              <w:left w:val="nil"/>
              <w:bottom w:val="nil"/>
              <w:right w:val="nil"/>
            </w:tcBorders>
            <w:shd w:val="clear" w:color="auto" w:fill="auto"/>
            <w:noWrap/>
            <w:vAlign w:val="bottom"/>
            <w:hideMark/>
          </w:tcPr>
          <w:p w14:paraId="62ACAFF9"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5E7C863" w14:textId="77777777" w:rsidR="00BD409A" w:rsidRPr="00AE52A4" w:rsidRDefault="00BD409A" w:rsidP="00AE52A4">
            <w:pPr>
              <w:spacing w:after="0" w:line="240" w:lineRule="auto"/>
              <w:jc w:val="center"/>
              <w:rPr>
                <w:rFonts w:ascii="Arial" w:eastAsia="Times New Roman" w:hAnsi="Arial" w:cs="Arial"/>
                <w:sz w:val="24"/>
                <w:szCs w:val="24"/>
              </w:rPr>
            </w:pPr>
          </w:p>
        </w:tc>
      </w:tr>
      <w:tr w:rsidR="00AE52A4" w:rsidRPr="00AE52A4" w14:paraId="4C3CCC0E" w14:textId="77777777" w:rsidTr="00731076">
        <w:trPr>
          <w:trHeight w:val="300"/>
        </w:trPr>
        <w:tc>
          <w:tcPr>
            <w:tcW w:w="0" w:type="auto"/>
            <w:tcBorders>
              <w:top w:val="nil"/>
              <w:left w:val="nil"/>
              <w:bottom w:val="nil"/>
              <w:right w:val="nil"/>
            </w:tcBorders>
            <w:shd w:val="clear" w:color="auto" w:fill="auto"/>
            <w:noWrap/>
            <w:vAlign w:val="bottom"/>
            <w:hideMark/>
          </w:tcPr>
          <w:p w14:paraId="17F2815E" w14:textId="77777777" w:rsidR="00BD409A" w:rsidRPr="00AE52A4" w:rsidRDefault="00BD409A" w:rsidP="00AE52A4">
            <w:pPr>
              <w:spacing w:after="0" w:line="240" w:lineRule="auto"/>
              <w:rPr>
                <w:rFonts w:ascii="Arial" w:eastAsia="Times New Roman" w:hAnsi="Arial" w:cs="Arial"/>
                <w:sz w:val="24"/>
                <w:szCs w:val="24"/>
              </w:rPr>
            </w:pPr>
            <w:r w:rsidRPr="00AE52A4">
              <w:rPr>
                <w:rFonts w:ascii="Arial" w:eastAsia="Times New Roman" w:hAnsi="Arial" w:cs="Arial"/>
                <w:sz w:val="24"/>
                <w:szCs w:val="24"/>
              </w:rPr>
              <w:t>11</w:t>
            </w:r>
          </w:p>
        </w:tc>
        <w:tc>
          <w:tcPr>
            <w:tcW w:w="0" w:type="auto"/>
            <w:tcBorders>
              <w:top w:val="nil"/>
              <w:left w:val="nil"/>
              <w:bottom w:val="nil"/>
              <w:right w:val="nil"/>
            </w:tcBorders>
            <w:shd w:val="clear" w:color="auto" w:fill="auto"/>
            <w:noWrap/>
            <w:vAlign w:val="bottom"/>
            <w:hideMark/>
          </w:tcPr>
          <w:p w14:paraId="4D59AC2B"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0.78</w:t>
            </w:r>
          </w:p>
        </w:tc>
        <w:tc>
          <w:tcPr>
            <w:tcW w:w="0" w:type="auto"/>
            <w:tcBorders>
              <w:top w:val="nil"/>
              <w:left w:val="nil"/>
              <w:bottom w:val="nil"/>
              <w:right w:val="nil"/>
            </w:tcBorders>
            <w:shd w:val="clear" w:color="auto" w:fill="auto"/>
            <w:noWrap/>
            <w:vAlign w:val="bottom"/>
            <w:hideMark/>
          </w:tcPr>
          <w:p w14:paraId="042ED03B"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2F71C69"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2D09ABBB"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70DF8A0"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-0.27</w:t>
            </w:r>
          </w:p>
        </w:tc>
        <w:tc>
          <w:tcPr>
            <w:tcW w:w="0" w:type="auto"/>
            <w:tcBorders>
              <w:top w:val="nil"/>
              <w:left w:val="nil"/>
              <w:bottom w:val="nil"/>
              <w:right w:val="nil"/>
            </w:tcBorders>
            <w:shd w:val="clear" w:color="auto" w:fill="auto"/>
            <w:noWrap/>
            <w:vAlign w:val="bottom"/>
            <w:hideMark/>
          </w:tcPr>
          <w:p w14:paraId="1E080E35"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615D94D"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0.72</w:t>
            </w:r>
          </w:p>
        </w:tc>
        <w:tc>
          <w:tcPr>
            <w:tcW w:w="0" w:type="auto"/>
            <w:tcBorders>
              <w:top w:val="nil"/>
              <w:left w:val="nil"/>
              <w:bottom w:val="nil"/>
              <w:right w:val="nil"/>
            </w:tcBorders>
            <w:shd w:val="clear" w:color="auto" w:fill="auto"/>
            <w:noWrap/>
            <w:vAlign w:val="bottom"/>
            <w:hideMark/>
          </w:tcPr>
          <w:p w14:paraId="7F3E34D6"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07DFC18" w14:textId="77777777" w:rsidR="00BD409A" w:rsidRPr="00AE52A4" w:rsidRDefault="00BD409A" w:rsidP="00AE52A4">
            <w:pPr>
              <w:spacing w:after="0" w:line="240" w:lineRule="auto"/>
              <w:jc w:val="center"/>
              <w:rPr>
                <w:rFonts w:ascii="Arial" w:eastAsia="Times New Roman" w:hAnsi="Arial" w:cs="Arial"/>
                <w:sz w:val="24"/>
                <w:szCs w:val="24"/>
              </w:rPr>
            </w:pPr>
          </w:p>
        </w:tc>
      </w:tr>
      <w:tr w:rsidR="00AE52A4" w:rsidRPr="00AE52A4" w14:paraId="188A7556" w14:textId="77777777" w:rsidTr="00731076">
        <w:trPr>
          <w:trHeight w:val="300"/>
        </w:trPr>
        <w:tc>
          <w:tcPr>
            <w:tcW w:w="0" w:type="auto"/>
            <w:tcBorders>
              <w:top w:val="nil"/>
              <w:left w:val="nil"/>
              <w:bottom w:val="nil"/>
              <w:right w:val="nil"/>
            </w:tcBorders>
            <w:shd w:val="clear" w:color="auto" w:fill="auto"/>
            <w:noWrap/>
            <w:vAlign w:val="bottom"/>
            <w:hideMark/>
          </w:tcPr>
          <w:p w14:paraId="536D1CC9" w14:textId="77777777" w:rsidR="00BD409A" w:rsidRPr="00AE52A4" w:rsidRDefault="00BD409A" w:rsidP="00AE52A4">
            <w:pPr>
              <w:spacing w:after="0" w:line="240" w:lineRule="auto"/>
              <w:rPr>
                <w:rFonts w:ascii="Arial" w:eastAsia="Times New Roman" w:hAnsi="Arial" w:cs="Arial"/>
                <w:sz w:val="24"/>
                <w:szCs w:val="24"/>
              </w:rPr>
            </w:pPr>
            <w:r w:rsidRPr="00AE52A4">
              <w:rPr>
                <w:rFonts w:ascii="Arial" w:eastAsia="Times New Roman" w:hAnsi="Arial" w:cs="Arial"/>
                <w:sz w:val="24"/>
                <w:szCs w:val="24"/>
              </w:rPr>
              <w:t>12</w:t>
            </w:r>
          </w:p>
        </w:tc>
        <w:tc>
          <w:tcPr>
            <w:tcW w:w="0" w:type="auto"/>
            <w:tcBorders>
              <w:top w:val="nil"/>
              <w:left w:val="nil"/>
              <w:bottom w:val="nil"/>
              <w:right w:val="nil"/>
            </w:tcBorders>
            <w:shd w:val="clear" w:color="auto" w:fill="auto"/>
            <w:noWrap/>
            <w:vAlign w:val="bottom"/>
            <w:hideMark/>
          </w:tcPr>
          <w:p w14:paraId="1BF633D9"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0.55</w:t>
            </w:r>
          </w:p>
        </w:tc>
        <w:tc>
          <w:tcPr>
            <w:tcW w:w="0" w:type="auto"/>
            <w:tcBorders>
              <w:top w:val="nil"/>
              <w:left w:val="nil"/>
              <w:bottom w:val="nil"/>
              <w:right w:val="nil"/>
            </w:tcBorders>
            <w:shd w:val="clear" w:color="auto" w:fill="auto"/>
            <w:noWrap/>
            <w:vAlign w:val="bottom"/>
            <w:hideMark/>
          </w:tcPr>
          <w:p w14:paraId="4F2FC3BA"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674A3BD"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3BA7C73"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4452C1B"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-0.11</w:t>
            </w:r>
          </w:p>
        </w:tc>
        <w:tc>
          <w:tcPr>
            <w:tcW w:w="0" w:type="auto"/>
            <w:tcBorders>
              <w:top w:val="nil"/>
              <w:left w:val="nil"/>
              <w:bottom w:val="nil"/>
              <w:right w:val="nil"/>
            </w:tcBorders>
            <w:shd w:val="clear" w:color="auto" w:fill="auto"/>
            <w:noWrap/>
            <w:vAlign w:val="bottom"/>
            <w:hideMark/>
          </w:tcPr>
          <w:p w14:paraId="7CB9EA09"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354607F"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0.56</w:t>
            </w:r>
          </w:p>
        </w:tc>
        <w:tc>
          <w:tcPr>
            <w:tcW w:w="0" w:type="auto"/>
            <w:tcBorders>
              <w:top w:val="nil"/>
              <w:left w:val="nil"/>
              <w:bottom w:val="nil"/>
              <w:right w:val="nil"/>
            </w:tcBorders>
            <w:shd w:val="clear" w:color="auto" w:fill="auto"/>
            <w:noWrap/>
            <w:vAlign w:val="bottom"/>
            <w:hideMark/>
          </w:tcPr>
          <w:p w14:paraId="57069A1D"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3532A4C" w14:textId="77777777" w:rsidR="00BD409A" w:rsidRPr="00AE52A4" w:rsidRDefault="00BD409A" w:rsidP="00AE52A4">
            <w:pPr>
              <w:spacing w:after="0" w:line="240" w:lineRule="auto"/>
              <w:jc w:val="center"/>
              <w:rPr>
                <w:rFonts w:ascii="Arial" w:eastAsia="Times New Roman" w:hAnsi="Arial" w:cs="Arial"/>
                <w:sz w:val="24"/>
                <w:szCs w:val="24"/>
              </w:rPr>
            </w:pPr>
          </w:p>
        </w:tc>
      </w:tr>
      <w:tr w:rsidR="00AE52A4" w:rsidRPr="00AE52A4" w14:paraId="2F5DA4E1" w14:textId="77777777" w:rsidTr="00731076">
        <w:trPr>
          <w:trHeight w:val="300"/>
        </w:trPr>
        <w:tc>
          <w:tcPr>
            <w:tcW w:w="0" w:type="auto"/>
            <w:tcBorders>
              <w:top w:val="nil"/>
              <w:left w:val="nil"/>
              <w:bottom w:val="nil"/>
              <w:right w:val="nil"/>
            </w:tcBorders>
            <w:shd w:val="clear" w:color="auto" w:fill="auto"/>
            <w:noWrap/>
            <w:vAlign w:val="bottom"/>
            <w:hideMark/>
          </w:tcPr>
          <w:p w14:paraId="12C421E9" w14:textId="77777777" w:rsidR="00BD409A" w:rsidRPr="00AE52A4" w:rsidRDefault="00BD409A" w:rsidP="00AE52A4">
            <w:pPr>
              <w:spacing w:after="0" w:line="240" w:lineRule="auto"/>
              <w:rPr>
                <w:rFonts w:ascii="Arial" w:eastAsia="Times New Roman" w:hAnsi="Arial" w:cs="Arial"/>
                <w:sz w:val="24"/>
                <w:szCs w:val="24"/>
              </w:rPr>
            </w:pPr>
            <w:r w:rsidRPr="00AE52A4">
              <w:rPr>
                <w:rFonts w:ascii="Arial" w:eastAsia="Times New Roman" w:hAnsi="Arial" w:cs="Arial"/>
                <w:sz w:val="24"/>
                <w:szCs w:val="24"/>
              </w:rPr>
              <w:t>13</w:t>
            </w:r>
          </w:p>
        </w:tc>
        <w:tc>
          <w:tcPr>
            <w:tcW w:w="0" w:type="auto"/>
            <w:tcBorders>
              <w:top w:val="nil"/>
              <w:left w:val="nil"/>
              <w:bottom w:val="nil"/>
              <w:right w:val="nil"/>
            </w:tcBorders>
            <w:shd w:val="clear" w:color="auto" w:fill="auto"/>
            <w:noWrap/>
            <w:vAlign w:val="bottom"/>
            <w:hideMark/>
          </w:tcPr>
          <w:p w14:paraId="0955ADEE" w14:textId="77777777" w:rsidR="00BD409A" w:rsidRPr="00AE52A4" w:rsidRDefault="00BD409A" w:rsidP="00731076">
            <w:pPr>
              <w:spacing w:after="0" w:line="240" w:lineRule="auto"/>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6FE4579"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3BC0DC5"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0.56</w:t>
            </w:r>
          </w:p>
        </w:tc>
        <w:tc>
          <w:tcPr>
            <w:tcW w:w="0" w:type="auto"/>
            <w:tcBorders>
              <w:top w:val="nil"/>
              <w:left w:val="nil"/>
              <w:bottom w:val="nil"/>
              <w:right w:val="nil"/>
            </w:tcBorders>
            <w:shd w:val="clear" w:color="auto" w:fill="auto"/>
            <w:noWrap/>
            <w:vAlign w:val="bottom"/>
            <w:hideMark/>
          </w:tcPr>
          <w:p w14:paraId="70691E19"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BB495A1"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0.72</w:t>
            </w:r>
          </w:p>
        </w:tc>
        <w:tc>
          <w:tcPr>
            <w:tcW w:w="0" w:type="auto"/>
            <w:tcBorders>
              <w:top w:val="nil"/>
              <w:left w:val="nil"/>
              <w:bottom w:val="nil"/>
              <w:right w:val="nil"/>
            </w:tcBorders>
            <w:shd w:val="clear" w:color="auto" w:fill="auto"/>
            <w:noWrap/>
            <w:vAlign w:val="bottom"/>
            <w:hideMark/>
          </w:tcPr>
          <w:p w14:paraId="29DCEE5F"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BB184C9"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43FD76F"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20386A95"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0.47</w:t>
            </w:r>
          </w:p>
        </w:tc>
      </w:tr>
      <w:tr w:rsidR="00AE52A4" w:rsidRPr="00AE52A4" w14:paraId="59B39147" w14:textId="77777777" w:rsidTr="00731076">
        <w:trPr>
          <w:trHeight w:val="300"/>
        </w:trPr>
        <w:tc>
          <w:tcPr>
            <w:tcW w:w="0" w:type="auto"/>
            <w:tcBorders>
              <w:top w:val="nil"/>
              <w:left w:val="nil"/>
              <w:bottom w:val="nil"/>
              <w:right w:val="nil"/>
            </w:tcBorders>
            <w:shd w:val="clear" w:color="auto" w:fill="auto"/>
            <w:noWrap/>
            <w:vAlign w:val="bottom"/>
            <w:hideMark/>
          </w:tcPr>
          <w:p w14:paraId="368B21E8" w14:textId="77777777" w:rsidR="00BD409A" w:rsidRPr="00AE52A4" w:rsidRDefault="00BD409A" w:rsidP="00AE52A4">
            <w:pPr>
              <w:spacing w:after="0" w:line="240" w:lineRule="auto"/>
              <w:rPr>
                <w:rFonts w:ascii="Arial" w:eastAsia="Times New Roman" w:hAnsi="Arial" w:cs="Arial"/>
                <w:sz w:val="24"/>
                <w:szCs w:val="24"/>
              </w:rPr>
            </w:pPr>
            <w:r w:rsidRPr="00AE52A4">
              <w:rPr>
                <w:rFonts w:ascii="Arial" w:eastAsia="Times New Roman" w:hAnsi="Arial" w:cs="Arial"/>
                <w:sz w:val="24"/>
                <w:szCs w:val="24"/>
              </w:rPr>
              <w:t>14</w:t>
            </w:r>
          </w:p>
        </w:tc>
        <w:tc>
          <w:tcPr>
            <w:tcW w:w="0" w:type="auto"/>
            <w:tcBorders>
              <w:top w:val="nil"/>
              <w:left w:val="nil"/>
              <w:bottom w:val="nil"/>
              <w:right w:val="nil"/>
            </w:tcBorders>
            <w:shd w:val="clear" w:color="auto" w:fill="auto"/>
            <w:noWrap/>
            <w:vAlign w:val="bottom"/>
            <w:hideMark/>
          </w:tcPr>
          <w:p w14:paraId="12A096C7" w14:textId="77777777" w:rsidR="00BD409A" w:rsidRPr="00AE52A4" w:rsidRDefault="00BD409A" w:rsidP="00731076">
            <w:pPr>
              <w:spacing w:after="0" w:line="240" w:lineRule="auto"/>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35C50D6F"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3A13D8E" w14:textId="78CF0860"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0.58</w:t>
            </w:r>
          </w:p>
        </w:tc>
        <w:tc>
          <w:tcPr>
            <w:tcW w:w="0" w:type="auto"/>
            <w:tcBorders>
              <w:top w:val="nil"/>
              <w:left w:val="nil"/>
              <w:bottom w:val="nil"/>
              <w:right w:val="nil"/>
            </w:tcBorders>
            <w:shd w:val="clear" w:color="auto" w:fill="auto"/>
            <w:noWrap/>
            <w:vAlign w:val="bottom"/>
            <w:hideMark/>
          </w:tcPr>
          <w:p w14:paraId="3BC34F72"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4ECBA09B"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0.70</w:t>
            </w:r>
          </w:p>
        </w:tc>
        <w:tc>
          <w:tcPr>
            <w:tcW w:w="0" w:type="auto"/>
            <w:tcBorders>
              <w:top w:val="nil"/>
              <w:left w:val="nil"/>
              <w:bottom w:val="nil"/>
              <w:right w:val="nil"/>
            </w:tcBorders>
            <w:shd w:val="clear" w:color="auto" w:fill="auto"/>
            <w:noWrap/>
            <w:vAlign w:val="bottom"/>
            <w:hideMark/>
          </w:tcPr>
          <w:p w14:paraId="74DD2C21"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3F2D550"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5EE4A7B" w14:textId="77777777" w:rsidR="00BD409A" w:rsidRPr="00AE52A4" w:rsidRDefault="00BD409A" w:rsidP="00AE52A4">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1AC4A84" w14:textId="77777777" w:rsidR="00BD409A" w:rsidRPr="00AE52A4" w:rsidRDefault="00BD409A" w:rsidP="00AE52A4">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0.32</w:t>
            </w:r>
          </w:p>
        </w:tc>
      </w:tr>
      <w:tr w:rsidR="00BD409A" w:rsidRPr="00533A51" w14:paraId="210B5A95" w14:textId="77777777" w:rsidTr="00731076">
        <w:trPr>
          <w:trHeight w:val="300"/>
        </w:trPr>
        <w:tc>
          <w:tcPr>
            <w:tcW w:w="0" w:type="auto"/>
            <w:gridSpan w:val="10"/>
            <w:tcBorders>
              <w:top w:val="single" w:sz="4" w:space="0" w:color="auto"/>
              <w:left w:val="nil"/>
              <w:bottom w:val="nil"/>
              <w:right w:val="nil"/>
            </w:tcBorders>
            <w:shd w:val="clear" w:color="auto" w:fill="auto"/>
            <w:noWrap/>
            <w:vAlign w:val="bottom"/>
            <w:hideMark/>
          </w:tcPr>
          <w:p w14:paraId="58D93D23" w14:textId="77777777" w:rsidR="00BD409A" w:rsidRPr="00AE52A4" w:rsidRDefault="00BD409A" w:rsidP="00731076">
            <w:pPr>
              <w:spacing w:after="0" w:line="240" w:lineRule="auto"/>
              <w:rPr>
                <w:rFonts w:ascii="Arial" w:eastAsia="Times New Roman" w:hAnsi="Arial" w:cs="Arial"/>
                <w:sz w:val="24"/>
                <w:szCs w:val="24"/>
                <w:lang w:val="es-UY"/>
              </w:rPr>
            </w:pPr>
            <w:r w:rsidRPr="00AE52A4">
              <w:rPr>
                <w:rFonts w:ascii="Arial" w:eastAsia="Times New Roman" w:hAnsi="Arial" w:cs="Arial"/>
                <w:sz w:val="24"/>
                <w:szCs w:val="24"/>
                <w:lang w:val="es-UY"/>
              </w:rPr>
              <w:t xml:space="preserve">Notas. </w:t>
            </w:r>
            <w:r w:rsidR="00731076" w:rsidRPr="00AE52A4">
              <w:rPr>
                <w:rFonts w:ascii="Arial" w:eastAsia="Times New Roman" w:hAnsi="Arial" w:cs="Arial"/>
                <w:sz w:val="24"/>
                <w:szCs w:val="24"/>
                <w:lang w:val="es-UY"/>
              </w:rPr>
              <w:t xml:space="preserve">CCF-I= Consideración de las Consecuencias Inmediatas; CCF-F= Consideración de las Consecuencias Futuras; </w:t>
            </w:r>
            <w:r w:rsidRPr="00AE52A4">
              <w:rPr>
                <w:rFonts w:ascii="Arial" w:eastAsia="Times New Roman" w:hAnsi="Arial" w:cs="Arial"/>
                <w:sz w:val="24"/>
                <w:szCs w:val="24"/>
                <w:lang w:val="es-UY"/>
              </w:rPr>
              <w:t xml:space="preserve">Todas las cargas son significativas con p &lt; .001, excepto por </w:t>
            </w:r>
            <w:r w:rsidRPr="00AE52A4">
              <w:rPr>
                <w:rFonts w:ascii="Arial" w:eastAsia="Times New Roman" w:hAnsi="Arial" w:cs="Arial"/>
                <w:sz w:val="24"/>
                <w:szCs w:val="24"/>
                <w:vertAlign w:val="superscript"/>
                <w:lang w:val="es-UY"/>
              </w:rPr>
              <w:t>(1)</w:t>
            </w:r>
            <w:r w:rsidRPr="00AE52A4">
              <w:rPr>
                <w:rFonts w:ascii="Arial" w:eastAsia="Times New Roman" w:hAnsi="Arial" w:cs="Arial"/>
                <w:sz w:val="24"/>
                <w:szCs w:val="24"/>
                <w:lang w:val="es-UY"/>
              </w:rPr>
              <w:t xml:space="preserve"> p </w:t>
            </w:r>
            <w:r w:rsidRPr="00AE52A4">
              <w:rPr>
                <w:rFonts w:ascii="Arial" w:hAnsi="Arial" w:cs="Arial"/>
                <w:sz w:val="24"/>
                <w:szCs w:val="24"/>
                <w:shd w:val="clear" w:color="auto" w:fill="FFFFFF"/>
                <w:lang w:val="es-UY"/>
              </w:rPr>
              <w:t>&gt; .05</w:t>
            </w:r>
            <w:r w:rsidRPr="00AE52A4">
              <w:rPr>
                <w:rFonts w:ascii="Arial" w:eastAsia="Times New Roman" w:hAnsi="Arial" w:cs="Arial"/>
                <w:sz w:val="24"/>
                <w:szCs w:val="24"/>
                <w:lang w:val="es-UY"/>
              </w:rPr>
              <w:t>.</w:t>
            </w:r>
          </w:p>
        </w:tc>
      </w:tr>
      <w:bookmarkEnd w:id="1"/>
    </w:tbl>
    <w:p w14:paraId="4B9ECB10" w14:textId="77777777" w:rsidR="00BD409A" w:rsidRPr="00AE52A4" w:rsidRDefault="00BD409A" w:rsidP="00731076">
      <w:pPr>
        <w:spacing w:line="240" w:lineRule="auto"/>
        <w:ind w:firstLine="708"/>
        <w:jc w:val="both"/>
        <w:rPr>
          <w:rFonts w:ascii="Arial" w:eastAsia="Arial" w:hAnsi="Arial" w:cs="Arial"/>
          <w:sz w:val="24"/>
          <w:szCs w:val="24"/>
          <w:lang w:val="es-UY"/>
        </w:rPr>
      </w:pPr>
    </w:p>
    <w:p w14:paraId="25E102D9" w14:textId="77777777" w:rsidR="00BD409A" w:rsidRPr="00AE52A4" w:rsidRDefault="00BD409A" w:rsidP="00731076">
      <w:pPr>
        <w:spacing w:line="240" w:lineRule="auto"/>
        <w:jc w:val="both"/>
        <w:rPr>
          <w:rFonts w:ascii="Arial" w:eastAsia="Arial" w:hAnsi="Arial" w:cs="Arial"/>
          <w:i/>
          <w:sz w:val="24"/>
          <w:szCs w:val="24"/>
          <w:lang w:val="es-UY"/>
        </w:rPr>
      </w:pPr>
      <w:r w:rsidRPr="00AE52A4">
        <w:rPr>
          <w:rFonts w:ascii="Arial" w:eastAsia="Arial" w:hAnsi="Arial" w:cs="Arial"/>
          <w:i/>
          <w:sz w:val="24"/>
          <w:szCs w:val="24"/>
          <w:lang w:val="es-UY"/>
        </w:rPr>
        <w:t xml:space="preserve">3.3. Puntajes de referencia a la norma. </w:t>
      </w:r>
    </w:p>
    <w:p w14:paraId="44371719" w14:textId="77777777" w:rsidR="00BD409A" w:rsidRPr="00AE52A4" w:rsidRDefault="00BD409A" w:rsidP="00731076">
      <w:pPr>
        <w:spacing w:line="240" w:lineRule="auto"/>
        <w:jc w:val="both"/>
        <w:rPr>
          <w:rFonts w:ascii="Arial" w:eastAsia="Arial" w:hAnsi="Arial" w:cs="Arial"/>
          <w:sz w:val="24"/>
          <w:szCs w:val="24"/>
          <w:lang w:val="es-UY"/>
        </w:rPr>
      </w:pPr>
      <w:r w:rsidRPr="00AE52A4">
        <w:rPr>
          <w:rFonts w:ascii="Arial" w:eastAsia="Arial" w:hAnsi="Arial" w:cs="Arial"/>
          <w:i/>
          <w:sz w:val="24"/>
          <w:szCs w:val="24"/>
          <w:lang w:val="es-UY"/>
        </w:rPr>
        <w:tab/>
      </w:r>
      <w:r w:rsidRPr="00AE52A4">
        <w:rPr>
          <w:rFonts w:ascii="Arial" w:eastAsia="Arial" w:hAnsi="Arial" w:cs="Arial"/>
          <w:sz w:val="24"/>
          <w:szCs w:val="24"/>
          <w:lang w:val="es-UY"/>
        </w:rPr>
        <w:t>Para proceder a establecer los puntajes de referencia a la norma de la ECCF en Montevideo, en primer lugar, analizamos posibles diferencias significativas según sexo y edad. Para esto, se realizó una comparación de medias según sexo que mostró diferencias estadísticamente significativas únicamente para CCF-I. Sobre este punto, se observa que, en promedio, los hombres reportan mayor CCF-I (M= 3.19; DT= 1.38) que las mujeres (M = 3.04; DT = 1.38). La diferencia es estadísticamente significativa t (1317) = 2.08, p &lt; .05).</w:t>
      </w:r>
    </w:p>
    <w:p w14:paraId="107DF2E0" w14:textId="17E452A9" w:rsidR="00BD409A" w:rsidRPr="00AE52A4" w:rsidRDefault="00BD409A" w:rsidP="00731076">
      <w:pPr>
        <w:spacing w:line="240" w:lineRule="auto"/>
        <w:ind w:firstLine="720"/>
        <w:jc w:val="both"/>
        <w:rPr>
          <w:rFonts w:ascii="Arial" w:eastAsia="Arial" w:hAnsi="Arial" w:cs="Arial"/>
          <w:sz w:val="24"/>
          <w:szCs w:val="24"/>
          <w:lang w:val="es-UY"/>
        </w:rPr>
      </w:pPr>
      <w:r w:rsidRPr="00AE52A4">
        <w:rPr>
          <w:rFonts w:ascii="Arial" w:eastAsia="Arial" w:hAnsi="Arial" w:cs="Arial"/>
          <w:sz w:val="24"/>
          <w:szCs w:val="24"/>
          <w:lang w:val="es-UY"/>
        </w:rPr>
        <w:t>Adicionalmente, realizamos un ANOVA por edad, para lo cual se establecieron cuatro grupos de edad (adult</w:t>
      </w:r>
      <w:r w:rsidR="00D177BB">
        <w:rPr>
          <w:rFonts w:ascii="Arial" w:eastAsia="Arial" w:hAnsi="Arial" w:cs="Arial"/>
          <w:sz w:val="24"/>
          <w:szCs w:val="24"/>
          <w:lang w:val="es-UY"/>
        </w:rPr>
        <w:t>ez</w:t>
      </w:r>
      <w:r w:rsidRPr="00AE52A4">
        <w:rPr>
          <w:rFonts w:ascii="Arial" w:eastAsia="Arial" w:hAnsi="Arial" w:cs="Arial"/>
          <w:sz w:val="24"/>
          <w:szCs w:val="24"/>
          <w:lang w:val="es-UY"/>
        </w:rPr>
        <w:t xml:space="preserve"> joven de 18 a 29 años; adult</w:t>
      </w:r>
      <w:r w:rsidR="00D177BB">
        <w:rPr>
          <w:rFonts w:ascii="Arial" w:eastAsia="Arial" w:hAnsi="Arial" w:cs="Arial"/>
          <w:sz w:val="24"/>
          <w:szCs w:val="24"/>
          <w:lang w:val="es-UY"/>
        </w:rPr>
        <w:t>ez</w:t>
      </w:r>
      <w:r w:rsidRPr="00AE52A4">
        <w:rPr>
          <w:rFonts w:ascii="Arial" w:eastAsia="Arial" w:hAnsi="Arial" w:cs="Arial"/>
          <w:sz w:val="24"/>
          <w:szCs w:val="24"/>
          <w:lang w:val="es-UY"/>
        </w:rPr>
        <w:t xml:space="preserve"> medi</w:t>
      </w:r>
      <w:r w:rsidR="00D177BB">
        <w:rPr>
          <w:rFonts w:ascii="Arial" w:eastAsia="Arial" w:hAnsi="Arial" w:cs="Arial"/>
          <w:sz w:val="24"/>
          <w:szCs w:val="24"/>
          <w:lang w:val="es-UY"/>
        </w:rPr>
        <w:t>a</w:t>
      </w:r>
      <w:r w:rsidRPr="00AE52A4">
        <w:rPr>
          <w:rFonts w:ascii="Arial" w:eastAsia="Arial" w:hAnsi="Arial" w:cs="Arial"/>
          <w:sz w:val="24"/>
          <w:szCs w:val="24"/>
          <w:lang w:val="es-UY"/>
        </w:rPr>
        <w:t xml:space="preserve"> 30 a 49, adultez tardía 50 a 65 y adultos mayores 66 o más). Las diferencias de media por tramo de edad son significativas únicamente en CCF-I: </w:t>
      </w:r>
      <w:r w:rsidRPr="00AE52A4">
        <w:rPr>
          <w:rFonts w:ascii="Arial" w:eastAsia="Arial" w:hAnsi="Arial" w:cs="Arial"/>
          <w:i/>
          <w:sz w:val="24"/>
          <w:szCs w:val="24"/>
          <w:lang w:val="es-UY"/>
        </w:rPr>
        <w:t>F</w:t>
      </w:r>
      <w:r w:rsidRPr="00AE52A4">
        <w:rPr>
          <w:rFonts w:ascii="Arial" w:eastAsia="Arial" w:hAnsi="Arial" w:cs="Arial"/>
          <w:sz w:val="24"/>
          <w:szCs w:val="24"/>
          <w:lang w:val="es-UY"/>
        </w:rPr>
        <w:t xml:space="preserve"> (3, 1314) = 7.71, </w:t>
      </w:r>
      <w:r w:rsidR="00731076" w:rsidRPr="00AE52A4">
        <w:rPr>
          <w:rFonts w:ascii="Arial" w:eastAsia="Arial" w:hAnsi="Arial" w:cs="Arial"/>
          <w:i/>
          <w:sz w:val="24"/>
          <w:szCs w:val="24"/>
          <w:lang w:val="es-UY"/>
        </w:rPr>
        <w:t>p</w:t>
      </w:r>
      <w:r w:rsidRPr="00AE52A4">
        <w:rPr>
          <w:rFonts w:ascii="Arial" w:eastAsia="Arial" w:hAnsi="Arial" w:cs="Arial"/>
          <w:sz w:val="24"/>
          <w:szCs w:val="24"/>
          <w:lang w:val="es-UY"/>
        </w:rPr>
        <w:t xml:space="preserve"> &lt;.001. Las diferencias, según la comparación </w:t>
      </w:r>
      <w:proofErr w:type="spellStart"/>
      <w:r w:rsidRPr="00AE52A4">
        <w:rPr>
          <w:rFonts w:ascii="Arial" w:eastAsia="Arial" w:hAnsi="Arial" w:cs="Arial"/>
          <w:sz w:val="24"/>
          <w:szCs w:val="24"/>
          <w:lang w:val="es-UY"/>
        </w:rPr>
        <w:t>post-hoc</w:t>
      </w:r>
      <w:proofErr w:type="spellEnd"/>
      <w:r w:rsidRPr="00AE52A4">
        <w:rPr>
          <w:rFonts w:ascii="Arial" w:eastAsia="Arial" w:hAnsi="Arial" w:cs="Arial"/>
          <w:sz w:val="24"/>
          <w:szCs w:val="24"/>
          <w:lang w:val="es-UY"/>
        </w:rPr>
        <w:t xml:space="preserve"> de </w:t>
      </w:r>
      <w:r w:rsidR="00062338">
        <w:rPr>
          <w:rFonts w:ascii="Arial" w:eastAsia="Arial" w:hAnsi="Arial" w:cs="Arial"/>
          <w:sz w:val="24"/>
          <w:szCs w:val="24"/>
          <w:lang w:val="es-UY"/>
        </w:rPr>
        <w:t>Tukey</w:t>
      </w:r>
      <w:r w:rsidRPr="00AE52A4">
        <w:rPr>
          <w:rFonts w:ascii="Arial" w:eastAsia="Arial" w:hAnsi="Arial" w:cs="Arial"/>
          <w:sz w:val="24"/>
          <w:szCs w:val="24"/>
          <w:lang w:val="es-UY"/>
        </w:rPr>
        <w:t xml:space="preserve"> son significativas entre adultos mayores (M=3.65; DT= 1.53) con: adultos jóvenes (M=3.02; DT=1.35) y adultos medios (M= 3.03; DT= 1.36).</w:t>
      </w:r>
    </w:p>
    <w:p w14:paraId="4ADB3837" w14:textId="3F0736B7" w:rsidR="00BD409A" w:rsidRPr="00AE52A4" w:rsidRDefault="00BD409A" w:rsidP="00731076">
      <w:pPr>
        <w:spacing w:line="240" w:lineRule="auto"/>
        <w:ind w:firstLine="720"/>
        <w:jc w:val="both"/>
        <w:rPr>
          <w:rFonts w:ascii="Arial" w:eastAsia="Arial" w:hAnsi="Arial" w:cs="Arial"/>
          <w:sz w:val="24"/>
          <w:szCs w:val="24"/>
          <w:lang w:val="es-UY"/>
        </w:rPr>
      </w:pPr>
      <w:r w:rsidRPr="00AE52A4">
        <w:rPr>
          <w:rFonts w:ascii="Arial" w:eastAsia="Arial" w:hAnsi="Arial" w:cs="Arial"/>
          <w:sz w:val="24"/>
          <w:szCs w:val="24"/>
          <w:lang w:val="es-UY"/>
        </w:rPr>
        <w:t>Por lo tanto, se establecieron los baremos para CCF-T</w:t>
      </w:r>
      <w:r w:rsidR="00601A2A">
        <w:rPr>
          <w:rFonts w:ascii="Arial" w:eastAsia="Arial" w:hAnsi="Arial" w:cs="Arial"/>
          <w:sz w:val="24"/>
          <w:szCs w:val="24"/>
          <w:lang w:val="es-UY"/>
        </w:rPr>
        <w:t>, CCF-I y</w:t>
      </w:r>
      <w:r w:rsidRPr="00AE52A4">
        <w:rPr>
          <w:rFonts w:ascii="Arial" w:eastAsia="Arial" w:hAnsi="Arial" w:cs="Arial"/>
          <w:sz w:val="24"/>
          <w:szCs w:val="24"/>
          <w:lang w:val="es-UY"/>
        </w:rPr>
        <w:t xml:space="preserve"> CCF-F en función de la población total. A su vez, se establecieron los baremos en base a criterios de edad y sexo para CCF-I. Los percentiles que corresponden a cada puntuación bruta pueden consultarse en el Anexo 1.</w:t>
      </w:r>
    </w:p>
    <w:p w14:paraId="570882B3" w14:textId="77777777" w:rsidR="00BD409A" w:rsidRPr="00AE52A4" w:rsidRDefault="00BD409A" w:rsidP="00731076">
      <w:pPr>
        <w:spacing w:line="240" w:lineRule="auto"/>
        <w:ind w:left="2160" w:hanging="2160"/>
        <w:jc w:val="both"/>
        <w:rPr>
          <w:rFonts w:ascii="Arial" w:eastAsia="Arial" w:hAnsi="Arial" w:cs="Arial"/>
          <w:i/>
          <w:sz w:val="24"/>
          <w:szCs w:val="24"/>
          <w:lang w:val="es-UY"/>
        </w:rPr>
      </w:pPr>
    </w:p>
    <w:p w14:paraId="7C8AFC5E" w14:textId="77777777" w:rsidR="00AE52A4" w:rsidRPr="00AE52A4" w:rsidRDefault="00AE52A4" w:rsidP="00731076">
      <w:pPr>
        <w:spacing w:line="240" w:lineRule="auto"/>
        <w:ind w:left="2160" w:hanging="2160"/>
        <w:jc w:val="both"/>
        <w:rPr>
          <w:rFonts w:ascii="Arial" w:eastAsia="Arial" w:hAnsi="Arial" w:cs="Arial"/>
          <w:i/>
          <w:sz w:val="24"/>
          <w:szCs w:val="24"/>
          <w:lang w:val="es-UY"/>
        </w:rPr>
      </w:pPr>
    </w:p>
    <w:p w14:paraId="7B009F33" w14:textId="77777777" w:rsidR="00BD409A" w:rsidRPr="00AE52A4" w:rsidRDefault="00BD409A" w:rsidP="00731076">
      <w:pPr>
        <w:spacing w:line="240" w:lineRule="auto"/>
        <w:jc w:val="both"/>
        <w:rPr>
          <w:rFonts w:ascii="Arial" w:eastAsia="Arial" w:hAnsi="Arial" w:cs="Arial"/>
          <w:sz w:val="24"/>
          <w:szCs w:val="24"/>
          <w:lang w:val="es-UY"/>
        </w:rPr>
        <w:sectPr w:rsidR="00BD409A" w:rsidRPr="00AE52A4">
          <w:pgSz w:w="11906" w:h="16838"/>
          <w:pgMar w:top="1440" w:right="1440" w:bottom="1440" w:left="1440" w:header="708" w:footer="708" w:gutter="0"/>
          <w:cols w:space="708"/>
          <w:docGrid w:linePitch="360"/>
        </w:sectPr>
      </w:pPr>
    </w:p>
    <w:p w14:paraId="61E86DDF" w14:textId="77777777" w:rsidR="00AE52A4" w:rsidRPr="00AE52A4" w:rsidRDefault="00AE52A4" w:rsidP="00AE52A4">
      <w:pPr>
        <w:spacing w:line="240" w:lineRule="auto"/>
        <w:jc w:val="both"/>
        <w:rPr>
          <w:rFonts w:ascii="Arial" w:eastAsia="Arial" w:hAnsi="Arial" w:cs="Arial"/>
          <w:i/>
          <w:sz w:val="24"/>
          <w:szCs w:val="24"/>
          <w:lang w:val="es-UY"/>
        </w:rPr>
      </w:pPr>
      <w:r w:rsidRPr="00AE52A4">
        <w:rPr>
          <w:rFonts w:ascii="Arial" w:eastAsia="Arial" w:hAnsi="Arial" w:cs="Arial"/>
          <w:i/>
          <w:sz w:val="24"/>
          <w:szCs w:val="24"/>
          <w:lang w:val="es-UY"/>
        </w:rPr>
        <w:lastRenderedPageBreak/>
        <w:t>3.4. Distribución territorial de las puntuaciones de CCF</w:t>
      </w:r>
    </w:p>
    <w:p w14:paraId="2CCBF814" w14:textId="1B1625E1" w:rsidR="00BD409A" w:rsidRPr="0008108E" w:rsidRDefault="00BD409A" w:rsidP="00601A2A">
      <w:pPr>
        <w:ind w:firstLine="720"/>
        <w:rPr>
          <w:lang w:val="es-UY"/>
        </w:rPr>
      </w:pPr>
      <w:r w:rsidRPr="00AE52A4">
        <w:rPr>
          <w:rFonts w:ascii="Arial" w:eastAsia="Arial" w:hAnsi="Arial" w:cs="Arial"/>
          <w:sz w:val="24"/>
          <w:szCs w:val="24"/>
          <w:lang w:val="es-UY"/>
        </w:rPr>
        <w:t xml:space="preserve">En la Tabla </w:t>
      </w:r>
      <w:r w:rsidR="00731076" w:rsidRPr="00AE52A4">
        <w:rPr>
          <w:rFonts w:ascii="Arial" w:eastAsia="Arial" w:hAnsi="Arial" w:cs="Arial"/>
          <w:sz w:val="24"/>
          <w:szCs w:val="24"/>
          <w:lang w:val="es-UY"/>
        </w:rPr>
        <w:t>4</w:t>
      </w:r>
      <w:r w:rsidRPr="00AE52A4">
        <w:rPr>
          <w:rFonts w:ascii="Arial" w:eastAsia="Arial" w:hAnsi="Arial" w:cs="Arial"/>
          <w:sz w:val="24"/>
          <w:szCs w:val="24"/>
          <w:lang w:val="es-UY"/>
        </w:rPr>
        <w:t xml:space="preserve"> pueden verse las medias en las puntuaciones de CCF y nivel educativo según </w:t>
      </w:r>
      <w:r w:rsidR="009D0DD3">
        <w:rPr>
          <w:rFonts w:ascii="Arial" w:eastAsia="Arial" w:hAnsi="Arial" w:cs="Arial"/>
          <w:sz w:val="24"/>
          <w:szCs w:val="24"/>
          <w:lang w:val="es-UY"/>
        </w:rPr>
        <w:t>grupo zonal</w:t>
      </w:r>
      <w:r w:rsidR="009D0DD3" w:rsidRPr="00AE52A4">
        <w:rPr>
          <w:rFonts w:ascii="Arial" w:eastAsia="Arial" w:hAnsi="Arial" w:cs="Arial"/>
          <w:sz w:val="24"/>
          <w:szCs w:val="24"/>
          <w:lang w:val="es-UY"/>
        </w:rPr>
        <w:t xml:space="preserve"> </w:t>
      </w:r>
      <w:r w:rsidR="00A33A95">
        <w:rPr>
          <w:rFonts w:ascii="Arial" w:eastAsia="Arial" w:hAnsi="Arial" w:cs="Arial"/>
          <w:sz w:val="24"/>
          <w:szCs w:val="24"/>
          <w:lang w:val="es-UY"/>
        </w:rPr>
        <w:t>(</w:t>
      </w:r>
      <w:r w:rsidRPr="00AE52A4">
        <w:rPr>
          <w:rFonts w:ascii="Arial" w:eastAsia="Arial" w:hAnsi="Arial" w:cs="Arial"/>
          <w:sz w:val="24"/>
          <w:szCs w:val="24"/>
          <w:lang w:val="es-UY"/>
        </w:rPr>
        <w:t xml:space="preserve">ordenados de menor a mayor </w:t>
      </w:r>
      <w:r w:rsidR="0008108E">
        <w:rPr>
          <w:rFonts w:ascii="Arial" w:eastAsia="Arial" w:hAnsi="Arial" w:cs="Arial"/>
          <w:sz w:val="24"/>
          <w:szCs w:val="24"/>
          <w:lang w:val="es-UY"/>
        </w:rPr>
        <w:t xml:space="preserve">según el valor medio </w:t>
      </w:r>
      <w:r w:rsidR="009D0DD3">
        <w:rPr>
          <w:rFonts w:ascii="Arial" w:eastAsia="Arial" w:hAnsi="Arial" w:cs="Arial"/>
          <w:sz w:val="24"/>
          <w:szCs w:val="24"/>
          <w:lang w:val="es-UY"/>
        </w:rPr>
        <w:t>de los inmuebles</w:t>
      </w:r>
      <w:r w:rsidR="00A33A95">
        <w:rPr>
          <w:rFonts w:ascii="Arial" w:eastAsia="Arial" w:hAnsi="Arial" w:cs="Arial"/>
          <w:sz w:val="24"/>
          <w:szCs w:val="24"/>
          <w:lang w:val="es-UY"/>
        </w:rPr>
        <w:t xml:space="preserve"> </w:t>
      </w:r>
      <w:r w:rsidR="00A33A95" w:rsidRPr="00AE52A4">
        <w:rPr>
          <w:rFonts w:ascii="Arial" w:eastAsia="Arial" w:hAnsi="Arial" w:cs="Arial"/>
          <w:sz w:val="24"/>
          <w:szCs w:val="24"/>
          <w:lang w:val="es-UY"/>
        </w:rPr>
        <w:t xml:space="preserve">de acuerdo a la clasificación de </w:t>
      </w:r>
      <w:r w:rsidR="00A33A95" w:rsidRPr="00B718E2">
        <w:rPr>
          <w:rFonts w:ascii="Arial" w:eastAsia="Arial" w:hAnsi="Arial" w:cs="Arial"/>
          <w:sz w:val="24"/>
          <w:szCs w:val="24"/>
          <w:lang w:val="es-UY"/>
        </w:rPr>
        <w:fldChar w:fldCharType="begin" w:fldLock="1"/>
      </w:r>
      <w:r w:rsidR="00A33A95">
        <w:rPr>
          <w:rFonts w:ascii="Arial" w:eastAsia="Arial" w:hAnsi="Arial" w:cs="Arial"/>
          <w:sz w:val="24"/>
          <w:szCs w:val="24"/>
          <w:lang w:val="es-UY"/>
        </w:rPr>
        <w:instrText>ADDIN CSL_CITATION {"citationItems":[{"id":"ITEM-1","itemData":{"author":[{"dropping-particle":"","family":"Ponce","given":"Jorge","non-dropping-particle":"","parse-names":false,"suffix":""},{"dropping-particle":"","family":"Tubbio","given":"Magdalena","non-dropping-particle":"","parse-names":false,"suffix":""}],"container-title":"Documento de trabajo del Banco Central del Uruguay","id":"ITEM-1","issued":{"date-parts":[["2013"]]},"title":"Precios de inmuebles: aproximaciones metodológicas y aplicación empírica","type":"article-journal"},"uris":["http://www.mendeley.com/documents/?uuid=7bbb79bf-c863-4bd9-b802-8748e1d46c06"]}],"mendeley":{"formattedCitation":"(Ponce &amp; Tubbio, 2013)","manualFormatting":"Ponce &amp; Tubbio, 2013)","plainTextFormattedCitation":"(Ponce &amp; Tubbio, 2013)"},"properties":{"noteIndex":0},"schema":"https://github.com/citation-style-language/schema/raw/master/csl-citation.json"}</w:instrText>
      </w:r>
      <w:r w:rsidR="00A33A95" w:rsidRPr="00B718E2">
        <w:rPr>
          <w:rFonts w:ascii="Arial" w:eastAsia="Arial" w:hAnsi="Arial" w:cs="Arial"/>
          <w:sz w:val="24"/>
          <w:szCs w:val="24"/>
          <w:lang w:val="es-UY"/>
        </w:rPr>
        <w:fldChar w:fldCharType="separate"/>
      </w:r>
      <w:r w:rsidR="00A33A95" w:rsidRPr="00B718E2">
        <w:rPr>
          <w:rFonts w:ascii="Arial" w:eastAsia="Arial" w:hAnsi="Arial" w:cs="Arial"/>
          <w:sz w:val="24"/>
          <w:szCs w:val="24"/>
          <w:lang w:val="es-UY"/>
        </w:rPr>
        <w:t>Ponce &amp; Tubbio</w:t>
      </w:r>
      <w:r w:rsidR="00A33A95">
        <w:rPr>
          <w:rFonts w:ascii="Arial" w:eastAsia="Arial" w:hAnsi="Arial" w:cs="Arial"/>
          <w:sz w:val="24"/>
          <w:szCs w:val="24"/>
          <w:lang w:val="es-UY"/>
        </w:rPr>
        <w:t xml:space="preserve">, </w:t>
      </w:r>
      <w:r w:rsidR="00A33A95" w:rsidRPr="00B718E2">
        <w:rPr>
          <w:rFonts w:ascii="Arial" w:eastAsia="Arial" w:hAnsi="Arial" w:cs="Arial"/>
          <w:sz w:val="24"/>
          <w:szCs w:val="24"/>
          <w:lang w:val="es-UY"/>
        </w:rPr>
        <w:t>2013)</w:t>
      </w:r>
      <w:r w:rsidR="00A33A95" w:rsidRPr="00B718E2">
        <w:rPr>
          <w:rFonts w:ascii="Arial" w:eastAsia="Arial" w:hAnsi="Arial" w:cs="Arial"/>
          <w:sz w:val="24"/>
          <w:szCs w:val="24"/>
          <w:lang w:val="es-UY"/>
        </w:rPr>
        <w:fldChar w:fldCharType="end"/>
      </w:r>
      <w:r w:rsidRPr="00AE52A4">
        <w:rPr>
          <w:rFonts w:ascii="Arial" w:eastAsia="Arial" w:hAnsi="Arial" w:cs="Arial"/>
          <w:sz w:val="24"/>
          <w:szCs w:val="24"/>
          <w:lang w:val="es-UY"/>
        </w:rPr>
        <w:t xml:space="preserve">. De forma general, se observa que </w:t>
      </w:r>
      <w:r w:rsidR="00E51B48">
        <w:rPr>
          <w:rFonts w:ascii="Arial" w:eastAsia="Arial" w:hAnsi="Arial" w:cs="Arial"/>
          <w:sz w:val="24"/>
          <w:szCs w:val="24"/>
          <w:lang w:val="es-UY"/>
        </w:rPr>
        <w:t>los</w:t>
      </w:r>
      <w:r w:rsidRPr="00AE52A4">
        <w:rPr>
          <w:rFonts w:ascii="Arial" w:eastAsia="Arial" w:hAnsi="Arial" w:cs="Arial"/>
          <w:sz w:val="24"/>
          <w:szCs w:val="24"/>
          <w:lang w:val="es-UY"/>
        </w:rPr>
        <w:t xml:space="preserve"> </w:t>
      </w:r>
      <w:r w:rsidR="009D0DD3">
        <w:rPr>
          <w:rFonts w:ascii="Arial" w:eastAsia="Arial" w:hAnsi="Arial" w:cs="Arial"/>
          <w:sz w:val="24"/>
          <w:szCs w:val="24"/>
          <w:lang w:val="es-UY"/>
        </w:rPr>
        <w:t>grupo</w:t>
      </w:r>
      <w:r w:rsidR="00E51B48">
        <w:rPr>
          <w:rFonts w:ascii="Arial" w:eastAsia="Arial" w:hAnsi="Arial" w:cs="Arial"/>
          <w:sz w:val="24"/>
          <w:szCs w:val="24"/>
          <w:lang w:val="es-UY"/>
        </w:rPr>
        <w:t>s</w:t>
      </w:r>
      <w:r w:rsidR="009D0DD3">
        <w:rPr>
          <w:rFonts w:ascii="Arial" w:eastAsia="Arial" w:hAnsi="Arial" w:cs="Arial"/>
          <w:sz w:val="24"/>
          <w:szCs w:val="24"/>
          <w:lang w:val="es-UY"/>
        </w:rPr>
        <w:t xml:space="preserve"> zonal</w:t>
      </w:r>
      <w:r w:rsidR="00E51B48">
        <w:rPr>
          <w:rFonts w:ascii="Arial" w:eastAsia="Arial" w:hAnsi="Arial" w:cs="Arial"/>
          <w:sz w:val="24"/>
          <w:szCs w:val="24"/>
          <w:lang w:val="es-UY"/>
        </w:rPr>
        <w:t>es</w:t>
      </w:r>
      <w:r w:rsidR="009D0DD3">
        <w:rPr>
          <w:rFonts w:ascii="Arial" w:eastAsia="Arial" w:hAnsi="Arial" w:cs="Arial"/>
          <w:sz w:val="24"/>
          <w:szCs w:val="24"/>
          <w:lang w:val="es-UY"/>
        </w:rPr>
        <w:t xml:space="preserve"> </w:t>
      </w:r>
      <w:r w:rsidRPr="00AE52A4">
        <w:rPr>
          <w:rFonts w:ascii="Arial" w:eastAsia="Arial" w:hAnsi="Arial" w:cs="Arial"/>
          <w:sz w:val="24"/>
          <w:szCs w:val="24"/>
          <w:lang w:val="es-UY"/>
        </w:rPr>
        <w:t>de mayor opulencia</w:t>
      </w:r>
      <w:r w:rsidR="004978D6" w:rsidRPr="0008108E">
        <w:rPr>
          <w:rFonts w:ascii="Arial" w:eastAsia="Arial" w:hAnsi="Arial" w:cs="Arial"/>
          <w:sz w:val="24"/>
          <w:szCs w:val="24"/>
          <w:lang w:val="es-UY"/>
        </w:rPr>
        <w:t xml:space="preserve">, </w:t>
      </w:r>
      <w:r w:rsidRPr="00AE52A4">
        <w:rPr>
          <w:rFonts w:ascii="Arial" w:eastAsia="Arial" w:hAnsi="Arial" w:cs="Arial"/>
          <w:sz w:val="24"/>
          <w:szCs w:val="24"/>
          <w:lang w:val="es-UY"/>
        </w:rPr>
        <w:t>presenta</w:t>
      </w:r>
      <w:r w:rsidR="00E51B48">
        <w:rPr>
          <w:rFonts w:ascii="Arial" w:eastAsia="Arial" w:hAnsi="Arial" w:cs="Arial"/>
          <w:sz w:val="24"/>
          <w:szCs w:val="24"/>
          <w:lang w:val="es-UY"/>
        </w:rPr>
        <w:t>n</w:t>
      </w:r>
      <w:r w:rsidRPr="00AE52A4">
        <w:rPr>
          <w:rFonts w:ascii="Arial" w:eastAsia="Arial" w:hAnsi="Arial" w:cs="Arial"/>
          <w:sz w:val="24"/>
          <w:szCs w:val="24"/>
          <w:lang w:val="es-UY"/>
        </w:rPr>
        <w:t xml:space="preserve"> puntajes más bajos en CCF-I</w:t>
      </w:r>
      <w:r w:rsidR="00A33A95">
        <w:rPr>
          <w:rFonts w:ascii="Arial" w:eastAsia="Arial" w:hAnsi="Arial" w:cs="Arial"/>
          <w:sz w:val="24"/>
          <w:szCs w:val="24"/>
          <w:lang w:val="es-UY"/>
        </w:rPr>
        <w:t>,</w:t>
      </w:r>
      <w:r w:rsidRPr="00AE52A4">
        <w:rPr>
          <w:rFonts w:ascii="Arial" w:eastAsia="Arial" w:hAnsi="Arial" w:cs="Arial"/>
          <w:sz w:val="24"/>
          <w:szCs w:val="24"/>
          <w:lang w:val="es-UY"/>
        </w:rPr>
        <w:t xml:space="preserve"> más altos en CCF-</w:t>
      </w:r>
      <w:r w:rsidR="00E51B48" w:rsidRPr="00AE52A4">
        <w:rPr>
          <w:rFonts w:ascii="Arial" w:eastAsia="Arial" w:hAnsi="Arial" w:cs="Arial"/>
          <w:sz w:val="24"/>
          <w:szCs w:val="24"/>
          <w:lang w:val="es-UY"/>
        </w:rPr>
        <w:t>F y</w:t>
      </w:r>
      <w:r w:rsidR="0008108E">
        <w:rPr>
          <w:rFonts w:ascii="Arial" w:eastAsia="Arial" w:hAnsi="Arial" w:cs="Arial"/>
          <w:sz w:val="24"/>
          <w:szCs w:val="24"/>
          <w:lang w:val="es-UY"/>
        </w:rPr>
        <w:t xml:space="preserve"> mayor</w:t>
      </w:r>
      <w:r w:rsidRPr="00AE52A4">
        <w:rPr>
          <w:rFonts w:ascii="Arial" w:eastAsia="Arial" w:hAnsi="Arial" w:cs="Arial"/>
          <w:sz w:val="24"/>
          <w:szCs w:val="24"/>
          <w:lang w:val="es-UY"/>
        </w:rPr>
        <w:t xml:space="preserve"> nivel educativo. Por el contrario, </w:t>
      </w:r>
      <w:r w:rsidR="006E78F6">
        <w:rPr>
          <w:rFonts w:ascii="Arial" w:eastAsia="Arial" w:hAnsi="Arial" w:cs="Arial"/>
          <w:sz w:val="24"/>
          <w:szCs w:val="24"/>
          <w:lang w:val="es-UY"/>
        </w:rPr>
        <w:t>los grupos zonales 1 y 2 (los de menor valor inmobiliario)</w:t>
      </w:r>
      <w:r w:rsidR="009D0DD3" w:rsidRPr="00AE52A4">
        <w:rPr>
          <w:rFonts w:ascii="Arial" w:eastAsia="Arial" w:hAnsi="Arial" w:cs="Arial"/>
          <w:sz w:val="24"/>
          <w:szCs w:val="24"/>
          <w:lang w:val="es-UY"/>
        </w:rPr>
        <w:t xml:space="preserve"> </w:t>
      </w:r>
      <w:r w:rsidR="006E78F6">
        <w:rPr>
          <w:rFonts w:ascii="Arial" w:eastAsia="Arial" w:hAnsi="Arial" w:cs="Arial"/>
          <w:sz w:val="24"/>
          <w:szCs w:val="24"/>
          <w:lang w:val="es-UY"/>
        </w:rPr>
        <w:t xml:space="preserve">son los que </w:t>
      </w:r>
      <w:r w:rsidRPr="00AE52A4">
        <w:rPr>
          <w:rFonts w:ascii="Arial" w:eastAsia="Arial" w:hAnsi="Arial" w:cs="Arial"/>
          <w:sz w:val="24"/>
          <w:szCs w:val="24"/>
          <w:lang w:val="es-UY"/>
        </w:rPr>
        <w:t>presenta</w:t>
      </w:r>
      <w:r w:rsidR="006E78F6">
        <w:rPr>
          <w:rFonts w:ascii="Arial" w:eastAsia="Arial" w:hAnsi="Arial" w:cs="Arial"/>
          <w:sz w:val="24"/>
          <w:szCs w:val="24"/>
          <w:lang w:val="es-UY"/>
        </w:rPr>
        <w:t>n</w:t>
      </w:r>
      <w:r w:rsidRPr="00AE52A4">
        <w:rPr>
          <w:rFonts w:ascii="Arial" w:eastAsia="Arial" w:hAnsi="Arial" w:cs="Arial"/>
          <w:sz w:val="24"/>
          <w:szCs w:val="24"/>
          <w:lang w:val="es-UY"/>
        </w:rPr>
        <w:t xml:space="preserve"> mayor </w:t>
      </w:r>
      <w:r w:rsidR="006E78F6">
        <w:rPr>
          <w:rFonts w:ascii="Arial" w:eastAsia="Arial" w:hAnsi="Arial" w:cs="Arial"/>
          <w:sz w:val="24"/>
          <w:szCs w:val="24"/>
          <w:lang w:val="es-UY"/>
        </w:rPr>
        <w:t>C</w:t>
      </w:r>
      <w:r w:rsidR="00533A51">
        <w:rPr>
          <w:rFonts w:ascii="Arial" w:eastAsia="Arial" w:hAnsi="Arial" w:cs="Arial"/>
          <w:sz w:val="24"/>
          <w:szCs w:val="24"/>
          <w:lang w:val="es-UY"/>
        </w:rPr>
        <w:t>CF</w:t>
      </w:r>
      <w:r w:rsidR="006E78F6">
        <w:rPr>
          <w:rFonts w:ascii="Arial" w:eastAsia="Arial" w:hAnsi="Arial" w:cs="Arial"/>
          <w:sz w:val="24"/>
          <w:szCs w:val="24"/>
          <w:lang w:val="es-UY"/>
        </w:rPr>
        <w:t xml:space="preserve">-I </w:t>
      </w:r>
      <w:r w:rsidRPr="00AE52A4">
        <w:rPr>
          <w:rFonts w:ascii="Arial" w:eastAsia="Arial" w:hAnsi="Arial" w:cs="Arial"/>
          <w:sz w:val="24"/>
          <w:szCs w:val="24"/>
          <w:lang w:val="es-UY"/>
        </w:rPr>
        <w:t xml:space="preserve">y menor </w:t>
      </w:r>
      <w:r w:rsidR="006E78F6">
        <w:rPr>
          <w:rFonts w:ascii="Arial" w:eastAsia="Arial" w:hAnsi="Arial" w:cs="Arial"/>
          <w:sz w:val="24"/>
          <w:szCs w:val="24"/>
          <w:lang w:val="es-UY"/>
        </w:rPr>
        <w:t>CCF-F, así como menor</w:t>
      </w:r>
      <w:r w:rsidRPr="00AE52A4">
        <w:rPr>
          <w:rFonts w:ascii="Arial" w:eastAsia="Arial" w:hAnsi="Arial" w:cs="Arial"/>
          <w:sz w:val="24"/>
          <w:szCs w:val="24"/>
          <w:lang w:val="es-UY"/>
        </w:rPr>
        <w:t xml:space="preserve"> nivel educativo.</w:t>
      </w:r>
      <w:r w:rsidR="00E51B48">
        <w:rPr>
          <w:rFonts w:ascii="Arial" w:eastAsia="Arial" w:hAnsi="Arial" w:cs="Arial"/>
          <w:sz w:val="24"/>
          <w:szCs w:val="24"/>
          <w:lang w:val="es-UY"/>
        </w:rPr>
        <w:t xml:space="preserve"> </w:t>
      </w:r>
      <w:r w:rsidR="006E78F6">
        <w:rPr>
          <w:rFonts w:ascii="Arial" w:eastAsia="Arial" w:hAnsi="Arial" w:cs="Arial"/>
          <w:sz w:val="24"/>
          <w:szCs w:val="24"/>
          <w:lang w:val="es-UY"/>
        </w:rPr>
        <w:t>El cambio de tendencia se da a partir del</w:t>
      </w:r>
      <w:r w:rsidR="00E51B48">
        <w:rPr>
          <w:rFonts w:ascii="Arial" w:eastAsia="Arial" w:hAnsi="Arial" w:cs="Arial"/>
          <w:sz w:val="24"/>
          <w:szCs w:val="24"/>
          <w:lang w:val="es-UY"/>
        </w:rPr>
        <w:t xml:space="preserve"> grupo zonal 3.</w:t>
      </w:r>
    </w:p>
    <w:p w14:paraId="27F8D89B" w14:textId="77777777" w:rsidR="00BD409A" w:rsidRPr="00AE52A4" w:rsidRDefault="00BD409A" w:rsidP="00731076">
      <w:pPr>
        <w:spacing w:line="240" w:lineRule="auto"/>
        <w:jc w:val="both"/>
        <w:rPr>
          <w:rFonts w:ascii="Arial" w:eastAsia="Arial" w:hAnsi="Arial" w:cs="Arial"/>
          <w:sz w:val="24"/>
          <w:szCs w:val="24"/>
          <w:lang w:val="es-UY"/>
        </w:rPr>
      </w:pPr>
    </w:p>
    <w:p w14:paraId="109A74C6" w14:textId="77777777" w:rsidR="00BD409A" w:rsidRPr="00AE52A4" w:rsidRDefault="00BD409A" w:rsidP="00731076">
      <w:pPr>
        <w:spacing w:line="240" w:lineRule="auto"/>
        <w:jc w:val="both"/>
        <w:rPr>
          <w:rFonts w:ascii="Arial" w:eastAsia="Arial" w:hAnsi="Arial" w:cs="Arial"/>
          <w:iCs/>
          <w:sz w:val="24"/>
          <w:szCs w:val="24"/>
          <w:lang w:val="es-UY"/>
        </w:rPr>
      </w:pPr>
      <w:r w:rsidRPr="00AE52A4">
        <w:rPr>
          <w:rFonts w:ascii="Arial" w:eastAsia="Arial" w:hAnsi="Arial" w:cs="Arial"/>
          <w:iCs/>
          <w:sz w:val="24"/>
          <w:szCs w:val="24"/>
          <w:lang w:val="es-UY"/>
        </w:rPr>
        <w:t xml:space="preserve">Tabla </w:t>
      </w:r>
      <w:r w:rsidR="00731076" w:rsidRPr="00AE52A4">
        <w:rPr>
          <w:rFonts w:ascii="Arial" w:eastAsia="Arial" w:hAnsi="Arial" w:cs="Arial"/>
          <w:iCs/>
          <w:sz w:val="24"/>
          <w:szCs w:val="24"/>
          <w:lang w:val="es-UY"/>
        </w:rPr>
        <w:t>4</w:t>
      </w:r>
    </w:p>
    <w:p w14:paraId="107E87D4" w14:textId="1A1BABE1" w:rsidR="00BD409A" w:rsidRDefault="00BD409A" w:rsidP="00731076">
      <w:pPr>
        <w:spacing w:line="240" w:lineRule="auto"/>
        <w:jc w:val="both"/>
        <w:rPr>
          <w:rFonts w:ascii="Arial" w:eastAsia="Arial" w:hAnsi="Arial" w:cs="Arial"/>
          <w:i/>
          <w:sz w:val="24"/>
          <w:szCs w:val="24"/>
          <w:lang w:val="es-UY"/>
        </w:rPr>
      </w:pPr>
      <w:r w:rsidRPr="00AE52A4">
        <w:rPr>
          <w:rFonts w:ascii="Arial" w:eastAsia="Arial" w:hAnsi="Arial" w:cs="Arial"/>
          <w:i/>
          <w:sz w:val="24"/>
          <w:szCs w:val="24"/>
          <w:lang w:val="es-UY"/>
        </w:rPr>
        <w:t xml:space="preserve">Consideración de las consecuencias futuras y nivel educativo según </w:t>
      </w:r>
      <w:r w:rsidR="004978D6">
        <w:rPr>
          <w:rFonts w:ascii="Arial" w:eastAsia="Arial" w:hAnsi="Arial" w:cs="Arial"/>
          <w:i/>
          <w:sz w:val="24"/>
          <w:szCs w:val="24"/>
          <w:lang w:val="es-UY"/>
        </w:rPr>
        <w:t xml:space="preserve">grupo zonal </w:t>
      </w:r>
      <w:r w:rsidR="00C4485A">
        <w:rPr>
          <w:rFonts w:ascii="Arial" w:eastAsia="Arial" w:hAnsi="Arial" w:cs="Arial"/>
          <w:i/>
          <w:sz w:val="24"/>
          <w:szCs w:val="24"/>
          <w:lang w:val="es-UY"/>
        </w:rPr>
        <w:t>(</w:t>
      </w:r>
      <w:r w:rsidR="004978D6">
        <w:rPr>
          <w:rFonts w:ascii="Arial" w:eastAsia="Arial" w:hAnsi="Arial" w:cs="Arial"/>
          <w:i/>
          <w:sz w:val="24"/>
          <w:szCs w:val="24"/>
          <w:lang w:val="es-UY"/>
        </w:rPr>
        <w:t>ordena</w:t>
      </w:r>
      <w:r w:rsidR="0008108E">
        <w:rPr>
          <w:rFonts w:ascii="Arial" w:eastAsia="Arial" w:hAnsi="Arial" w:cs="Arial"/>
          <w:i/>
          <w:sz w:val="24"/>
          <w:szCs w:val="24"/>
          <w:lang w:val="es-UY"/>
        </w:rPr>
        <w:t>d</w:t>
      </w:r>
      <w:r w:rsidR="004978D6">
        <w:rPr>
          <w:rFonts w:ascii="Arial" w:eastAsia="Arial" w:hAnsi="Arial" w:cs="Arial"/>
          <w:i/>
          <w:sz w:val="24"/>
          <w:szCs w:val="24"/>
          <w:lang w:val="es-UY"/>
        </w:rPr>
        <w:t xml:space="preserve">os de menor a mayor valor </w:t>
      </w:r>
      <w:r w:rsidR="006E78F6">
        <w:rPr>
          <w:rFonts w:ascii="Arial" w:eastAsia="Arial" w:hAnsi="Arial" w:cs="Arial"/>
          <w:i/>
          <w:sz w:val="24"/>
          <w:szCs w:val="24"/>
          <w:lang w:val="es-UY"/>
        </w:rPr>
        <w:t>inmobiliario</w:t>
      </w:r>
      <w:r w:rsidR="00C4485A">
        <w:rPr>
          <w:rFonts w:ascii="Arial" w:eastAsia="Arial" w:hAnsi="Arial" w:cs="Arial"/>
          <w:i/>
          <w:sz w:val="24"/>
          <w:szCs w:val="24"/>
          <w:lang w:val="es-UY"/>
        </w:rPr>
        <w:t>)</w:t>
      </w:r>
    </w:p>
    <w:tbl>
      <w:tblPr>
        <w:tblW w:w="9960" w:type="dxa"/>
        <w:tblCellMar>
          <w:left w:w="70" w:type="dxa"/>
          <w:right w:w="70" w:type="dxa"/>
        </w:tblCellMar>
        <w:tblLook w:val="04A0" w:firstRow="1" w:lastRow="0" w:firstColumn="1" w:lastColumn="0" w:noHBand="0" w:noVBand="1"/>
      </w:tblPr>
      <w:tblGrid>
        <w:gridCol w:w="1560"/>
        <w:gridCol w:w="1200"/>
        <w:gridCol w:w="1200"/>
        <w:gridCol w:w="1200"/>
        <w:gridCol w:w="1200"/>
        <w:gridCol w:w="1200"/>
        <w:gridCol w:w="1200"/>
        <w:gridCol w:w="1200"/>
      </w:tblGrid>
      <w:tr w:rsidR="00940AAB" w:rsidRPr="00940AAB" w14:paraId="0A00368B" w14:textId="77777777" w:rsidTr="00533A51">
        <w:trPr>
          <w:trHeight w:val="300"/>
        </w:trPr>
        <w:tc>
          <w:tcPr>
            <w:tcW w:w="1560" w:type="dxa"/>
            <w:tcBorders>
              <w:top w:val="single" w:sz="4" w:space="0" w:color="auto"/>
              <w:left w:val="nil"/>
              <w:bottom w:val="single" w:sz="4" w:space="0" w:color="auto"/>
              <w:right w:val="nil"/>
            </w:tcBorders>
            <w:shd w:val="clear" w:color="000000" w:fill="FFFFFF"/>
            <w:vAlign w:val="center"/>
            <w:hideMark/>
          </w:tcPr>
          <w:p w14:paraId="17BC777E" w14:textId="77777777" w:rsidR="00940AAB" w:rsidRPr="00940AAB" w:rsidRDefault="00940AAB" w:rsidP="000A1C0B">
            <w:pPr>
              <w:spacing w:after="0" w:line="240" w:lineRule="auto"/>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 </w:t>
            </w:r>
          </w:p>
        </w:tc>
        <w:tc>
          <w:tcPr>
            <w:tcW w:w="1200" w:type="dxa"/>
            <w:tcBorders>
              <w:top w:val="single" w:sz="4" w:space="0" w:color="auto"/>
              <w:left w:val="nil"/>
              <w:bottom w:val="single" w:sz="4" w:space="0" w:color="auto"/>
              <w:right w:val="nil"/>
            </w:tcBorders>
            <w:shd w:val="clear" w:color="000000" w:fill="FFFFFF"/>
            <w:vAlign w:val="center"/>
            <w:hideMark/>
          </w:tcPr>
          <w:p w14:paraId="3440DF29" w14:textId="77777777" w:rsidR="00940AAB" w:rsidRDefault="00940AAB" w:rsidP="000A1C0B">
            <w:pPr>
              <w:spacing w:after="0" w:line="240" w:lineRule="auto"/>
              <w:jc w:val="center"/>
              <w:rPr>
                <w:rFonts w:ascii="Arial" w:eastAsia="Times New Roman" w:hAnsi="Arial" w:cs="Arial"/>
                <w:color w:val="000000"/>
                <w:lang w:val="es-UY" w:eastAsia="es-UY"/>
              </w:rPr>
            </w:pPr>
            <w:r w:rsidRPr="007C5FA5">
              <w:rPr>
                <w:rFonts w:ascii="Arial" w:eastAsia="Times New Roman" w:hAnsi="Arial" w:cs="Arial"/>
                <w:color w:val="000000"/>
                <w:lang w:val="es-UY" w:eastAsia="es-UY"/>
              </w:rPr>
              <w:t>1</w:t>
            </w:r>
            <w:r>
              <w:rPr>
                <w:rFonts w:ascii="Arial" w:eastAsia="Times New Roman" w:hAnsi="Arial" w:cs="Arial"/>
                <w:color w:val="000000"/>
                <w:lang w:val="es-UY" w:eastAsia="es-UY"/>
              </w:rPr>
              <w:t xml:space="preserve"> </w:t>
            </w:r>
          </w:p>
          <w:p w14:paraId="37BDFF30" w14:textId="77777777" w:rsidR="00940AAB" w:rsidRPr="00940AAB" w:rsidRDefault="00940AAB" w:rsidP="000A1C0B">
            <w:pPr>
              <w:spacing w:after="0" w:line="240" w:lineRule="auto"/>
              <w:jc w:val="center"/>
              <w:rPr>
                <w:rFonts w:ascii="Arial" w:eastAsia="Times New Roman" w:hAnsi="Arial" w:cs="Arial"/>
                <w:color w:val="000000"/>
                <w:sz w:val="20"/>
                <w:szCs w:val="20"/>
                <w:lang w:val="es-UY" w:eastAsia="es-UY"/>
              </w:rPr>
            </w:pPr>
            <w:r>
              <w:rPr>
                <w:rFonts w:ascii="Arial" w:eastAsia="Times New Roman" w:hAnsi="Arial" w:cs="Arial"/>
                <w:color w:val="000000"/>
                <w:lang w:val="es-UY" w:eastAsia="es-UY"/>
              </w:rPr>
              <w:t>(n = 62)</w:t>
            </w:r>
          </w:p>
        </w:tc>
        <w:tc>
          <w:tcPr>
            <w:tcW w:w="1200" w:type="dxa"/>
            <w:tcBorders>
              <w:top w:val="single" w:sz="4" w:space="0" w:color="auto"/>
              <w:left w:val="nil"/>
              <w:bottom w:val="single" w:sz="4" w:space="0" w:color="auto"/>
              <w:right w:val="nil"/>
            </w:tcBorders>
            <w:shd w:val="clear" w:color="000000" w:fill="FFFFFF"/>
            <w:vAlign w:val="center"/>
            <w:hideMark/>
          </w:tcPr>
          <w:p w14:paraId="0EF39F5E" w14:textId="77777777" w:rsidR="00940AAB" w:rsidRDefault="00940AAB" w:rsidP="000A1C0B">
            <w:pPr>
              <w:spacing w:after="0" w:line="240" w:lineRule="auto"/>
              <w:jc w:val="center"/>
              <w:rPr>
                <w:rFonts w:ascii="Arial" w:eastAsia="Times New Roman" w:hAnsi="Arial" w:cs="Arial"/>
                <w:color w:val="000000"/>
                <w:lang w:val="es-UY" w:eastAsia="es-UY"/>
              </w:rPr>
            </w:pPr>
            <w:r w:rsidRPr="007C5FA5">
              <w:rPr>
                <w:rFonts w:ascii="Arial" w:eastAsia="Times New Roman" w:hAnsi="Arial" w:cs="Arial"/>
                <w:color w:val="000000"/>
                <w:lang w:val="es-UY" w:eastAsia="es-UY"/>
              </w:rPr>
              <w:t>2</w:t>
            </w:r>
          </w:p>
          <w:p w14:paraId="3335A534" w14:textId="77777777" w:rsidR="00940AAB" w:rsidRPr="00940AAB" w:rsidRDefault="00940AAB" w:rsidP="000A1C0B">
            <w:pPr>
              <w:spacing w:after="0" w:line="240" w:lineRule="auto"/>
              <w:jc w:val="center"/>
              <w:rPr>
                <w:rFonts w:ascii="Arial" w:eastAsia="Times New Roman" w:hAnsi="Arial" w:cs="Arial"/>
                <w:color w:val="000000"/>
                <w:sz w:val="20"/>
                <w:szCs w:val="20"/>
                <w:lang w:val="es-UY" w:eastAsia="es-UY"/>
              </w:rPr>
            </w:pPr>
            <w:r>
              <w:rPr>
                <w:rFonts w:ascii="Arial" w:eastAsia="Times New Roman" w:hAnsi="Arial" w:cs="Arial"/>
                <w:color w:val="000000"/>
                <w:lang w:val="es-UY" w:eastAsia="es-UY"/>
              </w:rPr>
              <w:t>(n = 85)</w:t>
            </w:r>
          </w:p>
        </w:tc>
        <w:tc>
          <w:tcPr>
            <w:tcW w:w="1200" w:type="dxa"/>
            <w:tcBorders>
              <w:top w:val="single" w:sz="4" w:space="0" w:color="auto"/>
              <w:left w:val="nil"/>
              <w:bottom w:val="single" w:sz="4" w:space="0" w:color="auto"/>
              <w:right w:val="nil"/>
            </w:tcBorders>
            <w:shd w:val="clear" w:color="000000" w:fill="FFFFFF"/>
            <w:vAlign w:val="center"/>
            <w:hideMark/>
          </w:tcPr>
          <w:p w14:paraId="2C0F7D61" w14:textId="77777777" w:rsidR="00940AAB" w:rsidRDefault="00940AAB" w:rsidP="000A1C0B">
            <w:pPr>
              <w:spacing w:after="0" w:line="240" w:lineRule="auto"/>
              <w:jc w:val="center"/>
              <w:rPr>
                <w:rFonts w:ascii="Arial" w:eastAsia="Times New Roman" w:hAnsi="Arial" w:cs="Arial"/>
                <w:color w:val="000000"/>
                <w:lang w:val="es-UY" w:eastAsia="es-UY"/>
              </w:rPr>
            </w:pPr>
            <w:r w:rsidRPr="007C5FA5">
              <w:rPr>
                <w:rFonts w:ascii="Arial" w:eastAsia="Times New Roman" w:hAnsi="Arial" w:cs="Arial"/>
                <w:color w:val="000000"/>
                <w:lang w:val="es-UY" w:eastAsia="es-UY"/>
              </w:rPr>
              <w:t>3</w:t>
            </w:r>
          </w:p>
          <w:p w14:paraId="6949C2A2" w14:textId="77777777" w:rsidR="00940AAB" w:rsidRPr="00940AAB" w:rsidRDefault="00940AAB" w:rsidP="000A1C0B">
            <w:pPr>
              <w:spacing w:after="0" w:line="240" w:lineRule="auto"/>
              <w:jc w:val="center"/>
              <w:rPr>
                <w:rFonts w:ascii="Arial" w:eastAsia="Times New Roman" w:hAnsi="Arial" w:cs="Arial"/>
                <w:color w:val="000000"/>
                <w:sz w:val="20"/>
                <w:szCs w:val="20"/>
                <w:lang w:val="es-UY" w:eastAsia="es-UY"/>
              </w:rPr>
            </w:pPr>
            <w:r>
              <w:rPr>
                <w:rFonts w:ascii="Arial" w:eastAsia="Times New Roman" w:hAnsi="Arial" w:cs="Arial"/>
                <w:color w:val="000000"/>
                <w:lang w:val="es-UY" w:eastAsia="es-UY"/>
              </w:rPr>
              <w:t>(n = 54)</w:t>
            </w:r>
          </w:p>
        </w:tc>
        <w:tc>
          <w:tcPr>
            <w:tcW w:w="1200" w:type="dxa"/>
            <w:tcBorders>
              <w:top w:val="single" w:sz="4" w:space="0" w:color="auto"/>
              <w:left w:val="nil"/>
              <w:bottom w:val="single" w:sz="4" w:space="0" w:color="auto"/>
              <w:right w:val="nil"/>
            </w:tcBorders>
            <w:shd w:val="clear" w:color="000000" w:fill="FFFFFF"/>
            <w:vAlign w:val="center"/>
            <w:hideMark/>
          </w:tcPr>
          <w:p w14:paraId="4DBCBD3B" w14:textId="77777777" w:rsidR="00940AAB" w:rsidRDefault="00940AAB" w:rsidP="000A1C0B">
            <w:pPr>
              <w:spacing w:after="0" w:line="240" w:lineRule="auto"/>
              <w:jc w:val="center"/>
              <w:rPr>
                <w:rFonts w:ascii="Arial" w:eastAsia="Times New Roman" w:hAnsi="Arial" w:cs="Arial"/>
                <w:color w:val="000000"/>
                <w:lang w:val="es-UY" w:eastAsia="es-UY"/>
              </w:rPr>
            </w:pPr>
            <w:r w:rsidRPr="007C5FA5">
              <w:rPr>
                <w:rFonts w:ascii="Arial" w:eastAsia="Times New Roman" w:hAnsi="Arial" w:cs="Arial"/>
                <w:color w:val="000000"/>
                <w:lang w:val="es-UY" w:eastAsia="es-UY"/>
              </w:rPr>
              <w:t>4</w:t>
            </w:r>
          </w:p>
          <w:p w14:paraId="5CB46E5A" w14:textId="77777777" w:rsidR="00940AAB" w:rsidRPr="00940AAB" w:rsidRDefault="00940AAB" w:rsidP="000A1C0B">
            <w:pPr>
              <w:spacing w:after="0" w:line="240" w:lineRule="auto"/>
              <w:jc w:val="center"/>
              <w:rPr>
                <w:rFonts w:ascii="Arial" w:eastAsia="Times New Roman" w:hAnsi="Arial" w:cs="Arial"/>
                <w:color w:val="000000"/>
                <w:sz w:val="20"/>
                <w:szCs w:val="20"/>
                <w:lang w:val="es-UY" w:eastAsia="es-UY"/>
              </w:rPr>
            </w:pPr>
            <w:r>
              <w:rPr>
                <w:rFonts w:ascii="Arial" w:eastAsia="Times New Roman" w:hAnsi="Arial" w:cs="Arial"/>
                <w:color w:val="000000"/>
                <w:lang w:val="es-UY" w:eastAsia="es-UY"/>
              </w:rPr>
              <w:t>(n = 200)</w:t>
            </w:r>
          </w:p>
        </w:tc>
        <w:tc>
          <w:tcPr>
            <w:tcW w:w="1200" w:type="dxa"/>
            <w:tcBorders>
              <w:top w:val="single" w:sz="4" w:space="0" w:color="auto"/>
              <w:left w:val="nil"/>
              <w:bottom w:val="single" w:sz="4" w:space="0" w:color="auto"/>
              <w:right w:val="nil"/>
            </w:tcBorders>
            <w:shd w:val="clear" w:color="000000" w:fill="FFFFFF"/>
            <w:vAlign w:val="center"/>
            <w:hideMark/>
          </w:tcPr>
          <w:p w14:paraId="10FA5E72" w14:textId="77777777" w:rsidR="00940AAB" w:rsidRDefault="00940AAB" w:rsidP="000A1C0B">
            <w:pPr>
              <w:spacing w:after="0" w:line="240" w:lineRule="auto"/>
              <w:jc w:val="center"/>
              <w:rPr>
                <w:rFonts w:ascii="Arial" w:eastAsia="Times New Roman" w:hAnsi="Arial" w:cs="Arial"/>
                <w:color w:val="000000"/>
                <w:lang w:val="es-UY" w:eastAsia="es-UY"/>
              </w:rPr>
            </w:pPr>
            <w:r w:rsidRPr="007C5FA5">
              <w:rPr>
                <w:rFonts w:ascii="Arial" w:eastAsia="Times New Roman" w:hAnsi="Arial" w:cs="Arial"/>
                <w:color w:val="000000"/>
                <w:lang w:val="es-UY" w:eastAsia="es-UY"/>
              </w:rPr>
              <w:t>5</w:t>
            </w:r>
          </w:p>
          <w:p w14:paraId="7005F688" w14:textId="77777777" w:rsidR="00940AAB" w:rsidRPr="00940AAB" w:rsidRDefault="00940AAB" w:rsidP="000A1C0B">
            <w:pPr>
              <w:spacing w:after="0" w:line="240" w:lineRule="auto"/>
              <w:jc w:val="center"/>
              <w:rPr>
                <w:rFonts w:ascii="Arial" w:eastAsia="Times New Roman" w:hAnsi="Arial" w:cs="Arial"/>
                <w:color w:val="000000"/>
                <w:sz w:val="20"/>
                <w:szCs w:val="20"/>
                <w:lang w:val="es-UY" w:eastAsia="es-UY"/>
              </w:rPr>
            </w:pPr>
            <w:r>
              <w:rPr>
                <w:rFonts w:ascii="Arial" w:eastAsia="Times New Roman" w:hAnsi="Arial" w:cs="Arial"/>
                <w:color w:val="000000"/>
                <w:lang w:val="es-UY" w:eastAsia="es-UY"/>
              </w:rPr>
              <w:t>(n = 130)</w:t>
            </w:r>
          </w:p>
        </w:tc>
        <w:tc>
          <w:tcPr>
            <w:tcW w:w="1200" w:type="dxa"/>
            <w:tcBorders>
              <w:top w:val="single" w:sz="4" w:space="0" w:color="auto"/>
              <w:left w:val="nil"/>
              <w:bottom w:val="single" w:sz="4" w:space="0" w:color="auto"/>
              <w:right w:val="nil"/>
            </w:tcBorders>
            <w:shd w:val="clear" w:color="000000" w:fill="FFFFFF"/>
            <w:vAlign w:val="center"/>
            <w:hideMark/>
          </w:tcPr>
          <w:p w14:paraId="2FCFA54F" w14:textId="77777777" w:rsidR="00940AAB" w:rsidRDefault="00940AAB" w:rsidP="000A1C0B">
            <w:pPr>
              <w:spacing w:after="0" w:line="240" w:lineRule="auto"/>
              <w:jc w:val="center"/>
              <w:rPr>
                <w:rFonts w:ascii="Arial" w:eastAsia="Times New Roman" w:hAnsi="Arial" w:cs="Arial"/>
                <w:color w:val="000000"/>
                <w:lang w:val="es-UY" w:eastAsia="es-UY"/>
              </w:rPr>
            </w:pPr>
            <w:r w:rsidRPr="007C5FA5">
              <w:rPr>
                <w:rFonts w:ascii="Arial" w:eastAsia="Times New Roman" w:hAnsi="Arial" w:cs="Arial"/>
                <w:color w:val="000000"/>
                <w:lang w:val="es-UY" w:eastAsia="es-UY"/>
              </w:rPr>
              <w:t>6</w:t>
            </w:r>
          </w:p>
          <w:p w14:paraId="4C05A2BD" w14:textId="77777777" w:rsidR="00940AAB" w:rsidRPr="00940AAB" w:rsidRDefault="00940AAB" w:rsidP="000A1C0B">
            <w:pPr>
              <w:spacing w:after="0" w:line="240" w:lineRule="auto"/>
              <w:jc w:val="center"/>
              <w:rPr>
                <w:rFonts w:ascii="Arial" w:eastAsia="Times New Roman" w:hAnsi="Arial" w:cs="Arial"/>
                <w:color w:val="000000"/>
                <w:sz w:val="20"/>
                <w:szCs w:val="20"/>
                <w:lang w:val="es-UY" w:eastAsia="es-UY"/>
              </w:rPr>
            </w:pPr>
            <w:r>
              <w:rPr>
                <w:rFonts w:ascii="Arial" w:eastAsia="Times New Roman" w:hAnsi="Arial" w:cs="Arial"/>
                <w:color w:val="000000"/>
                <w:lang w:val="es-UY" w:eastAsia="es-UY"/>
              </w:rPr>
              <w:t>(n = 228)</w:t>
            </w:r>
          </w:p>
        </w:tc>
        <w:tc>
          <w:tcPr>
            <w:tcW w:w="1200" w:type="dxa"/>
            <w:tcBorders>
              <w:top w:val="single" w:sz="4" w:space="0" w:color="auto"/>
              <w:left w:val="nil"/>
              <w:bottom w:val="single" w:sz="4" w:space="0" w:color="auto"/>
              <w:right w:val="nil"/>
            </w:tcBorders>
            <w:shd w:val="clear" w:color="000000" w:fill="FFFFFF"/>
            <w:vAlign w:val="center"/>
            <w:hideMark/>
          </w:tcPr>
          <w:p w14:paraId="0F40FABD" w14:textId="77777777" w:rsidR="00940AAB" w:rsidRDefault="00940AAB" w:rsidP="000A1C0B">
            <w:pPr>
              <w:spacing w:after="0" w:line="240" w:lineRule="auto"/>
              <w:jc w:val="center"/>
              <w:rPr>
                <w:rFonts w:ascii="Arial" w:eastAsia="Times New Roman" w:hAnsi="Arial" w:cs="Arial"/>
                <w:color w:val="000000"/>
                <w:lang w:val="es-UY" w:eastAsia="es-UY"/>
              </w:rPr>
            </w:pPr>
            <w:r w:rsidRPr="007C5FA5">
              <w:rPr>
                <w:rFonts w:ascii="Arial" w:eastAsia="Times New Roman" w:hAnsi="Arial" w:cs="Arial"/>
                <w:color w:val="000000"/>
                <w:lang w:val="es-UY" w:eastAsia="es-UY"/>
              </w:rPr>
              <w:t>7</w:t>
            </w:r>
          </w:p>
          <w:p w14:paraId="4ADFE27A" w14:textId="77777777" w:rsidR="00940AAB" w:rsidRPr="00940AAB" w:rsidRDefault="00940AAB" w:rsidP="000A1C0B">
            <w:pPr>
              <w:spacing w:after="0" w:line="240" w:lineRule="auto"/>
              <w:jc w:val="center"/>
              <w:rPr>
                <w:rFonts w:ascii="Arial" w:eastAsia="Times New Roman" w:hAnsi="Arial" w:cs="Arial"/>
                <w:color w:val="000000"/>
                <w:sz w:val="20"/>
                <w:szCs w:val="20"/>
                <w:lang w:val="es-UY" w:eastAsia="es-UY"/>
              </w:rPr>
            </w:pPr>
            <w:r>
              <w:rPr>
                <w:rFonts w:ascii="Arial" w:eastAsia="Times New Roman" w:hAnsi="Arial" w:cs="Arial"/>
                <w:color w:val="000000"/>
                <w:lang w:val="es-UY" w:eastAsia="es-UY"/>
              </w:rPr>
              <w:t>(n = 50)</w:t>
            </w:r>
          </w:p>
        </w:tc>
      </w:tr>
      <w:tr w:rsidR="00940AAB" w:rsidRPr="00940AAB" w14:paraId="0812250B" w14:textId="77777777" w:rsidTr="00533A51">
        <w:trPr>
          <w:trHeight w:val="300"/>
        </w:trPr>
        <w:tc>
          <w:tcPr>
            <w:tcW w:w="1560" w:type="dxa"/>
            <w:tcBorders>
              <w:top w:val="nil"/>
              <w:left w:val="nil"/>
              <w:bottom w:val="nil"/>
              <w:right w:val="nil"/>
            </w:tcBorders>
            <w:shd w:val="clear" w:color="000000" w:fill="FFFFFF"/>
            <w:vAlign w:val="center"/>
            <w:hideMark/>
          </w:tcPr>
          <w:p w14:paraId="45392C44" w14:textId="77777777" w:rsidR="00940AAB" w:rsidRPr="00940AAB" w:rsidRDefault="00940AAB" w:rsidP="000A1C0B">
            <w:pPr>
              <w:spacing w:after="0" w:line="240" w:lineRule="auto"/>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CCF-I</w:t>
            </w:r>
          </w:p>
        </w:tc>
        <w:tc>
          <w:tcPr>
            <w:tcW w:w="1200" w:type="dxa"/>
            <w:tcBorders>
              <w:top w:val="nil"/>
              <w:left w:val="nil"/>
              <w:bottom w:val="nil"/>
              <w:right w:val="nil"/>
            </w:tcBorders>
            <w:shd w:val="clear" w:color="000000" w:fill="FFFFFF"/>
            <w:vAlign w:val="center"/>
            <w:hideMark/>
          </w:tcPr>
          <w:p w14:paraId="3D640844"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3.22 (1.40)</w:t>
            </w:r>
          </w:p>
        </w:tc>
        <w:tc>
          <w:tcPr>
            <w:tcW w:w="1200" w:type="dxa"/>
            <w:tcBorders>
              <w:top w:val="nil"/>
              <w:left w:val="nil"/>
              <w:bottom w:val="nil"/>
              <w:right w:val="nil"/>
            </w:tcBorders>
            <w:shd w:val="clear" w:color="000000" w:fill="FFFFFF"/>
            <w:vAlign w:val="center"/>
            <w:hideMark/>
          </w:tcPr>
          <w:p w14:paraId="419DF132"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3.19 (1.30)</w:t>
            </w:r>
          </w:p>
        </w:tc>
        <w:tc>
          <w:tcPr>
            <w:tcW w:w="1200" w:type="dxa"/>
            <w:tcBorders>
              <w:top w:val="nil"/>
              <w:left w:val="nil"/>
              <w:bottom w:val="nil"/>
              <w:right w:val="nil"/>
            </w:tcBorders>
            <w:shd w:val="clear" w:color="000000" w:fill="FFFFFF"/>
            <w:vAlign w:val="center"/>
            <w:hideMark/>
          </w:tcPr>
          <w:p w14:paraId="633AD27E"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2.85 (1.40)</w:t>
            </w:r>
          </w:p>
        </w:tc>
        <w:tc>
          <w:tcPr>
            <w:tcW w:w="1200" w:type="dxa"/>
            <w:tcBorders>
              <w:top w:val="nil"/>
              <w:left w:val="nil"/>
              <w:bottom w:val="nil"/>
              <w:right w:val="nil"/>
            </w:tcBorders>
            <w:shd w:val="clear" w:color="000000" w:fill="FFFFFF"/>
            <w:vAlign w:val="center"/>
            <w:hideMark/>
          </w:tcPr>
          <w:p w14:paraId="62AA28FA"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3.15 (1.34)</w:t>
            </w:r>
          </w:p>
        </w:tc>
        <w:tc>
          <w:tcPr>
            <w:tcW w:w="1200" w:type="dxa"/>
            <w:tcBorders>
              <w:top w:val="nil"/>
              <w:left w:val="nil"/>
              <w:bottom w:val="nil"/>
              <w:right w:val="nil"/>
            </w:tcBorders>
            <w:shd w:val="clear" w:color="000000" w:fill="FFFFFF"/>
            <w:vAlign w:val="center"/>
            <w:hideMark/>
          </w:tcPr>
          <w:p w14:paraId="34F2ECAB"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2.90 (1.29)</w:t>
            </w:r>
          </w:p>
        </w:tc>
        <w:tc>
          <w:tcPr>
            <w:tcW w:w="1200" w:type="dxa"/>
            <w:tcBorders>
              <w:top w:val="nil"/>
              <w:left w:val="nil"/>
              <w:bottom w:val="nil"/>
              <w:right w:val="nil"/>
            </w:tcBorders>
            <w:shd w:val="clear" w:color="000000" w:fill="FFFFFF"/>
            <w:vAlign w:val="center"/>
            <w:hideMark/>
          </w:tcPr>
          <w:p w14:paraId="666E1A89"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2.85 (1.25)</w:t>
            </w:r>
          </w:p>
        </w:tc>
        <w:tc>
          <w:tcPr>
            <w:tcW w:w="1200" w:type="dxa"/>
            <w:tcBorders>
              <w:top w:val="nil"/>
              <w:left w:val="nil"/>
              <w:bottom w:val="nil"/>
              <w:right w:val="nil"/>
            </w:tcBorders>
            <w:shd w:val="clear" w:color="000000" w:fill="FFFFFF"/>
            <w:vAlign w:val="center"/>
            <w:hideMark/>
          </w:tcPr>
          <w:p w14:paraId="28FCDF60"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2.84 (1.41)</w:t>
            </w:r>
          </w:p>
        </w:tc>
      </w:tr>
      <w:tr w:rsidR="00940AAB" w:rsidRPr="00940AAB" w14:paraId="5C50BFDC" w14:textId="77777777" w:rsidTr="00533A51">
        <w:trPr>
          <w:trHeight w:val="300"/>
        </w:trPr>
        <w:tc>
          <w:tcPr>
            <w:tcW w:w="1560" w:type="dxa"/>
            <w:tcBorders>
              <w:top w:val="nil"/>
              <w:left w:val="nil"/>
              <w:bottom w:val="nil"/>
              <w:right w:val="nil"/>
            </w:tcBorders>
            <w:shd w:val="clear" w:color="000000" w:fill="FFFFFF"/>
            <w:vAlign w:val="center"/>
            <w:hideMark/>
          </w:tcPr>
          <w:p w14:paraId="3B23CF31" w14:textId="77777777" w:rsidR="00940AAB" w:rsidRPr="00940AAB" w:rsidRDefault="00940AAB" w:rsidP="000A1C0B">
            <w:pPr>
              <w:spacing w:after="0" w:line="240" w:lineRule="auto"/>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CCF.F</w:t>
            </w:r>
          </w:p>
        </w:tc>
        <w:tc>
          <w:tcPr>
            <w:tcW w:w="1200" w:type="dxa"/>
            <w:tcBorders>
              <w:top w:val="nil"/>
              <w:left w:val="nil"/>
              <w:bottom w:val="nil"/>
              <w:right w:val="nil"/>
            </w:tcBorders>
            <w:shd w:val="clear" w:color="000000" w:fill="FFFFFF"/>
            <w:vAlign w:val="center"/>
            <w:hideMark/>
          </w:tcPr>
          <w:p w14:paraId="67D06D7B"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4.32 (1.18)</w:t>
            </w:r>
          </w:p>
        </w:tc>
        <w:tc>
          <w:tcPr>
            <w:tcW w:w="1200" w:type="dxa"/>
            <w:tcBorders>
              <w:top w:val="nil"/>
              <w:left w:val="nil"/>
              <w:bottom w:val="nil"/>
              <w:right w:val="nil"/>
            </w:tcBorders>
            <w:shd w:val="clear" w:color="000000" w:fill="FFFFFF"/>
            <w:vAlign w:val="center"/>
            <w:hideMark/>
          </w:tcPr>
          <w:p w14:paraId="4204E9FD"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4.25 (1.19)</w:t>
            </w:r>
          </w:p>
        </w:tc>
        <w:tc>
          <w:tcPr>
            <w:tcW w:w="1200" w:type="dxa"/>
            <w:tcBorders>
              <w:top w:val="nil"/>
              <w:left w:val="nil"/>
              <w:bottom w:val="nil"/>
              <w:right w:val="nil"/>
            </w:tcBorders>
            <w:shd w:val="clear" w:color="000000" w:fill="FFFFFF"/>
            <w:vAlign w:val="center"/>
            <w:hideMark/>
          </w:tcPr>
          <w:p w14:paraId="519174BD"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4.85 (1.19)</w:t>
            </w:r>
          </w:p>
        </w:tc>
        <w:tc>
          <w:tcPr>
            <w:tcW w:w="1200" w:type="dxa"/>
            <w:tcBorders>
              <w:top w:val="nil"/>
              <w:left w:val="nil"/>
              <w:bottom w:val="nil"/>
              <w:right w:val="nil"/>
            </w:tcBorders>
            <w:shd w:val="clear" w:color="000000" w:fill="FFFFFF"/>
            <w:vAlign w:val="center"/>
            <w:hideMark/>
          </w:tcPr>
          <w:p w14:paraId="54384ABB"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4.51 (1.29)</w:t>
            </w:r>
          </w:p>
        </w:tc>
        <w:tc>
          <w:tcPr>
            <w:tcW w:w="1200" w:type="dxa"/>
            <w:tcBorders>
              <w:top w:val="nil"/>
              <w:left w:val="nil"/>
              <w:bottom w:val="nil"/>
              <w:right w:val="nil"/>
            </w:tcBorders>
            <w:shd w:val="clear" w:color="000000" w:fill="FFFFFF"/>
            <w:vAlign w:val="center"/>
            <w:hideMark/>
          </w:tcPr>
          <w:p w14:paraId="0E97BA22"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4.74 (0.98)</w:t>
            </w:r>
          </w:p>
        </w:tc>
        <w:tc>
          <w:tcPr>
            <w:tcW w:w="1200" w:type="dxa"/>
            <w:tcBorders>
              <w:top w:val="nil"/>
              <w:left w:val="nil"/>
              <w:bottom w:val="nil"/>
              <w:right w:val="nil"/>
            </w:tcBorders>
            <w:shd w:val="clear" w:color="000000" w:fill="FFFFFF"/>
            <w:vAlign w:val="center"/>
            <w:hideMark/>
          </w:tcPr>
          <w:p w14:paraId="6DCC67CA"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4.61 (1.12)</w:t>
            </w:r>
          </w:p>
        </w:tc>
        <w:tc>
          <w:tcPr>
            <w:tcW w:w="1200" w:type="dxa"/>
            <w:tcBorders>
              <w:top w:val="nil"/>
              <w:left w:val="nil"/>
              <w:bottom w:val="nil"/>
              <w:right w:val="nil"/>
            </w:tcBorders>
            <w:shd w:val="clear" w:color="000000" w:fill="FFFFFF"/>
            <w:vAlign w:val="center"/>
            <w:hideMark/>
          </w:tcPr>
          <w:p w14:paraId="55B6AE7C"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4.80 (1.11)</w:t>
            </w:r>
          </w:p>
        </w:tc>
      </w:tr>
      <w:tr w:rsidR="00940AAB" w:rsidRPr="00940AAB" w14:paraId="5B7E2AA9" w14:textId="77777777" w:rsidTr="00533A51">
        <w:trPr>
          <w:trHeight w:val="300"/>
        </w:trPr>
        <w:tc>
          <w:tcPr>
            <w:tcW w:w="1560" w:type="dxa"/>
            <w:tcBorders>
              <w:top w:val="nil"/>
              <w:left w:val="nil"/>
              <w:bottom w:val="nil"/>
              <w:right w:val="nil"/>
            </w:tcBorders>
            <w:shd w:val="clear" w:color="000000" w:fill="FFFFFF"/>
            <w:vAlign w:val="center"/>
            <w:hideMark/>
          </w:tcPr>
          <w:p w14:paraId="20DD3B95" w14:textId="77777777" w:rsidR="00940AAB" w:rsidRPr="00940AAB" w:rsidRDefault="00940AAB" w:rsidP="000A1C0B">
            <w:pPr>
              <w:spacing w:after="0" w:line="240" w:lineRule="auto"/>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CCF.T</w:t>
            </w:r>
          </w:p>
        </w:tc>
        <w:tc>
          <w:tcPr>
            <w:tcW w:w="1200" w:type="dxa"/>
            <w:tcBorders>
              <w:top w:val="nil"/>
              <w:left w:val="nil"/>
              <w:bottom w:val="nil"/>
              <w:right w:val="nil"/>
            </w:tcBorders>
            <w:shd w:val="clear" w:color="000000" w:fill="FFFFFF"/>
            <w:vAlign w:val="center"/>
            <w:hideMark/>
          </w:tcPr>
          <w:p w14:paraId="624382BE"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4.53 (1.00)</w:t>
            </w:r>
          </w:p>
        </w:tc>
        <w:tc>
          <w:tcPr>
            <w:tcW w:w="1200" w:type="dxa"/>
            <w:tcBorders>
              <w:top w:val="nil"/>
              <w:left w:val="nil"/>
              <w:bottom w:val="nil"/>
              <w:right w:val="nil"/>
            </w:tcBorders>
            <w:shd w:val="clear" w:color="000000" w:fill="FFFFFF"/>
            <w:vAlign w:val="center"/>
            <w:hideMark/>
          </w:tcPr>
          <w:p w14:paraId="52FB9507"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4.51 (1.06)</w:t>
            </w:r>
          </w:p>
        </w:tc>
        <w:tc>
          <w:tcPr>
            <w:tcW w:w="1200" w:type="dxa"/>
            <w:tcBorders>
              <w:top w:val="nil"/>
              <w:left w:val="nil"/>
              <w:bottom w:val="nil"/>
              <w:right w:val="nil"/>
            </w:tcBorders>
            <w:shd w:val="clear" w:color="000000" w:fill="FFFFFF"/>
            <w:vAlign w:val="center"/>
            <w:hideMark/>
          </w:tcPr>
          <w:p w14:paraId="18911DDD"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4.99 (1.09)</w:t>
            </w:r>
          </w:p>
        </w:tc>
        <w:tc>
          <w:tcPr>
            <w:tcW w:w="1200" w:type="dxa"/>
            <w:tcBorders>
              <w:top w:val="nil"/>
              <w:left w:val="nil"/>
              <w:bottom w:val="nil"/>
              <w:right w:val="nil"/>
            </w:tcBorders>
            <w:shd w:val="clear" w:color="000000" w:fill="FFFFFF"/>
            <w:vAlign w:val="center"/>
            <w:hideMark/>
          </w:tcPr>
          <w:p w14:paraId="1233657B"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4.67 (1.12)</w:t>
            </w:r>
          </w:p>
        </w:tc>
        <w:tc>
          <w:tcPr>
            <w:tcW w:w="1200" w:type="dxa"/>
            <w:tcBorders>
              <w:top w:val="nil"/>
              <w:left w:val="nil"/>
              <w:bottom w:val="nil"/>
              <w:right w:val="nil"/>
            </w:tcBorders>
            <w:shd w:val="clear" w:color="000000" w:fill="FFFFFF"/>
            <w:vAlign w:val="center"/>
            <w:hideMark/>
          </w:tcPr>
          <w:p w14:paraId="58C8CA04"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4.91 (0.89)</w:t>
            </w:r>
          </w:p>
        </w:tc>
        <w:tc>
          <w:tcPr>
            <w:tcW w:w="1200" w:type="dxa"/>
            <w:tcBorders>
              <w:top w:val="nil"/>
              <w:left w:val="nil"/>
              <w:bottom w:val="nil"/>
              <w:right w:val="nil"/>
            </w:tcBorders>
            <w:shd w:val="clear" w:color="000000" w:fill="FFFFFF"/>
            <w:vAlign w:val="center"/>
            <w:hideMark/>
          </w:tcPr>
          <w:p w14:paraId="29FAED59"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4.86 (0.97)</w:t>
            </w:r>
          </w:p>
        </w:tc>
        <w:tc>
          <w:tcPr>
            <w:tcW w:w="1200" w:type="dxa"/>
            <w:tcBorders>
              <w:top w:val="nil"/>
              <w:left w:val="nil"/>
              <w:bottom w:val="nil"/>
              <w:right w:val="nil"/>
            </w:tcBorders>
            <w:shd w:val="clear" w:color="000000" w:fill="FFFFFF"/>
            <w:vAlign w:val="center"/>
            <w:hideMark/>
          </w:tcPr>
          <w:p w14:paraId="1A702668"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4.97 (1.02)</w:t>
            </w:r>
          </w:p>
        </w:tc>
      </w:tr>
      <w:tr w:rsidR="00940AAB" w:rsidRPr="00940AAB" w14:paraId="607A0C62" w14:textId="77777777" w:rsidTr="00533A51">
        <w:trPr>
          <w:trHeight w:val="480"/>
        </w:trPr>
        <w:tc>
          <w:tcPr>
            <w:tcW w:w="1560" w:type="dxa"/>
            <w:tcBorders>
              <w:top w:val="nil"/>
              <w:left w:val="nil"/>
              <w:bottom w:val="single" w:sz="4" w:space="0" w:color="auto"/>
              <w:right w:val="nil"/>
            </w:tcBorders>
            <w:shd w:val="clear" w:color="000000" w:fill="FFFFFF"/>
            <w:vAlign w:val="center"/>
            <w:hideMark/>
          </w:tcPr>
          <w:p w14:paraId="12378F28" w14:textId="6C601A44" w:rsidR="00940AAB" w:rsidRPr="00940AAB" w:rsidRDefault="00940AAB" w:rsidP="000A1C0B">
            <w:pPr>
              <w:spacing w:after="0" w:line="240" w:lineRule="auto"/>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 xml:space="preserve">Nivel </w:t>
            </w:r>
            <w:r>
              <w:rPr>
                <w:rFonts w:ascii="Arial" w:eastAsia="Times New Roman" w:hAnsi="Arial" w:cs="Arial"/>
                <w:color w:val="000000"/>
                <w:sz w:val="20"/>
                <w:szCs w:val="20"/>
                <w:lang w:val="es-UY" w:eastAsia="es-UY"/>
              </w:rPr>
              <w:t>educativo</w:t>
            </w:r>
          </w:p>
        </w:tc>
        <w:tc>
          <w:tcPr>
            <w:tcW w:w="1200" w:type="dxa"/>
            <w:tcBorders>
              <w:top w:val="nil"/>
              <w:left w:val="nil"/>
              <w:bottom w:val="single" w:sz="4" w:space="0" w:color="auto"/>
              <w:right w:val="nil"/>
            </w:tcBorders>
            <w:shd w:val="clear" w:color="000000" w:fill="FFFFFF"/>
            <w:vAlign w:val="center"/>
            <w:hideMark/>
          </w:tcPr>
          <w:p w14:paraId="787BAB5F"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4.67 (2.40)</w:t>
            </w:r>
          </w:p>
        </w:tc>
        <w:tc>
          <w:tcPr>
            <w:tcW w:w="1200" w:type="dxa"/>
            <w:tcBorders>
              <w:top w:val="nil"/>
              <w:left w:val="nil"/>
              <w:bottom w:val="single" w:sz="4" w:space="0" w:color="auto"/>
              <w:right w:val="nil"/>
            </w:tcBorders>
            <w:shd w:val="clear" w:color="000000" w:fill="FFFFFF"/>
            <w:vAlign w:val="center"/>
            <w:hideMark/>
          </w:tcPr>
          <w:p w14:paraId="3B6A6468"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5.21 (2.32)</w:t>
            </w:r>
          </w:p>
        </w:tc>
        <w:tc>
          <w:tcPr>
            <w:tcW w:w="1200" w:type="dxa"/>
            <w:tcBorders>
              <w:top w:val="nil"/>
              <w:left w:val="nil"/>
              <w:bottom w:val="single" w:sz="4" w:space="0" w:color="auto"/>
              <w:right w:val="nil"/>
            </w:tcBorders>
            <w:shd w:val="clear" w:color="000000" w:fill="FFFFFF"/>
            <w:vAlign w:val="center"/>
            <w:hideMark/>
          </w:tcPr>
          <w:p w14:paraId="7B9ABE39"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6.11 (2.04)</w:t>
            </w:r>
          </w:p>
        </w:tc>
        <w:tc>
          <w:tcPr>
            <w:tcW w:w="1200" w:type="dxa"/>
            <w:tcBorders>
              <w:top w:val="nil"/>
              <w:left w:val="nil"/>
              <w:bottom w:val="single" w:sz="4" w:space="0" w:color="auto"/>
              <w:right w:val="nil"/>
            </w:tcBorders>
            <w:shd w:val="clear" w:color="000000" w:fill="FFFFFF"/>
            <w:vAlign w:val="center"/>
            <w:hideMark/>
          </w:tcPr>
          <w:p w14:paraId="7A8085BE"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6.19 (1.99)</w:t>
            </w:r>
          </w:p>
        </w:tc>
        <w:tc>
          <w:tcPr>
            <w:tcW w:w="1200" w:type="dxa"/>
            <w:tcBorders>
              <w:top w:val="nil"/>
              <w:left w:val="nil"/>
              <w:bottom w:val="single" w:sz="4" w:space="0" w:color="auto"/>
              <w:right w:val="nil"/>
            </w:tcBorders>
            <w:shd w:val="clear" w:color="000000" w:fill="FFFFFF"/>
            <w:vAlign w:val="center"/>
            <w:hideMark/>
          </w:tcPr>
          <w:p w14:paraId="2F97BFBD"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6.60 (2.18)</w:t>
            </w:r>
          </w:p>
        </w:tc>
        <w:tc>
          <w:tcPr>
            <w:tcW w:w="1200" w:type="dxa"/>
            <w:tcBorders>
              <w:top w:val="nil"/>
              <w:left w:val="nil"/>
              <w:bottom w:val="single" w:sz="4" w:space="0" w:color="auto"/>
              <w:right w:val="nil"/>
            </w:tcBorders>
            <w:shd w:val="clear" w:color="000000" w:fill="FFFFFF"/>
            <w:vAlign w:val="center"/>
            <w:hideMark/>
          </w:tcPr>
          <w:p w14:paraId="6BA376EC"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6.88 (2.02)</w:t>
            </w:r>
          </w:p>
        </w:tc>
        <w:tc>
          <w:tcPr>
            <w:tcW w:w="1200" w:type="dxa"/>
            <w:tcBorders>
              <w:top w:val="nil"/>
              <w:left w:val="nil"/>
              <w:bottom w:val="single" w:sz="4" w:space="0" w:color="auto"/>
              <w:right w:val="nil"/>
            </w:tcBorders>
            <w:shd w:val="clear" w:color="000000" w:fill="FFFFFF"/>
            <w:vAlign w:val="center"/>
            <w:hideMark/>
          </w:tcPr>
          <w:p w14:paraId="79161D96" w14:textId="77777777" w:rsidR="00940AAB" w:rsidRPr="00940AAB" w:rsidRDefault="00940AAB" w:rsidP="000A1C0B">
            <w:pPr>
              <w:spacing w:after="0" w:line="240" w:lineRule="auto"/>
              <w:jc w:val="right"/>
              <w:rPr>
                <w:rFonts w:ascii="Arial" w:eastAsia="Times New Roman" w:hAnsi="Arial" w:cs="Arial"/>
                <w:color w:val="000000"/>
                <w:sz w:val="20"/>
                <w:szCs w:val="20"/>
                <w:lang w:val="es-UY" w:eastAsia="es-UY"/>
              </w:rPr>
            </w:pPr>
            <w:r w:rsidRPr="00940AAB">
              <w:rPr>
                <w:rFonts w:ascii="Arial" w:eastAsia="Times New Roman" w:hAnsi="Arial" w:cs="Arial"/>
                <w:color w:val="000000"/>
                <w:sz w:val="20"/>
                <w:szCs w:val="20"/>
                <w:lang w:val="es-UY" w:eastAsia="es-UY"/>
              </w:rPr>
              <w:t>6.52 (2.09)</w:t>
            </w:r>
          </w:p>
        </w:tc>
      </w:tr>
    </w:tbl>
    <w:p w14:paraId="512B7708" w14:textId="77777777" w:rsidR="00940AAB" w:rsidRDefault="00940AAB" w:rsidP="00731076">
      <w:pPr>
        <w:spacing w:line="240" w:lineRule="auto"/>
        <w:ind w:firstLine="720"/>
        <w:jc w:val="both"/>
        <w:rPr>
          <w:rFonts w:ascii="Arial" w:eastAsia="Arial" w:hAnsi="Arial" w:cs="Arial"/>
          <w:sz w:val="24"/>
          <w:szCs w:val="24"/>
          <w:lang w:val="es-UY"/>
        </w:rPr>
      </w:pPr>
    </w:p>
    <w:p w14:paraId="25BB6110" w14:textId="7DF4A9EE" w:rsidR="00BD409A" w:rsidRPr="00AE52A4" w:rsidRDefault="00BD409A" w:rsidP="00731076">
      <w:pPr>
        <w:spacing w:line="240" w:lineRule="auto"/>
        <w:ind w:firstLine="720"/>
        <w:jc w:val="both"/>
        <w:rPr>
          <w:rFonts w:ascii="Arial" w:eastAsia="Arial" w:hAnsi="Arial" w:cs="Arial"/>
          <w:sz w:val="24"/>
          <w:szCs w:val="24"/>
          <w:lang w:val="es-UY"/>
        </w:rPr>
      </w:pPr>
      <w:r w:rsidRPr="00AE52A4">
        <w:rPr>
          <w:rFonts w:ascii="Arial" w:eastAsia="Arial" w:hAnsi="Arial" w:cs="Arial"/>
          <w:sz w:val="24"/>
          <w:szCs w:val="24"/>
          <w:lang w:val="es-UY"/>
        </w:rPr>
        <w:t xml:space="preserve">En el ANOVA por </w:t>
      </w:r>
      <w:r w:rsidR="004978D6">
        <w:rPr>
          <w:rFonts w:ascii="Arial" w:eastAsia="Arial" w:hAnsi="Arial" w:cs="Arial"/>
          <w:sz w:val="24"/>
          <w:szCs w:val="24"/>
          <w:lang w:val="es-UY"/>
        </w:rPr>
        <w:t>grupo zonal</w:t>
      </w:r>
      <w:r w:rsidR="004978D6" w:rsidRPr="00AE52A4">
        <w:rPr>
          <w:rFonts w:ascii="Arial" w:eastAsia="Arial" w:hAnsi="Arial" w:cs="Arial"/>
          <w:sz w:val="24"/>
          <w:szCs w:val="24"/>
          <w:lang w:val="es-UY"/>
        </w:rPr>
        <w:t xml:space="preserve"> </w:t>
      </w:r>
      <w:r w:rsidRPr="00AE52A4">
        <w:rPr>
          <w:rFonts w:ascii="Arial" w:eastAsia="Arial" w:hAnsi="Arial" w:cs="Arial"/>
          <w:sz w:val="24"/>
          <w:szCs w:val="24"/>
          <w:lang w:val="es-UY"/>
        </w:rPr>
        <w:t>se observan diferencias estadísticamente significativas en CCF-</w:t>
      </w:r>
      <w:r w:rsidR="004978D6">
        <w:rPr>
          <w:rFonts w:ascii="Arial" w:eastAsia="Arial" w:hAnsi="Arial" w:cs="Arial"/>
          <w:sz w:val="24"/>
          <w:szCs w:val="24"/>
          <w:lang w:val="es-UY"/>
        </w:rPr>
        <w:t>F</w:t>
      </w:r>
      <w:r w:rsidR="00601A2A">
        <w:rPr>
          <w:rFonts w:ascii="Arial" w:eastAsia="Arial" w:hAnsi="Arial" w:cs="Arial"/>
          <w:sz w:val="24"/>
          <w:szCs w:val="24"/>
          <w:lang w:val="es-UY"/>
        </w:rPr>
        <w:t xml:space="preserve"> (</w:t>
      </w:r>
      <w:r w:rsidRPr="00AE52A4">
        <w:rPr>
          <w:rFonts w:ascii="Arial" w:eastAsia="Arial" w:hAnsi="Arial" w:cs="Arial"/>
          <w:i/>
          <w:sz w:val="24"/>
          <w:szCs w:val="24"/>
          <w:lang w:val="es-UY"/>
        </w:rPr>
        <w:t>F</w:t>
      </w:r>
      <w:r w:rsidRPr="00AE52A4">
        <w:rPr>
          <w:rFonts w:ascii="Arial" w:eastAsia="Arial" w:hAnsi="Arial" w:cs="Arial"/>
          <w:sz w:val="24"/>
          <w:szCs w:val="24"/>
          <w:lang w:val="es-UY"/>
        </w:rPr>
        <w:t xml:space="preserve"> (</w:t>
      </w:r>
      <w:r w:rsidR="004978D6">
        <w:rPr>
          <w:rFonts w:ascii="Arial" w:eastAsia="Arial" w:hAnsi="Arial" w:cs="Arial"/>
          <w:sz w:val="24"/>
          <w:szCs w:val="24"/>
          <w:lang w:val="es-UY"/>
        </w:rPr>
        <w:t>6</w:t>
      </w:r>
      <w:r w:rsidRPr="00AE52A4">
        <w:rPr>
          <w:rFonts w:ascii="Arial" w:eastAsia="Arial" w:hAnsi="Arial" w:cs="Arial"/>
          <w:sz w:val="24"/>
          <w:szCs w:val="24"/>
          <w:lang w:val="es-UY"/>
        </w:rPr>
        <w:t xml:space="preserve">, </w:t>
      </w:r>
      <w:r w:rsidR="00940AAB">
        <w:rPr>
          <w:rFonts w:ascii="Arial" w:eastAsia="Arial" w:hAnsi="Arial" w:cs="Arial"/>
          <w:sz w:val="24"/>
          <w:szCs w:val="24"/>
          <w:lang w:val="es-UY"/>
        </w:rPr>
        <w:t>803</w:t>
      </w:r>
      <w:r w:rsidRPr="00AE52A4">
        <w:rPr>
          <w:rFonts w:ascii="Arial" w:eastAsia="Arial" w:hAnsi="Arial" w:cs="Arial"/>
          <w:sz w:val="24"/>
          <w:szCs w:val="24"/>
          <w:lang w:val="es-UY"/>
        </w:rPr>
        <w:t xml:space="preserve">) = </w:t>
      </w:r>
      <w:r w:rsidR="00940AAB">
        <w:rPr>
          <w:rFonts w:ascii="Arial" w:eastAsia="Arial" w:hAnsi="Arial" w:cs="Arial"/>
          <w:sz w:val="24"/>
          <w:szCs w:val="24"/>
          <w:lang w:val="es-UY"/>
        </w:rPr>
        <w:t>3,02</w:t>
      </w:r>
      <w:r w:rsidRPr="00AE52A4">
        <w:rPr>
          <w:rFonts w:ascii="Arial" w:eastAsia="Arial" w:hAnsi="Arial" w:cs="Arial"/>
          <w:sz w:val="24"/>
          <w:szCs w:val="24"/>
          <w:lang w:val="es-UY"/>
        </w:rPr>
        <w:t xml:space="preserve">, </w:t>
      </w:r>
      <w:r w:rsidR="00731076" w:rsidRPr="00AE52A4">
        <w:rPr>
          <w:rFonts w:ascii="Arial" w:eastAsia="Arial" w:hAnsi="Arial" w:cs="Arial"/>
          <w:i/>
          <w:sz w:val="24"/>
          <w:szCs w:val="24"/>
          <w:lang w:val="es-UY"/>
        </w:rPr>
        <w:t>p</w:t>
      </w:r>
      <w:r w:rsidRPr="00AE52A4">
        <w:rPr>
          <w:rFonts w:ascii="Arial" w:eastAsia="Arial" w:hAnsi="Arial" w:cs="Arial"/>
          <w:sz w:val="24"/>
          <w:szCs w:val="24"/>
          <w:lang w:val="es-UY"/>
        </w:rPr>
        <w:t xml:space="preserve"> </w:t>
      </w:r>
      <w:r w:rsidR="00940AAB">
        <w:rPr>
          <w:rFonts w:ascii="Arial" w:eastAsia="Arial" w:hAnsi="Arial" w:cs="Arial"/>
          <w:sz w:val="24"/>
          <w:szCs w:val="24"/>
          <w:lang w:val="es-UY"/>
        </w:rPr>
        <w:t>= .006</w:t>
      </w:r>
      <w:r w:rsidRPr="00AE52A4">
        <w:rPr>
          <w:rFonts w:ascii="Arial" w:eastAsia="Arial" w:hAnsi="Arial" w:cs="Arial"/>
          <w:sz w:val="24"/>
          <w:szCs w:val="24"/>
          <w:lang w:val="es-UY"/>
        </w:rPr>
        <w:t>) y CCF-T</w:t>
      </w:r>
      <w:r w:rsidR="00601A2A">
        <w:rPr>
          <w:rFonts w:ascii="Arial" w:eastAsia="Arial" w:hAnsi="Arial" w:cs="Arial"/>
          <w:sz w:val="24"/>
          <w:szCs w:val="24"/>
          <w:lang w:val="es-UY"/>
        </w:rPr>
        <w:t xml:space="preserve"> (</w:t>
      </w:r>
      <w:r w:rsidRPr="00AE52A4">
        <w:rPr>
          <w:rFonts w:ascii="Arial" w:eastAsia="Arial" w:hAnsi="Arial" w:cs="Arial"/>
          <w:i/>
          <w:sz w:val="24"/>
          <w:szCs w:val="24"/>
          <w:lang w:val="es-UY"/>
        </w:rPr>
        <w:t>F</w:t>
      </w:r>
      <w:r w:rsidRPr="00AE52A4">
        <w:rPr>
          <w:rFonts w:ascii="Arial" w:eastAsia="Arial" w:hAnsi="Arial" w:cs="Arial"/>
          <w:sz w:val="24"/>
          <w:szCs w:val="24"/>
          <w:lang w:val="es-UY"/>
        </w:rPr>
        <w:t xml:space="preserve"> (</w:t>
      </w:r>
      <w:r w:rsidR="004978D6">
        <w:rPr>
          <w:rFonts w:ascii="Arial" w:eastAsia="Arial" w:hAnsi="Arial" w:cs="Arial"/>
          <w:sz w:val="24"/>
          <w:szCs w:val="24"/>
          <w:lang w:val="es-UY"/>
        </w:rPr>
        <w:t>6</w:t>
      </w:r>
      <w:r w:rsidRPr="00AE52A4">
        <w:rPr>
          <w:rFonts w:ascii="Arial" w:eastAsia="Arial" w:hAnsi="Arial" w:cs="Arial"/>
          <w:sz w:val="24"/>
          <w:szCs w:val="24"/>
          <w:lang w:val="es-UY"/>
        </w:rPr>
        <w:t>,</w:t>
      </w:r>
      <w:r w:rsidR="00940AAB">
        <w:rPr>
          <w:rFonts w:ascii="Arial" w:eastAsia="Arial" w:hAnsi="Arial" w:cs="Arial"/>
          <w:sz w:val="24"/>
          <w:szCs w:val="24"/>
          <w:lang w:val="es-UY"/>
        </w:rPr>
        <w:t>803</w:t>
      </w:r>
      <w:r w:rsidRPr="00AE52A4">
        <w:rPr>
          <w:rFonts w:ascii="Arial" w:eastAsia="Arial" w:hAnsi="Arial" w:cs="Arial"/>
          <w:sz w:val="24"/>
          <w:szCs w:val="24"/>
          <w:lang w:val="es-UY"/>
        </w:rPr>
        <w:t xml:space="preserve">) = </w:t>
      </w:r>
      <w:r w:rsidR="00940AAB">
        <w:rPr>
          <w:rFonts w:ascii="Arial" w:eastAsia="Arial" w:hAnsi="Arial" w:cs="Arial"/>
          <w:sz w:val="24"/>
          <w:szCs w:val="24"/>
          <w:lang w:val="es-UY"/>
        </w:rPr>
        <w:t>3</w:t>
      </w:r>
      <w:r w:rsidR="004978D6">
        <w:rPr>
          <w:rFonts w:ascii="Arial" w:eastAsia="Arial" w:hAnsi="Arial" w:cs="Arial"/>
          <w:sz w:val="24"/>
          <w:szCs w:val="24"/>
          <w:lang w:val="es-UY"/>
        </w:rPr>
        <w:t>.</w:t>
      </w:r>
      <w:r w:rsidR="00940AAB">
        <w:rPr>
          <w:rFonts w:ascii="Arial" w:eastAsia="Arial" w:hAnsi="Arial" w:cs="Arial"/>
          <w:sz w:val="24"/>
          <w:szCs w:val="24"/>
          <w:lang w:val="es-UY"/>
        </w:rPr>
        <w:t>19</w:t>
      </w:r>
      <w:r w:rsidRPr="00AE52A4">
        <w:rPr>
          <w:rFonts w:ascii="Arial" w:eastAsia="Arial" w:hAnsi="Arial" w:cs="Arial"/>
          <w:sz w:val="24"/>
          <w:szCs w:val="24"/>
          <w:lang w:val="es-UY"/>
        </w:rPr>
        <w:t xml:space="preserve">, </w:t>
      </w:r>
      <w:r w:rsidR="00731076" w:rsidRPr="00AE52A4">
        <w:rPr>
          <w:rFonts w:ascii="Arial" w:eastAsia="Arial" w:hAnsi="Arial" w:cs="Arial"/>
          <w:i/>
          <w:sz w:val="24"/>
          <w:szCs w:val="24"/>
          <w:lang w:val="es-UY"/>
        </w:rPr>
        <w:t>p</w:t>
      </w:r>
      <w:r w:rsidRPr="00AE52A4">
        <w:rPr>
          <w:rFonts w:ascii="Arial" w:eastAsia="Arial" w:hAnsi="Arial" w:cs="Arial"/>
          <w:sz w:val="24"/>
          <w:szCs w:val="24"/>
          <w:lang w:val="es-UY"/>
        </w:rPr>
        <w:t xml:space="preserve"> </w:t>
      </w:r>
      <w:r w:rsidR="00940AAB">
        <w:rPr>
          <w:rFonts w:ascii="Arial" w:eastAsia="Arial" w:hAnsi="Arial" w:cs="Arial"/>
          <w:sz w:val="24"/>
          <w:szCs w:val="24"/>
          <w:lang w:val="es-UY"/>
        </w:rPr>
        <w:t>= .004</w:t>
      </w:r>
      <w:r w:rsidRPr="00AE52A4">
        <w:rPr>
          <w:rFonts w:ascii="Arial" w:eastAsia="Arial" w:hAnsi="Arial" w:cs="Arial"/>
          <w:sz w:val="24"/>
          <w:szCs w:val="24"/>
          <w:lang w:val="es-UY"/>
        </w:rPr>
        <w:t xml:space="preserve">) </w:t>
      </w:r>
      <w:r w:rsidR="00940AAB">
        <w:rPr>
          <w:rFonts w:ascii="Arial" w:eastAsia="Arial" w:hAnsi="Arial" w:cs="Arial"/>
          <w:sz w:val="24"/>
          <w:szCs w:val="24"/>
          <w:lang w:val="es-UY"/>
        </w:rPr>
        <w:t xml:space="preserve">y una tendencia de significación en </w:t>
      </w:r>
      <w:r w:rsidRPr="00AE52A4">
        <w:rPr>
          <w:rFonts w:ascii="Arial" w:eastAsia="Arial" w:hAnsi="Arial" w:cs="Arial"/>
          <w:sz w:val="24"/>
          <w:szCs w:val="24"/>
          <w:lang w:val="es-UY"/>
        </w:rPr>
        <w:t>CCF-</w:t>
      </w:r>
      <w:r w:rsidR="009D0DD3">
        <w:rPr>
          <w:rFonts w:ascii="Arial" w:eastAsia="Arial" w:hAnsi="Arial" w:cs="Arial"/>
          <w:sz w:val="24"/>
          <w:szCs w:val="24"/>
          <w:lang w:val="es-UY"/>
        </w:rPr>
        <w:t>I</w:t>
      </w:r>
      <w:r w:rsidR="00601A2A">
        <w:rPr>
          <w:rFonts w:ascii="Arial" w:eastAsia="Arial" w:hAnsi="Arial" w:cs="Arial"/>
          <w:sz w:val="24"/>
          <w:szCs w:val="24"/>
          <w:lang w:val="es-UY"/>
        </w:rPr>
        <w:t xml:space="preserve"> (</w:t>
      </w:r>
      <w:r w:rsidR="00940AAB" w:rsidRPr="00C4485A">
        <w:rPr>
          <w:rFonts w:ascii="Arial" w:eastAsia="Arial" w:hAnsi="Arial" w:cs="Arial"/>
          <w:i/>
          <w:iCs/>
          <w:sz w:val="24"/>
          <w:szCs w:val="24"/>
          <w:lang w:val="es-UY"/>
        </w:rPr>
        <w:t>F</w:t>
      </w:r>
      <w:r w:rsidR="00940AAB">
        <w:rPr>
          <w:rFonts w:ascii="Arial" w:eastAsia="Arial" w:hAnsi="Arial" w:cs="Arial"/>
          <w:sz w:val="24"/>
          <w:szCs w:val="24"/>
          <w:lang w:val="es-UY"/>
        </w:rPr>
        <w:t xml:space="preserve"> (6, 803) = 1,83, </w:t>
      </w:r>
      <w:r w:rsidR="00940AAB" w:rsidRPr="00C4485A">
        <w:rPr>
          <w:rFonts w:ascii="Arial" w:eastAsia="Arial" w:hAnsi="Arial" w:cs="Arial"/>
          <w:i/>
          <w:iCs/>
          <w:sz w:val="24"/>
          <w:szCs w:val="24"/>
          <w:lang w:val="es-UY"/>
        </w:rPr>
        <w:t>p</w:t>
      </w:r>
      <w:r w:rsidR="00940AAB">
        <w:rPr>
          <w:rFonts w:ascii="Arial" w:eastAsia="Arial" w:hAnsi="Arial" w:cs="Arial"/>
          <w:sz w:val="24"/>
          <w:szCs w:val="24"/>
          <w:lang w:val="es-UY"/>
        </w:rPr>
        <w:t xml:space="preserve"> = .09</w:t>
      </w:r>
      <w:r w:rsidR="00601A2A">
        <w:rPr>
          <w:rFonts w:ascii="Arial" w:eastAsia="Arial" w:hAnsi="Arial" w:cs="Arial"/>
          <w:sz w:val="24"/>
          <w:szCs w:val="24"/>
          <w:lang w:val="es-UY"/>
        </w:rPr>
        <w:t>)</w:t>
      </w:r>
      <w:r w:rsidRPr="00AE52A4">
        <w:rPr>
          <w:rFonts w:ascii="Arial" w:eastAsia="Arial" w:hAnsi="Arial" w:cs="Arial"/>
          <w:sz w:val="24"/>
          <w:szCs w:val="24"/>
          <w:lang w:val="es-UY"/>
        </w:rPr>
        <w:t xml:space="preserve">. </w:t>
      </w:r>
      <w:r w:rsidR="00CC2074">
        <w:rPr>
          <w:rFonts w:ascii="Arial" w:eastAsia="Arial" w:hAnsi="Arial" w:cs="Arial"/>
          <w:sz w:val="24"/>
          <w:szCs w:val="24"/>
          <w:lang w:val="es-UY"/>
        </w:rPr>
        <w:t xml:space="preserve">Los análisis </w:t>
      </w:r>
      <w:proofErr w:type="spellStart"/>
      <w:r w:rsidR="00CC2074" w:rsidRPr="00CC2074">
        <w:rPr>
          <w:rFonts w:ascii="Arial" w:eastAsia="Arial" w:hAnsi="Arial" w:cs="Arial"/>
          <w:i/>
          <w:iCs/>
          <w:sz w:val="24"/>
          <w:szCs w:val="24"/>
          <w:lang w:val="es-UY"/>
        </w:rPr>
        <w:t>post-hoc</w:t>
      </w:r>
      <w:proofErr w:type="spellEnd"/>
      <w:r w:rsidR="00CC2074">
        <w:rPr>
          <w:rFonts w:ascii="Arial" w:eastAsia="Arial" w:hAnsi="Arial" w:cs="Arial"/>
          <w:sz w:val="24"/>
          <w:szCs w:val="24"/>
          <w:lang w:val="es-UY"/>
        </w:rPr>
        <w:t xml:space="preserve"> de Tukey</w:t>
      </w:r>
      <w:r w:rsidR="00E046B4">
        <w:rPr>
          <w:rFonts w:ascii="Arial" w:eastAsia="Arial" w:hAnsi="Arial" w:cs="Arial"/>
          <w:sz w:val="24"/>
          <w:szCs w:val="24"/>
          <w:lang w:val="es-UY"/>
        </w:rPr>
        <w:t xml:space="preserve"> (para las subescalas de CCF-F y CCF-T)</w:t>
      </w:r>
      <w:r w:rsidR="00CC2074">
        <w:rPr>
          <w:rFonts w:ascii="Arial" w:eastAsia="Arial" w:hAnsi="Arial" w:cs="Arial"/>
          <w:sz w:val="24"/>
          <w:szCs w:val="24"/>
          <w:lang w:val="es-UY"/>
        </w:rPr>
        <w:t xml:space="preserve">, revelan que no hay grupos homogéneos con asignación excluyente. El tamaño del efecto </w:t>
      </w:r>
      <w:r w:rsidR="00E046B4">
        <w:rPr>
          <w:rFonts w:ascii="Arial" w:eastAsia="Arial" w:hAnsi="Arial" w:cs="Arial"/>
          <w:sz w:val="24"/>
          <w:szCs w:val="24"/>
          <w:lang w:val="es-UY"/>
        </w:rPr>
        <w:t xml:space="preserve">de la diferencia entre el conjunto de barrios más rico y el más pobre revela un efecto mediano de </w:t>
      </w:r>
      <w:r w:rsidR="00E046B4" w:rsidRPr="00E046B4">
        <w:rPr>
          <w:rFonts w:ascii="Arial" w:eastAsia="Arial" w:hAnsi="Arial" w:cs="Arial"/>
          <w:i/>
          <w:iCs/>
          <w:sz w:val="24"/>
          <w:szCs w:val="24"/>
          <w:lang w:val="es-UY"/>
        </w:rPr>
        <w:t>g</w:t>
      </w:r>
      <w:r w:rsidR="00E046B4">
        <w:rPr>
          <w:rFonts w:ascii="Arial" w:eastAsia="Arial" w:hAnsi="Arial" w:cs="Arial"/>
          <w:sz w:val="24"/>
          <w:szCs w:val="24"/>
          <w:lang w:val="es-UY"/>
        </w:rPr>
        <w:t xml:space="preserve"> (</w:t>
      </w:r>
      <w:proofErr w:type="spellStart"/>
      <w:r w:rsidR="00E046B4">
        <w:rPr>
          <w:rFonts w:ascii="Arial" w:eastAsia="Arial" w:hAnsi="Arial" w:cs="Arial"/>
          <w:sz w:val="24"/>
          <w:szCs w:val="24"/>
          <w:lang w:val="es-UY"/>
        </w:rPr>
        <w:t>Hedges</w:t>
      </w:r>
      <w:proofErr w:type="spellEnd"/>
      <w:r w:rsidR="00E046B4">
        <w:rPr>
          <w:rFonts w:ascii="Arial" w:eastAsia="Arial" w:hAnsi="Arial" w:cs="Arial"/>
          <w:sz w:val="24"/>
          <w:szCs w:val="24"/>
          <w:lang w:val="es-UY"/>
        </w:rPr>
        <w:t>) = 0,42 para CCF-F</w:t>
      </w:r>
      <w:r w:rsidR="006E78F6">
        <w:rPr>
          <w:rFonts w:ascii="Arial" w:eastAsia="Arial" w:hAnsi="Arial" w:cs="Arial"/>
          <w:sz w:val="24"/>
          <w:szCs w:val="24"/>
          <w:lang w:val="es-UY"/>
        </w:rPr>
        <w:t xml:space="preserve">, </w:t>
      </w:r>
      <w:r w:rsidR="00E046B4">
        <w:rPr>
          <w:rFonts w:ascii="Arial" w:eastAsia="Arial" w:hAnsi="Arial" w:cs="Arial"/>
          <w:sz w:val="24"/>
          <w:szCs w:val="24"/>
          <w:lang w:val="es-UY"/>
        </w:rPr>
        <w:t>0,44 para CCF-T</w:t>
      </w:r>
      <w:r w:rsidR="006E78F6">
        <w:rPr>
          <w:rFonts w:ascii="Arial" w:eastAsia="Arial" w:hAnsi="Arial" w:cs="Arial"/>
          <w:sz w:val="24"/>
          <w:szCs w:val="24"/>
          <w:lang w:val="es-UY"/>
        </w:rPr>
        <w:t xml:space="preserve"> y 0,27 para CCF-I</w:t>
      </w:r>
      <w:r w:rsidR="00E046B4">
        <w:rPr>
          <w:rFonts w:ascii="Arial" w:eastAsia="Arial" w:hAnsi="Arial" w:cs="Arial"/>
          <w:sz w:val="24"/>
          <w:szCs w:val="24"/>
          <w:lang w:val="es-UY"/>
        </w:rPr>
        <w:t>.</w:t>
      </w:r>
      <w:r w:rsidR="006E78F6">
        <w:rPr>
          <w:rFonts w:ascii="Arial" w:eastAsia="Arial" w:hAnsi="Arial" w:cs="Arial"/>
          <w:sz w:val="24"/>
          <w:szCs w:val="24"/>
          <w:lang w:val="es-UY"/>
        </w:rPr>
        <w:t xml:space="preserve"> </w:t>
      </w:r>
      <w:r w:rsidR="00C4485A">
        <w:rPr>
          <w:rFonts w:ascii="Arial" w:eastAsia="Arial" w:hAnsi="Arial" w:cs="Arial"/>
          <w:sz w:val="24"/>
          <w:szCs w:val="24"/>
          <w:lang w:val="es-UY"/>
        </w:rPr>
        <w:t xml:space="preserve">Asimismo, el tamaño del efecto de la diferencia entre el grupo 2 y el 7 en CCC-F es de </w:t>
      </w:r>
      <w:r w:rsidR="00C4485A" w:rsidRPr="00C4485A">
        <w:rPr>
          <w:rFonts w:ascii="Arial" w:eastAsia="Arial" w:hAnsi="Arial" w:cs="Arial"/>
          <w:i/>
          <w:iCs/>
          <w:sz w:val="24"/>
          <w:szCs w:val="24"/>
          <w:lang w:val="es-UY"/>
        </w:rPr>
        <w:t xml:space="preserve">g </w:t>
      </w:r>
      <w:r w:rsidR="00C4485A">
        <w:rPr>
          <w:rFonts w:ascii="Arial" w:eastAsia="Arial" w:hAnsi="Arial" w:cs="Arial"/>
          <w:sz w:val="24"/>
          <w:szCs w:val="24"/>
          <w:lang w:val="es-UY"/>
        </w:rPr>
        <w:t xml:space="preserve">= 0,47 y en CCF-I de </w:t>
      </w:r>
      <w:r w:rsidR="00C4485A" w:rsidRPr="00C4485A">
        <w:rPr>
          <w:rFonts w:ascii="Arial" w:eastAsia="Arial" w:hAnsi="Arial" w:cs="Arial"/>
          <w:i/>
          <w:iCs/>
          <w:sz w:val="24"/>
          <w:szCs w:val="24"/>
          <w:lang w:val="es-UY"/>
        </w:rPr>
        <w:t xml:space="preserve">g </w:t>
      </w:r>
      <w:r w:rsidR="00C4485A">
        <w:rPr>
          <w:rFonts w:ascii="Arial" w:eastAsia="Arial" w:hAnsi="Arial" w:cs="Arial"/>
          <w:sz w:val="24"/>
          <w:szCs w:val="24"/>
          <w:lang w:val="es-UY"/>
        </w:rPr>
        <w:t>= 0,26.</w:t>
      </w:r>
    </w:p>
    <w:p w14:paraId="20876B6C" w14:textId="29A2654F" w:rsidR="00BD409A" w:rsidRPr="00AE52A4" w:rsidRDefault="00BD409A" w:rsidP="00731076">
      <w:pPr>
        <w:spacing w:line="240" w:lineRule="auto"/>
        <w:ind w:firstLine="720"/>
        <w:jc w:val="both"/>
        <w:rPr>
          <w:rFonts w:ascii="Arial" w:eastAsia="Arial" w:hAnsi="Arial" w:cs="Arial"/>
          <w:sz w:val="24"/>
          <w:szCs w:val="24"/>
          <w:lang w:val="es-UY"/>
        </w:rPr>
      </w:pPr>
      <w:r w:rsidRPr="00AE52A4">
        <w:rPr>
          <w:rFonts w:ascii="Arial" w:eastAsia="Arial" w:hAnsi="Arial" w:cs="Arial"/>
          <w:sz w:val="24"/>
          <w:szCs w:val="24"/>
          <w:lang w:val="es-UY"/>
        </w:rPr>
        <w:t>Debido a los efectos de la edad</w:t>
      </w:r>
      <w:r w:rsidR="00E51B48">
        <w:rPr>
          <w:rFonts w:ascii="Arial" w:eastAsia="Arial" w:hAnsi="Arial" w:cs="Arial"/>
          <w:sz w:val="24"/>
          <w:szCs w:val="24"/>
          <w:lang w:val="es-UY"/>
        </w:rPr>
        <w:t xml:space="preserve"> </w:t>
      </w:r>
      <w:r w:rsidRPr="00AE52A4">
        <w:rPr>
          <w:rFonts w:ascii="Arial" w:eastAsia="Arial" w:hAnsi="Arial" w:cs="Arial"/>
          <w:sz w:val="24"/>
          <w:szCs w:val="24"/>
          <w:lang w:val="es-UY"/>
        </w:rPr>
        <w:t>y nivel educativo sobre las puntuaciones de CCF, realizamos el mismo ANOVA anterior, con estas variables sociodemográficas como covariables. Encontramos que este efecto principal se</w:t>
      </w:r>
      <w:r w:rsidR="00940AAB">
        <w:rPr>
          <w:rFonts w:ascii="Arial" w:eastAsia="Arial" w:hAnsi="Arial" w:cs="Arial"/>
          <w:sz w:val="24"/>
          <w:szCs w:val="24"/>
          <w:lang w:val="es-UY"/>
        </w:rPr>
        <w:t xml:space="preserve"> reduce en todos los casos, pero</w:t>
      </w:r>
      <w:r w:rsidRPr="00AE52A4">
        <w:rPr>
          <w:rFonts w:ascii="Arial" w:eastAsia="Arial" w:hAnsi="Arial" w:cs="Arial"/>
          <w:sz w:val="24"/>
          <w:szCs w:val="24"/>
          <w:lang w:val="es-UY"/>
        </w:rPr>
        <w:t xml:space="preserve"> mantiene</w:t>
      </w:r>
      <w:r w:rsidR="000F395B">
        <w:rPr>
          <w:rFonts w:ascii="Arial" w:eastAsia="Arial" w:hAnsi="Arial" w:cs="Arial"/>
          <w:sz w:val="24"/>
          <w:szCs w:val="24"/>
          <w:lang w:val="es-UY"/>
        </w:rPr>
        <w:t xml:space="preserve"> </w:t>
      </w:r>
      <w:r w:rsidR="00940AAB">
        <w:rPr>
          <w:rFonts w:ascii="Arial" w:eastAsia="Arial" w:hAnsi="Arial" w:cs="Arial"/>
          <w:sz w:val="24"/>
          <w:szCs w:val="24"/>
          <w:lang w:val="es-UY"/>
        </w:rPr>
        <w:t xml:space="preserve">tendencia a la significación </w:t>
      </w:r>
      <w:r w:rsidR="00E51B48">
        <w:rPr>
          <w:rFonts w:ascii="Arial" w:eastAsia="Arial" w:hAnsi="Arial" w:cs="Arial"/>
          <w:sz w:val="24"/>
          <w:szCs w:val="24"/>
          <w:lang w:val="es-UY"/>
        </w:rPr>
        <w:t>e</w:t>
      </w:r>
      <w:r w:rsidRPr="00AE52A4">
        <w:rPr>
          <w:rFonts w:ascii="Arial" w:eastAsia="Arial" w:hAnsi="Arial" w:cs="Arial"/>
          <w:sz w:val="24"/>
          <w:szCs w:val="24"/>
          <w:lang w:val="es-UY"/>
        </w:rPr>
        <w:t>n CCF-</w:t>
      </w:r>
      <w:r w:rsidR="004978D6">
        <w:rPr>
          <w:rFonts w:ascii="Arial" w:eastAsia="Arial" w:hAnsi="Arial" w:cs="Arial"/>
          <w:sz w:val="24"/>
          <w:szCs w:val="24"/>
          <w:lang w:val="es-UY"/>
        </w:rPr>
        <w:t>F</w:t>
      </w:r>
      <w:r w:rsidR="00940AAB">
        <w:rPr>
          <w:rFonts w:ascii="Arial" w:eastAsia="Arial" w:hAnsi="Arial" w:cs="Arial"/>
          <w:sz w:val="24"/>
          <w:szCs w:val="24"/>
          <w:lang w:val="es-UY"/>
        </w:rPr>
        <w:t>, donde</w:t>
      </w:r>
      <w:r w:rsidR="004978D6" w:rsidRPr="00AE52A4">
        <w:rPr>
          <w:rFonts w:ascii="Arial" w:eastAsia="Arial" w:hAnsi="Arial" w:cs="Arial"/>
          <w:sz w:val="24"/>
          <w:szCs w:val="24"/>
          <w:lang w:val="es-UY"/>
        </w:rPr>
        <w:t xml:space="preserve"> </w:t>
      </w:r>
      <w:r w:rsidRPr="00AE52A4">
        <w:rPr>
          <w:rFonts w:ascii="Arial" w:eastAsia="Arial" w:hAnsi="Arial" w:cs="Arial"/>
          <w:sz w:val="24"/>
          <w:szCs w:val="24"/>
          <w:lang w:val="es-UY"/>
        </w:rPr>
        <w:t>el efecto principal d</w:t>
      </w:r>
      <w:r w:rsidR="000F395B">
        <w:rPr>
          <w:rFonts w:ascii="Arial" w:eastAsia="Arial" w:hAnsi="Arial" w:cs="Arial"/>
          <w:sz w:val="24"/>
          <w:szCs w:val="24"/>
          <w:lang w:val="es-UY"/>
        </w:rPr>
        <w:t>e los grupos zonales</w:t>
      </w:r>
      <w:r w:rsidRPr="00AE52A4">
        <w:rPr>
          <w:rFonts w:ascii="Arial" w:eastAsia="Arial" w:hAnsi="Arial" w:cs="Arial"/>
          <w:sz w:val="24"/>
          <w:szCs w:val="24"/>
          <w:lang w:val="es-UY"/>
        </w:rPr>
        <w:t xml:space="preserve"> es de </w:t>
      </w:r>
      <w:r w:rsidRPr="00C4485A">
        <w:rPr>
          <w:rFonts w:ascii="Arial" w:eastAsia="Arial" w:hAnsi="Arial" w:cs="Arial"/>
          <w:i/>
          <w:iCs/>
          <w:sz w:val="24"/>
          <w:szCs w:val="24"/>
          <w:lang w:val="es-UY"/>
        </w:rPr>
        <w:t>F</w:t>
      </w:r>
      <w:r w:rsidRPr="00AE52A4">
        <w:rPr>
          <w:rFonts w:ascii="Arial" w:eastAsia="Arial" w:hAnsi="Arial" w:cs="Arial"/>
          <w:sz w:val="24"/>
          <w:szCs w:val="24"/>
          <w:lang w:val="es-UY"/>
        </w:rPr>
        <w:t xml:space="preserve"> (</w:t>
      </w:r>
      <w:r w:rsidR="004978D6">
        <w:rPr>
          <w:rFonts w:ascii="Arial" w:eastAsia="Arial" w:hAnsi="Arial" w:cs="Arial"/>
          <w:sz w:val="24"/>
          <w:szCs w:val="24"/>
          <w:lang w:val="es-UY"/>
        </w:rPr>
        <w:t>6</w:t>
      </w:r>
      <w:r w:rsidR="00940AAB">
        <w:rPr>
          <w:rFonts w:ascii="Arial" w:eastAsia="Arial" w:hAnsi="Arial" w:cs="Arial"/>
          <w:sz w:val="24"/>
          <w:szCs w:val="24"/>
          <w:lang w:val="es-UY"/>
        </w:rPr>
        <w:t>, 808</w:t>
      </w:r>
      <w:r w:rsidRPr="00AE52A4">
        <w:rPr>
          <w:rFonts w:ascii="Arial" w:eastAsia="Arial" w:hAnsi="Arial" w:cs="Arial"/>
          <w:sz w:val="24"/>
          <w:szCs w:val="24"/>
          <w:lang w:val="es-UY"/>
        </w:rPr>
        <w:t>) = 2,</w:t>
      </w:r>
      <w:r w:rsidR="00940AAB">
        <w:rPr>
          <w:rFonts w:ascii="Arial" w:eastAsia="Arial" w:hAnsi="Arial" w:cs="Arial"/>
          <w:sz w:val="24"/>
          <w:szCs w:val="24"/>
          <w:lang w:val="es-UY"/>
        </w:rPr>
        <w:t>03</w:t>
      </w:r>
      <w:r w:rsidRPr="00AE52A4">
        <w:rPr>
          <w:rFonts w:ascii="Arial" w:eastAsia="Arial" w:hAnsi="Arial" w:cs="Arial"/>
          <w:sz w:val="24"/>
          <w:szCs w:val="24"/>
          <w:lang w:val="es-UY"/>
        </w:rPr>
        <w:t xml:space="preserve">, </w:t>
      </w:r>
      <w:r w:rsidR="00731076" w:rsidRPr="00AE52A4">
        <w:rPr>
          <w:rFonts w:ascii="Arial" w:eastAsia="Arial" w:hAnsi="Arial" w:cs="Arial"/>
          <w:i/>
          <w:sz w:val="24"/>
          <w:szCs w:val="24"/>
          <w:lang w:val="es-UY"/>
        </w:rPr>
        <w:t>p</w:t>
      </w:r>
      <w:r w:rsidRPr="00AE52A4">
        <w:rPr>
          <w:rFonts w:ascii="Arial" w:eastAsia="Arial" w:hAnsi="Arial" w:cs="Arial"/>
          <w:sz w:val="24"/>
          <w:szCs w:val="24"/>
          <w:lang w:val="es-UY"/>
        </w:rPr>
        <w:t xml:space="preserve"> =.0</w:t>
      </w:r>
      <w:r w:rsidR="00940AAB">
        <w:rPr>
          <w:rFonts w:ascii="Arial" w:eastAsia="Arial" w:hAnsi="Arial" w:cs="Arial"/>
          <w:sz w:val="24"/>
          <w:szCs w:val="24"/>
          <w:lang w:val="es-UY"/>
        </w:rPr>
        <w:t>6</w:t>
      </w:r>
      <w:r w:rsidR="00E51B48">
        <w:rPr>
          <w:rFonts w:ascii="Arial" w:eastAsia="Arial" w:hAnsi="Arial" w:cs="Arial"/>
          <w:sz w:val="24"/>
          <w:szCs w:val="24"/>
          <w:lang w:val="es-UY"/>
        </w:rPr>
        <w:t>, pero no en CC</w:t>
      </w:r>
      <w:r w:rsidR="00C4485A">
        <w:rPr>
          <w:rFonts w:ascii="Arial" w:eastAsia="Arial" w:hAnsi="Arial" w:cs="Arial"/>
          <w:sz w:val="24"/>
          <w:szCs w:val="24"/>
          <w:lang w:val="es-UY"/>
        </w:rPr>
        <w:t>F</w:t>
      </w:r>
      <w:r w:rsidR="00E51B48">
        <w:rPr>
          <w:rFonts w:ascii="Arial" w:eastAsia="Arial" w:hAnsi="Arial" w:cs="Arial"/>
          <w:sz w:val="24"/>
          <w:szCs w:val="24"/>
          <w:lang w:val="es-UY"/>
        </w:rPr>
        <w:t xml:space="preserve">-T, </w:t>
      </w:r>
      <w:r w:rsidR="00E51B48" w:rsidRPr="00C4485A">
        <w:rPr>
          <w:rFonts w:ascii="Arial" w:eastAsia="Arial" w:hAnsi="Arial" w:cs="Arial"/>
          <w:i/>
          <w:iCs/>
          <w:sz w:val="24"/>
          <w:szCs w:val="24"/>
          <w:lang w:val="es-UY"/>
        </w:rPr>
        <w:t>F</w:t>
      </w:r>
      <w:r w:rsidR="00E51B48">
        <w:rPr>
          <w:rFonts w:ascii="Arial" w:eastAsia="Arial" w:hAnsi="Arial" w:cs="Arial"/>
          <w:sz w:val="24"/>
          <w:szCs w:val="24"/>
          <w:lang w:val="es-UY"/>
        </w:rPr>
        <w:t xml:space="preserve"> (6) = 1,76, </w:t>
      </w:r>
      <w:r w:rsidR="00E51B48" w:rsidRPr="00E51B48">
        <w:rPr>
          <w:rFonts w:ascii="Arial" w:eastAsia="Arial" w:hAnsi="Arial" w:cs="Arial"/>
          <w:i/>
          <w:iCs/>
          <w:sz w:val="24"/>
          <w:szCs w:val="24"/>
          <w:lang w:val="es-UY"/>
        </w:rPr>
        <w:t>p</w:t>
      </w:r>
      <w:r w:rsidR="00E51B48">
        <w:rPr>
          <w:rFonts w:ascii="Arial" w:eastAsia="Arial" w:hAnsi="Arial" w:cs="Arial"/>
          <w:sz w:val="24"/>
          <w:szCs w:val="24"/>
          <w:lang w:val="es-UY"/>
        </w:rPr>
        <w:t xml:space="preserve"> = .1</w:t>
      </w:r>
      <w:r w:rsidR="00940AAB">
        <w:rPr>
          <w:rFonts w:ascii="Arial" w:eastAsia="Arial" w:hAnsi="Arial" w:cs="Arial"/>
          <w:sz w:val="24"/>
          <w:szCs w:val="24"/>
          <w:lang w:val="es-UY"/>
        </w:rPr>
        <w:t>3</w:t>
      </w:r>
    </w:p>
    <w:p w14:paraId="0630C217" w14:textId="77777777" w:rsidR="00BD409A" w:rsidRPr="00AE52A4" w:rsidRDefault="00BD409A" w:rsidP="00731076">
      <w:pPr>
        <w:spacing w:line="240" w:lineRule="auto"/>
        <w:jc w:val="both"/>
        <w:rPr>
          <w:rFonts w:ascii="Arial" w:eastAsia="Arial" w:hAnsi="Arial" w:cs="Arial"/>
          <w:i/>
          <w:sz w:val="24"/>
          <w:szCs w:val="24"/>
          <w:lang w:val="es-UY"/>
        </w:rPr>
        <w:sectPr w:rsidR="00BD409A" w:rsidRPr="00AE52A4" w:rsidSect="00BD409A">
          <w:pgSz w:w="16838" w:h="11906" w:orient="landscape"/>
          <w:pgMar w:top="1440" w:right="1440" w:bottom="1440" w:left="1440" w:header="709" w:footer="709" w:gutter="0"/>
          <w:cols w:space="708"/>
          <w:docGrid w:linePitch="360"/>
        </w:sectPr>
      </w:pPr>
    </w:p>
    <w:p w14:paraId="17929425" w14:textId="77777777" w:rsidR="00BD409A" w:rsidRPr="00AE52A4" w:rsidRDefault="00BD409A" w:rsidP="00731076">
      <w:pPr>
        <w:spacing w:line="240" w:lineRule="auto"/>
        <w:jc w:val="both"/>
        <w:rPr>
          <w:rFonts w:ascii="Arial" w:eastAsia="Arial" w:hAnsi="Arial" w:cs="Arial"/>
          <w:i/>
          <w:sz w:val="24"/>
          <w:szCs w:val="24"/>
          <w:lang w:val="es-UY"/>
        </w:rPr>
      </w:pPr>
      <w:r w:rsidRPr="00AE52A4">
        <w:rPr>
          <w:rFonts w:ascii="Arial" w:eastAsia="Arial" w:hAnsi="Arial" w:cs="Arial"/>
          <w:i/>
          <w:sz w:val="24"/>
          <w:szCs w:val="24"/>
          <w:lang w:val="es-UY"/>
        </w:rPr>
        <w:lastRenderedPageBreak/>
        <w:t>3.5. Asociación de las puntuaciones de CCF con consumo de sustancias</w:t>
      </w:r>
    </w:p>
    <w:p w14:paraId="4DF6C52B" w14:textId="14892CBC" w:rsidR="00BD409A" w:rsidRPr="00AE52A4" w:rsidRDefault="00BD409A" w:rsidP="00D177BB">
      <w:pPr>
        <w:spacing w:line="240" w:lineRule="auto"/>
        <w:ind w:firstLine="720"/>
        <w:jc w:val="both"/>
        <w:rPr>
          <w:rFonts w:ascii="Arial" w:eastAsia="Arial" w:hAnsi="Arial" w:cs="Arial"/>
          <w:sz w:val="24"/>
          <w:szCs w:val="24"/>
          <w:lang w:val="es-UY"/>
        </w:rPr>
      </w:pPr>
      <w:r w:rsidRPr="00AE52A4">
        <w:rPr>
          <w:rFonts w:ascii="Arial" w:eastAsia="Arial" w:hAnsi="Arial" w:cs="Arial"/>
          <w:sz w:val="24"/>
          <w:szCs w:val="24"/>
          <w:lang w:val="es-UY"/>
        </w:rPr>
        <w:t>Para evaluar las asociaciones entre la CCF con el consumo de sustancias psicoactivas se estimaron los coeficientes de correlación entre las variables de estudio. A su vez, se realizan análisis de regresión lineal múltiple para evaluar si la CCF predice el consumo de tabaco, marihuana y bebidas alcohólicas.</w:t>
      </w:r>
      <w:r w:rsidR="00D177BB">
        <w:rPr>
          <w:rFonts w:ascii="Arial" w:eastAsia="Arial" w:hAnsi="Arial" w:cs="Arial"/>
          <w:sz w:val="24"/>
          <w:szCs w:val="24"/>
          <w:lang w:val="es-UY"/>
        </w:rPr>
        <w:t xml:space="preserve"> </w:t>
      </w:r>
      <w:r w:rsidRPr="00AE52A4">
        <w:rPr>
          <w:rFonts w:ascii="Arial" w:eastAsia="Arial" w:hAnsi="Arial" w:cs="Arial"/>
          <w:sz w:val="24"/>
          <w:szCs w:val="24"/>
          <w:lang w:val="es-UY"/>
        </w:rPr>
        <w:t xml:space="preserve">En la Tabla </w:t>
      </w:r>
      <w:r w:rsidR="00731076" w:rsidRPr="00AE52A4">
        <w:rPr>
          <w:rFonts w:ascii="Arial" w:eastAsia="Arial" w:hAnsi="Arial" w:cs="Arial"/>
          <w:sz w:val="24"/>
          <w:szCs w:val="24"/>
          <w:lang w:val="es-UY"/>
        </w:rPr>
        <w:t>5</w:t>
      </w:r>
      <w:r w:rsidRPr="00AE52A4">
        <w:rPr>
          <w:rFonts w:ascii="Arial" w:eastAsia="Arial" w:hAnsi="Arial" w:cs="Arial"/>
          <w:sz w:val="24"/>
          <w:szCs w:val="24"/>
          <w:lang w:val="es-UY"/>
        </w:rPr>
        <w:t xml:space="preserve"> se presentan los coeficientes de correlación entre la CCF, variables sociodemográficas (sexo, edad y nivel educativo) y consumo de sustancias psicoactivas. CCF-I correlaciona positivamente con la edad y consumo de tabaco; y negativamente con el nivel educativo. CCF-F se asocia positivamente con la edad, nivel educativo y negativamente con el consumo de marihuana y tabaco. Por último, CCF-T se asocia  positivamente con el nivel educativo y negativamente con el consumo de marihuana y tabaco.</w:t>
      </w:r>
    </w:p>
    <w:p w14:paraId="0EF6E335" w14:textId="77777777" w:rsidR="00731076" w:rsidRPr="00AE52A4" w:rsidRDefault="00731076" w:rsidP="00731076">
      <w:pPr>
        <w:spacing w:line="240" w:lineRule="auto"/>
        <w:ind w:firstLine="720"/>
        <w:jc w:val="both"/>
        <w:rPr>
          <w:rFonts w:ascii="Arial" w:eastAsia="Arial" w:hAnsi="Arial" w:cs="Arial"/>
          <w:sz w:val="24"/>
          <w:szCs w:val="24"/>
          <w:lang w:val="es-UY"/>
        </w:rPr>
      </w:pPr>
    </w:p>
    <w:p w14:paraId="307720E7" w14:textId="77777777" w:rsidR="00BD409A" w:rsidRPr="00AE52A4" w:rsidRDefault="00BD409A" w:rsidP="00731076">
      <w:pPr>
        <w:spacing w:line="240" w:lineRule="auto"/>
        <w:jc w:val="both"/>
        <w:rPr>
          <w:rFonts w:ascii="Arial" w:eastAsia="Arial" w:hAnsi="Arial" w:cs="Arial"/>
          <w:sz w:val="24"/>
          <w:szCs w:val="24"/>
          <w:lang w:val="es-UY"/>
        </w:rPr>
      </w:pPr>
      <w:r w:rsidRPr="00AE52A4">
        <w:rPr>
          <w:rFonts w:ascii="Arial" w:eastAsia="Arial" w:hAnsi="Arial" w:cs="Arial"/>
          <w:sz w:val="24"/>
          <w:szCs w:val="24"/>
          <w:lang w:val="es-UY"/>
        </w:rPr>
        <w:t xml:space="preserve">Tabla </w:t>
      </w:r>
      <w:r w:rsidR="00731076" w:rsidRPr="00AE52A4">
        <w:rPr>
          <w:rFonts w:ascii="Arial" w:eastAsia="Arial" w:hAnsi="Arial" w:cs="Arial"/>
          <w:sz w:val="24"/>
          <w:szCs w:val="24"/>
          <w:lang w:val="es-UY"/>
        </w:rPr>
        <w:t>5</w:t>
      </w:r>
    </w:p>
    <w:p w14:paraId="6535FDAE" w14:textId="61C30A78" w:rsidR="00BD409A" w:rsidRPr="00AE52A4" w:rsidRDefault="00BD409A" w:rsidP="00731076">
      <w:pPr>
        <w:spacing w:line="240" w:lineRule="auto"/>
        <w:jc w:val="both"/>
        <w:rPr>
          <w:rFonts w:ascii="Arial" w:eastAsia="Arial" w:hAnsi="Arial" w:cs="Arial"/>
          <w:i/>
          <w:sz w:val="24"/>
          <w:szCs w:val="24"/>
          <w:lang w:val="es-UY"/>
        </w:rPr>
      </w:pPr>
      <w:r w:rsidRPr="00AE52A4">
        <w:rPr>
          <w:rFonts w:ascii="Arial" w:eastAsia="Arial" w:hAnsi="Arial" w:cs="Arial"/>
          <w:i/>
          <w:sz w:val="24"/>
          <w:szCs w:val="24"/>
          <w:lang w:val="es-UY"/>
        </w:rPr>
        <w:t>Correlación entre la</w:t>
      </w:r>
      <w:r w:rsidR="00D177BB">
        <w:rPr>
          <w:rFonts w:ascii="Arial" w:eastAsia="Arial" w:hAnsi="Arial" w:cs="Arial"/>
          <w:i/>
          <w:sz w:val="24"/>
          <w:szCs w:val="24"/>
          <w:lang w:val="es-UY"/>
        </w:rPr>
        <w:t>s puntuaciones de la</w:t>
      </w:r>
      <w:r w:rsidRPr="00AE52A4">
        <w:rPr>
          <w:rFonts w:ascii="Arial" w:eastAsia="Arial" w:hAnsi="Arial" w:cs="Arial"/>
          <w:i/>
          <w:sz w:val="24"/>
          <w:szCs w:val="24"/>
          <w:lang w:val="es-UY"/>
        </w:rPr>
        <w:t xml:space="preserve"> </w:t>
      </w:r>
      <w:r w:rsidR="00D177BB">
        <w:rPr>
          <w:rFonts w:ascii="Arial" w:eastAsia="Arial" w:hAnsi="Arial" w:cs="Arial"/>
          <w:i/>
          <w:sz w:val="24"/>
          <w:szCs w:val="24"/>
          <w:lang w:val="es-UY"/>
        </w:rPr>
        <w:t>E</w:t>
      </w:r>
      <w:r w:rsidRPr="00AE52A4">
        <w:rPr>
          <w:rFonts w:ascii="Arial" w:eastAsia="Arial" w:hAnsi="Arial" w:cs="Arial"/>
          <w:i/>
          <w:sz w:val="24"/>
          <w:szCs w:val="24"/>
          <w:lang w:val="es-UY"/>
        </w:rPr>
        <w:t>CCF, variables sociodemográficas y frecuencia de consumo de sustancias psicoactivas.</w:t>
      </w:r>
    </w:p>
    <w:tbl>
      <w:tblPr>
        <w:tblW w:w="0" w:type="auto"/>
        <w:tblCellMar>
          <w:left w:w="70" w:type="dxa"/>
          <w:right w:w="70" w:type="dxa"/>
        </w:tblCellMar>
        <w:tblLook w:val="04A0" w:firstRow="1" w:lastRow="0" w:firstColumn="1" w:lastColumn="0" w:noHBand="0" w:noVBand="1"/>
      </w:tblPr>
      <w:tblGrid>
        <w:gridCol w:w="1450"/>
        <w:gridCol w:w="1094"/>
        <w:gridCol w:w="1094"/>
        <w:gridCol w:w="976"/>
        <w:gridCol w:w="1094"/>
        <w:gridCol w:w="1094"/>
        <w:gridCol w:w="1094"/>
        <w:gridCol w:w="1130"/>
      </w:tblGrid>
      <w:tr w:rsidR="00AE52A4" w:rsidRPr="00AE52A4" w14:paraId="01AF28F7" w14:textId="77777777" w:rsidTr="00B87D4F">
        <w:trPr>
          <w:trHeight w:val="300"/>
        </w:trPr>
        <w:tc>
          <w:tcPr>
            <w:tcW w:w="0" w:type="auto"/>
            <w:tcBorders>
              <w:top w:val="single" w:sz="4" w:space="0" w:color="auto"/>
              <w:left w:val="nil"/>
              <w:bottom w:val="single" w:sz="4" w:space="0" w:color="auto"/>
              <w:right w:val="nil"/>
            </w:tcBorders>
            <w:shd w:val="clear" w:color="auto" w:fill="auto"/>
            <w:vAlign w:val="bottom"/>
            <w:hideMark/>
          </w:tcPr>
          <w:p w14:paraId="6351EC27" w14:textId="77777777" w:rsidR="00B87D4F" w:rsidRPr="00B87D4F" w:rsidRDefault="00B87D4F" w:rsidP="00B87D4F">
            <w:pPr>
              <w:spacing w:after="0" w:line="240" w:lineRule="auto"/>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 </w:t>
            </w:r>
          </w:p>
        </w:tc>
        <w:tc>
          <w:tcPr>
            <w:tcW w:w="0" w:type="auto"/>
            <w:tcBorders>
              <w:top w:val="single" w:sz="4" w:space="0" w:color="auto"/>
              <w:left w:val="nil"/>
              <w:bottom w:val="single" w:sz="4" w:space="0" w:color="auto"/>
              <w:right w:val="nil"/>
            </w:tcBorders>
            <w:shd w:val="clear" w:color="auto" w:fill="auto"/>
            <w:vAlign w:val="bottom"/>
            <w:hideMark/>
          </w:tcPr>
          <w:p w14:paraId="58DD7C3E"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2</w:t>
            </w:r>
          </w:p>
        </w:tc>
        <w:tc>
          <w:tcPr>
            <w:tcW w:w="0" w:type="auto"/>
            <w:tcBorders>
              <w:top w:val="single" w:sz="4" w:space="0" w:color="auto"/>
              <w:left w:val="nil"/>
              <w:bottom w:val="single" w:sz="4" w:space="0" w:color="auto"/>
              <w:right w:val="nil"/>
            </w:tcBorders>
            <w:shd w:val="clear" w:color="auto" w:fill="auto"/>
            <w:vAlign w:val="bottom"/>
            <w:hideMark/>
          </w:tcPr>
          <w:p w14:paraId="43F43BD4"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3</w:t>
            </w:r>
          </w:p>
        </w:tc>
        <w:tc>
          <w:tcPr>
            <w:tcW w:w="0" w:type="auto"/>
            <w:tcBorders>
              <w:top w:val="single" w:sz="4" w:space="0" w:color="auto"/>
              <w:left w:val="nil"/>
              <w:bottom w:val="single" w:sz="4" w:space="0" w:color="auto"/>
              <w:right w:val="nil"/>
            </w:tcBorders>
            <w:shd w:val="clear" w:color="auto" w:fill="auto"/>
            <w:vAlign w:val="bottom"/>
            <w:hideMark/>
          </w:tcPr>
          <w:p w14:paraId="0BA7FDAC"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4</w:t>
            </w:r>
          </w:p>
        </w:tc>
        <w:tc>
          <w:tcPr>
            <w:tcW w:w="0" w:type="auto"/>
            <w:tcBorders>
              <w:top w:val="single" w:sz="4" w:space="0" w:color="auto"/>
              <w:left w:val="nil"/>
              <w:bottom w:val="single" w:sz="4" w:space="0" w:color="auto"/>
              <w:right w:val="nil"/>
            </w:tcBorders>
            <w:shd w:val="clear" w:color="auto" w:fill="auto"/>
            <w:vAlign w:val="bottom"/>
            <w:hideMark/>
          </w:tcPr>
          <w:p w14:paraId="46BB782A"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5</w:t>
            </w:r>
          </w:p>
        </w:tc>
        <w:tc>
          <w:tcPr>
            <w:tcW w:w="0" w:type="auto"/>
            <w:tcBorders>
              <w:top w:val="single" w:sz="4" w:space="0" w:color="auto"/>
              <w:left w:val="nil"/>
              <w:bottom w:val="single" w:sz="4" w:space="0" w:color="auto"/>
              <w:right w:val="nil"/>
            </w:tcBorders>
            <w:shd w:val="clear" w:color="auto" w:fill="auto"/>
            <w:vAlign w:val="bottom"/>
            <w:hideMark/>
          </w:tcPr>
          <w:p w14:paraId="20FDC471"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6</w:t>
            </w:r>
          </w:p>
        </w:tc>
        <w:tc>
          <w:tcPr>
            <w:tcW w:w="0" w:type="auto"/>
            <w:tcBorders>
              <w:top w:val="single" w:sz="4" w:space="0" w:color="auto"/>
              <w:left w:val="nil"/>
              <w:bottom w:val="single" w:sz="4" w:space="0" w:color="auto"/>
              <w:right w:val="nil"/>
            </w:tcBorders>
            <w:shd w:val="clear" w:color="auto" w:fill="auto"/>
            <w:vAlign w:val="bottom"/>
            <w:hideMark/>
          </w:tcPr>
          <w:p w14:paraId="4265ED15"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7</w:t>
            </w:r>
          </w:p>
        </w:tc>
        <w:tc>
          <w:tcPr>
            <w:tcW w:w="0" w:type="auto"/>
            <w:tcBorders>
              <w:top w:val="single" w:sz="4" w:space="0" w:color="auto"/>
              <w:left w:val="nil"/>
              <w:bottom w:val="single" w:sz="4" w:space="0" w:color="auto"/>
              <w:right w:val="nil"/>
            </w:tcBorders>
            <w:shd w:val="clear" w:color="auto" w:fill="auto"/>
            <w:vAlign w:val="bottom"/>
            <w:hideMark/>
          </w:tcPr>
          <w:p w14:paraId="5B4503C9"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8. CT</w:t>
            </w:r>
          </w:p>
        </w:tc>
      </w:tr>
      <w:tr w:rsidR="00AE52A4" w:rsidRPr="00AE52A4" w14:paraId="07FAB5C8" w14:textId="77777777" w:rsidTr="00B87D4F">
        <w:trPr>
          <w:trHeight w:val="300"/>
        </w:trPr>
        <w:tc>
          <w:tcPr>
            <w:tcW w:w="0" w:type="auto"/>
            <w:tcBorders>
              <w:top w:val="nil"/>
              <w:left w:val="nil"/>
              <w:bottom w:val="nil"/>
              <w:right w:val="nil"/>
            </w:tcBorders>
            <w:shd w:val="clear" w:color="auto" w:fill="auto"/>
            <w:hideMark/>
          </w:tcPr>
          <w:p w14:paraId="37C33145" w14:textId="77777777" w:rsidR="00B87D4F" w:rsidRPr="00B87D4F" w:rsidRDefault="00B87D4F" w:rsidP="00B87D4F">
            <w:pPr>
              <w:spacing w:after="0" w:line="240" w:lineRule="auto"/>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1. C</w:t>
            </w:r>
            <w:r w:rsidR="00AE52A4" w:rsidRPr="00AE52A4">
              <w:rPr>
                <w:rFonts w:ascii="Arial" w:eastAsia="Times New Roman" w:hAnsi="Arial" w:cs="Arial"/>
                <w:sz w:val="24"/>
                <w:szCs w:val="24"/>
                <w:lang w:val="es-UY" w:eastAsia="es-UY"/>
              </w:rPr>
              <w:t>CF</w:t>
            </w:r>
            <w:r w:rsidRPr="00B87D4F">
              <w:rPr>
                <w:rFonts w:ascii="Arial" w:eastAsia="Times New Roman" w:hAnsi="Arial" w:cs="Arial"/>
                <w:sz w:val="24"/>
                <w:szCs w:val="24"/>
                <w:lang w:val="es-UY" w:eastAsia="es-UY"/>
              </w:rPr>
              <w:t>-I</w:t>
            </w:r>
          </w:p>
        </w:tc>
        <w:tc>
          <w:tcPr>
            <w:tcW w:w="0" w:type="auto"/>
            <w:tcBorders>
              <w:top w:val="nil"/>
              <w:left w:val="nil"/>
              <w:bottom w:val="nil"/>
              <w:right w:val="nil"/>
            </w:tcBorders>
            <w:shd w:val="clear" w:color="auto" w:fill="auto"/>
            <w:noWrap/>
            <w:hideMark/>
          </w:tcPr>
          <w:p w14:paraId="5645FDFB"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-.31</w:t>
            </w:r>
            <w:r w:rsidRPr="00B87D4F">
              <w:rPr>
                <w:rFonts w:ascii="Arial" w:eastAsia="Times New Roman" w:hAnsi="Arial" w:cs="Arial"/>
                <w:sz w:val="24"/>
                <w:szCs w:val="24"/>
                <w:vertAlign w:val="superscript"/>
                <w:lang w:val="es-UY" w:eastAsia="es-UY"/>
              </w:rPr>
              <w:t>**</w:t>
            </w:r>
          </w:p>
        </w:tc>
        <w:tc>
          <w:tcPr>
            <w:tcW w:w="0" w:type="auto"/>
            <w:tcBorders>
              <w:top w:val="nil"/>
              <w:left w:val="nil"/>
              <w:bottom w:val="nil"/>
              <w:right w:val="nil"/>
            </w:tcBorders>
            <w:shd w:val="clear" w:color="auto" w:fill="auto"/>
            <w:noWrap/>
            <w:hideMark/>
          </w:tcPr>
          <w:p w14:paraId="562D75D3"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-.80</w:t>
            </w:r>
            <w:r w:rsidRPr="00B87D4F">
              <w:rPr>
                <w:rFonts w:ascii="Arial" w:eastAsia="Times New Roman" w:hAnsi="Arial" w:cs="Arial"/>
                <w:sz w:val="24"/>
                <w:szCs w:val="24"/>
                <w:vertAlign w:val="superscript"/>
                <w:lang w:val="es-UY" w:eastAsia="es-UY"/>
              </w:rPr>
              <w:t>**</w:t>
            </w:r>
          </w:p>
        </w:tc>
        <w:tc>
          <w:tcPr>
            <w:tcW w:w="0" w:type="auto"/>
            <w:tcBorders>
              <w:top w:val="nil"/>
              <w:left w:val="nil"/>
              <w:bottom w:val="nil"/>
              <w:right w:val="nil"/>
            </w:tcBorders>
            <w:shd w:val="clear" w:color="auto" w:fill="auto"/>
            <w:noWrap/>
            <w:hideMark/>
          </w:tcPr>
          <w:p w14:paraId="290E1238"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.13</w:t>
            </w:r>
            <w:r w:rsidRPr="00B87D4F">
              <w:rPr>
                <w:rFonts w:ascii="Arial" w:eastAsia="Times New Roman" w:hAnsi="Arial" w:cs="Arial"/>
                <w:sz w:val="24"/>
                <w:szCs w:val="24"/>
                <w:vertAlign w:val="superscript"/>
                <w:lang w:val="es-UY" w:eastAsia="es-UY"/>
              </w:rPr>
              <w:t>**</w:t>
            </w:r>
          </w:p>
        </w:tc>
        <w:tc>
          <w:tcPr>
            <w:tcW w:w="0" w:type="auto"/>
            <w:tcBorders>
              <w:top w:val="nil"/>
              <w:left w:val="nil"/>
              <w:bottom w:val="nil"/>
              <w:right w:val="nil"/>
            </w:tcBorders>
            <w:shd w:val="clear" w:color="auto" w:fill="auto"/>
            <w:noWrap/>
            <w:hideMark/>
          </w:tcPr>
          <w:p w14:paraId="1BDDBDC5"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-.25</w:t>
            </w:r>
            <w:r w:rsidRPr="00B87D4F">
              <w:rPr>
                <w:rFonts w:ascii="Arial" w:eastAsia="Times New Roman" w:hAnsi="Arial" w:cs="Arial"/>
                <w:sz w:val="24"/>
                <w:szCs w:val="24"/>
                <w:vertAlign w:val="superscript"/>
                <w:lang w:val="es-UY" w:eastAsia="es-UY"/>
              </w:rPr>
              <w:t>**</w:t>
            </w:r>
          </w:p>
        </w:tc>
        <w:tc>
          <w:tcPr>
            <w:tcW w:w="0" w:type="auto"/>
            <w:tcBorders>
              <w:top w:val="nil"/>
              <w:left w:val="nil"/>
              <w:bottom w:val="nil"/>
              <w:right w:val="nil"/>
            </w:tcBorders>
            <w:shd w:val="clear" w:color="auto" w:fill="auto"/>
            <w:noWrap/>
            <w:hideMark/>
          </w:tcPr>
          <w:p w14:paraId="24C5F6B9"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-.01</w:t>
            </w:r>
          </w:p>
        </w:tc>
        <w:tc>
          <w:tcPr>
            <w:tcW w:w="0" w:type="auto"/>
            <w:tcBorders>
              <w:top w:val="nil"/>
              <w:left w:val="nil"/>
              <w:bottom w:val="nil"/>
              <w:right w:val="nil"/>
            </w:tcBorders>
            <w:shd w:val="clear" w:color="auto" w:fill="auto"/>
            <w:noWrap/>
            <w:hideMark/>
          </w:tcPr>
          <w:p w14:paraId="5996EDF9"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.04</w:t>
            </w:r>
          </w:p>
        </w:tc>
        <w:tc>
          <w:tcPr>
            <w:tcW w:w="0" w:type="auto"/>
            <w:tcBorders>
              <w:top w:val="nil"/>
              <w:left w:val="nil"/>
              <w:bottom w:val="nil"/>
              <w:right w:val="nil"/>
            </w:tcBorders>
            <w:shd w:val="clear" w:color="auto" w:fill="auto"/>
            <w:noWrap/>
            <w:hideMark/>
          </w:tcPr>
          <w:p w14:paraId="0E345056"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.07</w:t>
            </w:r>
            <w:r w:rsidRPr="00B87D4F">
              <w:rPr>
                <w:rFonts w:ascii="Arial" w:eastAsia="Times New Roman" w:hAnsi="Arial" w:cs="Arial"/>
                <w:sz w:val="24"/>
                <w:szCs w:val="24"/>
                <w:vertAlign w:val="superscript"/>
                <w:lang w:val="es-UY" w:eastAsia="es-UY"/>
              </w:rPr>
              <w:t>*</w:t>
            </w:r>
          </w:p>
        </w:tc>
      </w:tr>
      <w:tr w:rsidR="00AE52A4" w:rsidRPr="00AE52A4" w14:paraId="39FD67F3" w14:textId="77777777" w:rsidTr="00B87D4F">
        <w:trPr>
          <w:trHeight w:val="300"/>
        </w:trPr>
        <w:tc>
          <w:tcPr>
            <w:tcW w:w="0" w:type="auto"/>
            <w:tcBorders>
              <w:top w:val="nil"/>
              <w:left w:val="nil"/>
              <w:bottom w:val="nil"/>
              <w:right w:val="nil"/>
            </w:tcBorders>
            <w:shd w:val="clear" w:color="auto" w:fill="auto"/>
            <w:hideMark/>
          </w:tcPr>
          <w:p w14:paraId="381C7886" w14:textId="77777777" w:rsidR="00B87D4F" w:rsidRPr="00B87D4F" w:rsidRDefault="00B87D4F" w:rsidP="00B87D4F">
            <w:pPr>
              <w:spacing w:after="0" w:line="240" w:lineRule="auto"/>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2. C</w:t>
            </w:r>
            <w:r w:rsidR="00AE52A4" w:rsidRPr="00AE52A4">
              <w:rPr>
                <w:rFonts w:ascii="Arial" w:eastAsia="Times New Roman" w:hAnsi="Arial" w:cs="Arial"/>
                <w:sz w:val="24"/>
                <w:szCs w:val="24"/>
                <w:lang w:val="es-UY" w:eastAsia="es-UY"/>
              </w:rPr>
              <w:t>CF</w:t>
            </w:r>
            <w:r w:rsidRPr="00B87D4F">
              <w:rPr>
                <w:rFonts w:ascii="Arial" w:eastAsia="Times New Roman" w:hAnsi="Arial" w:cs="Arial"/>
                <w:sz w:val="24"/>
                <w:szCs w:val="24"/>
                <w:lang w:val="es-UY" w:eastAsia="es-UY"/>
              </w:rPr>
              <w:t>-F</w:t>
            </w:r>
          </w:p>
        </w:tc>
        <w:tc>
          <w:tcPr>
            <w:tcW w:w="0" w:type="auto"/>
            <w:tcBorders>
              <w:top w:val="nil"/>
              <w:left w:val="nil"/>
              <w:bottom w:val="nil"/>
              <w:right w:val="nil"/>
            </w:tcBorders>
            <w:shd w:val="clear" w:color="auto" w:fill="auto"/>
            <w:noWrap/>
            <w:vAlign w:val="bottom"/>
            <w:hideMark/>
          </w:tcPr>
          <w:p w14:paraId="37486F5E" w14:textId="77777777" w:rsidR="00B87D4F" w:rsidRPr="00B87D4F" w:rsidRDefault="00B87D4F" w:rsidP="00B87D4F">
            <w:pPr>
              <w:spacing w:after="0" w:line="240" w:lineRule="auto"/>
              <w:rPr>
                <w:rFonts w:ascii="Arial" w:eastAsia="Times New Roman" w:hAnsi="Arial" w:cs="Arial"/>
                <w:sz w:val="24"/>
                <w:szCs w:val="24"/>
                <w:lang w:val="es-UY" w:eastAsia="es-UY"/>
              </w:rPr>
            </w:pPr>
          </w:p>
        </w:tc>
        <w:tc>
          <w:tcPr>
            <w:tcW w:w="0" w:type="auto"/>
            <w:tcBorders>
              <w:top w:val="nil"/>
              <w:left w:val="nil"/>
              <w:bottom w:val="nil"/>
              <w:right w:val="nil"/>
            </w:tcBorders>
            <w:shd w:val="clear" w:color="auto" w:fill="auto"/>
            <w:noWrap/>
            <w:hideMark/>
          </w:tcPr>
          <w:p w14:paraId="70E535F3"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.82</w:t>
            </w:r>
            <w:r w:rsidRPr="00B87D4F">
              <w:rPr>
                <w:rFonts w:ascii="Arial" w:eastAsia="Times New Roman" w:hAnsi="Arial" w:cs="Arial"/>
                <w:sz w:val="24"/>
                <w:szCs w:val="24"/>
                <w:vertAlign w:val="superscript"/>
                <w:lang w:val="es-UY" w:eastAsia="es-UY"/>
              </w:rPr>
              <w:t>**</w:t>
            </w:r>
          </w:p>
        </w:tc>
        <w:tc>
          <w:tcPr>
            <w:tcW w:w="0" w:type="auto"/>
            <w:tcBorders>
              <w:top w:val="nil"/>
              <w:left w:val="nil"/>
              <w:bottom w:val="nil"/>
              <w:right w:val="nil"/>
            </w:tcBorders>
            <w:shd w:val="clear" w:color="auto" w:fill="auto"/>
            <w:noWrap/>
            <w:hideMark/>
          </w:tcPr>
          <w:p w14:paraId="24538C16"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.06</w:t>
            </w:r>
            <w:r w:rsidRPr="00B87D4F">
              <w:rPr>
                <w:rFonts w:ascii="Arial" w:eastAsia="Times New Roman" w:hAnsi="Arial" w:cs="Arial"/>
                <w:sz w:val="24"/>
                <w:szCs w:val="24"/>
                <w:vertAlign w:val="superscript"/>
                <w:lang w:val="es-UY" w:eastAsia="es-UY"/>
              </w:rPr>
              <w:t>*</w:t>
            </w:r>
          </w:p>
        </w:tc>
        <w:tc>
          <w:tcPr>
            <w:tcW w:w="0" w:type="auto"/>
            <w:tcBorders>
              <w:top w:val="nil"/>
              <w:left w:val="nil"/>
              <w:bottom w:val="nil"/>
              <w:right w:val="nil"/>
            </w:tcBorders>
            <w:shd w:val="clear" w:color="auto" w:fill="auto"/>
            <w:noWrap/>
            <w:hideMark/>
          </w:tcPr>
          <w:p w14:paraId="3431F58B"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.14</w:t>
            </w:r>
            <w:r w:rsidRPr="00B87D4F">
              <w:rPr>
                <w:rFonts w:ascii="Arial" w:eastAsia="Times New Roman" w:hAnsi="Arial" w:cs="Arial"/>
                <w:sz w:val="24"/>
                <w:szCs w:val="24"/>
                <w:vertAlign w:val="superscript"/>
                <w:lang w:val="es-UY" w:eastAsia="es-UY"/>
              </w:rPr>
              <w:t>**</w:t>
            </w:r>
          </w:p>
        </w:tc>
        <w:tc>
          <w:tcPr>
            <w:tcW w:w="0" w:type="auto"/>
            <w:tcBorders>
              <w:top w:val="nil"/>
              <w:left w:val="nil"/>
              <w:bottom w:val="nil"/>
              <w:right w:val="nil"/>
            </w:tcBorders>
            <w:shd w:val="clear" w:color="auto" w:fill="auto"/>
            <w:noWrap/>
            <w:hideMark/>
          </w:tcPr>
          <w:p w14:paraId="7BA5AF42"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-.02</w:t>
            </w:r>
          </w:p>
        </w:tc>
        <w:tc>
          <w:tcPr>
            <w:tcW w:w="0" w:type="auto"/>
            <w:tcBorders>
              <w:top w:val="nil"/>
              <w:left w:val="nil"/>
              <w:bottom w:val="nil"/>
              <w:right w:val="nil"/>
            </w:tcBorders>
            <w:shd w:val="clear" w:color="auto" w:fill="auto"/>
            <w:noWrap/>
            <w:hideMark/>
          </w:tcPr>
          <w:p w14:paraId="1E41680C"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-.07</w:t>
            </w:r>
            <w:r w:rsidRPr="00B87D4F">
              <w:rPr>
                <w:rFonts w:ascii="Arial" w:eastAsia="Times New Roman" w:hAnsi="Arial" w:cs="Arial"/>
                <w:sz w:val="24"/>
                <w:szCs w:val="24"/>
                <w:vertAlign w:val="superscript"/>
                <w:lang w:val="es-UY" w:eastAsia="es-UY"/>
              </w:rPr>
              <w:t>*</w:t>
            </w:r>
          </w:p>
        </w:tc>
        <w:tc>
          <w:tcPr>
            <w:tcW w:w="0" w:type="auto"/>
            <w:tcBorders>
              <w:top w:val="nil"/>
              <w:left w:val="nil"/>
              <w:bottom w:val="nil"/>
              <w:right w:val="nil"/>
            </w:tcBorders>
            <w:shd w:val="clear" w:color="auto" w:fill="auto"/>
            <w:noWrap/>
            <w:hideMark/>
          </w:tcPr>
          <w:p w14:paraId="4E414B95"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-.09</w:t>
            </w:r>
            <w:r w:rsidRPr="00B87D4F">
              <w:rPr>
                <w:rFonts w:ascii="Arial" w:eastAsia="Times New Roman" w:hAnsi="Arial" w:cs="Arial"/>
                <w:sz w:val="24"/>
                <w:szCs w:val="24"/>
                <w:vertAlign w:val="superscript"/>
                <w:lang w:val="es-UY" w:eastAsia="es-UY"/>
              </w:rPr>
              <w:t>**</w:t>
            </w:r>
          </w:p>
        </w:tc>
      </w:tr>
      <w:tr w:rsidR="00AE52A4" w:rsidRPr="00AE52A4" w14:paraId="35B145EB" w14:textId="77777777" w:rsidTr="00B87D4F">
        <w:trPr>
          <w:trHeight w:val="300"/>
        </w:trPr>
        <w:tc>
          <w:tcPr>
            <w:tcW w:w="0" w:type="auto"/>
            <w:tcBorders>
              <w:top w:val="nil"/>
              <w:left w:val="nil"/>
              <w:bottom w:val="nil"/>
              <w:right w:val="nil"/>
            </w:tcBorders>
            <w:shd w:val="clear" w:color="auto" w:fill="auto"/>
            <w:hideMark/>
          </w:tcPr>
          <w:p w14:paraId="4989A06E" w14:textId="77777777" w:rsidR="00B87D4F" w:rsidRPr="00B87D4F" w:rsidRDefault="00B87D4F" w:rsidP="00B87D4F">
            <w:pPr>
              <w:spacing w:after="0" w:line="240" w:lineRule="auto"/>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3. C</w:t>
            </w:r>
            <w:r w:rsidR="00AE52A4" w:rsidRPr="00AE52A4">
              <w:rPr>
                <w:rFonts w:ascii="Arial" w:eastAsia="Times New Roman" w:hAnsi="Arial" w:cs="Arial"/>
                <w:sz w:val="24"/>
                <w:szCs w:val="24"/>
                <w:lang w:val="es-UY" w:eastAsia="es-UY"/>
              </w:rPr>
              <w:t>CF</w:t>
            </w:r>
            <w:r w:rsidRPr="00B87D4F">
              <w:rPr>
                <w:rFonts w:ascii="Arial" w:eastAsia="Times New Roman" w:hAnsi="Arial" w:cs="Arial"/>
                <w:sz w:val="24"/>
                <w:szCs w:val="24"/>
                <w:lang w:val="es-UY" w:eastAsia="es-UY"/>
              </w:rPr>
              <w:t>-T</w:t>
            </w:r>
          </w:p>
        </w:tc>
        <w:tc>
          <w:tcPr>
            <w:tcW w:w="0" w:type="auto"/>
            <w:tcBorders>
              <w:top w:val="nil"/>
              <w:left w:val="nil"/>
              <w:bottom w:val="nil"/>
              <w:right w:val="nil"/>
            </w:tcBorders>
            <w:shd w:val="clear" w:color="auto" w:fill="auto"/>
            <w:noWrap/>
            <w:vAlign w:val="bottom"/>
            <w:hideMark/>
          </w:tcPr>
          <w:p w14:paraId="3FDC7CEB" w14:textId="77777777" w:rsidR="00B87D4F" w:rsidRPr="00B87D4F" w:rsidRDefault="00B87D4F" w:rsidP="00B87D4F">
            <w:pPr>
              <w:spacing w:after="0" w:line="240" w:lineRule="auto"/>
              <w:rPr>
                <w:rFonts w:ascii="Arial" w:eastAsia="Times New Roman" w:hAnsi="Arial" w:cs="Arial"/>
                <w:sz w:val="24"/>
                <w:szCs w:val="24"/>
                <w:lang w:val="es-UY" w:eastAsia="es-UY"/>
              </w:rPr>
            </w:pPr>
          </w:p>
        </w:tc>
        <w:tc>
          <w:tcPr>
            <w:tcW w:w="0" w:type="auto"/>
            <w:tcBorders>
              <w:top w:val="nil"/>
              <w:left w:val="nil"/>
              <w:bottom w:val="nil"/>
              <w:right w:val="nil"/>
            </w:tcBorders>
            <w:shd w:val="clear" w:color="auto" w:fill="auto"/>
            <w:noWrap/>
            <w:vAlign w:val="bottom"/>
            <w:hideMark/>
          </w:tcPr>
          <w:p w14:paraId="08B11EDD"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p>
        </w:tc>
        <w:tc>
          <w:tcPr>
            <w:tcW w:w="0" w:type="auto"/>
            <w:tcBorders>
              <w:top w:val="nil"/>
              <w:left w:val="nil"/>
              <w:bottom w:val="nil"/>
              <w:right w:val="nil"/>
            </w:tcBorders>
            <w:shd w:val="clear" w:color="auto" w:fill="auto"/>
            <w:noWrap/>
            <w:hideMark/>
          </w:tcPr>
          <w:p w14:paraId="0DF9AF72"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-.04</w:t>
            </w:r>
          </w:p>
        </w:tc>
        <w:tc>
          <w:tcPr>
            <w:tcW w:w="0" w:type="auto"/>
            <w:tcBorders>
              <w:top w:val="nil"/>
              <w:left w:val="nil"/>
              <w:bottom w:val="nil"/>
              <w:right w:val="nil"/>
            </w:tcBorders>
            <w:shd w:val="clear" w:color="auto" w:fill="auto"/>
            <w:noWrap/>
            <w:hideMark/>
          </w:tcPr>
          <w:p w14:paraId="3ECC73DE"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.24</w:t>
            </w:r>
            <w:r w:rsidRPr="00B87D4F">
              <w:rPr>
                <w:rFonts w:ascii="Arial" w:eastAsia="Times New Roman" w:hAnsi="Arial" w:cs="Arial"/>
                <w:sz w:val="24"/>
                <w:szCs w:val="24"/>
                <w:vertAlign w:val="superscript"/>
                <w:lang w:val="es-UY" w:eastAsia="es-UY"/>
              </w:rPr>
              <w:t>**</w:t>
            </w:r>
          </w:p>
        </w:tc>
        <w:tc>
          <w:tcPr>
            <w:tcW w:w="0" w:type="auto"/>
            <w:tcBorders>
              <w:top w:val="nil"/>
              <w:left w:val="nil"/>
              <w:bottom w:val="nil"/>
              <w:right w:val="nil"/>
            </w:tcBorders>
            <w:shd w:val="clear" w:color="auto" w:fill="auto"/>
            <w:noWrap/>
            <w:hideMark/>
          </w:tcPr>
          <w:p w14:paraId="4485E21E"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-.01</w:t>
            </w:r>
          </w:p>
        </w:tc>
        <w:tc>
          <w:tcPr>
            <w:tcW w:w="0" w:type="auto"/>
            <w:tcBorders>
              <w:top w:val="nil"/>
              <w:left w:val="nil"/>
              <w:bottom w:val="nil"/>
              <w:right w:val="nil"/>
            </w:tcBorders>
            <w:shd w:val="clear" w:color="auto" w:fill="auto"/>
            <w:noWrap/>
            <w:hideMark/>
          </w:tcPr>
          <w:p w14:paraId="5F4063E6"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-.07</w:t>
            </w:r>
            <w:r w:rsidRPr="00B87D4F">
              <w:rPr>
                <w:rFonts w:ascii="Arial" w:eastAsia="Times New Roman" w:hAnsi="Arial" w:cs="Arial"/>
                <w:sz w:val="24"/>
                <w:szCs w:val="24"/>
                <w:vertAlign w:val="superscript"/>
                <w:lang w:val="es-UY" w:eastAsia="es-UY"/>
              </w:rPr>
              <w:t>*</w:t>
            </w:r>
          </w:p>
        </w:tc>
        <w:tc>
          <w:tcPr>
            <w:tcW w:w="0" w:type="auto"/>
            <w:tcBorders>
              <w:top w:val="nil"/>
              <w:left w:val="nil"/>
              <w:bottom w:val="nil"/>
              <w:right w:val="nil"/>
            </w:tcBorders>
            <w:shd w:val="clear" w:color="auto" w:fill="auto"/>
            <w:noWrap/>
            <w:hideMark/>
          </w:tcPr>
          <w:p w14:paraId="444567F0"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-.10</w:t>
            </w:r>
            <w:r w:rsidRPr="00B87D4F">
              <w:rPr>
                <w:rFonts w:ascii="Arial" w:eastAsia="Times New Roman" w:hAnsi="Arial" w:cs="Arial"/>
                <w:sz w:val="24"/>
                <w:szCs w:val="24"/>
                <w:vertAlign w:val="superscript"/>
                <w:lang w:val="es-UY" w:eastAsia="es-UY"/>
              </w:rPr>
              <w:t>**</w:t>
            </w:r>
          </w:p>
        </w:tc>
      </w:tr>
      <w:tr w:rsidR="00AE52A4" w:rsidRPr="00AE52A4" w14:paraId="4243FB01" w14:textId="77777777" w:rsidTr="00B87D4F">
        <w:trPr>
          <w:trHeight w:val="300"/>
        </w:trPr>
        <w:tc>
          <w:tcPr>
            <w:tcW w:w="0" w:type="auto"/>
            <w:tcBorders>
              <w:top w:val="nil"/>
              <w:left w:val="nil"/>
              <w:bottom w:val="nil"/>
              <w:right w:val="nil"/>
            </w:tcBorders>
            <w:shd w:val="clear" w:color="auto" w:fill="auto"/>
            <w:hideMark/>
          </w:tcPr>
          <w:p w14:paraId="6CD41924" w14:textId="77777777" w:rsidR="00B87D4F" w:rsidRPr="00B87D4F" w:rsidRDefault="00B87D4F" w:rsidP="00B87D4F">
            <w:pPr>
              <w:spacing w:after="0" w:line="240" w:lineRule="auto"/>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4. Edad</w:t>
            </w:r>
          </w:p>
        </w:tc>
        <w:tc>
          <w:tcPr>
            <w:tcW w:w="0" w:type="auto"/>
            <w:tcBorders>
              <w:top w:val="nil"/>
              <w:left w:val="nil"/>
              <w:bottom w:val="nil"/>
              <w:right w:val="nil"/>
            </w:tcBorders>
            <w:shd w:val="clear" w:color="auto" w:fill="auto"/>
            <w:noWrap/>
            <w:vAlign w:val="bottom"/>
            <w:hideMark/>
          </w:tcPr>
          <w:p w14:paraId="1FD572F1" w14:textId="77777777" w:rsidR="00B87D4F" w:rsidRPr="00B87D4F" w:rsidRDefault="00B87D4F" w:rsidP="00B87D4F">
            <w:pPr>
              <w:spacing w:after="0" w:line="240" w:lineRule="auto"/>
              <w:rPr>
                <w:rFonts w:ascii="Arial" w:eastAsia="Times New Roman" w:hAnsi="Arial" w:cs="Arial"/>
                <w:sz w:val="24"/>
                <w:szCs w:val="24"/>
                <w:lang w:val="es-UY" w:eastAsia="es-UY"/>
              </w:rPr>
            </w:pPr>
          </w:p>
        </w:tc>
        <w:tc>
          <w:tcPr>
            <w:tcW w:w="0" w:type="auto"/>
            <w:tcBorders>
              <w:top w:val="nil"/>
              <w:left w:val="nil"/>
              <w:bottom w:val="nil"/>
              <w:right w:val="nil"/>
            </w:tcBorders>
            <w:shd w:val="clear" w:color="auto" w:fill="auto"/>
            <w:noWrap/>
            <w:vAlign w:val="bottom"/>
            <w:hideMark/>
          </w:tcPr>
          <w:p w14:paraId="5AA73A93"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p>
        </w:tc>
        <w:tc>
          <w:tcPr>
            <w:tcW w:w="0" w:type="auto"/>
            <w:tcBorders>
              <w:top w:val="nil"/>
              <w:left w:val="nil"/>
              <w:bottom w:val="nil"/>
              <w:right w:val="nil"/>
            </w:tcBorders>
            <w:shd w:val="clear" w:color="auto" w:fill="auto"/>
            <w:noWrap/>
            <w:vAlign w:val="bottom"/>
            <w:hideMark/>
          </w:tcPr>
          <w:p w14:paraId="5C7F0DFD"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p>
        </w:tc>
        <w:tc>
          <w:tcPr>
            <w:tcW w:w="0" w:type="auto"/>
            <w:tcBorders>
              <w:top w:val="nil"/>
              <w:left w:val="nil"/>
              <w:bottom w:val="nil"/>
              <w:right w:val="nil"/>
            </w:tcBorders>
            <w:shd w:val="clear" w:color="auto" w:fill="auto"/>
            <w:noWrap/>
            <w:hideMark/>
          </w:tcPr>
          <w:p w14:paraId="11489507"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-.03</w:t>
            </w:r>
          </w:p>
        </w:tc>
        <w:tc>
          <w:tcPr>
            <w:tcW w:w="0" w:type="auto"/>
            <w:tcBorders>
              <w:top w:val="nil"/>
              <w:left w:val="nil"/>
              <w:bottom w:val="nil"/>
              <w:right w:val="nil"/>
            </w:tcBorders>
            <w:shd w:val="clear" w:color="auto" w:fill="auto"/>
            <w:noWrap/>
            <w:hideMark/>
          </w:tcPr>
          <w:p w14:paraId="2889F986"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-.23</w:t>
            </w:r>
            <w:r w:rsidRPr="00B87D4F">
              <w:rPr>
                <w:rFonts w:ascii="Arial" w:eastAsia="Times New Roman" w:hAnsi="Arial" w:cs="Arial"/>
                <w:sz w:val="24"/>
                <w:szCs w:val="24"/>
                <w:vertAlign w:val="superscript"/>
                <w:lang w:val="es-UY" w:eastAsia="es-UY"/>
              </w:rPr>
              <w:t>**</w:t>
            </w:r>
          </w:p>
        </w:tc>
        <w:tc>
          <w:tcPr>
            <w:tcW w:w="0" w:type="auto"/>
            <w:tcBorders>
              <w:top w:val="nil"/>
              <w:left w:val="nil"/>
              <w:bottom w:val="nil"/>
              <w:right w:val="nil"/>
            </w:tcBorders>
            <w:shd w:val="clear" w:color="auto" w:fill="auto"/>
            <w:noWrap/>
            <w:hideMark/>
          </w:tcPr>
          <w:p w14:paraId="50364433"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-.26</w:t>
            </w:r>
            <w:r w:rsidRPr="00B87D4F">
              <w:rPr>
                <w:rFonts w:ascii="Arial" w:eastAsia="Times New Roman" w:hAnsi="Arial" w:cs="Arial"/>
                <w:sz w:val="24"/>
                <w:szCs w:val="24"/>
                <w:vertAlign w:val="superscript"/>
                <w:lang w:val="es-UY" w:eastAsia="es-UY"/>
              </w:rPr>
              <w:t>**</w:t>
            </w:r>
          </w:p>
        </w:tc>
        <w:tc>
          <w:tcPr>
            <w:tcW w:w="0" w:type="auto"/>
            <w:tcBorders>
              <w:top w:val="nil"/>
              <w:left w:val="nil"/>
              <w:bottom w:val="nil"/>
              <w:right w:val="nil"/>
            </w:tcBorders>
            <w:shd w:val="clear" w:color="auto" w:fill="auto"/>
            <w:noWrap/>
            <w:hideMark/>
          </w:tcPr>
          <w:p w14:paraId="4CE32D0C"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-.11</w:t>
            </w:r>
            <w:r w:rsidRPr="00B87D4F">
              <w:rPr>
                <w:rFonts w:ascii="Arial" w:eastAsia="Times New Roman" w:hAnsi="Arial" w:cs="Arial"/>
                <w:sz w:val="24"/>
                <w:szCs w:val="24"/>
                <w:vertAlign w:val="superscript"/>
                <w:lang w:val="es-UY" w:eastAsia="es-UY"/>
              </w:rPr>
              <w:t>**</w:t>
            </w:r>
          </w:p>
        </w:tc>
      </w:tr>
      <w:tr w:rsidR="00AE52A4" w:rsidRPr="00AE52A4" w14:paraId="49347DF4" w14:textId="77777777" w:rsidTr="00B87D4F">
        <w:trPr>
          <w:trHeight w:val="300"/>
        </w:trPr>
        <w:tc>
          <w:tcPr>
            <w:tcW w:w="0" w:type="auto"/>
            <w:tcBorders>
              <w:top w:val="nil"/>
              <w:left w:val="nil"/>
              <w:bottom w:val="nil"/>
              <w:right w:val="nil"/>
            </w:tcBorders>
            <w:shd w:val="clear" w:color="auto" w:fill="auto"/>
            <w:hideMark/>
          </w:tcPr>
          <w:p w14:paraId="45012071" w14:textId="77777777" w:rsidR="00B87D4F" w:rsidRPr="00B87D4F" w:rsidRDefault="00B87D4F" w:rsidP="00B87D4F">
            <w:pPr>
              <w:spacing w:after="0" w:line="240" w:lineRule="auto"/>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5. NE</w:t>
            </w:r>
          </w:p>
        </w:tc>
        <w:tc>
          <w:tcPr>
            <w:tcW w:w="0" w:type="auto"/>
            <w:tcBorders>
              <w:top w:val="nil"/>
              <w:left w:val="nil"/>
              <w:bottom w:val="nil"/>
              <w:right w:val="nil"/>
            </w:tcBorders>
            <w:shd w:val="clear" w:color="auto" w:fill="auto"/>
            <w:noWrap/>
            <w:vAlign w:val="bottom"/>
            <w:hideMark/>
          </w:tcPr>
          <w:p w14:paraId="5746690A" w14:textId="77777777" w:rsidR="00B87D4F" w:rsidRPr="00B87D4F" w:rsidRDefault="00B87D4F" w:rsidP="00B87D4F">
            <w:pPr>
              <w:spacing w:after="0" w:line="240" w:lineRule="auto"/>
              <w:rPr>
                <w:rFonts w:ascii="Arial" w:eastAsia="Times New Roman" w:hAnsi="Arial" w:cs="Arial"/>
                <w:sz w:val="24"/>
                <w:szCs w:val="24"/>
                <w:lang w:val="es-UY" w:eastAsia="es-UY"/>
              </w:rPr>
            </w:pPr>
          </w:p>
        </w:tc>
        <w:tc>
          <w:tcPr>
            <w:tcW w:w="0" w:type="auto"/>
            <w:tcBorders>
              <w:top w:val="nil"/>
              <w:left w:val="nil"/>
              <w:bottom w:val="nil"/>
              <w:right w:val="nil"/>
            </w:tcBorders>
            <w:shd w:val="clear" w:color="auto" w:fill="auto"/>
            <w:noWrap/>
            <w:vAlign w:val="bottom"/>
            <w:hideMark/>
          </w:tcPr>
          <w:p w14:paraId="4338843E"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p>
        </w:tc>
        <w:tc>
          <w:tcPr>
            <w:tcW w:w="0" w:type="auto"/>
            <w:tcBorders>
              <w:top w:val="nil"/>
              <w:left w:val="nil"/>
              <w:bottom w:val="nil"/>
              <w:right w:val="nil"/>
            </w:tcBorders>
            <w:shd w:val="clear" w:color="auto" w:fill="auto"/>
            <w:noWrap/>
            <w:vAlign w:val="bottom"/>
            <w:hideMark/>
          </w:tcPr>
          <w:p w14:paraId="6A360FAB"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p>
        </w:tc>
        <w:tc>
          <w:tcPr>
            <w:tcW w:w="0" w:type="auto"/>
            <w:tcBorders>
              <w:top w:val="nil"/>
              <w:left w:val="nil"/>
              <w:bottom w:val="nil"/>
              <w:right w:val="nil"/>
            </w:tcBorders>
            <w:shd w:val="clear" w:color="auto" w:fill="auto"/>
            <w:noWrap/>
            <w:vAlign w:val="bottom"/>
            <w:hideMark/>
          </w:tcPr>
          <w:p w14:paraId="37040876"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p>
        </w:tc>
        <w:tc>
          <w:tcPr>
            <w:tcW w:w="0" w:type="auto"/>
            <w:tcBorders>
              <w:top w:val="nil"/>
              <w:left w:val="nil"/>
              <w:bottom w:val="nil"/>
              <w:right w:val="nil"/>
            </w:tcBorders>
            <w:shd w:val="clear" w:color="auto" w:fill="auto"/>
            <w:noWrap/>
            <w:hideMark/>
          </w:tcPr>
          <w:p w14:paraId="30C55B94"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.15</w:t>
            </w:r>
            <w:r w:rsidRPr="00B87D4F">
              <w:rPr>
                <w:rFonts w:ascii="Arial" w:eastAsia="Times New Roman" w:hAnsi="Arial" w:cs="Arial"/>
                <w:sz w:val="24"/>
                <w:szCs w:val="24"/>
                <w:vertAlign w:val="superscript"/>
                <w:lang w:val="es-UY" w:eastAsia="es-UY"/>
              </w:rPr>
              <w:t>**</w:t>
            </w:r>
          </w:p>
        </w:tc>
        <w:tc>
          <w:tcPr>
            <w:tcW w:w="0" w:type="auto"/>
            <w:tcBorders>
              <w:top w:val="nil"/>
              <w:left w:val="nil"/>
              <w:bottom w:val="nil"/>
              <w:right w:val="nil"/>
            </w:tcBorders>
            <w:shd w:val="clear" w:color="auto" w:fill="auto"/>
            <w:noWrap/>
            <w:hideMark/>
          </w:tcPr>
          <w:p w14:paraId="1E5705E6"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.03</w:t>
            </w:r>
          </w:p>
        </w:tc>
        <w:tc>
          <w:tcPr>
            <w:tcW w:w="0" w:type="auto"/>
            <w:tcBorders>
              <w:top w:val="nil"/>
              <w:left w:val="nil"/>
              <w:bottom w:val="nil"/>
              <w:right w:val="nil"/>
            </w:tcBorders>
            <w:shd w:val="clear" w:color="auto" w:fill="auto"/>
            <w:noWrap/>
            <w:hideMark/>
          </w:tcPr>
          <w:p w14:paraId="0B8A06D3"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-.09</w:t>
            </w:r>
            <w:r w:rsidRPr="00B87D4F">
              <w:rPr>
                <w:rFonts w:ascii="Arial" w:eastAsia="Times New Roman" w:hAnsi="Arial" w:cs="Arial"/>
                <w:sz w:val="24"/>
                <w:szCs w:val="24"/>
                <w:vertAlign w:val="superscript"/>
                <w:lang w:val="es-UY" w:eastAsia="es-UY"/>
              </w:rPr>
              <w:t>**</w:t>
            </w:r>
          </w:p>
        </w:tc>
      </w:tr>
      <w:tr w:rsidR="00AE52A4" w:rsidRPr="00AE52A4" w14:paraId="6DAC0D18" w14:textId="77777777" w:rsidTr="00B87D4F">
        <w:trPr>
          <w:trHeight w:val="300"/>
        </w:trPr>
        <w:tc>
          <w:tcPr>
            <w:tcW w:w="0" w:type="auto"/>
            <w:tcBorders>
              <w:top w:val="nil"/>
              <w:left w:val="nil"/>
              <w:bottom w:val="nil"/>
              <w:right w:val="nil"/>
            </w:tcBorders>
            <w:shd w:val="clear" w:color="auto" w:fill="auto"/>
            <w:hideMark/>
          </w:tcPr>
          <w:p w14:paraId="7DD0E768" w14:textId="77777777" w:rsidR="00B87D4F" w:rsidRPr="00B87D4F" w:rsidRDefault="00B87D4F" w:rsidP="00B87D4F">
            <w:pPr>
              <w:spacing w:after="0" w:line="240" w:lineRule="auto"/>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6. BA</w:t>
            </w:r>
          </w:p>
        </w:tc>
        <w:tc>
          <w:tcPr>
            <w:tcW w:w="0" w:type="auto"/>
            <w:tcBorders>
              <w:top w:val="nil"/>
              <w:left w:val="nil"/>
              <w:bottom w:val="nil"/>
              <w:right w:val="nil"/>
            </w:tcBorders>
            <w:shd w:val="clear" w:color="auto" w:fill="auto"/>
            <w:noWrap/>
            <w:vAlign w:val="bottom"/>
            <w:hideMark/>
          </w:tcPr>
          <w:p w14:paraId="524A84F4" w14:textId="77777777" w:rsidR="00B87D4F" w:rsidRPr="00B87D4F" w:rsidRDefault="00B87D4F" w:rsidP="00B87D4F">
            <w:pPr>
              <w:spacing w:after="0" w:line="240" w:lineRule="auto"/>
              <w:rPr>
                <w:rFonts w:ascii="Arial" w:eastAsia="Times New Roman" w:hAnsi="Arial" w:cs="Arial"/>
                <w:sz w:val="24"/>
                <w:szCs w:val="24"/>
                <w:lang w:val="es-UY" w:eastAsia="es-UY"/>
              </w:rPr>
            </w:pPr>
          </w:p>
        </w:tc>
        <w:tc>
          <w:tcPr>
            <w:tcW w:w="0" w:type="auto"/>
            <w:tcBorders>
              <w:top w:val="nil"/>
              <w:left w:val="nil"/>
              <w:bottom w:val="nil"/>
              <w:right w:val="nil"/>
            </w:tcBorders>
            <w:shd w:val="clear" w:color="auto" w:fill="auto"/>
            <w:noWrap/>
            <w:vAlign w:val="bottom"/>
            <w:hideMark/>
          </w:tcPr>
          <w:p w14:paraId="0FDB6E5E"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p>
        </w:tc>
        <w:tc>
          <w:tcPr>
            <w:tcW w:w="0" w:type="auto"/>
            <w:tcBorders>
              <w:top w:val="nil"/>
              <w:left w:val="nil"/>
              <w:bottom w:val="nil"/>
              <w:right w:val="nil"/>
            </w:tcBorders>
            <w:shd w:val="clear" w:color="auto" w:fill="auto"/>
            <w:noWrap/>
            <w:vAlign w:val="bottom"/>
            <w:hideMark/>
          </w:tcPr>
          <w:p w14:paraId="7025CAF0"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p>
        </w:tc>
        <w:tc>
          <w:tcPr>
            <w:tcW w:w="0" w:type="auto"/>
            <w:tcBorders>
              <w:top w:val="nil"/>
              <w:left w:val="nil"/>
              <w:bottom w:val="nil"/>
              <w:right w:val="nil"/>
            </w:tcBorders>
            <w:shd w:val="clear" w:color="auto" w:fill="auto"/>
            <w:noWrap/>
            <w:vAlign w:val="bottom"/>
            <w:hideMark/>
          </w:tcPr>
          <w:p w14:paraId="74E73B44"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p>
        </w:tc>
        <w:tc>
          <w:tcPr>
            <w:tcW w:w="0" w:type="auto"/>
            <w:tcBorders>
              <w:top w:val="nil"/>
              <w:left w:val="nil"/>
              <w:bottom w:val="nil"/>
              <w:right w:val="nil"/>
            </w:tcBorders>
            <w:shd w:val="clear" w:color="auto" w:fill="auto"/>
            <w:noWrap/>
            <w:vAlign w:val="bottom"/>
            <w:hideMark/>
          </w:tcPr>
          <w:p w14:paraId="65D99710"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p>
        </w:tc>
        <w:tc>
          <w:tcPr>
            <w:tcW w:w="0" w:type="auto"/>
            <w:tcBorders>
              <w:top w:val="nil"/>
              <w:left w:val="nil"/>
              <w:bottom w:val="nil"/>
              <w:right w:val="nil"/>
            </w:tcBorders>
            <w:shd w:val="clear" w:color="auto" w:fill="auto"/>
            <w:noWrap/>
            <w:hideMark/>
          </w:tcPr>
          <w:p w14:paraId="67852849"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.30</w:t>
            </w:r>
            <w:r w:rsidRPr="00B87D4F">
              <w:rPr>
                <w:rFonts w:ascii="Arial" w:eastAsia="Times New Roman" w:hAnsi="Arial" w:cs="Arial"/>
                <w:sz w:val="24"/>
                <w:szCs w:val="24"/>
                <w:vertAlign w:val="superscript"/>
                <w:lang w:val="es-UY" w:eastAsia="es-UY"/>
              </w:rPr>
              <w:t>**</w:t>
            </w:r>
          </w:p>
        </w:tc>
        <w:tc>
          <w:tcPr>
            <w:tcW w:w="0" w:type="auto"/>
            <w:tcBorders>
              <w:top w:val="nil"/>
              <w:left w:val="nil"/>
              <w:bottom w:val="nil"/>
              <w:right w:val="nil"/>
            </w:tcBorders>
            <w:shd w:val="clear" w:color="auto" w:fill="auto"/>
            <w:noWrap/>
            <w:hideMark/>
          </w:tcPr>
          <w:p w14:paraId="7A6772CD"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.14</w:t>
            </w:r>
            <w:r w:rsidRPr="00B87D4F">
              <w:rPr>
                <w:rFonts w:ascii="Arial" w:eastAsia="Times New Roman" w:hAnsi="Arial" w:cs="Arial"/>
                <w:sz w:val="24"/>
                <w:szCs w:val="24"/>
                <w:vertAlign w:val="superscript"/>
                <w:lang w:val="es-UY" w:eastAsia="es-UY"/>
              </w:rPr>
              <w:t>**</w:t>
            </w:r>
          </w:p>
        </w:tc>
      </w:tr>
      <w:tr w:rsidR="00AE52A4" w:rsidRPr="00AE52A4" w14:paraId="7B2F24F9" w14:textId="77777777" w:rsidTr="00B87D4F">
        <w:trPr>
          <w:trHeight w:val="300"/>
        </w:trPr>
        <w:tc>
          <w:tcPr>
            <w:tcW w:w="0" w:type="auto"/>
            <w:tcBorders>
              <w:top w:val="nil"/>
              <w:left w:val="nil"/>
              <w:bottom w:val="single" w:sz="4" w:space="0" w:color="auto"/>
              <w:right w:val="nil"/>
            </w:tcBorders>
            <w:shd w:val="clear" w:color="auto" w:fill="auto"/>
            <w:hideMark/>
          </w:tcPr>
          <w:p w14:paraId="7C7F3DD6" w14:textId="77777777" w:rsidR="00B87D4F" w:rsidRPr="00B87D4F" w:rsidRDefault="00B87D4F" w:rsidP="00B87D4F">
            <w:pPr>
              <w:spacing w:after="0" w:line="240" w:lineRule="auto"/>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7. CM</w:t>
            </w:r>
          </w:p>
        </w:tc>
        <w:tc>
          <w:tcPr>
            <w:tcW w:w="0" w:type="auto"/>
            <w:tcBorders>
              <w:top w:val="nil"/>
              <w:left w:val="nil"/>
              <w:bottom w:val="single" w:sz="4" w:space="0" w:color="auto"/>
              <w:right w:val="nil"/>
            </w:tcBorders>
            <w:shd w:val="clear" w:color="auto" w:fill="auto"/>
            <w:noWrap/>
            <w:vAlign w:val="bottom"/>
            <w:hideMark/>
          </w:tcPr>
          <w:p w14:paraId="38743F24"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 </w:t>
            </w:r>
          </w:p>
        </w:tc>
        <w:tc>
          <w:tcPr>
            <w:tcW w:w="0" w:type="auto"/>
            <w:tcBorders>
              <w:top w:val="nil"/>
              <w:left w:val="nil"/>
              <w:bottom w:val="single" w:sz="4" w:space="0" w:color="auto"/>
              <w:right w:val="nil"/>
            </w:tcBorders>
            <w:shd w:val="clear" w:color="auto" w:fill="auto"/>
            <w:noWrap/>
            <w:vAlign w:val="bottom"/>
            <w:hideMark/>
          </w:tcPr>
          <w:p w14:paraId="5EA7206B"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 </w:t>
            </w:r>
          </w:p>
        </w:tc>
        <w:tc>
          <w:tcPr>
            <w:tcW w:w="0" w:type="auto"/>
            <w:tcBorders>
              <w:top w:val="nil"/>
              <w:left w:val="nil"/>
              <w:bottom w:val="single" w:sz="4" w:space="0" w:color="auto"/>
              <w:right w:val="nil"/>
            </w:tcBorders>
            <w:shd w:val="clear" w:color="auto" w:fill="auto"/>
            <w:noWrap/>
            <w:vAlign w:val="bottom"/>
            <w:hideMark/>
          </w:tcPr>
          <w:p w14:paraId="4C9388A1"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 </w:t>
            </w:r>
          </w:p>
        </w:tc>
        <w:tc>
          <w:tcPr>
            <w:tcW w:w="0" w:type="auto"/>
            <w:tcBorders>
              <w:top w:val="nil"/>
              <w:left w:val="nil"/>
              <w:bottom w:val="single" w:sz="4" w:space="0" w:color="auto"/>
              <w:right w:val="nil"/>
            </w:tcBorders>
            <w:shd w:val="clear" w:color="auto" w:fill="auto"/>
            <w:noWrap/>
            <w:vAlign w:val="bottom"/>
            <w:hideMark/>
          </w:tcPr>
          <w:p w14:paraId="52ED6792"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 </w:t>
            </w:r>
          </w:p>
        </w:tc>
        <w:tc>
          <w:tcPr>
            <w:tcW w:w="0" w:type="auto"/>
            <w:tcBorders>
              <w:top w:val="nil"/>
              <w:left w:val="nil"/>
              <w:bottom w:val="single" w:sz="4" w:space="0" w:color="auto"/>
              <w:right w:val="nil"/>
            </w:tcBorders>
            <w:shd w:val="clear" w:color="auto" w:fill="auto"/>
            <w:noWrap/>
            <w:vAlign w:val="bottom"/>
            <w:hideMark/>
          </w:tcPr>
          <w:p w14:paraId="78AB3922"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 </w:t>
            </w:r>
          </w:p>
        </w:tc>
        <w:tc>
          <w:tcPr>
            <w:tcW w:w="0" w:type="auto"/>
            <w:tcBorders>
              <w:top w:val="nil"/>
              <w:left w:val="nil"/>
              <w:bottom w:val="single" w:sz="4" w:space="0" w:color="auto"/>
              <w:right w:val="nil"/>
            </w:tcBorders>
            <w:shd w:val="clear" w:color="auto" w:fill="auto"/>
            <w:noWrap/>
            <w:vAlign w:val="bottom"/>
            <w:hideMark/>
          </w:tcPr>
          <w:p w14:paraId="5BBBB92C"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 </w:t>
            </w:r>
          </w:p>
        </w:tc>
        <w:tc>
          <w:tcPr>
            <w:tcW w:w="0" w:type="auto"/>
            <w:tcBorders>
              <w:top w:val="nil"/>
              <w:left w:val="nil"/>
              <w:bottom w:val="single" w:sz="4" w:space="0" w:color="auto"/>
              <w:right w:val="nil"/>
            </w:tcBorders>
            <w:shd w:val="clear" w:color="auto" w:fill="auto"/>
            <w:noWrap/>
            <w:hideMark/>
          </w:tcPr>
          <w:p w14:paraId="4BBBB582" w14:textId="77777777" w:rsidR="00B87D4F" w:rsidRPr="00B87D4F" w:rsidRDefault="00B87D4F" w:rsidP="00B87D4F">
            <w:pPr>
              <w:spacing w:after="0" w:line="240" w:lineRule="auto"/>
              <w:jc w:val="center"/>
              <w:rPr>
                <w:rFonts w:ascii="Arial" w:eastAsia="Times New Roman" w:hAnsi="Arial" w:cs="Arial"/>
                <w:sz w:val="24"/>
                <w:szCs w:val="24"/>
                <w:lang w:val="es-UY" w:eastAsia="es-UY"/>
              </w:rPr>
            </w:pPr>
            <w:r w:rsidRPr="00B87D4F">
              <w:rPr>
                <w:rFonts w:ascii="Arial" w:eastAsia="Times New Roman" w:hAnsi="Arial" w:cs="Arial"/>
                <w:sz w:val="24"/>
                <w:szCs w:val="24"/>
                <w:lang w:val="es-UY" w:eastAsia="es-UY"/>
              </w:rPr>
              <w:t>.20</w:t>
            </w:r>
            <w:r w:rsidRPr="00B87D4F">
              <w:rPr>
                <w:rFonts w:ascii="Arial" w:eastAsia="Times New Roman" w:hAnsi="Arial" w:cs="Arial"/>
                <w:sz w:val="24"/>
                <w:szCs w:val="24"/>
                <w:vertAlign w:val="superscript"/>
                <w:lang w:val="es-UY" w:eastAsia="es-UY"/>
              </w:rPr>
              <w:t>**</w:t>
            </w:r>
          </w:p>
        </w:tc>
      </w:tr>
      <w:tr w:rsidR="00AE52A4" w:rsidRPr="00533A51" w14:paraId="5582BD8A" w14:textId="77777777" w:rsidTr="00B87D4F">
        <w:trPr>
          <w:trHeight w:val="300"/>
        </w:trPr>
        <w:tc>
          <w:tcPr>
            <w:tcW w:w="0" w:type="auto"/>
            <w:gridSpan w:val="8"/>
            <w:tcBorders>
              <w:top w:val="single" w:sz="4" w:space="0" w:color="auto"/>
              <w:left w:val="nil"/>
              <w:bottom w:val="nil"/>
              <w:right w:val="nil"/>
            </w:tcBorders>
            <w:shd w:val="clear" w:color="auto" w:fill="auto"/>
            <w:noWrap/>
            <w:vAlign w:val="bottom"/>
            <w:hideMark/>
          </w:tcPr>
          <w:p w14:paraId="5AAA621C" w14:textId="77777777" w:rsidR="00B87D4F" w:rsidRPr="000F58B6" w:rsidRDefault="00B87D4F" w:rsidP="00B87D4F">
            <w:pPr>
              <w:spacing w:after="0" w:line="240" w:lineRule="auto"/>
              <w:jc w:val="both"/>
              <w:rPr>
                <w:rFonts w:ascii="Arial" w:eastAsia="Times New Roman" w:hAnsi="Arial" w:cs="Arial"/>
                <w:sz w:val="20"/>
                <w:szCs w:val="20"/>
                <w:lang w:val="es-UY" w:eastAsia="es-UY"/>
              </w:rPr>
            </w:pPr>
            <w:r w:rsidRPr="000F58B6">
              <w:rPr>
                <w:rFonts w:ascii="Arial" w:eastAsia="Times New Roman" w:hAnsi="Arial" w:cs="Arial"/>
                <w:i/>
                <w:iCs/>
                <w:sz w:val="20"/>
                <w:szCs w:val="20"/>
                <w:lang w:val="es-UY" w:eastAsia="es-UY"/>
              </w:rPr>
              <w:t>Notas.</w:t>
            </w:r>
            <w:r w:rsidRPr="000F58B6">
              <w:rPr>
                <w:rFonts w:ascii="Arial" w:eastAsia="Times New Roman" w:hAnsi="Arial" w:cs="Arial"/>
                <w:sz w:val="20"/>
                <w:szCs w:val="20"/>
                <w:lang w:val="es-UY" w:eastAsia="es-UY"/>
              </w:rPr>
              <w:t xml:space="preserve"> CCF-I= Consideración de las Consecuencias Inmediatas; CCF-F= Consideración de las Consecuencias Futuras; CCF-T= Consideración de las consecuencias por puntuación total; NE= Nivel educativo; BA= Bebidas alcohólicas; CM= Consumo de marihuana; CT= Consumo de tabaco.</w:t>
            </w:r>
          </w:p>
        </w:tc>
      </w:tr>
    </w:tbl>
    <w:p w14:paraId="13AE2A28" w14:textId="77777777" w:rsidR="00B87D4F" w:rsidRPr="00AE52A4" w:rsidRDefault="00B87D4F" w:rsidP="00731076">
      <w:pPr>
        <w:spacing w:line="240" w:lineRule="auto"/>
        <w:jc w:val="both"/>
        <w:rPr>
          <w:rFonts w:ascii="Arial" w:eastAsia="Arial" w:hAnsi="Arial" w:cs="Arial"/>
          <w:i/>
          <w:sz w:val="24"/>
          <w:szCs w:val="24"/>
          <w:lang w:val="es-UY"/>
        </w:rPr>
      </w:pPr>
    </w:p>
    <w:p w14:paraId="1B93FDE6" w14:textId="4096009D" w:rsidR="00BD409A" w:rsidRPr="00AE52A4" w:rsidRDefault="00BD409A" w:rsidP="00731076">
      <w:pPr>
        <w:spacing w:line="240" w:lineRule="auto"/>
        <w:ind w:firstLine="720"/>
        <w:jc w:val="both"/>
        <w:rPr>
          <w:rFonts w:ascii="Arial" w:eastAsia="Arial" w:hAnsi="Arial" w:cs="Arial"/>
          <w:sz w:val="24"/>
          <w:szCs w:val="24"/>
          <w:lang w:val="es-UY"/>
        </w:rPr>
      </w:pPr>
      <w:r w:rsidRPr="00AE52A4">
        <w:rPr>
          <w:rFonts w:ascii="Arial" w:eastAsia="Arial" w:hAnsi="Arial" w:cs="Arial"/>
          <w:sz w:val="24"/>
          <w:szCs w:val="24"/>
          <w:lang w:val="es-UY"/>
        </w:rPr>
        <w:t xml:space="preserve">En la Tabla </w:t>
      </w:r>
      <w:r w:rsidR="00731076" w:rsidRPr="00AE52A4">
        <w:rPr>
          <w:rFonts w:ascii="Arial" w:eastAsia="Arial" w:hAnsi="Arial" w:cs="Arial"/>
          <w:sz w:val="24"/>
          <w:szCs w:val="24"/>
          <w:lang w:val="es-UY"/>
        </w:rPr>
        <w:t>6</w:t>
      </w:r>
      <w:r w:rsidRPr="00AE52A4">
        <w:rPr>
          <w:rFonts w:ascii="Arial" w:eastAsia="Arial" w:hAnsi="Arial" w:cs="Arial"/>
          <w:sz w:val="24"/>
          <w:szCs w:val="24"/>
          <w:lang w:val="es-UY"/>
        </w:rPr>
        <w:t xml:space="preserve"> se presenta el resumen del análisis de regresión realizado para el consumo de tabaco, marihuana y bebidas alcohólicas. En el Paso 1 se controló por edad, sexo y nivel educativo </w:t>
      </w:r>
      <w:r w:rsidR="00D177BB">
        <w:rPr>
          <w:rFonts w:ascii="Arial" w:eastAsia="Arial" w:hAnsi="Arial" w:cs="Arial"/>
          <w:sz w:val="24"/>
          <w:szCs w:val="24"/>
          <w:lang w:val="es-UY"/>
        </w:rPr>
        <w:t xml:space="preserve">de los participantes, </w:t>
      </w:r>
      <w:r w:rsidRPr="00AE52A4">
        <w:rPr>
          <w:rFonts w:ascii="Arial" w:eastAsia="Arial" w:hAnsi="Arial" w:cs="Arial"/>
          <w:sz w:val="24"/>
          <w:szCs w:val="24"/>
          <w:lang w:val="es-UY"/>
        </w:rPr>
        <w:t>debido a que son variables que provocan diferencias estadísticamente significativas entre grupos</w:t>
      </w:r>
      <w:r w:rsidR="00D177BB">
        <w:rPr>
          <w:rFonts w:ascii="Arial" w:eastAsia="Arial" w:hAnsi="Arial" w:cs="Arial"/>
          <w:sz w:val="24"/>
          <w:szCs w:val="24"/>
          <w:lang w:val="es-UY"/>
        </w:rPr>
        <w:t xml:space="preserve"> tanto en CCF como en consumo de sustancias</w:t>
      </w:r>
      <w:r w:rsidRPr="00AE52A4">
        <w:rPr>
          <w:rFonts w:ascii="Arial" w:eastAsia="Arial" w:hAnsi="Arial" w:cs="Arial"/>
          <w:sz w:val="24"/>
          <w:szCs w:val="24"/>
          <w:lang w:val="es-UY"/>
        </w:rPr>
        <w:t>. En el primer modelo, CCF-F es el único en predecir el consumo de tabaco, con una asociación negativa. En el segundo modelo, CCF-I es el único dominio en predecir el consumo de marihuana, con una asociación positiva. Por último, ni CCF-F ni CCF-I logran predecir el consumo de bebidas alcohólicas.</w:t>
      </w:r>
    </w:p>
    <w:p w14:paraId="17803155" w14:textId="77777777" w:rsidR="00BD409A" w:rsidRPr="00D953E1" w:rsidRDefault="00BD409A" w:rsidP="00731076">
      <w:pPr>
        <w:spacing w:line="240" w:lineRule="auto"/>
        <w:jc w:val="both"/>
        <w:rPr>
          <w:rFonts w:ascii="Arial" w:eastAsia="Arial" w:hAnsi="Arial" w:cs="Arial"/>
          <w:sz w:val="24"/>
          <w:szCs w:val="24"/>
          <w:lang w:val="es-UY"/>
        </w:rPr>
      </w:pPr>
    </w:p>
    <w:p w14:paraId="2BF13603" w14:textId="77777777" w:rsidR="00BD409A" w:rsidRPr="00AE52A4" w:rsidRDefault="00BD409A" w:rsidP="00731076">
      <w:pPr>
        <w:spacing w:line="240" w:lineRule="auto"/>
        <w:rPr>
          <w:rFonts w:ascii="Arial" w:eastAsia="Arial" w:hAnsi="Arial" w:cs="Arial"/>
          <w:sz w:val="24"/>
          <w:szCs w:val="24"/>
          <w:lang w:val="es-UY"/>
        </w:rPr>
      </w:pPr>
      <w:r w:rsidRPr="00AE52A4">
        <w:rPr>
          <w:rFonts w:ascii="Arial" w:eastAsia="Arial" w:hAnsi="Arial" w:cs="Arial"/>
          <w:sz w:val="24"/>
          <w:szCs w:val="24"/>
          <w:lang w:val="es-UY"/>
        </w:rPr>
        <w:br w:type="page"/>
      </w:r>
    </w:p>
    <w:p w14:paraId="5FB1EA67" w14:textId="77777777" w:rsidR="00BD409A" w:rsidRPr="00AE52A4" w:rsidRDefault="00BD409A" w:rsidP="00731076">
      <w:pPr>
        <w:spacing w:line="240" w:lineRule="auto"/>
        <w:jc w:val="both"/>
        <w:rPr>
          <w:rFonts w:ascii="Arial" w:eastAsia="Arial" w:hAnsi="Arial" w:cs="Arial"/>
          <w:sz w:val="24"/>
          <w:szCs w:val="24"/>
          <w:lang w:val="es-UY"/>
        </w:rPr>
      </w:pPr>
      <w:r w:rsidRPr="00AE52A4">
        <w:rPr>
          <w:rFonts w:ascii="Arial" w:eastAsia="Arial" w:hAnsi="Arial" w:cs="Arial"/>
          <w:sz w:val="24"/>
          <w:szCs w:val="24"/>
          <w:lang w:val="es-UY"/>
        </w:rPr>
        <w:lastRenderedPageBreak/>
        <w:t xml:space="preserve">Tabla </w:t>
      </w:r>
      <w:r w:rsidR="00731076" w:rsidRPr="00AE52A4">
        <w:rPr>
          <w:rFonts w:ascii="Arial" w:eastAsia="Arial" w:hAnsi="Arial" w:cs="Arial"/>
          <w:sz w:val="24"/>
          <w:szCs w:val="24"/>
          <w:lang w:val="es-UY"/>
        </w:rPr>
        <w:t>6</w:t>
      </w:r>
    </w:p>
    <w:p w14:paraId="477A5F0A" w14:textId="77777777" w:rsidR="00BD409A" w:rsidRPr="00AE52A4" w:rsidRDefault="00BD409A" w:rsidP="00731076">
      <w:pPr>
        <w:spacing w:line="240" w:lineRule="auto"/>
        <w:jc w:val="both"/>
        <w:rPr>
          <w:rFonts w:ascii="Arial" w:eastAsia="Arial" w:hAnsi="Arial" w:cs="Arial"/>
          <w:i/>
          <w:iCs/>
          <w:sz w:val="24"/>
          <w:szCs w:val="24"/>
          <w:lang w:val="es-UY"/>
        </w:rPr>
      </w:pPr>
      <w:r w:rsidRPr="00AE52A4">
        <w:rPr>
          <w:rFonts w:ascii="Arial" w:eastAsia="Arial" w:hAnsi="Arial" w:cs="Arial"/>
          <w:i/>
          <w:iCs/>
          <w:sz w:val="24"/>
          <w:szCs w:val="24"/>
          <w:lang w:val="es-UY"/>
        </w:rPr>
        <w:t>Resumen de los análisis de regresión lineal múltiple realizados</w:t>
      </w:r>
    </w:p>
    <w:tbl>
      <w:tblPr>
        <w:tblW w:w="0" w:type="auto"/>
        <w:tblCellMar>
          <w:left w:w="70" w:type="dxa"/>
          <w:right w:w="70" w:type="dxa"/>
        </w:tblCellMar>
        <w:tblLook w:val="04A0" w:firstRow="1" w:lastRow="0" w:firstColumn="1" w:lastColumn="0" w:noHBand="0" w:noVBand="1"/>
      </w:tblPr>
      <w:tblGrid>
        <w:gridCol w:w="1437"/>
        <w:gridCol w:w="774"/>
        <w:gridCol w:w="662"/>
        <w:gridCol w:w="290"/>
        <w:gridCol w:w="1381"/>
        <w:gridCol w:w="775"/>
        <w:gridCol w:w="663"/>
        <w:gridCol w:w="290"/>
        <w:gridCol w:w="1316"/>
        <w:gridCol w:w="775"/>
        <w:gridCol w:w="663"/>
      </w:tblGrid>
      <w:tr w:rsidR="00BD409A" w:rsidRPr="00AE52A4" w14:paraId="229A2A78" w14:textId="77777777" w:rsidTr="00731076">
        <w:trPr>
          <w:trHeight w:val="262"/>
        </w:trPr>
        <w:tc>
          <w:tcPr>
            <w:tcW w:w="0" w:type="auto"/>
            <w:gridSpan w:val="3"/>
            <w:tcBorders>
              <w:top w:val="single" w:sz="4" w:space="0" w:color="auto"/>
              <w:left w:val="nil"/>
              <w:bottom w:val="single" w:sz="4" w:space="0" w:color="auto"/>
              <w:right w:val="nil"/>
            </w:tcBorders>
            <w:shd w:val="clear" w:color="auto" w:fill="auto"/>
            <w:noWrap/>
            <w:vAlign w:val="bottom"/>
            <w:hideMark/>
          </w:tcPr>
          <w:p w14:paraId="3C9CD282"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Tabaco</w:t>
            </w:r>
          </w:p>
        </w:tc>
        <w:tc>
          <w:tcPr>
            <w:tcW w:w="0" w:type="auto"/>
            <w:tcBorders>
              <w:top w:val="single" w:sz="4" w:space="0" w:color="auto"/>
              <w:left w:val="nil"/>
              <w:bottom w:val="nil"/>
              <w:right w:val="nil"/>
            </w:tcBorders>
            <w:shd w:val="clear" w:color="auto" w:fill="auto"/>
            <w:noWrap/>
            <w:vAlign w:val="bottom"/>
            <w:hideMark/>
          </w:tcPr>
          <w:p w14:paraId="674490D4"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4C74F96B"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Marihuana</w:t>
            </w:r>
          </w:p>
        </w:tc>
        <w:tc>
          <w:tcPr>
            <w:tcW w:w="0" w:type="auto"/>
            <w:tcBorders>
              <w:top w:val="single" w:sz="4" w:space="0" w:color="auto"/>
              <w:left w:val="nil"/>
              <w:bottom w:val="nil"/>
              <w:right w:val="nil"/>
            </w:tcBorders>
            <w:shd w:val="clear" w:color="auto" w:fill="auto"/>
            <w:noWrap/>
            <w:vAlign w:val="bottom"/>
            <w:hideMark/>
          </w:tcPr>
          <w:p w14:paraId="3E9166FF"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6B291867"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BA</w:t>
            </w:r>
          </w:p>
        </w:tc>
      </w:tr>
      <w:tr w:rsidR="00BD409A" w:rsidRPr="00AE52A4" w14:paraId="169E2D1D" w14:textId="77777777" w:rsidTr="00731076">
        <w:trPr>
          <w:trHeight w:val="262"/>
        </w:trPr>
        <w:tc>
          <w:tcPr>
            <w:tcW w:w="0" w:type="auto"/>
            <w:tcBorders>
              <w:top w:val="nil"/>
              <w:left w:val="nil"/>
              <w:bottom w:val="single" w:sz="4" w:space="0" w:color="auto"/>
              <w:right w:val="nil"/>
            </w:tcBorders>
            <w:shd w:val="clear" w:color="auto" w:fill="auto"/>
            <w:vAlign w:val="bottom"/>
            <w:hideMark/>
          </w:tcPr>
          <w:p w14:paraId="0F5C0B99"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 </w:t>
            </w:r>
          </w:p>
        </w:tc>
        <w:tc>
          <w:tcPr>
            <w:tcW w:w="0" w:type="auto"/>
            <w:tcBorders>
              <w:top w:val="nil"/>
              <w:left w:val="nil"/>
              <w:bottom w:val="single" w:sz="4" w:space="0" w:color="auto"/>
              <w:right w:val="nil"/>
            </w:tcBorders>
            <w:shd w:val="clear" w:color="auto" w:fill="auto"/>
            <w:vAlign w:val="bottom"/>
            <w:hideMark/>
          </w:tcPr>
          <w:p w14:paraId="5935A36E" w14:textId="502FAAB5" w:rsidR="00BD409A" w:rsidRPr="00AE52A4" w:rsidRDefault="001D42A6"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Β</w:t>
            </w:r>
          </w:p>
        </w:tc>
        <w:tc>
          <w:tcPr>
            <w:tcW w:w="0" w:type="auto"/>
            <w:tcBorders>
              <w:top w:val="nil"/>
              <w:left w:val="nil"/>
              <w:bottom w:val="single" w:sz="4" w:space="0" w:color="auto"/>
              <w:right w:val="nil"/>
            </w:tcBorders>
            <w:shd w:val="clear" w:color="auto" w:fill="auto"/>
            <w:vAlign w:val="bottom"/>
            <w:hideMark/>
          </w:tcPr>
          <w:p w14:paraId="79CB8B4C"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p</w:t>
            </w:r>
          </w:p>
        </w:tc>
        <w:tc>
          <w:tcPr>
            <w:tcW w:w="0" w:type="auto"/>
            <w:tcBorders>
              <w:top w:val="nil"/>
              <w:left w:val="nil"/>
              <w:bottom w:val="single" w:sz="4" w:space="0" w:color="auto"/>
              <w:right w:val="nil"/>
            </w:tcBorders>
            <w:shd w:val="clear" w:color="auto" w:fill="auto"/>
            <w:noWrap/>
            <w:vAlign w:val="bottom"/>
            <w:hideMark/>
          </w:tcPr>
          <w:p w14:paraId="10ABE8BC"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vAlign w:val="bottom"/>
            <w:hideMark/>
          </w:tcPr>
          <w:p w14:paraId="2E0C2D2B"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vAlign w:val="bottom"/>
            <w:hideMark/>
          </w:tcPr>
          <w:p w14:paraId="242D9F4B"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β</w:t>
            </w:r>
          </w:p>
        </w:tc>
        <w:tc>
          <w:tcPr>
            <w:tcW w:w="0" w:type="auto"/>
            <w:tcBorders>
              <w:top w:val="nil"/>
              <w:left w:val="nil"/>
              <w:bottom w:val="single" w:sz="4" w:space="0" w:color="auto"/>
              <w:right w:val="nil"/>
            </w:tcBorders>
            <w:shd w:val="clear" w:color="auto" w:fill="auto"/>
            <w:vAlign w:val="bottom"/>
            <w:hideMark/>
          </w:tcPr>
          <w:p w14:paraId="0544BD77"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p</w:t>
            </w:r>
          </w:p>
        </w:tc>
        <w:tc>
          <w:tcPr>
            <w:tcW w:w="0" w:type="auto"/>
            <w:tcBorders>
              <w:top w:val="nil"/>
              <w:left w:val="nil"/>
              <w:bottom w:val="single" w:sz="4" w:space="0" w:color="auto"/>
              <w:right w:val="nil"/>
            </w:tcBorders>
            <w:shd w:val="clear" w:color="auto" w:fill="auto"/>
            <w:noWrap/>
            <w:vAlign w:val="bottom"/>
            <w:hideMark/>
          </w:tcPr>
          <w:p w14:paraId="39254111"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vAlign w:val="bottom"/>
            <w:hideMark/>
          </w:tcPr>
          <w:p w14:paraId="653E03E9"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vAlign w:val="bottom"/>
            <w:hideMark/>
          </w:tcPr>
          <w:p w14:paraId="17290093"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β</w:t>
            </w:r>
          </w:p>
        </w:tc>
        <w:tc>
          <w:tcPr>
            <w:tcW w:w="0" w:type="auto"/>
            <w:tcBorders>
              <w:top w:val="nil"/>
              <w:left w:val="nil"/>
              <w:bottom w:val="single" w:sz="4" w:space="0" w:color="auto"/>
              <w:right w:val="nil"/>
            </w:tcBorders>
            <w:shd w:val="clear" w:color="auto" w:fill="auto"/>
            <w:vAlign w:val="bottom"/>
            <w:hideMark/>
          </w:tcPr>
          <w:p w14:paraId="1B07D5B4"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p</w:t>
            </w:r>
          </w:p>
        </w:tc>
      </w:tr>
      <w:tr w:rsidR="00BD409A" w:rsidRPr="00AE52A4" w14:paraId="5CF97C2E" w14:textId="77777777" w:rsidTr="00731076">
        <w:trPr>
          <w:trHeight w:val="262"/>
        </w:trPr>
        <w:tc>
          <w:tcPr>
            <w:tcW w:w="0" w:type="auto"/>
            <w:tcBorders>
              <w:top w:val="nil"/>
              <w:left w:val="nil"/>
              <w:bottom w:val="nil"/>
              <w:right w:val="nil"/>
            </w:tcBorders>
            <w:shd w:val="clear" w:color="auto" w:fill="auto"/>
            <w:hideMark/>
          </w:tcPr>
          <w:p w14:paraId="4D357964"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Paso 1</w:t>
            </w:r>
          </w:p>
        </w:tc>
        <w:tc>
          <w:tcPr>
            <w:tcW w:w="0" w:type="auto"/>
            <w:tcBorders>
              <w:top w:val="nil"/>
              <w:left w:val="nil"/>
              <w:bottom w:val="nil"/>
              <w:right w:val="nil"/>
            </w:tcBorders>
            <w:shd w:val="clear" w:color="auto" w:fill="auto"/>
            <w:hideMark/>
          </w:tcPr>
          <w:p w14:paraId="177ED296"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7761957D"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75B0C3CF"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hideMark/>
          </w:tcPr>
          <w:p w14:paraId="1954CF84"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Paso 1</w:t>
            </w:r>
          </w:p>
        </w:tc>
        <w:tc>
          <w:tcPr>
            <w:tcW w:w="0" w:type="auto"/>
            <w:tcBorders>
              <w:top w:val="nil"/>
              <w:left w:val="nil"/>
              <w:bottom w:val="nil"/>
              <w:right w:val="nil"/>
            </w:tcBorders>
            <w:shd w:val="clear" w:color="auto" w:fill="auto"/>
            <w:hideMark/>
          </w:tcPr>
          <w:p w14:paraId="65A9C368"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3CBA5F6C"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4EB88A0"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hideMark/>
          </w:tcPr>
          <w:p w14:paraId="6AE54C85"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Paso 1</w:t>
            </w:r>
          </w:p>
        </w:tc>
        <w:tc>
          <w:tcPr>
            <w:tcW w:w="0" w:type="auto"/>
            <w:tcBorders>
              <w:top w:val="nil"/>
              <w:left w:val="nil"/>
              <w:bottom w:val="nil"/>
              <w:right w:val="nil"/>
            </w:tcBorders>
            <w:shd w:val="clear" w:color="auto" w:fill="auto"/>
            <w:hideMark/>
          </w:tcPr>
          <w:p w14:paraId="79B587D1"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442866B8" w14:textId="77777777" w:rsidR="00BD409A" w:rsidRPr="00AE52A4" w:rsidRDefault="00BD409A" w:rsidP="00731076">
            <w:pPr>
              <w:spacing w:after="0" w:line="240" w:lineRule="auto"/>
              <w:jc w:val="center"/>
              <w:rPr>
                <w:rFonts w:ascii="Arial" w:eastAsia="Times New Roman" w:hAnsi="Arial" w:cs="Arial"/>
                <w:sz w:val="24"/>
                <w:szCs w:val="24"/>
              </w:rPr>
            </w:pPr>
          </w:p>
        </w:tc>
      </w:tr>
      <w:tr w:rsidR="00BD409A" w:rsidRPr="00AE52A4" w14:paraId="03EA169C" w14:textId="77777777" w:rsidTr="00731076">
        <w:trPr>
          <w:trHeight w:val="262"/>
        </w:trPr>
        <w:tc>
          <w:tcPr>
            <w:tcW w:w="0" w:type="auto"/>
            <w:tcBorders>
              <w:top w:val="nil"/>
              <w:left w:val="nil"/>
              <w:bottom w:val="nil"/>
              <w:right w:val="nil"/>
            </w:tcBorders>
            <w:shd w:val="clear" w:color="auto" w:fill="auto"/>
            <w:hideMark/>
          </w:tcPr>
          <w:p w14:paraId="6A1DDAA8" w14:textId="77777777" w:rsidR="00BD409A" w:rsidRPr="00AE52A4" w:rsidRDefault="00BD409A" w:rsidP="00731076">
            <w:pPr>
              <w:spacing w:after="0" w:line="240" w:lineRule="auto"/>
              <w:ind w:firstLineChars="100" w:firstLine="240"/>
              <w:rPr>
                <w:rFonts w:ascii="Arial" w:eastAsia="Times New Roman" w:hAnsi="Arial" w:cs="Arial"/>
                <w:sz w:val="24"/>
                <w:szCs w:val="24"/>
              </w:rPr>
            </w:pPr>
            <w:proofErr w:type="spellStart"/>
            <w:r w:rsidRPr="00AE52A4">
              <w:rPr>
                <w:rFonts w:ascii="Arial" w:eastAsia="Times New Roman" w:hAnsi="Arial" w:cs="Arial"/>
                <w:sz w:val="24"/>
                <w:szCs w:val="24"/>
              </w:rPr>
              <w:t>Edad</w:t>
            </w:r>
            <w:proofErr w:type="spellEnd"/>
          </w:p>
        </w:tc>
        <w:tc>
          <w:tcPr>
            <w:tcW w:w="0" w:type="auto"/>
            <w:tcBorders>
              <w:top w:val="nil"/>
              <w:left w:val="nil"/>
              <w:bottom w:val="nil"/>
              <w:right w:val="nil"/>
            </w:tcBorders>
            <w:shd w:val="clear" w:color="auto" w:fill="auto"/>
            <w:noWrap/>
            <w:hideMark/>
          </w:tcPr>
          <w:p w14:paraId="165A5918"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-.11</w:t>
            </w:r>
          </w:p>
        </w:tc>
        <w:tc>
          <w:tcPr>
            <w:tcW w:w="0" w:type="auto"/>
            <w:tcBorders>
              <w:top w:val="nil"/>
              <w:left w:val="nil"/>
              <w:bottom w:val="nil"/>
              <w:right w:val="nil"/>
            </w:tcBorders>
            <w:shd w:val="clear" w:color="auto" w:fill="auto"/>
            <w:noWrap/>
            <w:hideMark/>
          </w:tcPr>
          <w:p w14:paraId="23189D13"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w:t>
            </w:r>
          </w:p>
        </w:tc>
        <w:tc>
          <w:tcPr>
            <w:tcW w:w="0" w:type="auto"/>
            <w:tcBorders>
              <w:top w:val="nil"/>
              <w:left w:val="nil"/>
              <w:bottom w:val="nil"/>
              <w:right w:val="nil"/>
            </w:tcBorders>
            <w:shd w:val="clear" w:color="auto" w:fill="auto"/>
            <w:noWrap/>
            <w:vAlign w:val="bottom"/>
            <w:hideMark/>
          </w:tcPr>
          <w:p w14:paraId="024EB3F4"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hideMark/>
          </w:tcPr>
          <w:p w14:paraId="205A4726" w14:textId="77777777" w:rsidR="00BD409A" w:rsidRPr="00AE52A4" w:rsidRDefault="00BD409A" w:rsidP="00731076">
            <w:pPr>
              <w:spacing w:after="0" w:line="240" w:lineRule="auto"/>
              <w:ind w:firstLineChars="100" w:firstLine="240"/>
              <w:jc w:val="center"/>
              <w:rPr>
                <w:rFonts w:ascii="Arial" w:eastAsia="Times New Roman" w:hAnsi="Arial" w:cs="Arial"/>
                <w:sz w:val="24"/>
                <w:szCs w:val="24"/>
              </w:rPr>
            </w:pPr>
            <w:proofErr w:type="spellStart"/>
            <w:r w:rsidRPr="00AE52A4">
              <w:rPr>
                <w:rFonts w:ascii="Arial" w:eastAsia="Times New Roman" w:hAnsi="Arial" w:cs="Arial"/>
                <w:sz w:val="24"/>
                <w:szCs w:val="24"/>
              </w:rPr>
              <w:t>Edad</w:t>
            </w:r>
            <w:proofErr w:type="spellEnd"/>
          </w:p>
        </w:tc>
        <w:tc>
          <w:tcPr>
            <w:tcW w:w="0" w:type="auto"/>
            <w:tcBorders>
              <w:top w:val="nil"/>
              <w:left w:val="nil"/>
              <w:bottom w:val="nil"/>
              <w:right w:val="nil"/>
            </w:tcBorders>
            <w:shd w:val="clear" w:color="auto" w:fill="auto"/>
            <w:noWrap/>
            <w:hideMark/>
          </w:tcPr>
          <w:p w14:paraId="4268366D"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-.26</w:t>
            </w:r>
          </w:p>
        </w:tc>
        <w:tc>
          <w:tcPr>
            <w:tcW w:w="0" w:type="auto"/>
            <w:tcBorders>
              <w:top w:val="nil"/>
              <w:left w:val="nil"/>
              <w:bottom w:val="nil"/>
              <w:right w:val="nil"/>
            </w:tcBorders>
            <w:shd w:val="clear" w:color="auto" w:fill="auto"/>
            <w:noWrap/>
            <w:hideMark/>
          </w:tcPr>
          <w:p w14:paraId="32FCD83A"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w:t>
            </w:r>
          </w:p>
        </w:tc>
        <w:tc>
          <w:tcPr>
            <w:tcW w:w="0" w:type="auto"/>
            <w:tcBorders>
              <w:top w:val="nil"/>
              <w:left w:val="nil"/>
              <w:bottom w:val="nil"/>
              <w:right w:val="nil"/>
            </w:tcBorders>
            <w:shd w:val="clear" w:color="auto" w:fill="auto"/>
            <w:noWrap/>
            <w:vAlign w:val="bottom"/>
            <w:hideMark/>
          </w:tcPr>
          <w:p w14:paraId="290000BD"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hideMark/>
          </w:tcPr>
          <w:p w14:paraId="00291A12" w14:textId="77777777" w:rsidR="00BD409A" w:rsidRPr="00AE52A4" w:rsidRDefault="00BD409A" w:rsidP="00731076">
            <w:pPr>
              <w:spacing w:after="0" w:line="240" w:lineRule="auto"/>
              <w:ind w:firstLineChars="100" w:firstLine="240"/>
              <w:jc w:val="center"/>
              <w:rPr>
                <w:rFonts w:ascii="Arial" w:eastAsia="Times New Roman" w:hAnsi="Arial" w:cs="Arial"/>
                <w:sz w:val="24"/>
                <w:szCs w:val="24"/>
              </w:rPr>
            </w:pPr>
            <w:proofErr w:type="spellStart"/>
            <w:r w:rsidRPr="00AE52A4">
              <w:rPr>
                <w:rFonts w:ascii="Arial" w:eastAsia="Times New Roman" w:hAnsi="Arial" w:cs="Arial"/>
                <w:sz w:val="24"/>
                <w:szCs w:val="24"/>
              </w:rPr>
              <w:t>Edad</w:t>
            </w:r>
            <w:proofErr w:type="spellEnd"/>
          </w:p>
        </w:tc>
        <w:tc>
          <w:tcPr>
            <w:tcW w:w="0" w:type="auto"/>
            <w:tcBorders>
              <w:top w:val="nil"/>
              <w:left w:val="nil"/>
              <w:bottom w:val="nil"/>
              <w:right w:val="nil"/>
            </w:tcBorders>
            <w:shd w:val="clear" w:color="auto" w:fill="auto"/>
            <w:noWrap/>
            <w:hideMark/>
          </w:tcPr>
          <w:p w14:paraId="43D9DBFC"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-.22</w:t>
            </w:r>
          </w:p>
        </w:tc>
        <w:tc>
          <w:tcPr>
            <w:tcW w:w="0" w:type="auto"/>
            <w:tcBorders>
              <w:top w:val="nil"/>
              <w:left w:val="nil"/>
              <w:bottom w:val="nil"/>
              <w:right w:val="nil"/>
            </w:tcBorders>
            <w:shd w:val="clear" w:color="auto" w:fill="auto"/>
            <w:noWrap/>
            <w:hideMark/>
          </w:tcPr>
          <w:p w14:paraId="17D93C46"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w:t>
            </w:r>
          </w:p>
        </w:tc>
      </w:tr>
      <w:tr w:rsidR="00BD409A" w:rsidRPr="00AE52A4" w14:paraId="0E412780" w14:textId="77777777" w:rsidTr="00731076">
        <w:trPr>
          <w:trHeight w:val="262"/>
        </w:trPr>
        <w:tc>
          <w:tcPr>
            <w:tcW w:w="0" w:type="auto"/>
            <w:tcBorders>
              <w:top w:val="nil"/>
              <w:left w:val="nil"/>
              <w:bottom w:val="nil"/>
              <w:right w:val="nil"/>
            </w:tcBorders>
            <w:shd w:val="clear" w:color="auto" w:fill="auto"/>
            <w:hideMark/>
          </w:tcPr>
          <w:p w14:paraId="46721598" w14:textId="77777777" w:rsidR="00BD409A" w:rsidRPr="00AE52A4" w:rsidRDefault="00BD409A" w:rsidP="00731076">
            <w:pPr>
              <w:spacing w:after="0" w:line="240" w:lineRule="auto"/>
              <w:ind w:firstLineChars="100" w:firstLine="240"/>
              <w:rPr>
                <w:rFonts w:ascii="Arial" w:eastAsia="Times New Roman" w:hAnsi="Arial" w:cs="Arial"/>
                <w:sz w:val="24"/>
                <w:szCs w:val="24"/>
              </w:rPr>
            </w:pPr>
            <w:proofErr w:type="spellStart"/>
            <w:r w:rsidRPr="00AE52A4">
              <w:rPr>
                <w:rFonts w:ascii="Arial" w:eastAsia="Times New Roman" w:hAnsi="Arial" w:cs="Arial"/>
                <w:sz w:val="24"/>
                <w:szCs w:val="24"/>
              </w:rPr>
              <w:t>Sexo</w:t>
            </w:r>
            <w:proofErr w:type="spellEnd"/>
            <w:r w:rsidRPr="00AE52A4">
              <w:rPr>
                <w:rFonts w:ascii="Arial" w:eastAsia="Times New Roman" w:hAnsi="Arial" w:cs="Arial"/>
                <w:sz w:val="24"/>
                <w:szCs w:val="24"/>
              </w:rPr>
              <w:t xml:space="preserve">  </w:t>
            </w:r>
          </w:p>
        </w:tc>
        <w:tc>
          <w:tcPr>
            <w:tcW w:w="0" w:type="auto"/>
            <w:tcBorders>
              <w:top w:val="nil"/>
              <w:left w:val="nil"/>
              <w:bottom w:val="nil"/>
              <w:right w:val="nil"/>
            </w:tcBorders>
            <w:shd w:val="clear" w:color="auto" w:fill="auto"/>
            <w:noWrap/>
            <w:hideMark/>
          </w:tcPr>
          <w:p w14:paraId="21B34788"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w:t>
            </w:r>
          </w:p>
        </w:tc>
        <w:tc>
          <w:tcPr>
            <w:tcW w:w="0" w:type="auto"/>
            <w:tcBorders>
              <w:top w:val="nil"/>
              <w:left w:val="nil"/>
              <w:bottom w:val="nil"/>
              <w:right w:val="nil"/>
            </w:tcBorders>
            <w:shd w:val="clear" w:color="auto" w:fill="auto"/>
            <w:noWrap/>
            <w:hideMark/>
          </w:tcPr>
          <w:p w14:paraId="75CBE1AD"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.86</w:t>
            </w:r>
          </w:p>
        </w:tc>
        <w:tc>
          <w:tcPr>
            <w:tcW w:w="0" w:type="auto"/>
            <w:tcBorders>
              <w:top w:val="nil"/>
              <w:left w:val="nil"/>
              <w:bottom w:val="nil"/>
              <w:right w:val="nil"/>
            </w:tcBorders>
            <w:shd w:val="clear" w:color="auto" w:fill="auto"/>
            <w:noWrap/>
            <w:vAlign w:val="bottom"/>
            <w:hideMark/>
          </w:tcPr>
          <w:p w14:paraId="299DAFAC"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hideMark/>
          </w:tcPr>
          <w:p w14:paraId="21691CD9" w14:textId="77777777" w:rsidR="00BD409A" w:rsidRPr="00AE52A4" w:rsidRDefault="00BD409A" w:rsidP="00731076">
            <w:pPr>
              <w:spacing w:after="0" w:line="240" w:lineRule="auto"/>
              <w:ind w:firstLineChars="100" w:firstLine="240"/>
              <w:jc w:val="center"/>
              <w:rPr>
                <w:rFonts w:ascii="Arial" w:eastAsia="Times New Roman" w:hAnsi="Arial" w:cs="Arial"/>
                <w:sz w:val="24"/>
                <w:szCs w:val="24"/>
              </w:rPr>
            </w:pPr>
            <w:proofErr w:type="spellStart"/>
            <w:r w:rsidRPr="00AE52A4">
              <w:rPr>
                <w:rFonts w:ascii="Arial" w:eastAsia="Times New Roman" w:hAnsi="Arial" w:cs="Arial"/>
                <w:sz w:val="24"/>
                <w:szCs w:val="24"/>
              </w:rPr>
              <w:t>Sexo</w:t>
            </w:r>
            <w:proofErr w:type="spellEnd"/>
          </w:p>
        </w:tc>
        <w:tc>
          <w:tcPr>
            <w:tcW w:w="0" w:type="auto"/>
            <w:tcBorders>
              <w:top w:val="nil"/>
              <w:left w:val="nil"/>
              <w:bottom w:val="nil"/>
              <w:right w:val="nil"/>
            </w:tcBorders>
            <w:shd w:val="clear" w:color="auto" w:fill="auto"/>
            <w:noWrap/>
            <w:hideMark/>
          </w:tcPr>
          <w:p w14:paraId="58846F9F"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-.12</w:t>
            </w:r>
          </w:p>
        </w:tc>
        <w:tc>
          <w:tcPr>
            <w:tcW w:w="0" w:type="auto"/>
            <w:tcBorders>
              <w:top w:val="nil"/>
              <w:left w:val="nil"/>
              <w:bottom w:val="nil"/>
              <w:right w:val="nil"/>
            </w:tcBorders>
            <w:shd w:val="clear" w:color="auto" w:fill="auto"/>
            <w:noWrap/>
            <w:hideMark/>
          </w:tcPr>
          <w:p w14:paraId="6BBB08D7"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w:t>
            </w:r>
          </w:p>
        </w:tc>
        <w:tc>
          <w:tcPr>
            <w:tcW w:w="0" w:type="auto"/>
            <w:tcBorders>
              <w:top w:val="nil"/>
              <w:left w:val="nil"/>
              <w:bottom w:val="nil"/>
              <w:right w:val="nil"/>
            </w:tcBorders>
            <w:shd w:val="clear" w:color="auto" w:fill="auto"/>
            <w:noWrap/>
            <w:vAlign w:val="bottom"/>
            <w:hideMark/>
          </w:tcPr>
          <w:p w14:paraId="014F1765"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hideMark/>
          </w:tcPr>
          <w:p w14:paraId="524137C3" w14:textId="77777777" w:rsidR="00BD409A" w:rsidRPr="00AE52A4" w:rsidRDefault="00BD409A" w:rsidP="00731076">
            <w:pPr>
              <w:spacing w:after="0" w:line="240" w:lineRule="auto"/>
              <w:ind w:firstLineChars="100" w:firstLine="240"/>
              <w:jc w:val="center"/>
              <w:rPr>
                <w:rFonts w:ascii="Arial" w:eastAsia="Times New Roman" w:hAnsi="Arial" w:cs="Arial"/>
                <w:sz w:val="24"/>
                <w:szCs w:val="24"/>
              </w:rPr>
            </w:pPr>
            <w:proofErr w:type="spellStart"/>
            <w:r w:rsidRPr="00AE52A4">
              <w:rPr>
                <w:rFonts w:ascii="Arial" w:eastAsia="Times New Roman" w:hAnsi="Arial" w:cs="Arial"/>
                <w:sz w:val="24"/>
                <w:szCs w:val="24"/>
              </w:rPr>
              <w:t>Sexo</w:t>
            </w:r>
            <w:proofErr w:type="spellEnd"/>
          </w:p>
        </w:tc>
        <w:tc>
          <w:tcPr>
            <w:tcW w:w="0" w:type="auto"/>
            <w:tcBorders>
              <w:top w:val="nil"/>
              <w:left w:val="nil"/>
              <w:bottom w:val="nil"/>
              <w:right w:val="nil"/>
            </w:tcBorders>
            <w:shd w:val="clear" w:color="auto" w:fill="auto"/>
            <w:noWrap/>
            <w:hideMark/>
          </w:tcPr>
          <w:p w14:paraId="2B0504EA"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-.19</w:t>
            </w:r>
          </w:p>
        </w:tc>
        <w:tc>
          <w:tcPr>
            <w:tcW w:w="0" w:type="auto"/>
            <w:tcBorders>
              <w:top w:val="nil"/>
              <w:left w:val="nil"/>
              <w:bottom w:val="nil"/>
              <w:right w:val="nil"/>
            </w:tcBorders>
            <w:shd w:val="clear" w:color="auto" w:fill="auto"/>
            <w:noWrap/>
            <w:hideMark/>
          </w:tcPr>
          <w:p w14:paraId="7A9A587A"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w:t>
            </w:r>
          </w:p>
        </w:tc>
      </w:tr>
      <w:tr w:rsidR="00BD409A" w:rsidRPr="00AE52A4" w14:paraId="3E42738F" w14:textId="77777777" w:rsidTr="00731076">
        <w:trPr>
          <w:trHeight w:val="262"/>
        </w:trPr>
        <w:tc>
          <w:tcPr>
            <w:tcW w:w="0" w:type="auto"/>
            <w:tcBorders>
              <w:top w:val="nil"/>
              <w:left w:val="nil"/>
              <w:bottom w:val="nil"/>
              <w:right w:val="nil"/>
            </w:tcBorders>
            <w:shd w:val="clear" w:color="auto" w:fill="auto"/>
            <w:hideMark/>
          </w:tcPr>
          <w:p w14:paraId="7495119E" w14:textId="77777777" w:rsidR="00BD409A" w:rsidRPr="00AE52A4" w:rsidRDefault="00BD409A" w:rsidP="00731076">
            <w:pPr>
              <w:spacing w:after="0" w:line="240" w:lineRule="auto"/>
              <w:ind w:firstLineChars="100" w:firstLine="240"/>
              <w:rPr>
                <w:rFonts w:ascii="Arial" w:eastAsia="Times New Roman" w:hAnsi="Arial" w:cs="Arial"/>
                <w:sz w:val="24"/>
                <w:szCs w:val="24"/>
              </w:rPr>
            </w:pPr>
            <w:r w:rsidRPr="00AE52A4">
              <w:rPr>
                <w:rFonts w:ascii="Arial" w:eastAsia="Times New Roman" w:hAnsi="Arial" w:cs="Arial"/>
                <w:sz w:val="24"/>
                <w:szCs w:val="24"/>
              </w:rPr>
              <w:t>NE</w:t>
            </w:r>
          </w:p>
        </w:tc>
        <w:tc>
          <w:tcPr>
            <w:tcW w:w="0" w:type="auto"/>
            <w:tcBorders>
              <w:top w:val="nil"/>
              <w:left w:val="nil"/>
              <w:bottom w:val="nil"/>
              <w:right w:val="nil"/>
            </w:tcBorders>
            <w:shd w:val="clear" w:color="auto" w:fill="auto"/>
            <w:noWrap/>
            <w:hideMark/>
          </w:tcPr>
          <w:p w14:paraId="15D1DC7A"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-.09</w:t>
            </w:r>
          </w:p>
        </w:tc>
        <w:tc>
          <w:tcPr>
            <w:tcW w:w="0" w:type="auto"/>
            <w:tcBorders>
              <w:top w:val="nil"/>
              <w:left w:val="nil"/>
              <w:bottom w:val="nil"/>
              <w:right w:val="nil"/>
            </w:tcBorders>
            <w:shd w:val="clear" w:color="auto" w:fill="auto"/>
            <w:noWrap/>
            <w:hideMark/>
          </w:tcPr>
          <w:p w14:paraId="2F03F463"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w:t>
            </w:r>
          </w:p>
        </w:tc>
        <w:tc>
          <w:tcPr>
            <w:tcW w:w="0" w:type="auto"/>
            <w:tcBorders>
              <w:top w:val="nil"/>
              <w:left w:val="nil"/>
              <w:bottom w:val="nil"/>
              <w:right w:val="nil"/>
            </w:tcBorders>
            <w:shd w:val="clear" w:color="auto" w:fill="auto"/>
            <w:noWrap/>
            <w:vAlign w:val="bottom"/>
            <w:hideMark/>
          </w:tcPr>
          <w:p w14:paraId="45C3390E"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hideMark/>
          </w:tcPr>
          <w:p w14:paraId="6D70A5AD" w14:textId="77777777" w:rsidR="00BD409A" w:rsidRPr="00AE52A4" w:rsidRDefault="00BD409A" w:rsidP="00731076">
            <w:pPr>
              <w:spacing w:after="0" w:line="240" w:lineRule="auto"/>
              <w:ind w:firstLineChars="100" w:firstLine="240"/>
              <w:jc w:val="center"/>
              <w:rPr>
                <w:rFonts w:ascii="Arial" w:eastAsia="Times New Roman" w:hAnsi="Arial" w:cs="Arial"/>
                <w:sz w:val="24"/>
                <w:szCs w:val="24"/>
              </w:rPr>
            </w:pPr>
            <w:r w:rsidRPr="00AE52A4">
              <w:rPr>
                <w:rFonts w:ascii="Arial" w:eastAsia="Times New Roman" w:hAnsi="Arial" w:cs="Arial"/>
                <w:sz w:val="24"/>
                <w:szCs w:val="24"/>
              </w:rPr>
              <w:t>NE</w:t>
            </w:r>
          </w:p>
        </w:tc>
        <w:tc>
          <w:tcPr>
            <w:tcW w:w="0" w:type="auto"/>
            <w:tcBorders>
              <w:top w:val="nil"/>
              <w:left w:val="nil"/>
              <w:bottom w:val="nil"/>
              <w:right w:val="nil"/>
            </w:tcBorders>
            <w:shd w:val="clear" w:color="auto" w:fill="auto"/>
            <w:noWrap/>
            <w:hideMark/>
          </w:tcPr>
          <w:p w14:paraId="1590C4A7"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.03</w:t>
            </w:r>
          </w:p>
        </w:tc>
        <w:tc>
          <w:tcPr>
            <w:tcW w:w="0" w:type="auto"/>
            <w:tcBorders>
              <w:top w:val="nil"/>
              <w:left w:val="nil"/>
              <w:bottom w:val="nil"/>
              <w:right w:val="nil"/>
            </w:tcBorders>
            <w:shd w:val="clear" w:color="auto" w:fill="auto"/>
            <w:noWrap/>
            <w:hideMark/>
          </w:tcPr>
          <w:p w14:paraId="6DD4F63C"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.29</w:t>
            </w:r>
          </w:p>
        </w:tc>
        <w:tc>
          <w:tcPr>
            <w:tcW w:w="0" w:type="auto"/>
            <w:tcBorders>
              <w:top w:val="nil"/>
              <w:left w:val="nil"/>
              <w:bottom w:val="nil"/>
              <w:right w:val="nil"/>
            </w:tcBorders>
            <w:shd w:val="clear" w:color="auto" w:fill="auto"/>
            <w:noWrap/>
            <w:vAlign w:val="bottom"/>
            <w:hideMark/>
          </w:tcPr>
          <w:p w14:paraId="1DF74526"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hideMark/>
          </w:tcPr>
          <w:p w14:paraId="32248544" w14:textId="77777777" w:rsidR="00BD409A" w:rsidRPr="00AE52A4" w:rsidRDefault="00BD409A" w:rsidP="00731076">
            <w:pPr>
              <w:spacing w:after="0" w:line="240" w:lineRule="auto"/>
              <w:ind w:firstLineChars="100" w:firstLine="240"/>
              <w:jc w:val="center"/>
              <w:rPr>
                <w:rFonts w:ascii="Arial" w:eastAsia="Times New Roman" w:hAnsi="Arial" w:cs="Arial"/>
                <w:sz w:val="24"/>
                <w:szCs w:val="24"/>
              </w:rPr>
            </w:pPr>
            <w:r w:rsidRPr="00AE52A4">
              <w:rPr>
                <w:rFonts w:ascii="Arial" w:eastAsia="Times New Roman" w:hAnsi="Arial" w:cs="Arial"/>
                <w:sz w:val="24"/>
                <w:szCs w:val="24"/>
              </w:rPr>
              <w:t>NE</w:t>
            </w:r>
          </w:p>
        </w:tc>
        <w:tc>
          <w:tcPr>
            <w:tcW w:w="0" w:type="auto"/>
            <w:tcBorders>
              <w:top w:val="nil"/>
              <w:left w:val="nil"/>
              <w:bottom w:val="nil"/>
              <w:right w:val="nil"/>
            </w:tcBorders>
            <w:shd w:val="clear" w:color="auto" w:fill="auto"/>
            <w:noWrap/>
            <w:hideMark/>
          </w:tcPr>
          <w:p w14:paraId="3E195FF7"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.15</w:t>
            </w:r>
          </w:p>
        </w:tc>
        <w:tc>
          <w:tcPr>
            <w:tcW w:w="0" w:type="auto"/>
            <w:tcBorders>
              <w:top w:val="nil"/>
              <w:left w:val="nil"/>
              <w:bottom w:val="nil"/>
              <w:right w:val="nil"/>
            </w:tcBorders>
            <w:shd w:val="clear" w:color="auto" w:fill="auto"/>
            <w:noWrap/>
            <w:hideMark/>
          </w:tcPr>
          <w:p w14:paraId="6E834D89"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w:t>
            </w:r>
          </w:p>
        </w:tc>
      </w:tr>
      <w:tr w:rsidR="00BD409A" w:rsidRPr="00AE52A4" w14:paraId="30474FDE" w14:textId="77777777" w:rsidTr="00731076">
        <w:trPr>
          <w:trHeight w:val="262"/>
        </w:trPr>
        <w:tc>
          <w:tcPr>
            <w:tcW w:w="0" w:type="auto"/>
            <w:tcBorders>
              <w:top w:val="nil"/>
              <w:left w:val="nil"/>
              <w:bottom w:val="nil"/>
              <w:right w:val="nil"/>
            </w:tcBorders>
            <w:shd w:val="clear" w:color="auto" w:fill="auto"/>
            <w:hideMark/>
          </w:tcPr>
          <w:p w14:paraId="16581948" w14:textId="77777777" w:rsidR="00BD409A" w:rsidRPr="00AE52A4" w:rsidRDefault="00BD409A" w:rsidP="00731076">
            <w:pPr>
              <w:spacing w:after="0" w:line="240" w:lineRule="auto"/>
              <w:rPr>
                <w:rFonts w:ascii="Arial" w:eastAsia="Times New Roman" w:hAnsi="Arial" w:cs="Arial"/>
                <w:sz w:val="24"/>
                <w:szCs w:val="24"/>
              </w:rPr>
            </w:pPr>
            <w:r w:rsidRPr="00AE52A4">
              <w:rPr>
                <w:rFonts w:ascii="Arial" w:eastAsia="Times New Roman" w:hAnsi="Arial" w:cs="Arial"/>
                <w:sz w:val="24"/>
                <w:szCs w:val="24"/>
              </w:rPr>
              <w:t>Paso 2</w:t>
            </w:r>
          </w:p>
        </w:tc>
        <w:tc>
          <w:tcPr>
            <w:tcW w:w="0" w:type="auto"/>
            <w:tcBorders>
              <w:top w:val="nil"/>
              <w:left w:val="nil"/>
              <w:bottom w:val="nil"/>
              <w:right w:val="nil"/>
            </w:tcBorders>
            <w:shd w:val="clear" w:color="auto" w:fill="auto"/>
            <w:hideMark/>
          </w:tcPr>
          <w:p w14:paraId="4CCE9AF3"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2D1B342B"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7AD31F0"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hideMark/>
          </w:tcPr>
          <w:p w14:paraId="1A616F46"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Paso 2</w:t>
            </w:r>
          </w:p>
        </w:tc>
        <w:tc>
          <w:tcPr>
            <w:tcW w:w="0" w:type="auto"/>
            <w:tcBorders>
              <w:top w:val="nil"/>
              <w:left w:val="nil"/>
              <w:bottom w:val="nil"/>
              <w:right w:val="nil"/>
            </w:tcBorders>
            <w:shd w:val="clear" w:color="auto" w:fill="auto"/>
            <w:hideMark/>
          </w:tcPr>
          <w:p w14:paraId="26F694EA"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hideMark/>
          </w:tcPr>
          <w:p w14:paraId="5CBBAF98"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274C4B36"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gridSpan w:val="3"/>
            <w:tcBorders>
              <w:top w:val="nil"/>
              <w:left w:val="nil"/>
              <w:bottom w:val="nil"/>
              <w:right w:val="nil"/>
            </w:tcBorders>
            <w:shd w:val="clear" w:color="auto" w:fill="auto"/>
            <w:hideMark/>
          </w:tcPr>
          <w:p w14:paraId="34EE2D29" w14:textId="77777777" w:rsidR="00BD409A" w:rsidRPr="00AE52A4" w:rsidRDefault="00BD409A" w:rsidP="00731076">
            <w:pPr>
              <w:spacing w:after="0" w:line="240" w:lineRule="auto"/>
              <w:jc w:val="center"/>
              <w:rPr>
                <w:rFonts w:ascii="Arial" w:eastAsia="Times New Roman" w:hAnsi="Arial" w:cs="Arial"/>
                <w:sz w:val="24"/>
                <w:szCs w:val="24"/>
              </w:rPr>
            </w:pPr>
          </w:p>
        </w:tc>
      </w:tr>
      <w:tr w:rsidR="00BD409A" w:rsidRPr="00AE52A4" w14:paraId="6A9A7140" w14:textId="77777777" w:rsidTr="00731076">
        <w:trPr>
          <w:trHeight w:val="262"/>
        </w:trPr>
        <w:tc>
          <w:tcPr>
            <w:tcW w:w="0" w:type="auto"/>
            <w:tcBorders>
              <w:top w:val="nil"/>
              <w:left w:val="nil"/>
              <w:bottom w:val="nil"/>
              <w:right w:val="nil"/>
            </w:tcBorders>
            <w:shd w:val="clear" w:color="auto" w:fill="auto"/>
            <w:hideMark/>
          </w:tcPr>
          <w:p w14:paraId="3ACFC68C" w14:textId="77777777" w:rsidR="00BD409A" w:rsidRPr="00AE52A4" w:rsidRDefault="00BD409A" w:rsidP="00731076">
            <w:pPr>
              <w:spacing w:after="0" w:line="240" w:lineRule="auto"/>
              <w:ind w:firstLineChars="100" w:firstLine="240"/>
              <w:rPr>
                <w:rFonts w:ascii="Arial" w:eastAsia="Times New Roman" w:hAnsi="Arial" w:cs="Arial"/>
                <w:sz w:val="24"/>
                <w:szCs w:val="24"/>
              </w:rPr>
            </w:pPr>
            <w:proofErr w:type="spellStart"/>
            <w:r w:rsidRPr="00AE52A4">
              <w:rPr>
                <w:rFonts w:ascii="Arial" w:eastAsia="Times New Roman" w:hAnsi="Arial" w:cs="Arial"/>
                <w:sz w:val="24"/>
                <w:szCs w:val="24"/>
              </w:rPr>
              <w:t>Edad</w:t>
            </w:r>
            <w:proofErr w:type="spellEnd"/>
          </w:p>
        </w:tc>
        <w:tc>
          <w:tcPr>
            <w:tcW w:w="0" w:type="auto"/>
            <w:tcBorders>
              <w:top w:val="nil"/>
              <w:left w:val="nil"/>
              <w:bottom w:val="nil"/>
              <w:right w:val="nil"/>
            </w:tcBorders>
            <w:shd w:val="clear" w:color="auto" w:fill="auto"/>
            <w:noWrap/>
            <w:hideMark/>
          </w:tcPr>
          <w:p w14:paraId="5000CCF7"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-.11</w:t>
            </w:r>
          </w:p>
        </w:tc>
        <w:tc>
          <w:tcPr>
            <w:tcW w:w="0" w:type="auto"/>
            <w:tcBorders>
              <w:top w:val="nil"/>
              <w:left w:val="nil"/>
              <w:bottom w:val="nil"/>
              <w:right w:val="nil"/>
            </w:tcBorders>
            <w:shd w:val="clear" w:color="auto" w:fill="auto"/>
            <w:noWrap/>
            <w:hideMark/>
          </w:tcPr>
          <w:p w14:paraId="49C3ECFB"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w:t>
            </w:r>
          </w:p>
        </w:tc>
        <w:tc>
          <w:tcPr>
            <w:tcW w:w="0" w:type="auto"/>
            <w:tcBorders>
              <w:top w:val="nil"/>
              <w:left w:val="nil"/>
              <w:bottom w:val="nil"/>
              <w:right w:val="nil"/>
            </w:tcBorders>
            <w:shd w:val="clear" w:color="auto" w:fill="auto"/>
            <w:noWrap/>
            <w:vAlign w:val="bottom"/>
            <w:hideMark/>
          </w:tcPr>
          <w:p w14:paraId="7C673D6F"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hideMark/>
          </w:tcPr>
          <w:p w14:paraId="1FACCCE1" w14:textId="77777777" w:rsidR="00BD409A" w:rsidRPr="00AE52A4" w:rsidRDefault="00BD409A" w:rsidP="00731076">
            <w:pPr>
              <w:spacing w:after="0" w:line="240" w:lineRule="auto"/>
              <w:ind w:firstLineChars="100" w:firstLine="240"/>
              <w:jc w:val="center"/>
              <w:rPr>
                <w:rFonts w:ascii="Arial" w:eastAsia="Times New Roman" w:hAnsi="Arial" w:cs="Arial"/>
                <w:sz w:val="24"/>
                <w:szCs w:val="24"/>
              </w:rPr>
            </w:pPr>
            <w:proofErr w:type="spellStart"/>
            <w:r w:rsidRPr="00AE52A4">
              <w:rPr>
                <w:rFonts w:ascii="Arial" w:eastAsia="Times New Roman" w:hAnsi="Arial" w:cs="Arial"/>
                <w:sz w:val="24"/>
                <w:szCs w:val="24"/>
              </w:rPr>
              <w:t>Edad</w:t>
            </w:r>
            <w:proofErr w:type="spellEnd"/>
          </w:p>
        </w:tc>
        <w:tc>
          <w:tcPr>
            <w:tcW w:w="0" w:type="auto"/>
            <w:tcBorders>
              <w:top w:val="nil"/>
              <w:left w:val="nil"/>
              <w:bottom w:val="nil"/>
              <w:right w:val="nil"/>
            </w:tcBorders>
            <w:shd w:val="clear" w:color="auto" w:fill="auto"/>
            <w:noWrap/>
            <w:hideMark/>
          </w:tcPr>
          <w:p w14:paraId="433C8976"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-.27</w:t>
            </w:r>
          </w:p>
        </w:tc>
        <w:tc>
          <w:tcPr>
            <w:tcW w:w="0" w:type="auto"/>
            <w:tcBorders>
              <w:top w:val="nil"/>
              <w:left w:val="nil"/>
              <w:bottom w:val="nil"/>
              <w:right w:val="nil"/>
            </w:tcBorders>
            <w:shd w:val="clear" w:color="auto" w:fill="auto"/>
            <w:noWrap/>
            <w:hideMark/>
          </w:tcPr>
          <w:p w14:paraId="047256C7"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w:t>
            </w:r>
          </w:p>
        </w:tc>
        <w:tc>
          <w:tcPr>
            <w:tcW w:w="0" w:type="auto"/>
            <w:tcBorders>
              <w:top w:val="nil"/>
              <w:left w:val="nil"/>
              <w:bottom w:val="nil"/>
              <w:right w:val="nil"/>
            </w:tcBorders>
            <w:shd w:val="clear" w:color="auto" w:fill="auto"/>
            <w:noWrap/>
            <w:vAlign w:val="bottom"/>
            <w:hideMark/>
          </w:tcPr>
          <w:p w14:paraId="3177BAC7"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9453DC2"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05F10AB"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6A0F5E1D" w14:textId="77777777" w:rsidR="00BD409A" w:rsidRPr="00AE52A4" w:rsidRDefault="00BD409A" w:rsidP="00731076">
            <w:pPr>
              <w:spacing w:after="0" w:line="240" w:lineRule="auto"/>
              <w:jc w:val="center"/>
              <w:rPr>
                <w:rFonts w:ascii="Arial" w:eastAsia="Times New Roman" w:hAnsi="Arial" w:cs="Arial"/>
                <w:sz w:val="24"/>
                <w:szCs w:val="24"/>
              </w:rPr>
            </w:pPr>
          </w:p>
        </w:tc>
      </w:tr>
      <w:tr w:rsidR="00BD409A" w:rsidRPr="00AE52A4" w14:paraId="5165FF96" w14:textId="77777777" w:rsidTr="00731076">
        <w:trPr>
          <w:trHeight w:val="262"/>
        </w:trPr>
        <w:tc>
          <w:tcPr>
            <w:tcW w:w="0" w:type="auto"/>
            <w:tcBorders>
              <w:top w:val="nil"/>
              <w:left w:val="nil"/>
              <w:bottom w:val="nil"/>
              <w:right w:val="nil"/>
            </w:tcBorders>
            <w:shd w:val="clear" w:color="auto" w:fill="auto"/>
            <w:hideMark/>
          </w:tcPr>
          <w:p w14:paraId="41F7819C" w14:textId="77777777" w:rsidR="00BD409A" w:rsidRPr="00AE52A4" w:rsidRDefault="00BD409A" w:rsidP="00731076">
            <w:pPr>
              <w:spacing w:after="0" w:line="240" w:lineRule="auto"/>
              <w:ind w:firstLineChars="100" w:firstLine="240"/>
              <w:rPr>
                <w:rFonts w:ascii="Arial" w:eastAsia="Times New Roman" w:hAnsi="Arial" w:cs="Arial"/>
                <w:sz w:val="24"/>
                <w:szCs w:val="24"/>
              </w:rPr>
            </w:pPr>
            <w:proofErr w:type="spellStart"/>
            <w:r w:rsidRPr="00AE52A4">
              <w:rPr>
                <w:rFonts w:ascii="Arial" w:eastAsia="Times New Roman" w:hAnsi="Arial" w:cs="Arial"/>
                <w:sz w:val="24"/>
                <w:szCs w:val="24"/>
              </w:rPr>
              <w:t>Sexo</w:t>
            </w:r>
            <w:proofErr w:type="spellEnd"/>
            <w:r w:rsidRPr="00AE52A4">
              <w:rPr>
                <w:rFonts w:ascii="Arial" w:eastAsia="Times New Roman" w:hAnsi="Arial" w:cs="Arial"/>
                <w:sz w:val="24"/>
                <w:szCs w:val="24"/>
              </w:rPr>
              <w:t xml:space="preserve">  </w:t>
            </w:r>
          </w:p>
        </w:tc>
        <w:tc>
          <w:tcPr>
            <w:tcW w:w="0" w:type="auto"/>
            <w:tcBorders>
              <w:top w:val="nil"/>
              <w:left w:val="nil"/>
              <w:bottom w:val="nil"/>
              <w:right w:val="nil"/>
            </w:tcBorders>
            <w:shd w:val="clear" w:color="auto" w:fill="auto"/>
            <w:noWrap/>
            <w:hideMark/>
          </w:tcPr>
          <w:p w14:paraId="4F3423F3"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w:t>
            </w:r>
          </w:p>
        </w:tc>
        <w:tc>
          <w:tcPr>
            <w:tcW w:w="0" w:type="auto"/>
            <w:tcBorders>
              <w:top w:val="nil"/>
              <w:left w:val="nil"/>
              <w:bottom w:val="nil"/>
              <w:right w:val="nil"/>
            </w:tcBorders>
            <w:shd w:val="clear" w:color="auto" w:fill="auto"/>
            <w:noWrap/>
            <w:hideMark/>
          </w:tcPr>
          <w:p w14:paraId="1E53F8CC"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.87</w:t>
            </w:r>
          </w:p>
        </w:tc>
        <w:tc>
          <w:tcPr>
            <w:tcW w:w="0" w:type="auto"/>
            <w:tcBorders>
              <w:top w:val="nil"/>
              <w:left w:val="nil"/>
              <w:bottom w:val="nil"/>
              <w:right w:val="nil"/>
            </w:tcBorders>
            <w:shd w:val="clear" w:color="auto" w:fill="auto"/>
            <w:noWrap/>
            <w:vAlign w:val="bottom"/>
            <w:hideMark/>
          </w:tcPr>
          <w:p w14:paraId="167C6395"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hideMark/>
          </w:tcPr>
          <w:p w14:paraId="3D050AD2" w14:textId="77777777" w:rsidR="00BD409A" w:rsidRPr="00AE52A4" w:rsidRDefault="00BD409A" w:rsidP="00731076">
            <w:pPr>
              <w:spacing w:after="0" w:line="240" w:lineRule="auto"/>
              <w:ind w:firstLineChars="100" w:firstLine="240"/>
              <w:jc w:val="center"/>
              <w:rPr>
                <w:rFonts w:ascii="Arial" w:eastAsia="Times New Roman" w:hAnsi="Arial" w:cs="Arial"/>
                <w:sz w:val="24"/>
                <w:szCs w:val="24"/>
              </w:rPr>
            </w:pPr>
            <w:proofErr w:type="spellStart"/>
            <w:r w:rsidRPr="00AE52A4">
              <w:rPr>
                <w:rFonts w:ascii="Arial" w:eastAsia="Times New Roman" w:hAnsi="Arial" w:cs="Arial"/>
                <w:sz w:val="24"/>
                <w:szCs w:val="24"/>
              </w:rPr>
              <w:t>Sexo</w:t>
            </w:r>
            <w:proofErr w:type="spellEnd"/>
          </w:p>
        </w:tc>
        <w:tc>
          <w:tcPr>
            <w:tcW w:w="0" w:type="auto"/>
            <w:tcBorders>
              <w:top w:val="nil"/>
              <w:left w:val="nil"/>
              <w:bottom w:val="nil"/>
              <w:right w:val="nil"/>
            </w:tcBorders>
            <w:shd w:val="clear" w:color="auto" w:fill="auto"/>
            <w:noWrap/>
            <w:hideMark/>
          </w:tcPr>
          <w:p w14:paraId="057CDCE7"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-.12</w:t>
            </w:r>
          </w:p>
        </w:tc>
        <w:tc>
          <w:tcPr>
            <w:tcW w:w="0" w:type="auto"/>
            <w:tcBorders>
              <w:top w:val="nil"/>
              <w:left w:val="nil"/>
              <w:bottom w:val="nil"/>
              <w:right w:val="nil"/>
            </w:tcBorders>
            <w:shd w:val="clear" w:color="auto" w:fill="auto"/>
            <w:noWrap/>
            <w:hideMark/>
          </w:tcPr>
          <w:p w14:paraId="22334FC1"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w:t>
            </w:r>
          </w:p>
        </w:tc>
        <w:tc>
          <w:tcPr>
            <w:tcW w:w="0" w:type="auto"/>
            <w:tcBorders>
              <w:top w:val="nil"/>
              <w:left w:val="nil"/>
              <w:bottom w:val="nil"/>
              <w:right w:val="nil"/>
            </w:tcBorders>
            <w:shd w:val="clear" w:color="auto" w:fill="auto"/>
            <w:noWrap/>
            <w:vAlign w:val="bottom"/>
            <w:hideMark/>
          </w:tcPr>
          <w:p w14:paraId="25875DAE"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521A963"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076C1841"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8EB2E8F" w14:textId="77777777" w:rsidR="00BD409A" w:rsidRPr="00AE52A4" w:rsidRDefault="00BD409A" w:rsidP="00731076">
            <w:pPr>
              <w:spacing w:after="0" w:line="240" w:lineRule="auto"/>
              <w:jc w:val="center"/>
              <w:rPr>
                <w:rFonts w:ascii="Arial" w:eastAsia="Times New Roman" w:hAnsi="Arial" w:cs="Arial"/>
                <w:sz w:val="24"/>
                <w:szCs w:val="24"/>
              </w:rPr>
            </w:pPr>
          </w:p>
        </w:tc>
      </w:tr>
      <w:tr w:rsidR="00BD409A" w:rsidRPr="00AE52A4" w14:paraId="62FA246E" w14:textId="77777777" w:rsidTr="00731076">
        <w:trPr>
          <w:trHeight w:val="262"/>
        </w:trPr>
        <w:tc>
          <w:tcPr>
            <w:tcW w:w="0" w:type="auto"/>
            <w:tcBorders>
              <w:top w:val="nil"/>
              <w:left w:val="nil"/>
              <w:bottom w:val="nil"/>
              <w:right w:val="nil"/>
            </w:tcBorders>
            <w:shd w:val="clear" w:color="auto" w:fill="auto"/>
            <w:hideMark/>
          </w:tcPr>
          <w:p w14:paraId="510AFCF3" w14:textId="77777777" w:rsidR="00BD409A" w:rsidRPr="00AE52A4" w:rsidRDefault="00BD409A" w:rsidP="00731076">
            <w:pPr>
              <w:spacing w:after="0" w:line="240" w:lineRule="auto"/>
              <w:ind w:firstLineChars="100" w:firstLine="240"/>
              <w:rPr>
                <w:rFonts w:ascii="Arial" w:eastAsia="Times New Roman" w:hAnsi="Arial" w:cs="Arial"/>
                <w:sz w:val="24"/>
                <w:szCs w:val="24"/>
              </w:rPr>
            </w:pPr>
            <w:r w:rsidRPr="00AE52A4">
              <w:rPr>
                <w:rFonts w:ascii="Arial" w:eastAsia="Times New Roman" w:hAnsi="Arial" w:cs="Arial"/>
                <w:sz w:val="24"/>
                <w:szCs w:val="24"/>
              </w:rPr>
              <w:t>NE</w:t>
            </w:r>
          </w:p>
        </w:tc>
        <w:tc>
          <w:tcPr>
            <w:tcW w:w="0" w:type="auto"/>
            <w:tcBorders>
              <w:top w:val="nil"/>
              <w:left w:val="nil"/>
              <w:bottom w:val="nil"/>
              <w:right w:val="nil"/>
            </w:tcBorders>
            <w:shd w:val="clear" w:color="auto" w:fill="auto"/>
            <w:noWrap/>
            <w:hideMark/>
          </w:tcPr>
          <w:p w14:paraId="2D96DFDA"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-.08</w:t>
            </w:r>
          </w:p>
        </w:tc>
        <w:tc>
          <w:tcPr>
            <w:tcW w:w="0" w:type="auto"/>
            <w:tcBorders>
              <w:top w:val="nil"/>
              <w:left w:val="nil"/>
              <w:bottom w:val="nil"/>
              <w:right w:val="nil"/>
            </w:tcBorders>
            <w:shd w:val="clear" w:color="auto" w:fill="auto"/>
            <w:noWrap/>
            <w:hideMark/>
          </w:tcPr>
          <w:p w14:paraId="1016856A"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w:t>
            </w:r>
          </w:p>
        </w:tc>
        <w:tc>
          <w:tcPr>
            <w:tcW w:w="0" w:type="auto"/>
            <w:tcBorders>
              <w:top w:val="nil"/>
              <w:left w:val="nil"/>
              <w:bottom w:val="nil"/>
              <w:right w:val="nil"/>
            </w:tcBorders>
            <w:shd w:val="clear" w:color="auto" w:fill="auto"/>
            <w:noWrap/>
            <w:vAlign w:val="bottom"/>
            <w:hideMark/>
          </w:tcPr>
          <w:p w14:paraId="4B08F778"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hideMark/>
          </w:tcPr>
          <w:p w14:paraId="320A86C5" w14:textId="77777777" w:rsidR="00BD409A" w:rsidRPr="00AE52A4" w:rsidRDefault="00BD409A" w:rsidP="00731076">
            <w:pPr>
              <w:spacing w:after="0" w:line="240" w:lineRule="auto"/>
              <w:ind w:firstLineChars="100" w:firstLine="240"/>
              <w:jc w:val="center"/>
              <w:rPr>
                <w:rFonts w:ascii="Arial" w:eastAsia="Times New Roman" w:hAnsi="Arial" w:cs="Arial"/>
                <w:sz w:val="24"/>
                <w:szCs w:val="24"/>
              </w:rPr>
            </w:pPr>
            <w:r w:rsidRPr="00AE52A4">
              <w:rPr>
                <w:rFonts w:ascii="Arial" w:eastAsia="Times New Roman" w:hAnsi="Arial" w:cs="Arial"/>
                <w:sz w:val="24"/>
                <w:szCs w:val="24"/>
              </w:rPr>
              <w:t>NE</w:t>
            </w:r>
          </w:p>
        </w:tc>
        <w:tc>
          <w:tcPr>
            <w:tcW w:w="0" w:type="auto"/>
            <w:tcBorders>
              <w:top w:val="nil"/>
              <w:left w:val="nil"/>
              <w:bottom w:val="nil"/>
              <w:right w:val="nil"/>
            </w:tcBorders>
            <w:shd w:val="clear" w:color="auto" w:fill="auto"/>
            <w:noWrap/>
            <w:hideMark/>
          </w:tcPr>
          <w:p w14:paraId="58E0F4AE"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.05</w:t>
            </w:r>
          </w:p>
        </w:tc>
        <w:tc>
          <w:tcPr>
            <w:tcW w:w="0" w:type="auto"/>
            <w:tcBorders>
              <w:top w:val="nil"/>
              <w:left w:val="nil"/>
              <w:bottom w:val="nil"/>
              <w:right w:val="nil"/>
            </w:tcBorders>
            <w:shd w:val="clear" w:color="auto" w:fill="auto"/>
            <w:noWrap/>
            <w:hideMark/>
          </w:tcPr>
          <w:p w14:paraId="49178B21"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.08</w:t>
            </w:r>
          </w:p>
        </w:tc>
        <w:tc>
          <w:tcPr>
            <w:tcW w:w="0" w:type="auto"/>
            <w:tcBorders>
              <w:top w:val="nil"/>
              <w:left w:val="nil"/>
              <w:bottom w:val="nil"/>
              <w:right w:val="nil"/>
            </w:tcBorders>
            <w:shd w:val="clear" w:color="auto" w:fill="auto"/>
            <w:noWrap/>
            <w:vAlign w:val="bottom"/>
            <w:hideMark/>
          </w:tcPr>
          <w:p w14:paraId="27415B9D"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1645BB9"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521F78D6"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14:paraId="1C6B7F2A" w14:textId="77777777" w:rsidR="00BD409A" w:rsidRPr="00AE52A4" w:rsidRDefault="00BD409A" w:rsidP="00731076">
            <w:pPr>
              <w:spacing w:after="0" w:line="240" w:lineRule="auto"/>
              <w:jc w:val="center"/>
              <w:rPr>
                <w:rFonts w:ascii="Arial" w:eastAsia="Times New Roman" w:hAnsi="Arial" w:cs="Arial"/>
                <w:sz w:val="24"/>
                <w:szCs w:val="24"/>
              </w:rPr>
            </w:pPr>
          </w:p>
        </w:tc>
      </w:tr>
      <w:tr w:rsidR="00BD409A" w:rsidRPr="00AE52A4" w14:paraId="70FF50F6" w14:textId="77777777" w:rsidTr="00731076">
        <w:trPr>
          <w:trHeight w:val="262"/>
        </w:trPr>
        <w:tc>
          <w:tcPr>
            <w:tcW w:w="0" w:type="auto"/>
            <w:tcBorders>
              <w:top w:val="nil"/>
              <w:left w:val="nil"/>
              <w:bottom w:val="single" w:sz="4" w:space="0" w:color="auto"/>
              <w:right w:val="nil"/>
            </w:tcBorders>
            <w:shd w:val="clear" w:color="auto" w:fill="auto"/>
            <w:hideMark/>
          </w:tcPr>
          <w:p w14:paraId="31547650" w14:textId="77777777" w:rsidR="00BD409A" w:rsidRPr="00AE52A4" w:rsidRDefault="00BD409A" w:rsidP="00731076">
            <w:pPr>
              <w:spacing w:after="0" w:line="240" w:lineRule="auto"/>
              <w:ind w:firstLineChars="100" w:firstLine="240"/>
              <w:rPr>
                <w:rFonts w:ascii="Arial" w:eastAsia="Times New Roman" w:hAnsi="Arial" w:cs="Arial"/>
                <w:sz w:val="24"/>
                <w:szCs w:val="24"/>
              </w:rPr>
            </w:pPr>
            <w:r w:rsidRPr="00AE52A4">
              <w:rPr>
                <w:rFonts w:ascii="Arial" w:eastAsia="Times New Roman" w:hAnsi="Arial" w:cs="Arial"/>
                <w:sz w:val="24"/>
                <w:szCs w:val="24"/>
              </w:rPr>
              <w:t>CCF-F</w:t>
            </w:r>
          </w:p>
        </w:tc>
        <w:tc>
          <w:tcPr>
            <w:tcW w:w="0" w:type="auto"/>
            <w:tcBorders>
              <w:top w:val="nil"/>
              <w:left w:val="nil"/>
              <w:bottom w:val="single" w:sz="4" w:space="0" w:color="auto"/>
              <w:right w:val="nil"/>
            </w:tcBorders>
            <w:shd w:val="clear" w:color="auto" w:fill="auto"/>
            <w:noWrap/>
            <w:hideMark/>
          </w:tcPr>
          <w:p w14:paraId="104BB98D"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-.07</w:t>
            </w:r>
          </w:p>
        </w:tc>
        <w:tc>
          <w:tcPr>
            <w:tcW w:w="0" w:type="auto"/>
            <w:tcBorders>
              <w:top w:val="nil"/>
              <w:left w:val="nil"/>
              <w:bottom w:val="single" w:sz="4" w:space="0" w:color="auto"/>
              <w:right w:val="nil"/>
            </w:tcBorders>
            <w:shd w:val="clear" w:color="auto" w:fill="auto"/>
            <w:noWrap/>
            <w:hideMark/>
          </w:tcPr>
          <w:p w14:paraId="441A0B92"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.01</w:t>
            </w:r>
          </w:p>
        </w:tc>
        <w:tc>
          <w:tcPr>
            <w:tcW w:w="0" w:type="auto"/>
            <w:tcBorders>
              <w:top w:val="nil"/>
              <w:left w:val="nil"/>
              <w:bottom w:val="single" w:sz="4" w:space="0" w:color="auto"/>
              <w:right w:val="nil"/>
            </w:tcBorders>
            <w:shd w:val="clear" w:color="auto" w:fill="auto"/>
            <w:noWrap/>
            <w:vAlign w:val="bottom"/>
            <w:hideMark/>
          </w:tcPr>
          <w:p w14:paraId="363AC678"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hideMark/>
          </w:tcPr>
          <w:p w14:paraId="07DCA8B0" w14:textId="77777777" w:rsidR="00BD409A" w:rsidRPr="00AE52A4" w:rsidRDefault="00BD409A" w:rsidP="00731076">
            <w:pPr>
              <w:spacing w:after="0" w:line="240" w:lineRule="auto"/>
              <w:ind w:firstLineChars="100" w:firstLine="240"/>
              <w:jc w:val="center"/>
              <w:rPr>
                <w:rFonts w:ascii="Arial" w:eastAsia="Times New Roman" w:hAnsi="Arial" w:cs="Arial"/>
                <w:sz w:val="24"/>
                <w:szCs w:val="24"/>
              </w:rPr>
            </w:pPr>
            <w:r w:rsidRPr="00AE52A4">
              <w:rPr>
                <w:rFonts w:ascii="Arial" w:eastAsia="Times New Roman" w:hAnsi="Arial" w:cs="Arial"/>
                <w:sz w:val="24"/>
                <w:szCs w:val="24"/>
              </w:rPr>
              <w:t>CCF-I</w:t>
            </w:r>
          </w:p>
        </w:tc>
        <w:tc>
          <w:tcPr>
            <w:tcW w:w="0" w:type="auto"/>
            <w:tcBorders>
              <w:top w:val="nil"/>
              <w:left w:val="nil"/>
              <w:bottom w:val="single" w:sz="4" w:space="0" w:color="auto"/>
              <w:right w:val="nil"/>
            </w:tcBorders>
            <w:shd w:val="clear" w:color="auto" w:fill="auto"/>
            <w:noWrap/>
            <w:hideMark/>
          </w:tcPr>
          <w:p w14:paraId="3740192B"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.08</w:t>
            </w:r>
          </w:p>
        </w:tc>
        <w:tc>
          <w:tcPr>
            <w:tcW w:w="0" w:type="auto"/>
            <w:tcBorders>
              <w:top w:val="nil"/>
              <w:left w:val="nil"/>
              <w:bottom w:val="single" w:sz="4" w:space="0" w:color="auto"/>
              <w:right w:val="nil"/>
            </w:tcBorders>
            <w:shd w:val="clear" w:color="auto" w:fill="auto"/>
            <w:noWrap/>
            <w:hideMark/>
          </w:tcPr>
          <w:p w14:paraId="31124710" w14:textId="77777777" w:rsidR="00BD409A" w:rsidRPr="00AE52A4" w:rsidRDefault="00BD409A" w:rsidP="00731076">
            <w:pPr>
              <w:spacing w:after="0" w:line="240" w:lineRule="auto"/>
              <w:jc w:val="center"/>
              <w:rPr>
                <w:rFonts w:ascii="Arial" w:eastAsia="Times New Roman" w:hAnsi="Arial" w:cs="Arial"/>
                <w:sz w:val="24"/>
                <w:szCs w:val="24"/>
              </w:rPr>
            </w:pPr>
            <w:r w:rsidRPr="00AE52A4">
              <w:rPr>
                <w:rFonts w:ascii="Arial" w:eastAsia="Times New Roman" w:hAnsi="Arial" w:cs="Arial"/>
                <w:sz w:val="24"/>
                <w:szCs w:val="24"/>
              </w:rPr>
              <w:t>.00</w:t>
            </w:r>
          </w:p>
        </w:tc>
        <w:tc>
          <w:tcPr>
            <w:tcW w:w="0" w:type="auto"/>
            <w:tcBorders>
              <w:top w:val="nil"/>
              <w:left w:val="nil"/>
              <w:bottom w:val="single" w:sz="4" w:space="0" w:color="auto"/>
              <w:right w:val="nil"/>
            </w:tcBorders>
            <w:shd w:val="clear" w:color="auto" w:fill="auto"/>
            <w:noWrap/>
            <w:vAlign w:val="bottom"/>
            <w:hideMark/>
          </w:tcPr>
          <w:p w14:paraId="253CEC62"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noWrap/>
            <w:vAlign w:val="bottom"/>
            <w:hideMark/>
          </w:tcPr>
          <w:p w14:paraId="2D452E97"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noWrap/>
            <w:vAlign w:val="bottom"/>
            <w:hideMark/>
          </w:tcPr>
          <w:p w14:paraId="5219192B" w14:textId="77777777" w:rsidR="00BD409A" w:rsidRPr="00AE52A4" w:rsidRDefault="00BD409A" w:rsidP="00731076">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nil"/>
            </w:tcBorders>
            <w:shd w:val="clear" w:color="auto" w:fill="auto"/>
            <w:noWrap/>
            <w:vAlign w:val="bottom"/>
            <w:hideMark/>
          </w:tcPr>
          <w:p w14:paraId="27E756F2" w14:textId="77777777" w:rsidR="00BD409A" w:rsidRPr="00AE52A4" w:rsidRDefault="00BD409A" w:rsidP="00731076">
            <w:pPr>
              <w:spacing w:after="0" w:line="240" w:lineRule="auto"/>
              <w:jc w:val="center"/>
              <w:rPr>
                <w:rFonts w:ascii="Arial" w:eastAsia="Times New Roman" w:hAnsi="Arial" w:cs="Arial"/>
                <w:sz w:val="24"/>
                <w:szCs w:val="24"/>
              </w:rPr>
            </w:pPr>
          </w:p>
        </w:tc>
      </w:tr>
      <w:tr w:rsidR="00BD409A" w:rsidRPr="00533A51" w14:paraId="4774844E" w14:textId="77777777" w:rsidTr="00731076">
        <w:trPr>
          <w:trHeight w:val="262"/>
        </w:trPr>
        <w:tc>
          <w:tcPr>
            <w:tcW w:w="0" w:type="auto"/>
            <w:gridSpan w:val="11"/>
            <w:tcBorders>
              <w:top w:val="single" w:sz="4" w:space="0" w:color="auto"/>
              <w:left w:val="nil"/>
              <w:bottom w:val="nil"/>
              <w:right w:val="nil"/>
            </w:tcBorders>
            <w:shd w:val="clear" w:color="auto" w:fill="auto"/>
            <w:hideMark/>
          </w:tcPr>
          <w:p w14:paraId="0DD1DF69" w14:textId="77777777" w:rsidR="00BD409A" w:rsidRPr="000F58B6" w:rsidRDefault="00BD409A" w:rsidP="00731076">
            <w:pPr>
              <w:spacing w:after="0" w:line="240" w:lineRule="auto"/>
              <w:jc w:val="both"/>
              <w:rPr>
                <w:rFonts w:ascii="Arial" w:eastAsia="Times New Roman" w:hAnsi="Arial" w:cs="Arial"/>
                <w:sz w:val="20"/>
                <w:szCs w:val="20"/>
                <w:lang w:val="es-UY"/>
              </w:rPr>
            </w:pPr>
            <w:r w:rsidRPr="000F58B6">
              <w:rPr>
                <w:rFonts w:ascii="Arial" w:eastAsia="Times New Roman" w:hAnsi="Arial" w:cs="Arial"/>
                <w:i/>
                <w:iCs/>
                <w:sz w:val="20"/>
                <w:szCs w:val="20"/>
                <w:lang w:val="es-UY"/>
              </w:rPr>
              <w:t>Notas</w:t>
            </w:r>
            <w:r w:rsidRPr="000F58B6">
              <w:rPr>
                <w:rFonts w:ascii="Arial" w:eastAsia="Times New Roman" w:hAnsi="Arial" w:cs="Arial"/>
                <w:sz w:val="20"/>
                <w:szCs w:val="20"/>
                <w:lang w:val="es-UY"/>
              </w:rPr>
              <w:t>. BA= Bebidas alcohólicas; NE= Nivel educativo</w:t>
            </w:r>
            <w:r w:rsidR="00731076" w:rsidRPr="000F58B6">
              <w:rPr>
                <w:rFonts w:ascii="Arial" w:eastAsia="Times New Roman" w:hAnsi="Arial" w:cs="Arial"/>
                <w:sz w:val="20"/>
                <w:szCs w:val="20"/>
                <w:lang w:val="es-UY"/>
              </w:rPr>
              <w:t xml:space="preserve"> CCF-I= Consideración de las Consecuencias Inmediatas; CCF-F= Consideración de las Consecuencias Futuras</w:t>
            </w:r>
            <w:r w:rsidRPr="000F58B6">
              <w:rPr>
                <w:rFonts w:ascii="Arial" w:eastAsia="Times New Roman" w:hAnsi="Arial" w:cs="Arial"/>
                <w:sz w:val="20"/>
                <w:szCs w:val="20"/>
                <w:lang w:val="es-UY"/>
              </w:rPr>
              <w:t>.</w:t>
            </w:r>
          </w:p>
        </w:tc>
      </w:tr>
    </w:tbl>
    <w:p w14:paraId="5C0470E9" w14:textId="77777777" w:rsidR="00BD409A" w:rsidRPr="00AE52A4" w:rsidRDefault="00BD409A" w:rsidP="00731076">
      <w:pPr>
        <w:spacing w:line="240" w:lineRule="auto"/>
        <w:jc w:val="both"/>
        <w:rPr>
          <w:rFonts w:ascii="Arial" w:eastAsia="Arial" w:hAnsi="Arial" w:cs="Arial"/>
          <w:sz w:val="24"/>
          <w:szCs w:val="24"/>
          <w:lang w:val="es-UY"/>
        </w:rPr>
      </w:pPr>
    </w:p>
    <w:p w14:paraId="316C8CE9" w14:textId="77777777" w:rsidR="00BD409A" w:rsidRPr="00AE52A4" w:rsidRDefault="00BD409A" w:rsidP="00AE52A4">
      <w:pPr>
        <w:spacing w:line="240" w:lineRule="auto"/>
        <w:jc w:val="both"/>
        <w:rPr>
          <w:rFonts w:ascii="Arial" w:eastAsia="Arial" w:hAnsi="Arial" w:cs="Arial"/>
          <w:b/>
          <w:sz w:val="24"/>
          <w:szCs w:val="24"/>
          <w:lang w:val="es-UY"/>
        </w:rPr>
      </w:pPr>
      <w:r w:rsidRPr="00AE52A4">
        <w:rPr>
          <w:rFonts w:ascii="Arial" w:eastAsia="Arial" w:hAnsi="Arial" w:cs="Arial"/>
          <w:b/>
          <w:sz w:val="24"/>
          <w:szCs w:val="24"/>
          <w:lang w:val="es-UY"/>
        </w:rPr>
        <w:t>Discusión</w:t>
      </w:r>
    </w:p>
    <w:p w14:paraId="2C66A08F" w14:textId="71DAD75D" w:rsidR="00BD409A" w:rsidRPr="00AE52A4" w:rsidRDefault="00BD409A" w:rsidP="00731076">
      <w:pPr>
        <w:spacing w:line="240" w:lineRule="auto"/>
        <w:ind w:firstLine="709"/>
        <w:jc w:val="both"/>
        <w:rPr>
          <w:rFonts w:ascii="Arial" w:eastAsia="Arial" w:hAnsi="Arial" w:cs="Arial"/>
          <w:sz w:val="24"/>
          <w:szCs w:val="24"/>
          <w:highlight w:val="white"/>
          <w:lang w:val="es-UY"/>
        </w:rPr>
      </w:pPr>
      <w:r w:rsidRPr="00AE52A4">
        <w:rPr>
          <w:rFonts w:ascii="Arial" w:eastAsia="Arial" w:hAnsi="Arial" w:cs="Arial"/>
          <w:sz w:val="24"/>
          <w:szCs w:val="24"/>
          <w:lang w:val="es-UY"/>
        </w:rPr>
        <w:t xml:space="preserve">Utilizando por primera vez una muestra representativa (en este caso de la población de Montevideo) este estudio tuvo por objetivo general avanzar en el conocimiento sobre el constructo consideración de las consecuencias futuras y la </w:t>
      </w:r>
      <w:r w:rsidR="00D177BB">
        <w:rPr>
          <w:rFonts w:ascii="Arial" w:eastAsia="Arial" w:hAnsi="Arial" w:cs="Arial"/>
          <w:sz w:val="24"/>
          <w:szCs w:val="24"/>
          <w:lang w:val="es-UY"/>
        </w:rPr>
        <w:t xml:space="preserve">versión en español de la </w:t>
      </w:r>
      <w:r w:rsidRPr="00AE52A4">
        <w:rPr>
          <w:rFonts w:ascii="Arial" w:eastAsia="Arial" w:hAnsi="Arial" w:cs="Arial"/>
          <w:sz w:val="24"/>
          <w:szCs w:val="24"/>
          <w:lang w:val="es-UY"/>
        </w:rPr>
        <w:t>escala dis</w:t>
      </w:r>
      <w:r w:rsidRPr="00AE52A4">
        <w:rPr>
          <w:rFonts w:ascii="Arial" w:eastAsia="Arial" w:hAnsi="Arial" w:cs="Arial"/>
          <w:sz w:val="24"/>
          <w:szCs w:val="24"/>
          <w:highlight w:val="white"/>
          <w:lang w:val="es-UY"/>
        </w:rPr>
        <w:t>ponible para evaluarlo. Para ello, nos propusimos cuatro objetivos específicos que discutimos a continuación.</w:t>
      </w:r>
    </w:p>
    <w:p w14:paraId="782A6696" w14:textId="6CD183E7" w:rsidR="00BD409A" w:rsidRPr="00AE52A4" w:rsidRDefault="00BD409A" w:rsidP="00731076">
      <w:pPr>
        <w:spacing w:line="240" w:lineRule="auto"/>
        <w:ind w:firstLine="709"/>
        <w:jc w:val="both"/>
        <w:rPr>
          <w:rFonts w:ascii="Arial" w:eastAsia="Arial" w:hAnsi="Arial" w:cs="Arial"/>
          <w:sz w:val="24"/>
          <w:szCs w:val="24"/>
          <w:highlight w:val="white"/>
          <w:lang w:val="es-UY"/>
        </w:rPr>
      </w:pPr>
      <w:r w:rsidRPr="00AE52A4">
        <w:rPr>
          <w:rFonts w:ascii="Arial" w:eastAsia="Arial" w:hAnsi="Arial" w:cs="Arial"/>
          <w:sz w:val="24"/>
          <w:szCs w:val="24"/>
          <w:highlight w:val="white"/>
          <w:lang w:val="es-UY"/>
        </w:rPr>
        <w:t>Nuestro primer objetivo fue analizar la estructura factorial y confiabilidad de la escala CCF en castellano en una muestra representativa. Nuestros resultados señalan, como estudios previos con muestras de conveniencia, tanto en español como otras lenguas (Joireman et al., 2012; McKay et al., 2016; Vásquez-Echeverría et al., 2018,), que la solución de dos factores correlacionados es la más adecuada y que ambos factores poseen adecuada confiabilidad</w:t>
      </w:r>
      <w:r w:rsidR="00D177BB">
        <w:rPr>
          <w:rFonts w:ascii="Arial" w:eastAsia="Arial" w:hAnsi="Arial" w:cs="Arial"/>
          <w:sz w:val="24"/>
          <w:szCs w:val="24"/>
          <w:highlight w:val="white"/>
          <w:lang w:val="es-UY"/>
        </w:rPr>
        <w:t>, aunque algo reducida para CCF-F</w:t>
      </w:r>
      <w:r w:rsidRPr="00AE52A4">
        <w:rPr>
          <w:rFonts w:ascii="Arial" w:eastAsia="Arial" w:hAnsi="Arial" w:cs="Arial"/>
          <w:sz w:val="24"/>
          <w:szCs w:val="24"/>
          <w:highlight w:val="white"/>
          <w:lang w:val="es-UY"/>
        </w:rPr>
        <w:t xml:space="preserve">. Además, la calidad de las cargas es muy alta, con valores siempre cercanos o superiores </w:t>
      </w:r>
      <w:r w:rsidR="00AD650B">
        <w:rPr>
          <w:rFonts w:ascii="Arial" w:eastAsia="Arial" w:hAnsi="Arial" w:cs="Arial"/>
          <w:sz w:val="24"/>
          <w:szCs w:val="24"/>
          <w:highlight w:val="white"/>
          <w:lang w:val="es-UY"/>
        </w:rPr>
        <w:t>a .40</w:t>
      </w:r>
      <w:r w:rsidRPr="00AE52A4">
        <w:rPr>
          <w:rFonts w:ascii="Arial" w:eastAsia="Arial" w:hAnsi="Arial" w:cs="Arial"/>
          <w:sz w:val="24"/>
          <w:szCs w:val="24"/>
          <w:highlight w:val="white"/>
          <w:lang w:val="es-UY"/>
        </w:rPr>
        <w:t xml:space="preserve">. Otras soluciones testeadas, concretamente la bifactor, presentan problemas en los índices de ajustes y/o saturaciones. Por lo tanto, la acumulación de evidencia, en este caso con una muestra muy diversa, sugiere que los investigadores deben considerar limitar el uso de la puntuación CCF-Total y preferir la utilización de las puntuaciones de las subescalas CCF-I y CCF-F </w:t>
      </w:r>
      <w:r w:rsidRPr="00AE52A4">
        <w:rPr>
          <w:rFonts w:ascii="Arial" w:eastAsia="Arial" w:hAnsi="Arial" w:cs="Arial"/>
          <w:sz w:val="24"/>
          <w:szCs w:val="24"/>
          <w:highlight w:val="white"/>
        </w:rPr>
        <w:fldChar w:fldCharType="begin" w:fldLock="1"/>
      </w:r>
      <w:r w:rsidRPr="00AE52A4">
        <w:rPr>
          <w:rFonts w:ascii="Arial" w:eastAsia="Arial" w:hAnsi="Arial" w:cs="Arial"/>
          <w:sz w:val="24"/>
          <w:szCs w:val="24"/>
          <w:highlight w:val="white"/>
          <w:lang w:val="es-UY"/>
        </w:rPr>
        <w:instrText>ADDIN CSL_CITATION {"citationItems":[{"id":"ITEM-1","itemData":{"DOI":"10.1111/spc3.12252","ISSN":"17519004","abstract":"In 1994, Strathman, Gleicher, Boninger, and Edwards (1994) introduced the 12-item consideration of future consequences scale to measure individual differences in the extent to which people base their decisions on the immediate versus future consequences of their actions. After tracing the origin and development of the CFC construct, theoretical models, including the awareness and concern models, buffering and susceptibility models, and an integrative model of CFC are outlined. Next, a narrative review of work examining the role of CFC within several outcome domains is presented, including research in the areas of health, financial, work, ethical, and environmental behaviors and decision-making. Measurement issues including the dimensionality of the scale and adaptation to specific domains (e.g., healthy eating) are subsequently considered, and eight directions for future research are discussed. © 2016 John Wiley &amp; Sons Ltd.","author":[{"dropping-particle":"","family":"Joireman","given":"Jeff","non-dropping-particle":"","parse-names":false,"suffix":""},{"dropping-particle":"","family":"King","given":"Skyler","non-dropping-particle":"","parse-names":false,"suffix":""}],"container-title":"Social and Personality Psychology Compass","id":"ITEM-1","issue":"5","issued":{"date-parts":[["2016","5"]]},"page":"313-326","title":"Individual Differences in the Consideration of Future and (More) Immediate Consequences: A Review and Directions for Future Research","type":"article-journal","volume":"10"},"uris":["http://www.mendeley.com/documents/?uuid=25d91c17-62dd-4105-b5d9-6ba0219c268a"]}],"mendeley":{"formattedCitation":"(Joireman &amp; King, 2016)","plainTextFormattedCitation":"(Joireman &amp; King, 2016)","previouslyFormattedCitation":"(Joireman &amp; King, 2016)"},"properties":{"noteIndex":0},"schema":"https://github.com/citation-style-language/schema/raw/master/csl-citation.json"}</w:instrText>
      </w:r>
      <w:r w:rsidRPr="00AE52A4">
        <w:rPr>
          <w:rFonts w:ascii="Arial" w:eastAsia="Arial" w:hAnsi="Arial" w:cs="Arial"/>
          <w:sz w:val="24"/>
          <w:szCs w:val="24"/>
          <w:highlight w:val="white"/>
        </w:rPr>
        <w:fldChar w:fldCharType="separate"/>
      </w:r>
      <w:r w:rsidRPr="00AE52A4">
        <w:rPr>
          <w:rFonts w:ascii="Arial" w:eastAsia="Arial" w:hAnsi="Arial" w:cs="Arial"/>
          <w:noProof/>
          <w:sz w:val="24"/>
          <w:szCs w:val="24"/>
          <w:highlight w:val="white"/>
          <w:lang w:val="es-UY"/>
        </w:rPr>
        <w:t>(Joireman &amp; King, 2016)</w:t>
      </w:r>
      <w:r w:rsidRPr="00AE52A4">
        <w:rPr>
          <w:rFonts w:ascii="Arial" w:eastAsia="Arial" w:hAnsi="Arial" w:cs="Arial"/>
          <w:sz w:val="24"/>
          <w:szCs w:val="24"/>
          <w:highlight w:val="white"/>
        </w:rPr>
        <w:fldChar w:fldCharType="end"/>
      </w:r>
      <w:r w:rsidRPr="00AE52A4">
        <w:rPr>
          <w:rFonts w:ascii="Arial" w:eastAsia="Arial" w:hAnsi="Arial" w:cs="Arial"/>
          <w:sz w:val="24"/>
          <w:szCs w:val="24"/>
          <w:highlight w:val="white"/>
          <w:lang w:val="es-UY"/>
        </w:rPr>
        <w:t>.</w:t>
      </w:r>
    </w:p>
    <w:p w14:paraId="0DAE8421" w14:textId="77777777" w:rsidR="00BD409A" w:rsidRPr="00AE52A4" w:rsidRDefault="00BD409A" w:rsidP="00731076">
      <w:pPr>
        <w:spacing w:line="240" w:lineRule="auto"/>
        <w:ind w:firstLine="709"/>
        <w:jc w:val="both"/>
        <w:rPr>
          <w:rFonts w:ascii="Arial" w:eastAsia="Arial" w:hAnsi="Arial" w:cs="Arial"/>
          <w:sz w:val="24"/>
          <w:szCs w:val="24"/>
          <w:highlight w:val="white"/>
          <w:lang w:val="es-UY"/>
        </w:rPr>
      </w:pPr>
      <w:r w:rsidRPr="00AE52A4">
        <w:rPr>
          <w:rFonts w:ascii="Arial" w:eastAsia="Arial" w:hAnsi="Arial" w:cs="Arial"/>
          <w:sz w:val="24"/>
          <w:szCs w:val="24"/>
          <w:highlight w:val="white"/>
          <w:lang w:val="es-UY"/>
        </w:rPr>
        <w:t xml:space="preserve">Nuestro segundo objetivo fue disponibilizar a la comunidad académica las puntuaciones percentiles de la referencia a la norma de Montevideo. Ofrecemos las puntuaciones para las subescalas y la CCF-T para toda la muestra y, en el caso de la CCF-I, por sexo y grupo de edad, debido a las diferencias estadísticamente significativas halladas en dicha subescala. </w:t>
      </w:r>
    </w:p>
    <w:p w14:paraId="7B0F8E5F" w14:textId="04D56040" w:rsidR="00BD409A" w:rsidRPr="00AE52A4" w:rsidRDefault="00BD409A" w:rsidP="00731076">
      <w:pPr>
        <w:spacing w:line="240" w:lineRule="auto"/>
        <w:ind w:firstLine="709"/>
        <w:jc w:val="both"/>
        <w:rPr>
          <w:rFonts w:ascii="Arial" w:eastAsia="Arial" w:hAnsi="Arial" w:cs="Arial"/>
          <w:sz w:val="24"/>
          <w:szCs w:val="24"/>
          <w:highlight w:val="white"/>
          <w:lang w:val="es-UY"/>
        </w:rPr>
      </w:pPr>
      <w:r w:rsidRPr="00AE52A4">
        <w:rPr>
          <w:rFonts w:ascii="Arial" w:eastAsia="Arial" w:hAnsi="Arial" w:cs="Arial"/>
          <w:sz w:val="24"/>
          <w:szCs w:val="24"/>
          <w:highlight w:val="white"/>
          <w:lang w:val="es-UY"/>
        </w:rPr>
        <w:t xml:space="preserve">Respecto al tercer objetivo, analizar la distribución territorial de las puntuaciones en CCF, encontramos evidencia mixta al respecto a que las personas de menor nivel socioeconómico presentan mayor orientación hacia el presente. Los resultados sugieren que </w:t>
      </w:r>
      <w:r w:rsidR="00C4485A">
        <w:rPr>
          <w:rFonts w:ascii="Arial" w:eastAsia="Arial" w:hAnsi="Arial" w:cs="Arial"/>
          <w:sz w:val="24"/>
          <w:szCs w:val="24"/>
          <w:highlight w:val="white"/>
          <w:lang w:val="es-UY"/>
        </w:rPr>
        <w:t xml:space="preserve">los dos </w:t>
      </w:r>
      <w:r w:rsidR="009D0DD3">
        <w:rPr>
          <w:rFonts w:ascii="Arial" w:eastAsia="Arial" w:hAnsi="Arial" w:cs="Arial"/>
          <w:sz w:val="24"/>
          <w:szCs w:val="24"/>
          <w:highlight w:val="white"/>
          <w:lang w:val="es-UY"/>
        </w:rPr>
        <w:t>grupo</w:t>
      </w:r>
      <w:r w:rsidR="00C4485A">
        <w:rPr>
          <w:rFonts w:ascii="Arial" w:eastAsia="Arial" w:hAnsi="Arial" w:cs="Arial"/>
          <w:sz w:val="24"/>
          <w:szCs w:val="24"/>
          <w:highlight w:val="white"/>
          <w:lang w:val="es-UY"/>
        </w:rPr>
        <w:t>s</w:t>
      </w:r>
      <w:r w:rsidR="009D0DD3">
        <w:rPr>
          <w:rFonts w:ascii="Arial" w:eastAsia="Arial" w:hAnsi="Arial" w:cs="Arial"/>
          <w:sz w:val="24"/>
          <w:szCs w:val="24"/>
          <w:highlight w:val="white"/>
          <w:lang w:val="es-UY"/>
        </w:rPr>
        <w:t xml:space="preserve"> zonal</w:t>
      </w:r>
      <w:r w:rsidR="00C4485A">
        <w:rPr>
          <w:rFonts w:ascii="Arial" w:eastAsia="Arial" w:hAnsi="Arial" w:cs="Arial"/>
          <w:sz w:val="24"/>
          <w:szCs w:val="24"/>
          <w:highlight w:val="white"/>
          <w:lang w:val="es-UY"/>
        </w:rPr>
        <w:t>es</w:t>
      </w:r>
      <w:r w:rsidR="009D0DD3" w:rsidRPr="00AE52A4">
        <w:rPr>
          <w:rFonts w:ascii="Arial" w:eastAsia="Arial" w:hAnsi="Arial" w:cs="Arial"/>
          <w:sz w:val="24"/>
          <w:szCs w:val="24"/>
          <w:highlight w:val="white"/>
          <w:lang w:val="es-UY"/>
        </w:rPr>
        <w:t xml:space="preserve"> </w:t>
      </w:r>
      <w:r w:rsidR="00CC2074">
        <w:rPr>
          <w:rFonts w:ascii="Arial" w:eastAsia="Arial" w:hAnsi="Arial" w:cs="Arial"/>
          <w:sz w:val="24"/>
          <w:szCs w:val="24"/>
          <w:highlight w:val="white"/>
          <w:lang w:val="es-UY"/>
        </w:rPr>
        <w:t>de menor educación y menor valor de vivienda</w:t>
      </w:r>
      <w:r w:rsidR="00AD650B" w:rsidRPr="00AE52A4">
        <w:rPr>
          <w:rFonts w:ascii="Arial" w:eastAsia="Arial" w:hAnsi="Arial" w:cs="Arial"/>
          <w:sz w:val="24"/>
          <w:szCs w:val="24"/>
          <w:highlight w:val="white"/>
          <w:lang w:val="es-UY"/>
        </w:rPr>
        <w:t xml:space="preserve"> presenta</w:t>
      </w:r>
      <w:r w:rsidR="00C4485A">
        <w:rPr>
          <w:rFonts w:ascii="Arial" w:eastAsia="Arial" w:hAnsi="Arial" w:cs="Arial"/>
          <w:sz w:val="24"/>
          <w:szCs w:val="24"/>
          <w:highlight w:val="white"/>
          <w:lang w:val="es-UY"/>
        </w:rPr>
        <w:t>n</w:t>
      </w:r>
      <w:r w:rsidRPr="00AE52A4">
        <w:rPr>
          <w:rFonts w:ascii="Arial" w:eastAsia="Arial" w:hAnsi="Arial" w:cs="Arial"/>
          <w:sz w:val="24"/>
          <w:szCs w:val="24"/>
          <w:highlight w:val="white"/>
          <w:lang w:val="es-UY"/>
        </w:rPr>
        <w:t xml:space="preserve"> </w:t>
      </w:r>
      <w:r w:rsidR="00CC2074">
        <w:rPr>
          <w:rFonts w:ascii="Arial" w:eastAsia="Arial" w:hAnsi="Arial" w:cs="Arial"/>
          <w:sz w:val="24"/>
          <w:szCs w:val="24"/>
          <w:highlight w:val="white"/>
          <w:lang w:val="es-UY"/>
        </w:rPr>
        <w:t>menores puntuaciones</w:t>
      </w:r>
      <w:r w:rsidRPr="00AE52A4">
        <w:rPr>
          <w:rFonts w:ascii="Arial" w:eastAsia="Arial" w:hAnsi="Arial" w:cs="Arial"/>
          <w:sz w:val="24"/>
          <w:szCs w:val="24"/>
          <w:highlight w:val="white"/>
          <w:lang w:val="es-UY"/>
        </w:rPr>
        <w:t xml:space="preserve"> en </w:t>
      </w:r>
      <w:r w:rsidR="00C4485A">
        <w:rPr>
          <w:rFonts w:ascii="Arial" w:eastAsia="Arial" w:hAnsi="Arial" w:cs="Arial"/>
          <w:sz w:val="24"/>
          <w:szCs w:val="24"/>
          <w:highlight w:val="white"/>
          <w:lang w:val="es-UY"/>
        </w:rPr>
        <w:t>todas las puntuaciones de CCF, especialmente en CCF-F</w:t>
      </w:r>
      <w:r w:rsidR="00CC2074">
        <w:rPr>
          <w:rFonts w:ascii="Arial" w:eastAsia="Arial" w:hAnsi="Arial" w:cs="Arial"/>
          <w:sz w:val="24"/>
          <w:szCs w:val="24"/>
          <w:highlight w:val="white"/>
          <w:lang w:val="es-UY"/>
        </w:rPr>
        <w:t xml:space="preserve">. Esto replica lo </w:t>
      </w:r>
      <w:r w:rsidR="00297292">
        <w:rPr>
          <w:rFonts w:ascii="Arial" w:eastAsia="Arial" w:hAnsi="Arial" w:cs="Arial"/>
          <w:sz w:val="24"/>
          <w:szCs w:val="24"/>
          <w:highlight w:val="white"/>
          <w:lang w:val="es-UY"/>
        </w:rPr>
        <w:t>ya fue reportado por Vásquez-Echeverría et al. (2019), en una muestra más reducida de padres</w:t>
      </w:r>
      <w:r w:rsidR="00CC2074">
        <w:rPr>
          <w:rFonts w:ascii="Arial" w:eastAsia="Arial" w:hAnsi="Arial" w:cs="Arial"/>
          <w:sz w:val="24"/>
          <w:szCs w:val="24"/>
          <w:highlight w:val="white"/>
          <w:lang w:val="es-UY"/>
        </w:rPr>
        <w:t xml:space="preserve"> de Montevideo</w:t>
      </w:r>
      <w:r w:rsidRPr="00AE52A4">
        <w:rPr>
          <w:rFonts w:ascii="Arial" w:eastAsia="Arial" w:hAnsi="Arial" w:cs="Arial"/>
          <w:sz w:val="24"/>
          <w:szCs w:val="24"/>
          <w:highlight w:val="white"/>
          <w:lang w:val="es-UY"/>
        </w:rPr>
        <w:t xml:space="preserve">. Sin embargo, </w:t>
      </w:r>
      <w:r w:rsidR="00297292">
        <w:rPr>
          <w:rFonts w:ascii="Arial" w:eastAsia="Arial" w:hAnsi="Arial" w:cs="Arial"/>
          <w:sz w:val="24"/>
          <w:szCs w:val="24"/>
          <w:highlight w:val="white"/>
          <w:lang w:val="es-UY"/>
        </w:rPr>
        <w:t>el</w:t>
      </w:r>
      <w:r w:rsidRPr="00AE52A4">
        <w:rPr>
          <w:rFonts w:ascii="Arial" w:eastAsia="Arial" w:hAnsi="Arial" w:cs="Arial"/>
          <w:sz w:val="24"/>
          <w:szCs w:val="24"/>
          <w:highlight w:val="white"/>
          <w:lang w:val="es-UY"/>
        </w:rPr>
        <w:t xml:space="preserve"> </w:t>
      </w:r>
      <w:r w:rsidRPr="00AE52A4">
        <w:rPr>
          <w:rFonts w:ascii="Arial" w:eastAsia="Arial" w:hAnsi="Arial" w:cs="Arial"/>
          <w:sz w:val="24"/>
          <w:szCs w:val="24"/>
          <w:highlight w:val="white"/>
          <w:lang w:val="es-UY"/>
        </w:rPr>
        <w:lastRenderedPageBreak/>
        <w:t>ordenamiento</w:t>
      </w:r>
      <w:r w:rsidR="00297292">
        <w:rPr>
          <w:rFonts w:ascii="Arial" w:eastAsia="Arial" w:hAnsi="Arial" w:cs="Arial"/>
          <w:sz w:val="24"/>
          <w:szCs w:val="24"/>
          <w:highlight w:val="white"/>
          <w:lang w:val="es-UY"/>
        </w:rPr>
        <w:t xml:space="preserve"> de las puntuaciones de CCF por </w:t>
      </w:r>
      <w:r w:rsidR="009D0DD3">
        <w:rPr>
          <w:rFonts w:ascii="Arial" w:eastAsia="Arial" w:hAnsi="Arial" w:cs="Arial"/>
          <w:sz w:val="24"/>
          <w:szCs w:val="24"/>
          <w:highlight w:val="white"/>
          <w:lang w:val="es-UY"/>
        </w:rPr>
        <w:t>grupo zonal</w:t>
      </w:r>
      <w:r w:rsidR="009D0DD3" w:rsidRPr="00AE52A4">
        <w:rPr>
          <w:rFonts w:ascii="Arial" w:eastAsia="Arial" w:hAnsi="Arial" w:cs="Arial"/>
          <w:sz w:val="24"/>
          <w:szCs w:val="24"/>
          <w:highlight w:val="white"/>
          <w:lang w:val="es-UY"/>
        </w:rPr>
        <w:t xml:space="preserve"> </w:t>
      </w:r>
      <w:r w:rsidRPr="00AE52A4">
        <w:rPr>
          <w:rFonts w:ascii="Arial" w:eastAsia="Arial" w:hAnsi="Arial" w:cs="Arial"/>
          <w:sz w:val="24"/>
          <w:szCs w:val="24"/>
          <w:highlight w:val="white"/>
          <w:lang w:val="es-UY"/>
        </w:rPr>
        <w:t xml:space="preserve">no es estrictamente jerárquico ni consecutivo y no se encontraron diferencias significativas en los análisis </w:t>
      </w:r>
      <w:r w:rsidRPr="00AE52A4">
        <w:rPr>
          <w:rFonts w:ascii="Arial" w:eastAsia="Arial" w:hAnsi="Arial" w:cs="Arial"/>
          <w:i/>
          <w:sz w:val="24"/>
          <w:szCs w:val="24"/>
          <w:highlight w:val="white"/>
          <w:lang w:val="es-UY"/>
        </w:rPr>
        <w:t>post-hoc</w:t>
      </w:r>
      <w:r w:rsidRPr="00AE52A4">
        <w:rPr>
          <w:rFonts w:ascii="Arial" w:eastAsia="Arial" w:hAnsi="Arial" w:cs="Arial"/>
          <w:sz w:val="24"/>
          <w:szCs w:val="24"/>
          <w:highlight w:val="white"/>
          <w:lang w:val="es-UY"/>
        </w:rPr>
        <w:t xml:space="preserve"> entre </w:t>
      </w:r>
      <w:r w:rsidR="009D0DD3">
        <w:rPr>
          <w:rFonts w:ascii="Arial" w:eastAsia="Arial" w:hAnsi="Arial" w:cs="Arial"/>
          <w:sz w:val="24"/>
          <w:szCs w:val="24"/>
          <w:highlight w:val="white"/>
          <w:lang w:val="es-UY"/>
        </w:rPr>
        <w:t>los grupos</w:t>
      </w:r>
      <w:r w:rsidR="00AD650B">
        <w:rPr>
          <w:rFonts w:ascii="Arial" w:eastAsia="Arial" w:hAnsi="Arial" w:cs="Arial"/>
          <w:sz w:val="24"/>
          <w:szCs w:val="24"/>
          <w:highlight w:val="white"/>
          <w:lang w:val="es-UY"/>
        </w:rPr>
        <w:t xml:space="preserve"> (incluido el de menor nivel socioeconómico)</w:t>
      </w:r>
      <w:r w:rsidRPr="00AE52A4">
        <w:rPr>
          <w:rFonts w:ascii="Arial" w:eastAsia="Arial" w:hAnsi="Arial" w:cs="Arial"/>
          <w:sz w:val="24"/>
          <w:szCs w:val="24"/>
          <w:highlight w:val="white"/>
          <w:lang w:val="es-UY"/>
        </w:rPr>
        <w:t xml:space="preserve">. Esto puede deberse a que este efecto solo es notorio en </w:t>
      </w:r>
      <w:r w:rsidR="00C4485A">
        <w:rPr>
          <w:rFonts w:ascii="Arial" w:eastAsia="Arial" w:hAnsi="Arial" w:cs="Arial"/>
          <w:sz w:val="24"/>
          <w:szCs w:val="24"/>
          <w:highlight w:val="white"/>
          <w:lang w:val="es-UY"/>
        </w:rPr>
        <w:t xml:space="preserve">agrupamientos donde existen </w:t>
      </w:r>
      <w:r w:rsidRPr="00AE52A4">
        <w:rPr>
          <w:rFonts w:ascii="Arial" w:eastAsia="Arial" w:hAnsi="Arial" w:cs="Arial"/>
          <w:sz w:val="24"/>
          <w:szCs w:val="24"/>
          <w:highlight w:val="white"/>
          <w:lang w:val="es-UY"/>
        </w:rPr>
        <w:t>contexto</w:t>
      </w:r>
      <w:r w:rsidR="00AD650B">
        <w:rPr>
          <w:rFonts w:ascii="Arial" w:eastAsia="Arial" w:hAnsi="Arial" w:cs="Arial"/>
          <w:sz w:val="24"/>
          <w:szCs w:val="24"/>
          <w:highlight w:val="white"/>
          <w:lang w:val="es-UY"/>
        </w:rPr>
        <w:t>s</w:t>
      </w:r>
      <w:r w:rsidRPr="00AE52A4">
        <w:rPr>
          <w:rFonts w:ascii="Arial" w:eastAsia="Arial" w:hAnsi="Arial" w:cs="Arial"/>
          <w:sz w:val="24"/>
          <w:szCs w:val="24"/>
          <w:highlight w:val="white"/>
          <w:lang w:val="es-UY"/>
        </w:rPr>
        <w:t xml:space="preserve"> de pobreza </w:t>
      </w:r>
      <w:r w:rsidR="00C4485A">
        <w:rPr>
          <w:rFonts w:ascii="Arial" w:eastAsia="Arial" w:hAnsi="Arial" w:cs="Arial"/>
          <w:sz w:val="24"/>
          <w:szCs w:val="24"/>
          <w:highlight w:val="white"/>
          <w:lang w:val="es-UY"/>
        </w:rPr>
        <w:t xml:space="preserve">marcados (como sucede en los grupos zonales 1 y 2) </w:t>
      </w:r>
      <w:r w:rsidRPr="00AE52A4">
        <w:rPr>
          <w:rFonts w:ascii="Arial" w:eastAsia="Arial" w:hAnsi="Arial" w:cs="Arial"/>
          <w:sz w:val="24"/>
          <w:szCs w:val="24"/>
          <w:highlight w:val="white"/>
          <w:lang w:val="es-UY"/>
        </w:rPr>
        <w:t>y luego de alcanzar un umbral de necesidades básicas satisfechas, la distribución de la consideración de las consecuencias futuras varía en función de otras características del entorno o de la personalidad. Por ejemplo, Pepper y Nettle (2017) señalan que la constelación comportamental de la privación (</w:t>
      </w:r>
      <w:r w:rsidR="00D177BB">
        <w:rPr>
          <w:rFonts w:ascii="Arial" w:eastAsia="Arial" w:hAnsi="Arial" w:cs="Arial"/>
          <w:sz w:val="24"/>
          <w:szCs w:val="24"/>
          <w:highlight w:val="white"/>
          <w:lang w:val="es-UY"/>
        </w:rPr>
        <w:t>que incluye</w:t>
      </w:r>
      <w:r w:rsidRPr="00AE52A4">
        <w:rPr>
          <w:rFonts w:ascii="Arial" w:eastAsia="Arial" w:hAnsi="Arial" w:cs="Arial"/>
          <w:sz w:val="24"/>
          <w:szCs w:val="24"/>
          <w:highlight w:val="white"/>
          <w:lang w:val="es-UY"/>
        </w:rPr>
        <w:t xml:space="preserve"> una mayor orientación temporal </w:t>
      </w:r>
      <w:r w:rsidR="00D177BB">
        <w:rPr>
          <w:rFonts w:ascii="Arial" w:eastAsia="Arial" w:hAnsi="Arial" w:cs="Arial"/>
          <w:sz w:val="24"/>
          <w:szCs w:val="24"/>
          <w:highlight w:val="white"/>
          <w:lang w:val="es-UY"/>
        </w:rPr>
        <w:t xml:space="preserve">hacia el </w:t>
      </w:r>
      <w:r w:rsidRPr="00AE52A4">
        <w:rPr>
          <w:rFonts w:ascii="Arial" w:eastAsia="Arial" w:hAnsi="Arial" w:cs="Arial"/>
          <w:sz w:val="24"/>
          <w:szCs w:val="24"/>
          <w:highlight w:val="white"/>
          <w:lang w:val="es-UY"/>
        </w:rPr>
        <w:t xml:space="preserve">presente) se reproduce en función de incertidumbre a nivel laboral y </w:t>
      </w:r>
      <w:r w:rsidR="00D177BB">
        <w:rPr>
          <w:rFonts w:ascii="Arial" w:eastAsia="Arial" w:hAnsi="Arial" w:cs="Arial"/>
          <w:sz w:val="24"/>
          <w:szCs w:val="24"/>
          <w:highlight w:val="white"/>
          <w:lang w:val="es-UY"/>
        </w:rPr>
        <w:t xml:space="preserve">el </w:t>
      </w:r>
      <w:r w:rsidRPr="00AE52A4">
        <w:rPr>
          <w:rFonts w:ascii="Arial" w:eastAsia="Arial" w:hAnsi="Arial" w:cs="Arial"/>
          <w:sz w:val="24"/>
          <w:szCs w:val="24"/>
          <w:highlight w:val="white"/>
          <w:lang w:val="es-UY"/>
        </w:rPr>
        <w:t>bajo control sobre el futuro en términos económicos, de educación y de salud, algo que en Uruguay es relativamente homogéneo entre los contextos de ingresos medios y medios-altos, pero no así en los contextos de pobreza</w:t>
      </w:r>
      <w:r w:rsidR="00940AAB">
        <w:rPr>
          <w:rFonts w:ascii="Arial" w:eastAsia="Arial" w:hAnsi="Arial" w:cs="Arial"/>
          <w:sz w:val="24"/>
          <w:szCs w:val="24"/>
          <w:highlight w:val="white"/>
          <w:lang w:val="es-UY"/>
        </w:rPr>
        <w:t>. En estos últimos contextos</w:t>
      </w:r>
      <w:r w:rsidRPr="00AE52A4">
        <w:rPr>
          <w:rFonts w:ascii="Arial" w:eastAsia="Arial" w:hAnsi="Arial" w:cs="Arial"/>
          <w:sz w:val="24"/>
          <w:szCs w:val="24"/>
          <w:highlight w:val="white"/>
          <w:lang w:val="es-UY"/>
        </w:rPr>
        <w:t xml:space="preserve"> </w:t>
      </w:r>
      <w:r w:rsidR="00940AAB">
        <w:rPr>
          <w:rFonts w:ascii="Arial" w:eastAsia="Arial" w:hAnsi="Arial" w:cs="Arial"/>
          <w:sz w:val="24"/>
          <w:szCs w:val="24"/>
          <w:highlight w:val="white"/>
          <w:lang w:val="es-UY"/>
        </w:rPr>
        <w:t xml:space="preserve">es dónde se </w:t>
      </w:r>
      <w:r w:rsidRPr="00AE52A4">
        <w:rPr>
          <w:rFonts w:ascii="Arial" w:eastAsia="Arial" w:hAnsi="Arial" w:cs="Arial"/>
          <w:sz w:val="24"/>
          <w:szCs w:val="24"/>
          <w:highlight w:val="white"/>
          <w:lang w:val="es-UY"/>
        </w:rPr>
        <w:t xml:space="preserve">presentan </w:t>
      </w:r>
      <w:r w:rsidR="006E78F6" w:rsidRPr="00AE52A4">
        <w:rPr>
          <w:rFonts w:ascii="Arial" w:eastAsia="Arial" w:hAnsi="Arial" w:cs="Arial"/>
          <w:sz w:val="24"/>
          <w:szCs w:val="24"/>
          <w:highlight w:val="white"/>
          <w:lang w:val="es-UY"/>
        </w:rPr>
        <w:t>mayores dificultades</w:t>
      </w:r>
      <w:r w:rsidRPr="00AE52A4">
        <w:rPr>
          <w:rFonts w:ascii="Arial" w:eastAsia="Arial" w:hAnsi="Arial" w:cs="Arial"/>
          <w:sz w:val="24"/>
          <w:szCs w:val="24"/>
          <w:highlight w:val="white"/>
          <w:lang w:val="es-UY"/>
        </w:rPr>
        <w:t xml:space="preserve"> de acceso a la salud, mayores problemas de seguridad pública y mayor tasa de deserción de la educación obligatoria</w:t>
      </w:r>
      <w:r w:rsidR="00D177BB">
        <w:rPr>
          <w:rFonts w:ascii="Arial" w:eastAsia="Arial" w:hAnsi="Arial" w:cs="Arial"/>
          <w:sz w:val="24"/>
          <w:szCs w:val="24"/>
          <w:highlight w:val="white"/>
          <w:lang w:val="es-UY"/>
        </w:rPr>
        <w:t>.</w:t>
      </w:r>
      <w:r w:rsidR="00940AAB">
        <w:rPr>
          <w:rFonts w:ascii="Arial" w:eastAsia="Arial" w:hAnsi="Arial" w:cs="Arial"/>
          <w:sz w:val="24"/>
          <w:szCs w:val="24"/>
          <w:highlight w:val="white"/>
          <w:lang w:val="es-UY"/>
        </w:rPr>
        <w:t xml:space="preserve"> En esta línea, nuestros hallazgos señalan que </w:t>
      </w:r>
      <w:r w:rsidR="006E78F6">
        <w:rPr>
          <w:rFonts w:ascii="Arial" w:eastAsia="Arial" w:hAnsi="Arial" w:cs="Arial"/>
          <w:sz w:val="24"/>
          <w:szCs w:val="24"/>
          <w:highlight w:val="white"/>
          <w:lang w:val="es-UY"/>
        </w:rPr>
        <w:t>el nivel educativo</w:t>
      </w:r>
      <w:r w:rsidR="00940AAB">
        <w:rPr>
          <w:rFonts w:ascii="Arial" w:eastAsia="Arial" w:hAnsi="Arial" w:cs="Arial"/>
          <w:sz w:val="24"/>
          <w:szCs w:val="24"/>
          <w:highlight w:val="white"/>
          <w:lang w:val="es-UY"/>
        </w:rPr>
        <w:t xml:space="preserve"> explica parte de</w:t>
      </w:r>
      <w:r w:rsidR="006E78F6">
        <w:rPr>
          <w:rFonts w:ascii="Arial" w:eastAsia="Arial" w:hAnsi="Arial" w:cs="Arial"/>
          <w:sz w:val="24"/>
          <w:szCs w:val="24"/>
          <w:highlight w:val="white"/>
          <w:lang w:val="es-UY"/>
        </w:rPr>
        <w:t xml:space="preserve"> estas diferencias en orientación temporal, pero es </w:t>
      </w:r>
      <w:r w:rsidR="00D177BB">
        <w:rPr>
          <w:rFonts w:ascii="Arial" w:eastAsia="Arial" w:hAnsi="Arial" w:cs="Arial"/>
          <w:sz w:val="24"/>
          <w:szCs w:val="24"/>
          <w:highlight w:val="white"/>
          <w:lang w:val="es-UY"/>
        </w:rPr>
        <w:t xml:space="preserve">necesario explorar </w:t>
      </w:r>
      <w:r w:rsidR="006E78F6">
        <w:rPr>
          <w:rFonts w:ascii="Arial" w:eastAsia="Arial" w:hAnsi="Arial" w:cs="Arial"/>
          <w:sz w:val="24"/>
          <w:szCs w:val="24"/>
          <w:highlight w:val="white"/>
          <w:lang w:val="es-UY"/>
        </w:rPr>
        <w:t xml:space="preserve">otras </w:t>
      </w:r>
      <w:r w:rsidR="00D177BB">
        <w:rPr>
          <w:rFonts w:ascii="Arial" w:eastAsia="Arial" w:hAnsi="Arial" w:cs="Arial"/>
          <w:sz w:val="24"/>
          <w:szCs w:val="24"/>
          <w:highlight w:val="white"/>
          <w:lang w:val="es-UY"/>
        </w:rPr>
        <w:t xml:space="preserve">características para entender las diferencias entre </w:t>
      </w:r>
      <w:r w:rsidR="00297292">
        <w:rPr>
          <w:rFonts w:ascii="Arial" w:eastAsia="Arial" w:hAnsi="Arial" w:cs="Arial"/>
          <w:sz w:val="24"/>
          <w:szCs w:val="24"/>
          <w:highlight w:val="white"/>
          <w:lang w:val="es-UY"/>
        </w:rPr>
        <w:t>los barrios de menores ingresos en su CCF</w:t>
      </w:r>
      <w:r w:rsidRPr="00AE52A4">
        <w:rPr>
          <w:rFonts w:ascii="Arial" w:eastAsia="Arial" w:hAnsi="Arial" w:cs="Arial"/>
          <w:sz w:val="24"/>
          <w:szCs w:val="24"/>
          <w:highlight w:val="white"/>
          <w:lang w:val="es-UY"/>
        </w:rPr>
        <w:t>.</w:t>
      </w:r>
      <w:r w:rsidR="00297292">
        <w:rPr>
          <w:rFonts w:ascii="Arial" w:eastAsia="Arial" w:hAnsi="Arial" w:cs="Arial"/>
          <w:sz w:val="24"/>
          <w:szCs w:val="24"/>
          <w:highlight w:val="white"/>
          <w:lang w:val="es-UY"/>
        </w:rPr>
        <w:t xml:space="preserve"> De todas formas, nuestros resultados reafirman la idea de que la distribución territorial de la orientación temporal no es aleatoria</w:t>
      </w:r>
      <w:r w:rsidR="00CC2074">
        <w:rPr>
          <w:rFonts w:ascii="Arial" w:eastAsia="Arial" w:hAnsi="Arial" w:cs="Arial"/>
          <w:sz w:val="24"/>
          <w:szCs w:val="24"/>
          <w:highlight w:val="white"/>
          <w:lang w:val="es-UY"/>
        </w:rPr>
        <w:t xml:space="preserve"> y amerita futuras investigaciones al respecto</w:t>
      </w:r>
      <w:r w:rsidR="00297292">
        <w:rPr>
          <w:rFonts w:ascii="Arial" w:eastAsia="Arial" w:hAnsi="Arial" w:cs="Arial"/>
          <w:sz w:val="24"/>
          <w:szCs w:val="24"/>
          <w:highlight w:val="white"/>
          <w:lang w:val="es-UY"/>
        </w:rPr>
        <w:t xml:space="preserve">. </w:t>
      </w:r>
    </w:p>
    <w:p w14:paraId="0B74AEA5" w14:textId="77777777" w:rsidR="00BD409A" w:rsidRPr="00AE52A4" w:rsidRDefault="00BD409A" w:rsidP="00731076">
      <w:pPr>
        <w:spacing w:line="240" w:lineRule="auto"/>
        <w:ind w:firstLine="700"/>
        <w:jc w:val="both"/>
        <w:rPr>
          <w:rFonts w:ascii="Arial" w:eastAsia="Arial" w:hAnsi="Arial" w:cs="Arial"/>
          <w:sz w:val="24"/>
          <w:szCs w:val="24"/>
          <w:lang w:val="es-UY"/>
        </w:rPr>
      </w:pPr>
      <w:r w:rsidRPr="00AE52A4">
        <w:rPr>
          <w:rFonts w:ascii="Arial" w:eastAsia="Arial" w:hAnsi="Arial" w:cs="Arial"/>
          <w:sz w:val="24"/>
          <w:szCs w:val="24"/>
          <w:highlight w:val="white"/>
          <w:lang w:val="es-UY"/>
        </w:rPr>
        <w:t>Por último, nuestro cuarto objetivo</w:t>
      </w:r>
      <w:r w:rsidRPr="00AE52A4">
        <w:rPr>
          <w:rFonts w:ascii="Arial" w:eastAsia="Arial" w:hAnsi="Arial" w:cs="Arial"/>
          <w:sz w:val="24"/>
          <w:szCs w:val="24"/>
          <w:lang w:val="es-UY"/>
        </w:rPr>
        <w:t xml:space="preserve"> fue explorar la asociación de las puntuaciones de la ECCF en relación a la frecuencia de consumo de sustancias psicoactivas. Si bien son efectos pequeños, encontramos evidencia que ambas subescalas explican el consumo de ciertas sustancias, controlando por variables sociodemográficas. Por un lado, las personas que se orientan a las consecuencias inmediatas tienden a consumir más marihuana. La marihuana es una sustancia que provoca placer hedónico inmediato y reduce la posibilidad de realizar otras actividades mientras se consume, por lo que una mayor orientación hacia la búsqueda de efectos inmediatos (mayor CCF-I) puede favorecer su consumo. En cambio, el tabaco produce efectos perjudiciales a largo plazo y tiene beneficios hedónicos más reducidos. Por lo que una mayor CCF-F, puede hacer que las personas consideren las ventajas a largo plazo de la reducción del consumo (e.g.: reducir las probabilidades de desarrollar un cáncer de pulmón en 20 años).</w:t>
      </w:r>
    </w:p>
    <w:p w14:paraId="165C94A9" w14:textId="10344F35" w:rsidR="00320040" w:rsidRDefault="00BD409A" w:rsidP="00AE52A4">
      <w:pPr>
        <w:spacing w:line="240" w:lineRule="auto"/>
        <w:ind w:firstLine="709"/>
        <w:jc w:val="both"/>
        <w:rPr>
          <w:rFonts w:ascii="Arial" w:eastAsia="Arial" w:hAnsi="Arial" w:cs="Arial"/>
          <w:sz w:val="24"/>
          <w:szCs w:val="24"/>
          <w:lang w:val="es-UY"/>
        </w:rPr>
      </w:pPr>
      <w:r w:rsidRPr="00AE52A4">
        <w:rPr>
          <w:rFonts w:ascii="Arial" w:eastAsia="Arial" w:hAnsi="Arial" w:cs="Arial"/>
          <w:sz w:val="24"/>
          <w:szCs w:val="24"/>
          <w:lang w:val="es-UY"/>
        </w:rPr>
        <w:t xml:space="preserve">Si bien este estudio empleó una muestra representativa, no está exento de limitaciones. En primer lugar, la muestra es representativa a nivel departamental (regional) y no nacional, por lo que los resultados deben ser usados con cautela si se quieren extrapolar a todo el Uruguay u otros países hispanohablantes, en especial las puntuaciones de la referencia a la norma. Segundo, en lo que hace a los resultados territoriales, futuros estudios, tomando los indicios que aquí se aportan, podrían elaborar diseños multinivel, que serían más apropiados para indagar a fondo el impacto de los agrupamientos de segundo orden en el comportamiento individual. Para esto, algunos de nuestros análisis se podrían complementar con datos criminalidad, desempleo, disponibilidad de centros de salud de cada barrio o </w:t>
      </w:r>
      <w:r w:rsidR="009D0DD3">
        <w:rPr>
          <w:rFonts w:ascii="Arial" w:eastAsia="Arial" w:hAnsi="Arial" w:cs="Arial"/>
          <w:sz w:val="24"/>
          <w:szCs w:val="24"/>
          <w:lang w:val="es-UY"/>
        </w:rPr>
        <w:t>grupo zonal</w:t>
      </w:r>
      <w:r w:rsidR="009D0DD3" w:rsidRPr="00AE52A4">
        <w:rPr>
          <w:rFonts w:ascii="Arial" w:eastAsia="Arial" w:hAnsi="Arial" w:cs="Arial"/>
          <w:sz w:val="24"/>
          <w:szCs w:val="24"/>
          <w:lang w:val="es-UY"/>
        </w:rPr>
        <w:t xml:space="preserve"> </w:t>
      </w:r>
      <w:r w:rsidRPr="00AE52A4">
        <w:rPr>
          <w:rFonts w:ascii="Arial" w:eastAsia="Arial" w:hAnsi="Arial" w:cs="Arial"/>
          <w:sz w:val="24"/>
          <w:szCs w:val="24"/>
          <w:lang w:val="es-UY"/>
        </w:rPr>
        <w:t xml:space="preserve">para indagar si el menor control ambiental explica la variabilidad en la consideración de las consecuencias futuras a nivel zonal. Por último, el consumo de sustancias fue autoreportado, lo cual puede inducir sesgos en las respuestas por deseabilidad social. Futuros estudios pueden beneficiarse de estos hallazgos a nivel poblacional para ampliar nuestros resultados de investigación y profundizar sobre las </w:t>
      </w:r>
      <w:r w:rsidRPr="00AE52A4">
        <w:rPr>
          <w:rFonts w:ascii="Arial" w:eastAsia="Arial" w:hAnsi="Arial" w:cs="Arial"/>
          <w:sz w:val="24"/>
          <w:szCs w:val="24"/>
          <w:lang w:val="es-UY"/>
        </w:rPr>
        <w:lastRenderedPageBreak/>
        <w:t xml:space="preserve">relación de la CCF con variables sociodemográficas de las comunidades y el consumo de sustancias psicoactivas. </w:t>
      </w:r>
    </w:p>
    <w:p w14:paraId="55A0CBF9" w14:textId="77777777" w:rsidR="00320040" w:rsidRDefault="00320040">
      <w:pPr>
        <w:rPr>
          <w:rFonts w:ascii="Arial" w:eastAsia="Arial" w:hAnsi="Arial" w:cs="Arial"/>
          <w:sz w:val="24"/>
          <w:szCs w:val="24"/>
          <w:lang w:val="es-UY"/>
        </w:rPr>
      </w:pPr>
      <w:r>
        <w:rPr>
          <w:rFonts w:ascii="Arial" w:eastAsia="Arial" w:hAnsi="Arial" w:cs="Arial"/>
          <w:sz w:val="24"/>
          <w:szCs w:val="24"/>
          <w:lang w:val="es-UY"/>
        </w:rPr>
        <w:br w:type="page"/>
      </w:r>
    </w:p>
    <w:p w14:paraId="78BFCB04" w14:textId="77777777" w:rsidR="00BD409A" w:rsidRPr="00AE52A4" w:rsidRDefault="00BD409A" w:rsidP="00731076">
      <w:pPr>
        <w:spacing w:line="240" w:lineRule="auto"/>
        <w:jc w:val="both"/>
        <w:rPr>
          <w:rFonts w:ascii="Arial" w:hAnsi="Arial" w:cs="Arial"/>
          <w:b/>
          <w:bCs/>
          <w:sz w:val="24"/>
          <w:szCs w:val="24"/>
        </w:rPr>
      </w:pPr>
      <w:r w:rsidRPr="00AE52A4">
        <w:rPr>
          <w:rFonts w:ascii="Arial" w:hAnsi="Arial" w:cs="Arial"/>
          <w:b/>
          <w:bCs/>
          <w:sz w:val="24"/>
          <w:szCs w:val="24"/>
        </w:rPr>
        <w:lastRenderedPageBreak/>
        <w:t xml:space="preserve">Referencias </w:t>
      </w:r>
      <w:proofErr w:type="spellStart"/>
      <w:r w:rsidRPr="00AE52A4">
        <w:rPr>
          <w:rFonts w:ascii="Arial" w:hAnsi="Arial" w:cs="Arial"/>
          <w:b/>
          <w:bCs/>
          <w:sz w:val="24"/>
          <w:szCs w:val="24"/>
        </w:rPr>
        <w:t>bibliográficas</w:t>
      </w:r>
      <w:proofErr w:type="spellEnd"/>
    </w:p>
    <w:p w14:paraId="70DC5E6C"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sz w:val="24"/>
          <w:szCs w:val="24"/>
        </w:rPr>
        <w:fldChar w:fldCharType="begin" w:fldLock="1"/>
      </w:r>
      <w:r w:rsidRPr="00AE52A4">
        <w:rPr>
          <w:rFonts w:ascii="Arial" w:hAnsi="Arial" w:cs="Arial"/>
          <w:sz w:val="24"/>
          <w:szCs w:val="24"/>
        </w:rPr>
        <w:instrText xml:space="preserve">ADDIN Mendeley Bibliography CSL_BIBLIOGRAPHY </w:instrText>
      </w:r>
      <w:r w:rsidRPr="00AE52A4">
        <w:rPr>
          <w:rFonts w:ascii="Arial" w:hAnsi="Arial" w:cs="Arial"/>
          <w:sz w:val="24"/>
          <w:szCs w:val="24"/>
        </w:rPr>
        <w:fldChar w:fldCharType="separate"/>
      </w:r>
      <w:r w:rsidRPr="00AE52A4">
        <w:rPr>
          <w:rFonts w:ascii="Arial" w:hAnsi="Arial" w:cs="Arial"/>
          <w:noProof/>
          <w:sz w:val="24"/>
          <w:szCs w:val="24"/>
        </w:rPr>
        <w:t xml:space="preserve">Adams, J. (2012). Consideration of immediate and future consequences, smoking status, and body mass index. </w:t>
      </w:r>
      <w:r w:rsidRPr="00AE52A4">
        <w:rPr>
          <w:rFonts w:ascii="Arial" w:hAnsi="Arial" w:cs="Arial"/>
          <w:i/>
          <w:iCs/>
          <w:noProof/>
          <w:sz w:val="24"/>
          <w:szCs w:val="24"/>
        </w:rPr>
        <w:t>Health Psychology</w:t>
      </w:r>
      <w:r w:rsidRPr="00AE52A4">
        <w:rPr>
          <w:rFonts w:ascii="Arial" w:hAnsi="Arial" w:cs="Arial"/>
          <w:noProof/>
          <w:sz w:val="24"/>
          <w:szCs w:val="24"/>
        </w:rPr>
        <w:t xml:space="preserve">, </w:t>
      </w:r>
      <w:r w:rsidRPr="00AE52A4">
        <w:rPr>
          <w:rFonts w:ascii="Arial" w:hAnsi="Arial" w:cs="Arial"/>
          <w:i/>
          <w:iCs/>
          <w:noProof/>
          <w:sz w:val="24"/>
          <w:szCs w:val="24"/>
        </w:rPr>
        <w:t>31</w:t>
      </w:r>
      <w:r w:rsidRPr="00AE52A4">
        <w:rPr>
          <w:rFonts w:ascii="Arial" w:hAnsi="Arial" w:cs="Arial"/>
          <w:noProof/>
          <w:sz w:val="24"/>
          <w:szCs w:val="24"/>
        </w:rPr>
        <w:t>(2), 260–263. https://doi.org/10.1037/a0025790</w:t>
      </w:r>
    </w:p>
    <w:p w14:paraId="511F4CBF"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lang w:val="es-UY"/>
        </w:rPr>
      </w:pPr>
      <w:r w:rsidRPr="00AE52A4">
        <w:rPr>
          <w:rFonts w:ascii="Arial" w:hAnsi="Arial" w:cs="Arial"/>
          <w:noProof/>
          <w:sz w:val="24"/>
          <w:szCs w:val="24"/>
        </w:rPr>
        <w:t xml:space="preserve">Adams, J., &amp; White, M. (2009). Time perspective in socioeconomic inequalities in smoking and body mass index. </w:t>
      </w:r>
      <w:r w:rsidRPr="00AE52A4">
        <w:rPr>
          <w:rFonts w:ascii="Arial" w:hAnsi="Arial" w:cs="Arial"/>
          <w:i/>
          <w:iCs/>
          <w:noProof/>
          <w:sz w:val="24"/>
          <w:szCs w:val="24"/>
          <w:lang w:val="es-UY"/>
        </w:rPr>
        <w:t>Health Psychology</w:t>
      </w:r>
      <w:r w:rsidRPr="00AE52A4">
        <w:rPr>
          <w:rFonts w:ascii="Arial" w:hAnsi="Arial" w:cs="Arial"/>
          <w:noProof/>
          <w:sz w:val="24"/>
          <w:szCs w:val="24"/>
          <w:lang w:val="es-UY"/>
        </w:rPr>
        <w:t xml:space="preserve">, </w:t>
      </w:r>
      <w:r w:rsidRPr="00AE52A4">
        <w:rPr>
          <w:rFonts w:ascii="Arial" w:hAnsi="Arial" w:cs="Arial"/>
          <w:i/>
          <w:iCs/>
          <w:noProof/>
          <w:sz w:val="24"/>
          <w:szCs w:val="24"/>
          <w:lang w:val="es-UY"/>
        </w:rPr>
        <w:t>28</w:t>
      </w:r>
      <w:r w:rsidRPr="00AE52A4">
        <w:rPr>
          <w:rFonts w:ascii="Arial" w:hAnsi="Arial" w:cs="Arial"/>
          <w:noProof/>
          <w:sz w:val="24"/>
          <w:szCs w:val="24"/>
          <w:lang w:val="es-UY"/>
        </w:rPr>
        <w:t>(1), 83–90. https://doi.org/10.1037/0278-6133.28.1.83</w:t>
      </w:r>
    </w:p>
    <w:p w14:paraId="38D00A70" w14:textId="3A7BBC54"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lang w:val="es-UY"/>
        </w:rPr>
      </w:pPr>
      <w:r w:rsidRPr="00AE52A4">
        <w:rPr>
          <w:rFonts w:ascii="Arial" w:hAnsi="Arial" w:cs="Arial"/>
          <w:noProof/>
          <w:sz w:val="24"/>
          <w:szCs w:val="24"/>
          <w:lang w:val="es-UY"/>
        </w:rPr>
        <w:t xml:space="preserve">Alvarez-Nuñez, L. (2018). </w:t>
      </w:r>
      <w:r w:rsidRPr="00AE52A4">
        <w:rPr>
          <w:rFonts w:ascii="Arial" w:hAnsi="Arial" w:cs="Arial"/>
          <w:i/>
          <w:iCs/>
          <w:noProof/>
          <w:sz w:val="24"/>
          <w:szCs w:val="24"/>
          <w:lang w:val="es-UY"/>
        </w:rPr>
        <w:t>Confiabilidad y validez de la Escala Consideración de las Consecuencias Futuras en español Cómo pensamos en las consecuencias inmediatas (pero no las distantes) de nuestras acciones se asocia a un patrón conductual saludable</w:t>
      </w:r>
      <w:r w:rsidRPr="00AE52A4">
        <w:rPr>
          <w:rFonts w:ascii="Arial" w:hAnsi="Arial" w:cs="Arial"/>
          <w:noProof/>
          <w:sz w:val="24"/>
          <w:szCs w:val="24"/>
          <w:lang w:val="es-UY"/>
        </w:rPr>
        <w:t xml:space="preserve">. </w:t>
      </w:r>
      <w:r w:rsidR="00D177BB">
        <w:rPr>
          <w:rFonts w:ascii="Arial" w:hAnsi="Arial" w:cs="Arial"/>
          <w:noProof/>
          <w:sz w:val="24"/>
          <w:szCs w:val="24"/>
          <w:lang w:val="es-UY"/>
        </w:rPr>
        <w:t xml:space="preserve">Tesis de maestría no publicada. </w:t>
      </w:r>
      <w:r w:rsidRPr="00AE52A4">
        <w:rPr>
          <w:rFonts w:ascii="Arial" w:hAnsi="Arial" w:cs="Arial"/>
          <w:noProof/>
          <w:sz w:val="24"/>
          <w:szCs w:val="24"/>
          <w:lang w:val="es-UY"/>
        </w:rPr>
        <w:t>Universidad de la República</w:t>
      </w:r>
      <w:r w:rsidR="00D177BB">
        <w:rPr>
          <w:rFonts w:ascii="Arial" w:hAnsi="Arial" w:cs="Arial"/>
          <w:noProof/>
          <w:sz w:val="24"/>
          <w:szCs w:val="24"/>
          <w:lang w:val="es-UY"/>
        </w:rPr>
        <w:t xml:space="preserve">, </w:t>
      </w:r>
      <w:r w:rsidRPr="00AE52A4">
        <w:rPr>
          <w:rFonts w:ascii="Arial" w:hAnsi="Arial" w:cs="Arial"/>
          <w:noProof/>
          <w:sz w:val="24"/>
          <w:szCs w:val="24"/>
          <w:lang w:val="es-UY"/>
        </w:rPr>
        <w:t>Uruguay.</w:t>
      </w:r>
    </w:p>
    <w:p w14:paraId="202D365E"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08108E">
        <w:rPr>
          <w:rFonts w:ascii="Arial" w:hAnsi="Arial" w:cs="Arial"/>
          <w:noProof/>
          <w:sz w:val="24"/>
          <w:szCs w:val="24"/>
        </w:rPr>
        <w:t xml:space="preserve">Balliet, D., &amp; Ferris, D. L. (2013). </w:t>
      </w:r>
      <w:r w:rsidRPr="00AE52A4">
        <w:rPr>
          <w:rFonts w:ascii="Arial" w:hAnsi="Arial" w:cs="Arial"/>
          <w:noProof/>
          <w:sz w:val="24"/>
          <w:szCs w:val="24"/>
        </w:rPr>
        <w:t xml:space="preserve">Ostracism and prosocial behavior: A social dilemma perspective. </w:t>
      </w:r>
      <w:r w:rsidRPr="00AE52A4">
        <w:rPr>
          <w:rFonts w:ascii="Arial" w:hAnsi="Arial" w:cs="Arial"/>
          <w:i/>
          <w:iCs/>
          <w:noProof/>
          <w:sz w:val="24"/>
          <w:szCs w:val="24"/>
        </w:rPr>
        <w:t>Organizational Behavior and Human Decision Processes</w:t>
      </w:r>
      <w:r w:rsidRPr="00AE52A4">
        <w:rPr>
          <w:rFonts w:ascii="Arial" w:hAnsi="Arial" w:cs="Arial"/>
          <w:noProof/>
          <w:sz w:val="24"/>
          <w:szCs w:val="24"/>
        </w:rPr>
        <w:t xml:space="preserve">, </w:t>
      </w:r>
      <w:r w:rsidRPr="00AE52A4">
        <w:rPr>
          <w:rFonts w:ascii="Arial" w:hAnsi="Arial" w:cs="Arial"/>
          <w:i/>
          <w:iCs/>
          <w:noProof/>
          <w:sz w:val="24"/>
          <w:szCs w:val="24"/>
        </w:rPr>
        <w:t>120</w:t>
      </w:r>
      <w:r w:rsidRPr="00AE52A4">
        <w:rPr>
          <w:rFonts w:ascii="Arial" w:hAnsi="Arial" w:cs="Arial"/>
          <w:noProof/>
          <w:sz w:val="24"/>
          <w:szCs w:val="24"/>
        </w:rPr>
        <w:t>(2), 298–308. https://doi.org/10.1016/j.obhdp.2012.04.004</w:t>
      </w:r>
    </w:p>
    <w:p w14:paraId="018B7929"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Beenstock, J., Adams, J., &amp; White, M. (2011). The association between time perspective and alcohol consumption in university students: cross-sectional study. </w:t>
      </w:r>
      <w:r w:rsidRPr="00AE52A4">
        <w:rPr>
          <w:rFonts w:ascii="Arial" w:hAnsi="Arial" w:cs="Arial"/>
          <w:i/>
          <w:iCs/>
          <w:noProof/>
          <w:sz w:val="24"/>
          <w:szCs w:val="24"/>
        </w:rPr>
        <w:t>The European Journal of Public Health</w:t>
      </w:r>
      <w:r w:rsidRPr="00AE52A4">
        <w:rPr>
          <w:rFonts w:ascii="Arial" w:hAnsi="Arial" w:cs="Arial"/>
          <w:noProof/>
          <w:sz w:val="24"/>
          <w:szCs w:val="24"/>
        </w:rPr>
        <w:t xml:space="preserve">, </w:t>
      </w:r>
      <w:r w:rsidRPr="00AE52A4">
        <w:rPr>
          <w:rFonts w:ascii="Arial" w:hAnsi="Arial" w:cs="Arial"/>
          <w:i/>
          <w:iCs/>
          <w:noProof/>
          <w:sz w:val="24"/>
          <w:szCs w:val="24"/>
        </w:rPr>
        <w:t>21</w:t>
      </w:r>
      <w:r w:rsidRPr="00AE52A4">
        <w:rPr>
          <w:rFonts w:ascii="Arial" w:hAnsi="Arial" w:cs="Arial"/>
          <w:noProof/>
          <w:sz w:val="24"/>
          <w:szCs w:val="24"/>
        </w:rPr>
        <w:t>(4), 438–443. https://doi.org/10.1093/eurpub/ckp225</w:t>
      </w:r>
    </w:p>
    <w:p w14:paraId="5EB3D888"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Byrne, B. (2013). Testing Change Over Time The Latent Growth Curve Model. In </w:t>
      </w:r>
      <w:r w:rsidRPr="00AE52A4">
        <w:rPr>
          <w:rFonts w:ascii="Arial" w:hAnsi="Arial" w:cs="Arial"/>
          <w:i/>
          <w:iCs/>
          <w:noProof/>
          <w:sz w:val="24"/>
          <w:szCs w:val="24"/>
        </w:rPr>
        <w:t>Structural equation modeling with Mplus: Basic concepts, applications, and programming</w:t>
      </w:r>
      <w:r w:rsidRPr="00AE52A4">
        <w:rPr>
          <w:rFonts w:ascii="Arial" w:hAnsi="Arial" w:cs="Arial"/>
          <w:noProof/>
          <w:sz w:val="24"/>
          <w:szCs w:val="24"/>
        </w:rPr>
        <w:t xml:space="preserve"> (pp. 313–344). New York: Routledge.</w:t>
      </w:r>
    </w:p>
    <w:p w14:paraId="3486D3EB"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Camus, G., Berjot, S., &amp; Ernst-Vintila, A. (2014). </w:t>
      </w:r>
      <w:r w:rsidRPr="00AE52A4">
        <w:rPr>
          <w:rFonts w:ascii="Arial" w:hAnsi="Arial" w:cs="Arial"/>
          <w:noProof/>
          <w:sz w:val="24"/>
          <w:szCs w:val="24"/>
          <w:lang w:val="es-UY"/>
        </w:rPr>
        <w:t xml:space="preserve">Validation française de l’échelle de prise en considération des conséquences futures de nos actes (CFC-14). </w:t>
      </w:r>
      <w:r w:rsidRPr="00AE52A4">
        <w:rPr>
          <w:rFonts w:ascii="Arial" w:hAnsi="Arial" w:cs="Arial"/>
          <w:i/>
          <w:iCs/>
          <w:noProof/>
          <w:sz w:val="24"/>
          <w:szCs w:val="24"/>
        </w:rPr>
        <w:t>Revue Internationale de Psychologie Sociale</w:t>
      </w:r>
      <w:r w:rsidRPr="00AE52A4">
        <w:rPr>
          <w:rFonts w:ascii="Arial" w:hAnsi="Arial" w:cs="Arial"/>
          <w:noProof/>
          <w:sz w:val="24"/>
          <w:szCs w:val="24"/>
        </w:rPr>
        <w:t xml:space="preserve">, </w:t>
      </w:r>
      <w:r w:rsidRPr="00AE52A4">
        <w:rPr>
          <w:rFonts w:ascii="Arial" w:hAnsi="Arial" w:cs="Arial"/>
          <w:i/>
          <w:iCs/>
          <w:noProof/>
          <w:sz w:val="24"/>
          <w:szCs w:val="24"/>
        </w:rPr>
        <w:t>27</w:t>
      </w:r>
      <w:r w:rsidRPr="00AE52A4">
        <w:rPr>
          <w:rFonts w:ascii="Arial" w:hAnsi="Arial" w:cs="Arial"/>
          <w:noProof/>
          <w:sz w:val="24"/>
          <w:szCs w:val="24"/>
        </w:rPr>
        <w:t>(1), 35–63.</w:t>
      </w:r>
    </w:p>
    <w:p w14:paraId="337C9CA3"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Cicchetti, D. V. (1994). Guidelines, criteria, and rules of thumb for evaluating normed and standardized assessment instruments in psychology. </w:t>
      </w:r>
      <w:r w:rsidRPr="00AE52A4">
        <w:rPr>
          <w:rFonts w:ascii="Arial" w:hAnsi="Arial" w:cs="Arial"/>
          <w:i/>
          <w:iCs/>
          <w:noProof/>
          <w:sz w:val="24"/>
          <w:szCs w:val="24"/>
        </w:rPr>
        <w:t>Psychological Assessment</w:t>
      </w:r>
      <w:r w:rsidRPr="00AE52A4">
        <w:rPr>
          <w:rFonts w:ascii="Arial" w:hAnsi="Arial" w:cs="Arial"/>
          <w:noProof/>
          <w:sz w:val="24"/>
          <w:szCs w:val="24"/>
        </w:rPr>
        <w:t xml:space="preserve">, </w:t>
      </w:r>
      <w:r w:rsidRPr="00AE52A4">
        <w:rPr>
          <w:rFonts w:ascii="Arial" w:hAnsi="Arial" w:cs="Arial"/>
          <w:i/>
          <w:iCs/>
          <w:noProof/>
          <w:sz w:val="24"/>
          <w:szCs w:val="24"/>
        </w:rPr>
        <w:t>6</w:t>
      </w:r>
      <w:r w:rsidRPr="00AE52A4">
        <w:rPr>
          <w:rFonts w:ascii="Arial" w:hAnsi="Arial" w:cs="Arial"/>
          <w:noProof/>
          <w:sz w:val="24"/>
          <w:szCs w:val="24"/>
        </w:rPr>
        <w:t>(4), 284–290. https://doi.org/10.1037/1040-3590.6.4.284</w:t>
      </w:r>
    </w:p>
    <w:p w14:paraId="4E91F0E1"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Daugherty, J. R., &amp; Brase, G. L. (2010</w:t>
      </w:r>
      <w:r w:rsidR="00690AD4">
        <w:rPr>
          <w:rFonts w:ascii="Arial" w:hAnsi="Arial" w:cs="Arial"/>
          <w:noProof/>
          <w:sz w:val="24"/>
          <w:szCs w:val="24"/>
        </w:rPr>
        <w:t>)</w:t>
      </w:r>
      <w:r w:rsidRPr="00AE52A4">
        <w:rPr>
          <w:rFonts w:ascii="Arial" w:hAnsi="Arial" w:cs="Arial"/>
          <w:noProof/>
          <w:sz w:val="24"/>
          <w:szCs w:val="24"/>
        </w:rPr>
        <w:t xml:space="preserve">. Taking time to be healthy: Predicting health behaviors with delay discounting and time perspective. </w:t>
      </w:r>
      <w:r w:rsidRPr="00AE52A4">
        <w:rPr>
          <w:rFonts w:ascii="Arial" w:hAnsi="Arial" w:cs="Arial"/>
          <w:i/>
          <w:iCs/>
          <w:noProof/>
          <w:sz w:val="24"/>
          <w:szCs w:val="24"/>
        </w:rPr>
        <w:t>Personality and Individual Differences</w:t>
      </w:r>
      <w:r w:rsidRPr="00AE52A4">
        <w:rPr>
          <w:rFonts w:ascii="Arial" w:hAnsi="Arial" w:cs="Arial"/>
          <w:noProof/>
          <w:sz w:val="24"/>
          <w:szCs w:val="24"/>
        </w:rPr>
        <w:t>, pp. 202–207. https://doi.org/10.1016/j.paid.2009.10.007</w:t>
      </w:r>
    </w:p>
    <w:p w14:paraId="4FD2D582" w14:textId="2525B1A0" w:rsidR="00BD409A"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Haushofer, J., &amp; Fehr, E. (2014). On the psychology of poverty. </w:t>
      </w:r>
      <w:r w:rsidRPr="00AE52A4">
        <w:rPr>
          <w:rFonts w:ascii="Arial" w:hAnsi="Arial" w:cs="Arial"/>
          <w:i/>
          <w:iCs/>
          <w:noProof/>
          <w:sz w:val="24"/>
          <w:szCs w:val="24"/>
        </w:rPr>
        <w:t>Science</w:t>
      </w:r>
      <w:r w:rsidRPr="00AE52A4">
        <w:rPr>
          <w:rFonts w:ascii="Arial" w:hAnsi="Arial" w:cs="Arial"/>
          <w:noProof/>
          <w:sz w:val="24"/>
          <w:szCs w:val="24"/>
        </w:rPr>
        <w:t xml:space="preserve">, </w:t>
      </w:r>
      <w:r w:rsidRPr="00AE52A4">
        <w:rPr>
          <w:rFonts w:ascii="Arial" w:hAnsi="Arial" w:cs="Arial"/>
          <w:i/>
          <w:iCs/>
          <w:noProof/>
          <w:sz w:val="24"/>
          <w:szCs w:val="24"/>
        </w:rPr>
        <w:t>344</w:t>
      </w:r>
      <w:r w:rsidRPr="00AE52A4">
        <w:rPr>
          <w:rFonts w:ascii="Arial" w:hAnsi="Arial" w:cs="Arial"/>
          <w:noProof/>
          <w:sz w:val="24"/>
          <w:szCs w:val="24"/>
        </w:rPr>
        <w:t>(6186), 862–867. https://doi.org/10.1126/science.1232491</w:t>
      </w:r>
    </w:p>
    <w:p w14:paraId="321C1C3F" w14:textId="15DB6368" w:rsidR="00A33A95" w:rsidRPr="0008108E" w:rsidRDefault="00A33A95" w:rsidP="00731076">
      <w:pPr>
        <w:widowControl w:val="0"/>
        <w:autoSpaceDE w:val="0"/>
        <w:autoSpaceDN w:val="0"/>
        <w:adjustRightInd w:val="0"/>
        <w:spacing w:line="240" w:lineRule="auto"/>
        <w:ind w:left="480" w:hanging="480"/>
        <w:jc w:val="both"/>
        <w:rPr>
          <w:rFonts w:ascii="Arial" w:hAnsi="Arial" w:cs="Arial"/>
          <w:noProof/>
          <w:sz w:val="24"/>
          <w:szCs w:val="24"/>
          <w:lang w:val="es-UY"/>
        </w:rPr>
      </w:pPr>
      <w:r w:rsidRPr="0008108E">
        <w:rPr>
          <w:rFonts w:ascii="Arial" w:hAnsi="Arial" w:cs="Arial"/>
          <w:noProof/>
          <w:sz w:val="24"/>
          <w:szCs w:val="24"/>
          <w:lang w:val="es-UY"/>
        </w:rPr>
        <w:t>Instituto Nacional de Estadística. (2011). Resultados del Censo de Población 2011: población, crecimiento y estructura por sexo y edad.</w:t>
      </w:r>
    </w:p>
    <w:p w14:paraId="01CED4FF"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Joireman, J., Balliet, D., Sprott, D., Spangenberg, E., &amp; Schultz, J. (2008). Consideration of future consequences, ego-depletion, and self-control: Support for distinguishing between CFC-Immediate and CFC-Future sub-scales. </w:t>
      </w:r>
      <w:r w:rsidRPr="00AE52A4">
        <w:rPr>
          <w:rFonts w:ascii="Arial" w:hAnsi="Arial" w:cs="Arial"/>
          <w:i/>
          <w:iCs/>
          <w:noProof/>
          <w:sz w:val="24"/>
          <w:szCs w:val="24"/>
        </w:rPr>
        <w:t>Personality and Individual Differences</w:t>
      </w:r>
      <w:r w:rsidRPr="00AE52A4">
        <w:rPr>
          <w:rFonts w:ascii="Arial" w:hAnsi="Arial" w:cs="Arial"/>
          <w:noProof/>
          <w:sz w:val="24"/>
          <w:szCs w:val="24"/>
        </w:rPr>
        <w:t xml:space="preserve">, </w:t>
      </w:r>
      <w:r w:rsidRPr="00AE52A4">
        <w:rPr>
          <w:rFonts w:ascii="Arial" w:hAnsi="Arial" w:cs="Arial"/>
          <w:i/>
          <w:iCs/>
          <w:noProof/>
          <w:sz w:val="24"/>
          <w:szCs w:val="24"/>
        </w:rPr>
        <w:t>45</w:t>
      </w:r>
      <w:r w:rsidRPr="00AE52A4">
        <w:rPr>
          <w:rFonts w:ascii="Arial" w:hAnsi="Arial" w:cs="Arial"/>
          <w:noProof/>
          <w:sz w:val="24"/>
          <w:szCs w:val="24"/>
        </w:rPr>
        <w:t>(1), 15–21. https://doi.org/10.1016/j.paid.2008.02.011</w:t>
      </w:r>
    </w:p>
    <w:p w14:paraId="76CDF96C"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eastAsia="Arial" w:hAnsi="Arial" w:cs="Arial"/>
          <w:sz w:val="24"/>
          <w:szCs w:val="24"/>
        </w:rPr>
        <w:t xml:space="preserve">Joireman, J., Becker, C., Barbosa-Leiker, C., &amp; Duell, B. (2005). Aggression as a function of concern with future consequences and anticipated interaction with an aggressive peer. </w:t>
      </w:r>
      <w:r w:rsidRPr="00AE52A4">
        <w:rPr>
          <w:rFonts w:ascii="Arial" w:eastAsia="Arial" w:hAnsi="Arial" w:cs="Arial"/>
          <w:i/>
          <w:sz w:val="24"/>
          <w:szCs w:val="24"/>
        </w:rPr>
        <w:t>Poster presented at the 6</w:t>
      </w:r>
      <w:r w:rsidRPr="00AE52A4">
        <w:rPr>
          <w:rFonts w:ascii="Arial" w:eastAsia="Arial" w:hAnsi="Arial" w:cs="Arial"/>
          <w:i/>
          <w:sz w:val="24"/>
          <w:szCs w:val="24"/>
          <w:vertAlign w:val="superscript"/>
        </w:rPr>
        <w:t>th</w:t>
      </w:r>
      <w:r w:rsidRPr="00AE52A4">
        <w:rPr>
          <w:rFonts w:ascii="Arial" w:eastAsia="Arial" w:hAnsi="Arial" w:cs="Arial"/>
          <w:i/>
          <w:sz w:val="24"/>
          <w:szCs w:val="24"/>
        </w:rPr>
        <w:t xml:space="preserve"> Annual Convention of the Society of </w:t>
      </w:r>
      <w:r w:rsidRPr="00AE52A4">
        <w:rPr>
          <w:rFonts w:ascii="Arial" w:eastAsia="Arial" w:hAnsi="Arial" w:cs="Arial"/>
          <w:i/>
          <w:sz w:val="24"/>
          <w:szCs w:val="24"/>
        </w:rPr>
        <w:lastRenderedPageBreak/>
        <w:t>Personality and Social Psychology Conference</w:t>
      </w:r>
      <w:r w:rsidRPr="00AE52A4">
        <w:rPr>
          <w:rFonts w:ascii="Arial" w:eastAsia="Arial" w:hAnsi="Arial" w:cs="Arial"/>
          <w:sz w:val="24"/>
          <w:szCs w:val="24"/>
        </w:rPr>
        <w:t>, New Orleans, LA. January 2005.</w:t>
      </w:r>
    </w:p>
    <w:p w14:paraId="56E6ACAE"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Joireman, J., &amp; King, S. (2016). Individual Differences in the Consideration of Future and (More) Immediate Consequences: A Review and Directions for Future Research. </w:t>
      </w:r>
      <w:r w:rsidRPr="00AE52A4">
        <w:rPr>
          <w:rFonts w:ascii="Arial" w:hAnsi="Arial" w:cs="Arial"/>
          <w:i/>
          <w:iCs/>
          <w:noProof/>
          <w:sz w:val="24"/>
          <w:szCs w:val="24"/>
        </w:rPr>
        <w:t>Social and Personality Psychology Compass</w:t>
      </w:r>
      <w:r w:rsidRPr="00AE52A4">
        <w:rPr>
          <w:rFonts w:ascii="Arial" w:hAnsi="Arial" w:cs="Arial"/>
          <w:noProof/>
          <w:sz w:val="24"/>
          <w:szCs w:val="24"/>
        </w:rPr>
        <w:t xml:space="preserve">, </w:t>
      </w:r>
      <w:r w:rsidRPr="00AE52A4">
        <w:rPr>
          <w:rFonts w:ascii="Arial" w:hAnsi="Arial" w:cs="Arial"/>
          <w:i/>
          <w:iCs/>
          <w:noProof/>
          <w:sz w:val="24"/>
          <w:szCs w:val="24"/>
        </w:rPr>
        <w:t>10</w:t>
      </w:r>
      <w:r w:rsidRPr="00AE52A4">
        <w:rPr>
          <w:rFonts w:ascii="Arial" w:hAnsi="Arial" w:cs="Arial"/>
          <w:noProof/>
          <w:sz w:val="24"/>
          <w:szCs w:val="24"/>
        </w:rPr>
        <w:t>(5), 313–326. https://doi.org/10.1111/spc3.12252</w:t>
      </w:r>
    </w:p>
    <w:p w14:paraId="6A7B7722"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Joireman, J., Shaffer, M. J., Balliet, D., &amp; Strathman, A. (2012). Promotion Orientation Explains Why Future-Oriented People Exercise and Eat Healthy: Evidence From the Two-Factor Consideration of Future Consequences-14 Scale. </w:t>
      </w:r>
      <w:r w:rsidRPr="00AE52A4">
        <w:rPr>
          <w:rFonts w:ascii="Arial" w:hAnsi="Arial" w:cs="Arial"/>
          <w:i/>
          <w:iCs/>
          <w:noProof/>
          <w:sz w:val="24"/>
          <w:szCs w:val="24"/>
        </w:rPr>
        <w:t>Personality and Social Psychology Bulletin</w:t>
      </w:r>
      <w:r w:rsidRPr="00AE52A4">
        <w:rPr>
          <w:rFonts w:ascii="Arial" w:hAnsi="Arial" w:cs="Arial"/>
          <w:noProof/>
          <w:sz w:val="24"/>
          <w:szCs w:val="24"/>
        </w:rPr>
        <w:t xml:space="preserve">, </w:t>
      </w:r>
      <w:r w:rsidRPr="00AE52A4">
        <w:rPr>
          <w:rFonts w:ascii="Arial" w:hAnsi="Arial" w:cs="Arial"/>
          <w:i/>
          <w:iCs/>
          <w:noProof/>
          <w:sz w:val="24"/>
          <w:szCs w:val="24"/>
        </w:rPr>
        <w:t>38</w:t>
      </w:r>
      <w:r w:rsidRPr="00AE52A4">
        <w:rPr>
          <w:rFonts w:ascii="Arial" w:hAnsi="Arial" w:cs="Arial"/>
          <w:noProof/>
          <w:sz w:val="24"/>
          <w:szCs w:val="24"/>
        </w:rPr>
        <w:t>(10), 1272–1287. https://doi.org/10.1177/0146167212449362</w:t>
      </w:r>
    </w:p>
    <w:p w14:paraId="1D965115"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Joireman, J., Strathman, A., &amp; Balliet, D. (2006). Considering Future Consequences An Integrative Model. In E. Sanna, J. Lawrence, &amp; E. Chang (Eds.), </w:t>
      </w:r>
      <w:r w:rsidRPr="00AE52A4">
        <w:rPr>
          <w:rFonts w:ascii="Arial" w:hAnsi="Arial" w:cs="Arial"/>
          <w:i/>
          <w:iCs/>
          <w:noProof/>
          <w:sz w:val="24"/>
          <w:szCs w:val="24"/>
        </w:rPr>
        <w:t>Judgments Over Time The Interplay of Thoughts, Feelings, and Behaviors</w:t>
      </w:r>
      <w:r w:rsidRPr="00AE52A4">
        <w:rPr>
          <w:rFonts w:ascii="Arial" w:hAnsi="Arial" w:cs="Arial"/>
          <w:noProof/>
          <w:sz w:val="24"/>
          <w:szCs w:val="24"/>
        </w:rPr>
        <w:t xml:space="preserve"> (pp. 82–99). https://doi.org/10.1093/acprof:oso/9780195177664.003.0006</w:t>
      </w:r>
    </w:p>
    <w:p w14:paraId="2AB16487"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Lindsay, J. J., &amp; Strathman, A. (1997). Predictors of Recycling Behavior: An Application of a Modified Health Belief Model. </w:t>
      </w:r>
      <w:r w:rsidRPr="00AE52A4">
        <w:rPr>
          <w:rFonts w:ascii="Arial" w:hAnsi="Arial" w:cs="Arial"/>
          <w:i/>
          <w:iCs/>
          <w:noProof/>
          <w:sz w:val="24"/>
          <w:szCs w:val="24"/>
        </w:rPr>
        <w:t>Journal of Applied Social Psychology</w:t>
      </w:r>
      <w:r w:rsidRPr="00AE52A4">
        <w:rPr>
          <w:rFonts w:ascii="Arial" w:hAnsi="Arial" w:cs="Arial"/>
          <w:noProof/>
          <w:sz w:val="24"/>
          <w:szCs w:val="24"/>
        </w:rPr>
        <w:t xml:space="preserve">, </w:t>
      </w:r>
      <w:r w:rsidRPr="00AE52A4">
        <w:rPr>
          <w:rFonts w:ascii="Arial" w:hAnsi="Arial" w:cs="Arial"/>
          <w:i/>
          <w:iCs/>
          <w:noProof/>
          <w:sz w:val="24"/>
          <w:szCs w:val="24"/>
        </w:rPr>
        <w:t>27</w:t>
      </w:r>
      <w:r w:rsidRPr="00AE52A4">
        <w:rPr>
          <w:rFonts w:ascii="Arial" w:hAnsi="Arial" w:cs="Arial"/>
          <w:noProof/>
          <w:sz w:val="24"/>
          <w:szCs w:val="24"/>
        </w:rPr>
        <w:t>(20), 1799–1823. https://doi.org/10.1111/j.1559-1816.1997.tb01626.x</w:t>
      </w:r>
    </w:p>
    <w:p w14:paraId="726A56F9"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McKay, M. T., Cole, J. C., &amp; Percy, A. (2015). Further evidence for a bifactor solution for the Consideration of Future Consequences Scale: Measurement and conceptual implications. </w:t>
      </w:r>
      <w:r w:rsidRPr="00AE52A4">
        <w:rPr>
          <w:rFonts w:ascii="Arial" w:hAnsi="Arial" w:cs="Arial"/>
          <w:i/>
          <w:iCs/>
          <w:noProof/>
          <w:sz w:val="24"/>
          <w:szCs w:val="24"/>
        </w:rPr>
        <w:t>Personality and Individual Differences</w:t>
      </w:r>
      <w:r w:rsidRPr="00AE52A4">
        <w:rPr>
          <w:rFonts w:ascii="Arial" w:hAnsi="Arial" w:cs="Arial"/>
          <w:noProof/>
          <w:sz w:val="24"/>
          <w:szCs w:val="24"/>
        </w:rPr>
        <w:t xml:space="preserve">, </w:t>
      </w:r>
      <w:r w:rsidRPr="00AE52A4">
        <w:rPr>
          <w:rFonts w:ascii="Arial" w:hAnsi="Arial" w:cs="Arial"/>
          <w:i/>
          <w:iCs/>
          <w:noProof/>
          <w:sz w:val="24"/>
          <w:szCs w:val="24"/>
        </w:rPr>
        <w:t>83</w:t>
      </w:r>
      <w:r w:rsidRPr="00AE52A4">
        <w:rPr>
          <w:rFonts w:ascii="Arial" w:hAnsi="Arial" w:cs="Arial"/>
          <w:noProof/>
          <w:sz w:val="24"/>
          <w:szCs w:val="24"/>
        </w:rPr>
        <w:t>, 219–222. https://doi.org/10.1016/j.paid.2015.04.022</w:t>
      </w:r>
    </w:p>
    <w:p w14:paraId="749776AE"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McKay, M. T., Morgan, G. B., van Exel, N. J., &amp; Worrell, F. C. (2015). Back to “the Future”: Evidence of a Bifactor Solution for Scores on the Consideration of Future Consequences Scale. </w:t>
      </w:r>
      <w:r w:rsidRPr="00AE52A4">
        <w:rPr>
          <w:rFonts w:ascii="Arial" w:hAnsi="Arial" w:cs="Arial"/>
          <w:i/>
          <w:iCs/>
          <w:noProof/>
          <w:sz w:val="24"/>
          <w:szCs w:val="24"/>
        </w:rPr>
        <w:t>Journal of Personality Assessment</w:t>
      </w:r>
      <w:r w:rsidRPr="00AE52A4">
        <w:rPr>
          <w:rFonts w:ascii="Arial" w:hAnsi="Arial" w:cs="Arial"/>
          <w:noProof/>
          <w:sz w:val="24"/>
          <w:szCs w:val="24"/>
        </w:rPr>
        <w:t xml:space="preserve">, </w:t>
      </w:r>
      <w:r w:rsidRPr="00AE52A4">
        <w:rPr>
          <w:rFonts w:ascii="Arial" w:hAnsi="Arial" w:cs="Arial"/>
          <w:i/>
          <w:iCs/>
          <w:noProof/>
          <w:sz w:val="24"/>
          <w:szCs w:val="24"/>
        </w:rPr>
        <w:t>97</w:t>
      </w:r>
      <w:r w:rsidRPr="00AE52A4">
        <w:rPr>
          <w:rFonts w:ascii="Arial" w:hAnsi="Arial" w:cs="Arial"/>
          <w:noProof/>
          <w:sz w:val="24"/>
          <w:szCs w:val="24"/>
        </w:rPr>
        <w:t>(4), 395–402. https://doi.org/10.1080/00223891.2014.999338</w:t>
      </w:r>
    </w:p>
    <w:p w14:paraId="71B0E486"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McKay, M. T., Perry, J. L., Percy, A., &amp; Cole, J. C. (2016). Evidence for the reliability and validity, but not the practical utility of the two-factor Consideration of Future Consequences Scale-14. </w:t>
      </w:r>
      <w:r w:rsidRPr="00AE52A4">
        <w:rPr>
          <w:rFonts w:ascii="Arial" w:hAnsi="Arial" w:cs="Arial"/>
          <w:i/>
          <w:iCs/>
          <w:noProof/>
          <w:sz w:val="24"/>
          <w:szCs w:val="24"/>
        </w:rPr>
        <w:t>Personality and Individual Differences</w:t>
      </w:r>
      <w:r w:rsidRPr="00AE52A4">
        <w:rPr>
          <w:rFonts w:ascii="Arial" w:hAnsi="Arial" w:cs="Arial"/>
          <w:noProof/>
          <w:sz w:val="24"/>
          <w:szCs w:val="24"/>
        </w:rPr>
        <w:t xml:space="preserve">, </w:t>
      </w:r>
      <w:r w:rsidRPr="00AE52A4">
        <w:rPr>
          <w:rFonts w:ascii="Arial" w:hAnsi="Arial" w:cs="Arial"/>
          <w:i/>
          <w:iCs/>
          <w:noProof/>
          <w:sz w:val="24"/>
          <w:szCs w:val="24"/>
        </w:rPr>
        <w:t>98</w:t>
      </w:r>
      <w:r w:rsidRPr="00AE52A4">
        <w:rPr>
          <w:rFonts w:ascii="Arial" w:hAnsi="Arial" w:cs="Arial"/>
          <w:noProof/>
          <w:sz w:val="24"/>
          <w:szCs w:val="24"/>
        </w:rPr>
        <w:t>, 133–136. https://doi.org/10.1016/j.paid.2016.03.097</w:t>
      </w:r>
    </w:p>
    <w:p w14:paraId="2A3BD780"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Murphy, L., Cadogan, E., &amp; Dockray, S. (2019). The Consideration of Future Consequences: Evidence for Domain Specificity Across Five Life Domains. </w:t>
      </w:r>
      <w:r w:rsidRPr="00AE52A4">
        <w:rPr>
          <w:rFonts w:ascii="Arial" w:hAnsi="Arial" w:cs="Arial"/>
          <w:i/>
          <w:iCs/>
          <w:noProof/>
          <w:sz w:val="24"/>
          <w:szCs w:val="24"/>
        </w:rPr>
        <w:t>Personality and Social Psychology Bulletin</w:t>
      </w:r>
      <w:r w:rsidRPr="00AE52A4">
        <w:rPr>
          <w:rFonts w:ascii="Arial" w:hAnsi="Arial" w:cs="Arial"/>
          <w:noProof/>
          <w:sz w:val="24"/>
          <w:szCs w:val="24"/>
        </w:rPr>
        <w:t>, 014616721987347. https://doi.org/10.1177/0146167219873478</w:t>
      </w:r>
    </w:p>
    <w:p w14:paraId="54C715DA"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Nigro, G., Cosenza, M., Ciccarelli, M., &amp; Joireman, J. (2016). An Italian translation and validation of the Consideration of Future Consequences-14 Scale. </w:t>
      </w:r>
      <w:r w:rsidRPr="00AE52A4">
        <w:rPr>
          <w:rFonts w:ascii="Arial" w:hAnsi="Arial" w:cs="Arial"/>
          <w:i/>
          <w:iCs/>
          <w:noProof/>
          <w:sz w:val="24"/>
          <w:szCs w:val="24"/>
        </w:rPr>
        <w:t>Personality and Individual Differences</w:t>
      </w:r>
      <w:r w:rsidRPr="00AE52A4">
        <w:rPr>
          <w:rFonts w:ascii="Arial" w:hAnsi="Arial" w:cs="Arial"/>
          <w:noProof/>
          <w:sz w:val="24"/>
          <w:szCs w:val="24"/>
        </w:rPr>
        <w:t xml:space="preserve">, </w:t>
      </w:r>
      <w:r w:rsidRPr="00AE52A4">
        <w:rPr>
          <w:rFonts w:ascii="Arial" w:hAnsi="Arial" w:cs="Arial"/>
          <w:i/>
          <w:iCs/>
          <w:noProof/>
          <w:sz w:val="24"/>
          <w:szCs w:val="24"/>
        </w:rPr>
        <w:t>101</w:t>
      </w:r>
      <w:r w:rsidRPr="00AE52A4">
        <w:rPr>
          <w:rFonts w:ascii="Arial" w:hAnsi="Arial" w:cs="Arial"/>
          <w:noProof/>
          <w:sz w:val="24"/>
          <w:szCs w:val="24"/>
        </w:rPr>
        <w:t>, 333–340. https://doi.org/10.1016/j.paid.2016.06.014</w:t>
      </w:r>
    </w:p>
    <w:p w14:paraId="749E298E"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Pepper, G. V., &amp; Nettle, D. (2017). The behavioural constellation of deprivation: Causes and consequences. </w:t>
      </w:r>
      <w:r w:rsidRPr="00AE52A4">
        <w:rPr>
          <w:rFonts w:ascii="Arial" w:hAnsi="Arial" w:cs="Arial"/>
          <w:i/>
          <w:iCs/>
          <w:noProof/>
          <w:sz w:val="24"/>
          <w:szCs w:val="24"/>
        </w:rPr>
        <w:t>Behavioral and Brain Sciences</w:t>
      </w:r>
      <w:r w:rsidRPr="00AE52A4">
        <w:rPr>
          <w:rFonts w:ascii="Arial" w:hAnsi="Arial" w:cs="Arial"/>
          <w:noProof/>
          <w:sz w:val="24"/>
          <w:szCs w:val="24"/>
        </w:rPr>
        <w:t xml:space="preserve">, </w:t>
      </w:r>
      <w:r w:rsidRPr="00AE52A4">
        <w:rPr>
          <w:rFonts w:ascii="Arial" w:hAnsi="Arial" w:cs="Arial"/>
          <w:i/>
          <w:iCs/>
          <w:noProof/>
          <w:sz w:val="24"/>
          <w:szCs w:val="24"/>
        </w:rPr>
        <w:t>40</w:t>
      </w:r>
      <w:r w:rsidRPr="00AE52A4">
        <w:rPr>
          <w:rFonts w:ascii="Arial" w:hAnsi="Arial" w:cs="Arial"/>
          <w:noProof/>
          <w:sz w:val="24"/>
          <w:szCs w:val="24"/>
        </w:rPr>
        <w:t>(July), e314. https://doi.org/10.1017/S0140525X1600234X</w:t>
      </w:r>
    </w:p>
    <w:p w14:paraId="208AC59E" w14:textId="77777777" w:rsidR="009D0DD3" w:rsidRDefault="00BD409A" w:rsidP="009D0DD3">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Percy, A., McKay, M. T., Perry, J. L., &amp; Cole, J. C. (2018). Refining the clinical application of the consideration of future consequences scale -14. </w:t>
      </w:r>
      <w:r w:rsidRPr="00AE52A4">
        <w:rPr>
          <w:rFonts w:ascii="Arial" w:hAnsi="Arial" w:cs="Arial"/>
          <w:i/>
          <w:iCs/>
          <w:noProof/>
          <w:sz w:val="24"/>
          <w:szCs w:val="24"/>
        </w:rPr>
        <w:t>Current Psychology</w:t>
      </w:r>
      <w:r w:rsidRPr="00AE52A4">
        <w:rPr>
          <w:rFonts w:ascii="Arial" w:hAnsi="Arial" w:cs="Arial"/>
          <w:noProof/>
          <w:sz w:val="24"/>
          <w:szCs w:val="24"/>
        </w:rPr>
        <w:t>. https://doi.org/10.1007/s12144-018-9819-5</w:t>
      </w:r>
    </w:p>
    <w:p w14:paraId="3351F492" w14:textId="77660996" w:rsidR="009D0DD3" w:rsidRPr="0008108E" w:rsidRDefault="009D0DD3" w:rsidP="0008108E">
      <w:pPr>
        <w:widowControl w:val="0"/>
        <w:autoSpaceDE w:val="0"/>
        <w:autoSpaceDN w:val="0"/>
        <w:adjustRightInd w:val="0"/>
        <w:spacing w:line="240" w:lineRule="auto"/>
        <w:ind w:left="480" w:hanging="480"/>
        <w:jc w:val="both"/>
        <w:rPr>
          <w:rFonts w:ascii="Arial" w:hAnsi="Arial" w:cs="Arial"/>
          <w:i/>
          <w:iCs/>
          <w:noProof/>
          <w:sz w:val="24"/>
          <w:szCs w:val="24"/>
          <w:lang w:val="es-UY"/>
        </w:rPr>
      </w:pPr>
      <w:r w:rsidRPr="00320040">
        <w:rPr>
          <w:rFonts w:ascii="Arial" w:hAnsi="Arial" w:cs="Arial"/>
          <w:noProof/>
          <w:sz w:val="24"/>
          <w:szCs w:val="24"/>
        </w:rPr>
        <w:lastRenderedPageBreak/>
        <w:t xml:space="preserve">Ponce, J., &amp; Tubbio, M. (2013). </w:t>
      </w:r>
      <w:r w:rsidRPr="0008108E">
        <w:rPr>
          <w:rFonts w:ascii="Arial" w:hAnsi="Arial" w:cs="Arial"/>
          <w:noProof/>
          <w:sz w:val="24"/>
          <w:szCs w:val="24"/>
          <w:lang w:val="es-UY"/>
        </w:rPr>
        <w:t xml:space="preserve">Precios de inmuebles: aproximaciones metodológicas y aplicación empírica. </w:t>
      </w:r>
      <w:r w:rsidRPr="0008108E">
        <w:rPr>
          <w:rFonts w:ascii="Arial" w:hAnsi="Arial" w:cs="Arial"/>
          <w:i/>
          <w:iCs/>
          <w:noProof/>
          <w:sz w:val="24"/>
          <w:szCs w:val="24"/>
          <w:lang w:val="es-UY"/>
        </w:rPr>
        <w:t>Documento de Trabajo Del Banco Central Del Uruguay.</w:t>
      </w:r>
    </w:p>
    <w:p w14:paraId="74B97FE0"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08108E">
        <w:rPr>
          <w:rFonts w:ascii="Arial" w:hAnsi="Arial" w:cs="Arial"/>
          <w:noProof/>
          <w:sz w:val="24"/>
          <w:szCs w:val="24"/>
          <w:lang w:val="es-UY"/>
        </w:rPr>
        <w:t xml:space="preserve">Strathman, A., Gleicher, F., Boninger, D. S., &amp; Edwards, C. S. (1994). </w:t>
      </w:r>
      <w:r w:rsidRPr="00AE52A4">
        <w:rPr>
          <w:rFonts w:ascii="Arial" w:hAnsi="Arial" w:cs="Arial"/>
          <w:noProof/>
          <w:sz w:val="24"/>
          <w:szCs w:val="24"/>
        </w:rPr>
        <w:t xml:space="preserve">The consideration of future consequences: Weighing immediate and distant outcomes of behavior. </w:t>
      </w:r>
      <w:r w:rsidRPr="00AE52A4">
        <w:rPr>
          <w:rFonts w:ascii="Arial" w:hAnsi="Arial" w:cs="Arial"/>
          <w:i/>
          <w:iCs/>
          <w:noProof/>
          <w:sz w:val="24"/>
          <w:szCs w:val="24"/>
        </w:rPr>
        <w:t>Journal of Personality and Social Psychology</w:t>
      </w:r>
      <w:r w:rsidRPr="00AE52A4">
        <w:rPr>
          <w:rFonts w:ascii="Arial" w:hAnsi="Arial" w:cs="Arial"/>
          <w:noProof/>
          <w:sz w:val="24"/>
          <w:szCs w:val="24"/>
        </w:rPr>
        <w:t xml:space="preserve">, </w:t>
      </w:r>
      <w:r w:rsidRPr="00AE52A4">
        <w:rPr>
          <w:rFonts w:ascii="Arial" w:hAnsi="Arial" w:cs="Arial"/>
          <w:i/>
          <w:iCs/>
          <w:noProof/>
          <w:sz w:val="24"/>
          <w:szCs w:val="24"/>
        </w:rPr>
        <w:t>66</w:t>
      </w:r>
      <w:r w:rsidRPr="00AE52A4">
        <w:rPr>
          <w:rFonts w:ascii="Arial" w:hAnsi="Arial" w:cs="Arial"/>
          <w:noProof/>
          <w:sz w:val="24"/>
          <w:szCs w:val="24"/>
        </w:rPr>
        <w:t>(4), 742–752. https://doi.org/10.1037/0022-3514.66.4.742</w:t>
      </w:r>
    </w:p>
    <w:p w14:paraId="0B6B9B41"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Toepoel, V. (2010). Is consideration of future consequences a changeable construct? </w:t>
      </w:r>
      <w:r w:rsidRPr="00AE52A4">
        <w:rPr>
          <w:rFonts w:ascii="Arial" w:hAnsi="Arial" w:cs="Arial"/>
          <w:i/>
          <w:iCs/>
          <w:noProof/>
          <w:sz w:val="24"/>
          <w:szCs w:val="24"/>
        </w:rPr>
        <w:t>Personality and Individual Differences</w:t>
      </w:r>
      <w:r w:rsidRPr="00AE52A4">
        <w:rPr>
          <w:rFonts w:ascii="Arial" w:hAnsi="Arial" w:cs="Arial"/>
          <w:noProof/>
          <w:sz w:val="24"/>
          <w:szCs w:val="24"/>
        </w:rPr>
        <w:t xml:space="preserve">, </w:t>
      </w:r>
      <w:r w:rsidRPr="00AE52A4">
        <w:rPr>
          <w:rFonts w:ascii="Arial" w:hAnsi="Arial" w:cs="Arial"/>
          <w:i/>
          <w:iCs/>
          <w:noProof/>
          <w:sz w:val="24"/>
          <w:szCs w:val="24"/>
        </w:rPr>
        <w:t>48</w:t>
      </w:r>
      <w:r w:rsidRPr="00AE52A4">
        <w:rPr>
          <w:rFonts w:ascii="Arial" w:hAnsi="Arial" w:cs="Arial"/>
          <w:noProof/>
          <w:sz w:val="24"/>
          <w:szCs w:val="24"/>
        </w:rPr>
        <w:t>(8), 951–956. https://doi.org/10.1016/j.paid.2010.02.029</w:t>
      </w:r>
    </w:p>
    <w:p w14:paraId="3A2FCF3A"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rPr>
        <w:t xml:space="preserve">Vásquez-Echeverría, A., Antino, M., Alvarez-Nuñez, L., &amp; Rodríguez-Muñoz, A. (2018). Evidence for the reliability and factor solution of the CFCS-14 in Spanish: A multi-method validation in Spain and Uruguay. </w:t>
      </w:r>
      <w:r w:rsidRPr="00AE52A4">
        <w:rPr>
          <w:rFonts w:ascii="Arial" w:hAnsi="Arial" w:cs="Arial"/>
          <w:i/>
          <w:iCs/>
          <w:noProof/>
          <w:sz w:val="24"/>
          <w:szCs w:val="24"/>
        </w:rPr>
        <w:t>Personality and Individual Differences</w:t>
      </w:r>
      <w:r w:rsidRPr="00AE52A4">
        <w:rPr>
          <w:rFonts w:ascii="Arial" w:hAnsi="Arial" w:cs="Arial"/>
          <w:noProof/>
          <w:sz w:val="24"/>
          <w:szCs w:val="24"/>
        </w:rPr>
        <w:t xml:space="preserve">, </w:t>
      </w:r>
      <w:r w:rsidRPr="00AE52A4">
        <w:rPr>
          <w:rFonts w:ascii="Arial" w:hAnsi="Arial" w:cs="Arial"/>
          <w:i/>
          <w:iCs/>
          <w:noProof/>
          <w:sz w:val="24"/>
          <w:szCs w:val="24"/>
        </w:rPr>
        <w:t>123</w:t>
      </w:r>
      <w:r w:rsidRPr="00AE52A4">
        <w:rPr>
          <w:rFonts w:ascii="Arial" w:hAnsi="Arial" w:cs="Arial"/>
          <w:noProof/>
          <w:sz w:val="24"/>
          <w:szCs w:val="24"/>
        </w:rPr>
        <w:t>, 171–175. https://doi.org/10.1016/j.paid.2017.11.021</w:t>
      </w:r>
    </w:p>
    <w:p w14:paraId="572DA9E7"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lang w:val="es-UY"/>
        </w:rPr>
      </w:pPr>
      <w:r w:rsidRPr="00AE52A4">
        <w:rPr>
          <w:rFonts w:ascii="Arial" w:hAnsi="Arial" w:cs="Arial"/>
          <w:noProof/>
          <w:sz w:val="24"/>
          <w:szCs w:val="24"/>
        </w:rPr>
        <w:t xml:space="preserve">Vásquez-Echeverría, A., Tomás, C., &amp; Cruz, O. (2019). The development of episodic foresight in preschoolers: the role of socioeconomic status, parental future orientation, and family context. </w:t>
      </w:r>
      <w:r w:rsidRPr="00AE52A4">
        <w:rPr>
          <w:rFonts w:ascii="Arial" w:hAnsi="Arial" w:cs="Arial"/>
          <w:i/>
          <w:iCs/>
          <w:noProof/>
          <w:sz w:val="24"/>
          <w:szCs w:val="24"/>
          <w:lang w:val="es-UY"/>
        </w:rPr>
        <w:t>Psicologia: Reflexão e Crítica</w:t>
      </w:r>
      <w:r w:rsidRPr="00AE52A4">
        <w:rPr>
          <w:rFonts w:ascii="Arial" w:hAnsi="Arial" w:cs="Arial"/>
          <w:noProof/>
          <w:sz w:val="24"/>
          <w:szCs w:val="24"/>
          <w:lang w:val="es-UY"/>
        </w:rPr>
        <w:t xml:space="preserve">, </w:t>
      </w:r>
      <w:r w:rsidRPr="00AE52A4">
        <w:rPr>
          <w:rFonts w:ascii="Arial" w:hAnsi="Arial" w:cs="Arial"/>
          <w:i/>
          <w:iCs/>
          <w:noProof/>
          <w:sz w:val="24"/>
          <w:szCs w:val="24"/>
          <w:lang w:val="es-UY"/>
        </w:rPr>
        <w:t>32</w:t>
      </w:r>
      <w:r w:rsidRPr="00AE52A4">
        <w:rPr>
          <w:rFonts w:ascii="Arial" w:hAnsi="Arial" w:cs="Arial"/>
          <w:noProof/>
          <w:sz w:val="24"/>
          <w:szCs w:val="24"/>
          <w:lang w:val="es-UY"/>
        </w:rPr>
        <w:t>(1), 12. https://doi.org/10.1186/s41155-019-0125-4</w:t>
      </w:r>
    </w:p>
    <w:p w14:paraId="0DDBE7DA" w14:textId="2D43DAD5"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lang w:val="es-UY"/>
        </w:rPr>
      </w:pPr>
      <w:r w:rsidRPr="00AE52A4">
        <w:rPr>
          <w:rFonts w:ascii="Arial" w:hAnsi="Arial" w:cs="Arial"/>
          <w:noProof/>
          <w:sz w:val="24"/>
          <w:szCs w:val="24"/>
          <w:lang w:val="es-UY"/>
        </w:rPr>
        <w:t>Vásquez Echeverría, A., Martín, A., Ortuño, V., Esteves, C., &amp; Joirema</w:t>
      </w:r>
      <w:r w:rsidR="00062338">
        <w:rPr>
          <w:rFonts w:ascii="Arial" w:hAnsi="Arial" w:cs="Arial"/>
          <w:noProof/>
          <w:sz w:val="24"/>
          <w:szCs w:val="24"/>
          <w:lang w:val="es-UY"/>
        </w:rPr>
        <w:t>n</w:t>
      </w:r>
      <w:r w:rsidRPr="00AE52A4">
        <w:rPr>
          <w:rFonts w:ascii="Arial" w:hAnsi="Arial" w:cs="Arial"/>
          <w:noProof/>
          <w:sz w:val="24"/>
          <w:szCs w:val="24"/>
          <w:lang w:val="es-UY"/>
        </w:rPr>
        <w:t xml:space="preserve">, J. (2017). Adaptación y validación inicial al castellano de la Escala Consideración de las Consecuencias Futuras. </w:t>
      </w:r>
      <w:r w:rsidRPr="00AE52A4">
        <w:rPr>
          <w:rFonts w:ascii="Arial" w:hAnsi="Arial" w:cs="Arial"/>
          <w:i/>
          <w:iCs/>
          <w:noProof/>
          <w:sz w:val="24"/>
          <w:szCs w:val="24"/>
          <w:lang w:val="es-UY"/>
        </w:rPr>
        <w:t>Revista Iberoamericana de Diagnóstico y Evaluación-e Avaliação Psicológica</w:t>
      </w:r>
      <w:r w:rsidRPr="00AE52A4">
        <w:rPr>
          <w:rFonts w:ascii="Arial" w:hAnsi="Arial" w:cs="Arial"/>
          <w:noProof/>
          <w:sz w:val="24"/>
          <w:szCs w:val="24"/>
          <w:lang w:val="es-UY"/>
        </w:rPr>
        <w:t xml:space="preserve">, </w:t>
      </w:r>
      <w:r w:rsidRPr="00AE52A4">
        <w:rPr>
          <w:rFonts w:ascii="Arial" w:hAnsi="Arial" w:cs="Arial"/>
          <w:i/>
          <w:iCs/>
          <w:noProof/>
          <w:sz w:val="24"/>
          <w:szCs w:val="24"/>
          <w:lang w:val="es-UY"/>
        </w:rPr>
        <w:t>44</w:t>
      </w:r>
      <w:r w:rsidRPr="00AE52A4">
        <w:rPr>
          <w:rFonts w:ascii="Arial" w:hAnsi="Arial" w:cs="Arial"/>
          <w:noProof/>
          <w:sz w:val="24"/>
          <w:szCs w:val="24"/>
          <w:lang w:val="es-UY"/>
        </w:rPr>
        <w:t>(2), 5–15.</w:t>
      </w:r>
    </w:p>
    <w:p w14:paraId="485A3D02"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lang w:val="es-UY"/>
        </w:rPr>
      </w:pPr>
      <w:r w:rsidRPr="0008108E">
        <w:rPr>
          <w:rFonts w:ascii="Arial" w:hAnsi="Arial" w:cs="Arial"/>
          <w:noProof/>
          <w:sz w:val="24"/>
          <w:szCs w:val="24"/>
          <w:lang w:val="es-UY"/>
        </w:rPr>
        <w:t xml:space="preserve">Viladrich, C., Angulo-Brunet, A., &amp; Doval, E. (2017). </w:t>
      </w:r>
      <w:r w:rsidRPr="00AE52A4">
        <w:rPr>
          <w:rFonts w:ascii="Arial" w:hAnsi="Arial" w:cs="Arial"/>
          <w:noProof/>
          <w:sz w:val="24"/>
          <w:szCs w:val="24"/>
          <w:lang w:val="es-UY"/>
        </w:rPr>
        <w:t xml:space="preserve">Un viaje alrededor de alfa y omega para estimar la fiabilidad de consistencia interna. </w:t>
      </w:r>
      <w:r w:rsidRPr="00AE52A4">
        <w:rPr>
          <w:rFonts w:ascii="Arial" w:hAnsi="Arial" w:cs="Arial"/>
          <w:i/>
          <w:iCs/>
          <w:noProof/>
          <w:sz w:val="24"/>
          <w:szCs w:val="24"/>
          <w:lang w:val="es-UY"/>
        </w:rPr>
        <w:t>Anales de Psicología</w:t>
      </w:r>
      <w:r w:rsidRPr="00AE52A4">
        <w:rPr>
          <w:rFonts w:ascii="Arial" w:hAnsi="Arial" w:cs="Arial"/>
          <w:noProof/>
          <w:sz w:val="24"/>
          <w:szCs w:val="24"/>
          <w:lang w:val="es-UY"/>
        </w:rPr>
        <w:t xml:space="preserve">, </w:t>
      </w:r>
      <w:r w:rsidRPr="00AE52A4">
        <w:rPr>
          <w:rFonts w:ascii="Arial" w:hAnsi="Arial" w:cs="Arial"/>
          <w:i/>
          <w:iCs/>
          <w:noProof/>
          <w:sz w:val="24"/>
          <w:szCs w:val="24"/>
          <w:lang w:val="es-UY"/>
        </w:rPr>
        <w:t>33</w:t>
      </w:r>
      <w:r w:rsidRPr="00AE52A4">
        <w:rPr>
          <w:rFonts w:ascii="Arial" w:hAnsi="Arial" w:cs="Arial"/>
          <w:noProof/>
          <w:sz w:val="24"/>
          <w:szCs w:val="24"/>
          <w:lang w:val="es-UY"/>
        </w:rPr>
        <w:t>(3), 755. https://doi.org/10.6018/analesps.33.3.268401</w:t>
      </w:r>
    </w:p>
    <w:p w14:paraId="48E35303" w14:textId="77777777" w:rsidR="00BD409A" w:rsidRPr="00AE52A4" w:rsidRDefault="00BD409A" w:rsidP="00731076">
      <w:pPr>
        <w:widowControl w:val="0"/>
        <w:autoSpaceDE w:val="0"/>
        <w:autoSpaceDN w:val="0"/>
        <w:adjustRightInd w:val="0"/>
        <w:spacing w:line="240" w:lineRule="auto"/>
        <w:ind w:left="480" w:hanging="480"/>
        <w:jc w:val="both"/>
        <w:rPr>
          <w:rFonts w:ascii="Arial" w:hAnsi="Arial" w:cs="Arial"/>
          <w:noProof/>
          <w:sz w:val="24"/>
          <w:szCs w:val="24"/>
        </w:rPr>
      </w:pPr>
      <w:r w:rsidRPr="00AE52A4">
        <w:rPr>
          <w:rFonts w:ascii="Arial" w:hAnsi="Arial" w:cs="Arial"/>
          <w:noProof/>
          <w:sz w:val="24"/>
          <w:szCs w:val="24"/>
          <w:lang w:val="es-UY"/>
        </w:rPr>
        <w:t xml:space="preserve">Zhang, Z., Kong, M., Zhang, L., &amp; Li, Z. (2015). </w:t>
      </w:r>
      <w:r w:rsidRPr="00AE52A4">
        <w:rPr>
          <w:rFonts w:ascii="Arial" w:hAnsi="Arial" w:cs="Arial"/>
          <w:noProof/>
          <w:sz w:val="24"/>
          <w:szCs w:val="24"/>
        </w:rPr>
        <w:t xml:space="preserve">Consideration of future consequences: Preliminary evidences for a four-factor distinction. </w:t>
      </w:r>
      <w:r w:rsidRPr="00AE52A4">
        <w:rPr>
          <w:rFonts w:ascii="Arial" w:hAnsi="Arial" w:cs="Arial"/>
          <w:i/>
          <w:iCs/>
          <w:noProof/>
          <w:sz w:val="24"/>
          <w:szCs w:val="24"/>
        </w:rPr>
        <w:t>Personality and Individual Differences</w:t>
      </w:r>
      <w:r w:rsidRPr="00AE52A4">
        <w:rPr>
          <w:rFonts w:ascii="Arial" w:hAnsi="Arial" w:cs="Arial"/>
          <w:noProof/>
          <w:sz w:val="24"/>
          <w:szCs w:val="24"/>
        </w:rPr>
        <w:t xml:space="preserve">, </w:t>
      </w:r>
      <w:r w:rsidRPr="00AE52A4">
        <w:rPr>
          <w:rFonts w:ascii="Arial" w:hAnsi="Arial" w:cs="Arial"/>
          <w:i/>
          <w:iCs/>
          <w:noProof/>
          <w:sz w:val="24"/>
          <w:szCs w:val="24"/>
        </w:rPr>
        <w:t>87</w:t>
      </w:r>
      <w:r w:rsidRPr="00AE52A4">
        <w:rPr>
          <w:rFonts w:ascii="Arial" w:hAnsi="Arial" w:cs="Arial"/>
          <w:noProof/>
          <w:sz w:val="24"/>
          <w:szCs w:val="24"/>
        </w:rPr>
        <w:t>, 99–104. https://doi.org/10.1016/j.paid.2015.07.022</w:t>
      </w:r>
    </w:p>
    <w:p w14:paraId="53F47966" w14:textId="77777777" w:rsidR="00BD409A" w:rsidRPr="00AE52A4" w:rsidRDefault="00BD409A" w:rsidP="00731076">
      <w:pPr>
        <w:spacing w:line="240" w:lineRule="auto"/>
        <w:jc w:val="both"/>
        <w:rPr>
          <w:rFonts w:ascii="Arial" w:eastAsia="Arial" w:hAnsi="Arial" w:cs="Arial"/>
          <w:sz w:val="24"/>
          <w:szCs w:val="24"/>
        </w:rPr>
      </w:pPr>
      <w:r w:rsidRPr="00AE52A4">
        <w:rPr>
          <w:rFonts w:ascii="Arial" w:hAnsi="Arial" w:cs="Arial"/>
          <w:sz w:val="24"/>
          <w:szCs w:val="24"/>
        </w:rPr>
        <w:fldChar w:fldCharType="end"/>
      </w:r>
      <w:r w:rsidRPr="00AE52A4">
        <w:rPr>
          <w:rFonts w:ascii="Arial" w:hAnsi="Arial" w:cs="Arial"/>
          <w:sz w:val="24"/>
          <w:szCs w:val="24"/>
        </w:rPr>
        <w:br w:type="page"/>
      </w:r>
    </w:p>
    <w:p w14:paraId="64E219B1" w14:textId="77777777" w:rsidR="00AE52A4" w:rsidRPr="00AE52A4" w:rsidRDefault="00AE52A4" w:rsidP="00731076">
      <w:pPr>
        <w:spacing w:line="240" w:lineRule="auto"/>
        <w:jc w:val="both"/>
        <w:rPr>
          <w:rFonts w:ascii="Arial" w:eastAsia="Arial" w:hAnsi="Arial" w:cs="Arial"/>
          <w:sz w:val="24"/>
          <w:szCs w:val="24"/>
        </w:rPr>
        <w:sectPr w:rsidR="00AE52A4" w:rsidRPr="00AE52A4">
          <w:pgSz w:w="11906" w:h="16838"/>
          <w:pgMar w:top="1440" w:right="1440" w:bottom="1440" w:left="1440" w:header="708" w:footer="708" w:gutter="0"/>
          <w:cols w:space="708"/>
          <w:docGrid w:linePitch="360"/>
        </w:sectPr>
      </w:pPr>
    </w:p>
    <w:p w14:paraId="51007AC2" w14:textId="77777777" w:rsidR="00BD409A" w:rsidRPr="00455BAF" w:rsidRDefault="00BD409A" w:rsidP="00731076">
      <w:pPr>
        <w:spacing w:line="240" w:lineRule="auto"/>
        <w:jc w:val="both"/>
        <w:rPr>
          <w:rFonts w:ascii="Arial" w:eastAsia="Arial" w:hAnsi="Arial" w:cs="Arial"/>
          <w:sz w:val="24"/>
          <w:szCs w:val="24"/>
        </w:rPr>
      </w:pPr>
      <w:proofErr w:type="spellStart"/>
      <w:r w:rsidRPr="00455BAF">
        <w:rPr>
          <w:rFonts w:ascii="Arial" w:eastAsia="Arial" w:hAnsi="Arial" w:cs="Arial"/>
          <w:sz w:val="24"/>
          <w:szCs w:val="24"/>
        </w:rPr>
        <w:lastRenderedPageBreak/>
        <w:t>Anexos</w:t>
      </w:r>
      <w:proofErr w:type="spellEnd"/>
      <w:r w:rsidRPr="00455BAF">
        <w:rPr>
          <w:rFonts w:ascii="Arial" w:eastAsia="Arial" w:hAnsi="Arial" w:cs="Arial"/>
          <w:sz w:val="24"/>
          <w:szCs w:val="24"/>
        </w:rPr>
        <w:t xml:space="preserve"> </w:t>
      </w:r>
    </w:p>
    <w:p w14:paraId="1A724E0E" w14:textId="77777777" w:rsidR="00BD409A" w:rsidRPr="00455BAF" w:rsidRDefault="00BD409A" w:rsidP="00731076">
      <w:pPr>
        <w:spacing w:line="240" w:lineRule="auto"/>
        <w:jc w:val="both"/>
        <w:rPr>
          <w:rFonts w:ascii="Arial" w:eastAsia="Arial" w:hAnsi="Arial" w:cs="Arial"/>
          <w:sz w:val="24"/>
          <w:szCs w:val="24"/>
        </w:rPr>
      </w:pPr>
      <w:r w:rsidRPr="00455BAF">
        <w:rPr>
          <w:rFonts w:ascii="Arial" w:eastAsia="Arial" w:hAnsi="Arial" w:cs="Arial"/>
          <w:sz w:val="24"/>
          <w:szCs w:val="24"/>
        </w:rPr>
        <w:t>Anexo 1</w:t>
      </w:r>
    </w:p>
    <w:p w14:paraId="2E291FF1" w14:textId="57115AC0" w:rsidR="00BD409A" w:rsidRPr="00AE52A4" w:rsidRDefault="00BD409A" w:rsidP="00AE52A4">
      <w:pPr>
        <w:spacing w:line="240" w:lineRule="auto"/>
        <w:ind w:left="720" w:hanging="720"/>
        <w:jc w:val="both"/>
        <w:rPr>
          <w:rFonts w:ascii="Arial" w:eastAsia="Arial" w:hAnsi="Arial" w:cs="Arial"/>
          <w:i/>
          <w:iCs/>
          <w:sz w:val="24"/>
          <w:szCs w:val="24"/>
          <w:lang w:val="es-UY"/>
        </w:rPr>
      </w:pPr>
      <w:r w:rsidRPr="00AE52A4">
        <w:rPr>
          <w:rFonts w:ascii="Arial" w:eastAsia="Arial" w:hAnsi="Arial" w:cs="Arial"/>
          <w:i/>
          <w:iCs/>
          <w:sz w:val="24"/>
          <w:szCs w:val="24"/>
          <w:lang w:val="es-UY"/>
        </w:rPr>
        <w:t>Baremo</w:t>
      </w:r>
      <w:r w:rsidR="00A37AC0">
        <w:rPr>
          <w:rFonts w:ascii="Arial" w:eastAsia="Arial" w:hAnsi="Arial" w:cs="Arial"/>
          <w:i/>
          <w:iCs/>
          <w:sz w:val="24"/>
          <w:szCs w:val="24"/>
          <w:lang w:val="es-UY"/>
        </w:rPr>
        <w:t>s</w:t>
      </w:r>
      <w:r w:rsidRPr="00AE52A4">
        <w:rPr>
          <w:rFonts w:ascii="Arial" w:eastAsia="Arial" w:hAnsi="Arial" w:cs="Arial"/>
          <w:i/>
          <w:iCs/>
          <w:sz w:val="24"/>
          <w:szCs w:val="24"/>
          <w:lang w:val="es-UY"/>
        </w:rPr>
        <w:t xml:space="preserve"> </w:t>
      </w:r>
      <w:r w:rsidR="00A37AC0">
        <w:rPr>
          <w:rFonts w:ascii="Arial" w:eastAsia="Arial" w:hAnsi="Arial" w:cs="Arial"/>
          <w:i/>
          <w:iCs/>
          <w:sz w:val="24"/>
          <w:szCs w:val="24"/>
          <w:lang w:val="es-UY"/>
        </w:rPr>
        <w:t>para Montevideo de</w:t>
      </w:r>
      <w:r w:rsidRPr="00AE52A4">
        <w:rPr>
          <w:rFonts w:ascii="Arial" w:eastAsia="Arial" w:hAnsi="Arial" w:cs="Arial"/>
          <w:i/>
          <w:iCs/>
          <w:sz w:val="24"/>
          <w:szCs w:val="24"/>
          <w:lang w:val="es-UY"/>
        </w:rPr>
        <w:t xml:space="preserve"> la</w:t>
      </w:r>
      <w:r w:rsidR="00A37AC0">
        <w:rPr>
          <w:rFonts w:ascii="Arial" w:eastAsia="Arial" w:hAnsi="Arial" w:cs="Arial"/>
          <w:i/>
          <w:iCs/>
          <w:sz w:val="24"/>
          <w:szCs w:val="24"/>
          <w:lang w:val="es-UY"/>
        </w:rPr>
        <w:t xml:space="preserve"> Escala de</w:t>
      </w:r>
      <w:r w:rsidRPr="00AE52A4">
        <w:rPr>
          <w:rFonts w:ascii="Arial" w:eastAsia="Arial" w:hAnsi="Arial" w:cs="Arial"/>
          <w:i/>
          <w:iCs/>
          <w:sz w:val="24"/>
          <w:szCs w:val="24"/>
          <w:lang w:val="es-UY"/>
        </w:rPr>
        <w:t xml:space="preserve"> Consideración de las Consecuencias Futuras  </w:t>
      </w:r>
    </w:p>
    <w:p w14:paraId="7ABB2482" w14:textId="77777777" w:rsidR="00BD409A" w:rsidRPr="00AE52A4" w:rsidRDefault="00BD409A" w:rsidP="00731076">
      <w:pPr>
        <w:spacing w:line="240" w:lineRule="auto"/>
        <w:jc w:val="both"/>
        <w:rPr>
          <w:rFonts w:ascii="Arial" w:eastAsia="Arial" w:hAnsi="Arial" w:cs="Arial"/>
          <w:sz w:val="24"/>
          <w:szCs w:val="24"/>
          <w:lang w:val="es-UY"/>
        </w:rPr>
      </w:pPr>
    </w:p>
    <w:tbl>
      <w:tblPr>
        <w:tblW w:w="5000" w:type="pct"/>
        <w:tblCellMar>
          <w:left w:w="70" w:type="dxa"/>
          <w:right w:w="70" w:type="dxa"/>
        </w:tblCellMar>
        <w:tblLook w:val="04A0" w:firstRow="1" w:lastRow="0" w:firstColumn="1" w:lastColumn="0" w:noHBand="0" w:noVBand="1"/>
      </w:tblPr>
      <w:tblGrid>
        <w:gridCol w:w="145"/>
        <w:gridCol w:w="1238"/>
        <w:gridCol w:w="981"/>
        <w:gridCol w:w="233"/>
        <w:gridCol w:w="1061"/>
        <w:gridCol w:w="932"/>
        <w:gridCol w:w="656"/>
        <w:gridCol w:w="1135"/>
        <w:gridCol w:w="995"/>
        <w:gridCol w:w="651"/>
        <w:gridCol w:w="1174"/>
        <w:gridCol w:w="492"/>
        <w:gridCol w:w="1010"/>
        <w:gridCol w:w="648"/>
        <w:gridCol w:w="1020"/>
        <w:gridCol w:w="648"/>
        <w:gridCol w:w="939"/>
      </w:tblGrid>
      <w:tr w:rsidR="00940AAB" w:rsidRPr="00940AAB" w14:paraId="61DCF33E" w14:textId="77777777" w:rsidTr="00940AAB">
        <w:trPr>
          <w:trHeight w:val="300"/>
        </w:trPr>
        <w:tc>
          <w:tcPr>
            <w:tcW w:w="502" w:type="pct"/>
            <w:gridSpan w:val="2"/>
            <w:vMerge w:val="restart"/>
            <w:tcBorders>
              <w:top w:val="single" w:sz="4" w:space="0" w:color="auto"/>
              <w:left w:val="nil"/>
              <w:bottom w:val="single" w:sz="4" w:space="0" w:color="000000"/>
              <w:right w:val="nil"/>
            </w:tcBorders>
            <w:shd w:val="clear" w:color="auto" w:fill="auto"/>
            <w:vAlign w:val="bottom"/>
            <w:hideMark/>
          </w:tcPr>
          <w:p w14:paraId="787485C3" w14:textId="6A0EF9E5" w:rsidR="00940AAB" w:rsidRPr="00940AAB" w:rsidRDefault="00940AAB" w:rsidP="00731076">
            <w:pPr>
              <w:spacing w:after="0" w:line="240" w:lineRule="auto"/>
              <w:jc w:val="center"/>
              <w:rPr>
                <w:rFonts w:ascii="Arial" w:eastAsia="Times New Roman" w:hAnsi="Arial" w:cs="Arial"/>
              </w:rPr>
            </w:pPr>
            <w:proofErr w:type="spellStart"/>
            <w:r w:rsidRPr="00940AAB">
              <w:rPr>
                <w:rFonts w:ascii="Arial" w:eastAsia="Times New Roman" w:hAnsi="Arial" w:cs="Arial"/>
              </w:rPr>
              <w:t>Percentil</w:t>
            </w:r>
            <w:proofErr w:type="spellEnd"/>
          </w:p>
        </w:tc>
        <w:tc>
          <w:tcPr>
            <w:tcW w:w="354" w:type="pct"/>
            <w:vMerge w:val="restart"/>
            <w:tcBorders>
              <w:top w:val="single" w:sz="4" w:space="0" w:color="auto"/>
              <w:left w:val="nil"/>
              <w:bottom w:val="single" w:sz="4" w:space="0" w:color="000000"/>
              <w:right w:val="nil"/>
            </w:tcBorders>
            <w:shd w:val="clear" w:color="auto" w:fill="auto"/>
            <w:vAlign w:val="bottom"/>
            <w:hideMark/>
          </w:tcPr>
          <w:p w14:paraId="293C7178" w14:textId="77777777" w:rsidR="00940AAB" w:rsidRPr="00940AAB" w:rsidRDefault="00940AAB" w:rsidP="00731076">
            <w:pPr>
              <w:spacing w:after="0" w:line="240" w:lineRule="auto"/>
              <w:jc w:val="center"/>
              <w:rPr>
                <w:rFonts w:ascii="Arial" w:eastAsia="Times New Roman" w:hAnsi="Arial" w:cs="Arial"/>
              </w:rPr>
            </w:pPr>
            <w:r w:rsidRPr="00940AAB">
              <w:rPr>
                <w:rFonts w:ascii="Arial" w:eastAsia="Times New Roman" w:hAnsi="Arial" w:cs="Arial"/>
              </w:rPr>
              <w:t>CCF-F</w:t>
            </w:r>
          </w:p>
        </w:tc>
        <w:tc>
          <w:tcPr>
            <w:tcW w:w="71" w:type="pct"/>
            <w:tcBorders>
              <w:top w:val="single" w:sz="4" w:space="0" w:color="auto"/>
              <w:left w:val="nil"/>
              <w:bottom w:val="nil"/>
              <w:right w:val="nil"/>
            </w:tcBorders>
            <w:shd w:val="clear" w:color="auto" w:fill="auto"/>
            <w:vAlign w:val="bottom"/>
            <w:hideMark/>
          </w:tcPr>
          <w:p w14:paraId="0ED9C42A" w14:textId="77777777" w:rsidR="00940AAB" w:rsidRPr="00940AAB" w:rsidRDefault="00940AAB" w:rsidP="00731076">
            <w:pPr>
              <w:spacing w:after="0" w:line="240" w:lineRule="auto"/>
              <w:jc w:val="center"/>
              <w:rPr>
                <w:rFonts w:ascii="Arial" w:eastAsia="Times New Roman" w:hAnsi="Arial" w:cs="Arial"/>
              </w:rPr>
            </w:pPr>
          </w:p>
        </w:tc>
        <w:tc>
          <w:tcPr>
            <w:tcW w:w="384" w:type="pct"/>
            <w:vMerge w:val="restart"/>
            <w:tcBorders>
              <w:top w:val="single" w:sz="4" w:space="0" w:color="auto"/>
              <w:left w:val="nil"/>
              <w:bottom w:val="single" w:sz="4" w:space="0" w:color="000000"/>
              <w:right w:val="nil"/>
            </w:tcBorders>
            <w:shd w:val="clear" w:color="auto" w:fill="auto"/>
            <w:vAlign w:val="bottom"/>
            <w:hideMark/>
          </w:tcPr>
          <w:p w14:paraId="5347423E" w14:textId="77777777" w:rsidR="00940AAB" w:rsidRPr="00940AAB" w:rsidRDefault="00940AAB" w:rsidP="00731076">
            <w:pPr>
              <w:spacing w:after="0" w:line="240" w:lineRule="auto"/>
              <w:jc w:val="center"/>
              <w:rPr>
                <w:rFonts w:ascii="Arial" w:eastAsia="Times New Roman" w:hAnsi="Arial" w:cs="Arial"/>
              </w:rPr>
            </w:pPr>
            <w:r w:rsidRPr="00940AAB">
              <w:rPr>
                <w:rFonts w:ascii="Arial" w:eastAsia="Times New Roman" w:hAnsi="Arial" w:cs="Arial"/>
              </w:rPr>
              <w:t>CCF-T</w:t>
            </w:r>
          </w:p>
        </w:tc>
        <w:tc>
          <w:tcPr>
            <w:tcW w:w="335" w:type="pct"/>
            <w:tcBorders>
              <w:top w:val="single" w:sz="4" w:space="0" w:color="auto"/>
              <w:left w:val="nil"/>
              <w:bottom w:val="nil"/>
              <w:right w:val="nil"/>
            </w:tcBorders>
          </w:tcPr>
          <w:p w14:paraId="6E39F3B1" w14:textId="77777777" w:rsidR="00940AAB" w:rsidRPr="00940AAB" w:rsidRDefault="00940AAB" w:rsidP="00731076">
            <w:pPr>
              <w:spacing w:after="0" w:line="240" w:lineRule="auto"/>
              <w:jc w:val="center"/>
              <w:rPr>
                <w:rFonts w:ascii="Arial" w:eastAsia="Times New Roman" w:hAnsi="Arial" w:cs="Arial"/>
              </w:rPr>
            </w:pPr>
          </w:p>
        </w:tc>
        <w:tc>
          <w:tcPr>
            <w:tcW w:w="231" w:type="pct"/>
            <w:tcBorders>
              <w:top w:val="single" w:sz="4" w:space="0" w:color="auto"/>
              <w:left w:val="nil"/>
              <w:bottom w:val="nil"/>
              <w:right w:val="nil"/>
            </w:tcBorders>
            <w:shd w:val="clear" w:color="auto" w:fill="auto"/>
            <w:noWrap/>
            <w:vAlign w:val="bottom"/>
            <w:hideMark/>
          </w:tcPr>
          <w:p w14:paraId="6FC52D32" w14:textId="5935563B" w:rsidR="00940AAB" w:rsidRPr="00940AAB" w:rsidRDefault="00940AAB" w:rsidP="00731076">
            <w:pPr>
              <w:spacing w:after="0" w:line="240" w:lineRule="auto"/>
              <w:jc w:val="center"/>
              <w:rPr>
                <w:rFonts w:ascii="Arial" w:eastAsia="Times New Roman" w:hAnsi="Arial" w:cs="Arial"/>
              </w:rPr>
            </w:pPr>
          </w:p>
        </w:tc>
        <w:tc>
          <w:tcPr>
            <w:tcW w:w="3123" w:type="pct"/>
            <w:gridSpan w:val="10"/>
            <w:tcBorders>
              <w:top w:val="single" w:sz="4" w:space="0" w:color="auto"/>
              <w:left w:val="nil"/>
              <w:bottom w:val="single" w:sz="4" w:space="0" w:color="auto"/>
              <w:right w:val="nil"/>
            </w:tcBorders>
            <w:shd w:val="clear" w:color="auto" w:fill="auto"/>
            <w:noWrap/>
            <w:vAlign w:val="bottom"/>
            <w:hideMark/>
          </w:tcPr>
          <w:p w14:paraId="7A63CDD9" w14:textId="77777777" w:rsidR="00940AAB" w:rsidRPr="00940AAB" w:rsidRDefault="00940AAB" w:rsidP="00731076">
            <w:pPr>
              <w:spacing w:after="0" w:line="240" w:lineRule="auto"/>
              <w:jc w:val="center"/>
              <w:rPr>
                <w:rFonts w:ascii="Arial" w:eastAsia="Times New Roman" w:hAnsi="Arial" w:cs="Arial"/>
              </w:rPr>
            </w:pPr>
            <w:r w:rsidRPr="00940AAB">
              <w:rPr>
                <w:rFonts w:ascii="Arial" w:eastAsia="Times New Roman" w:hAnsi="Arial" w:cs="Arial"/>
              </w:rPr>
              <w:t>CCF-I</w:t>
            </w:r>
          </w:p>
        </w:tc>
      </w:tr>
      <w:tr w:rsidR="00940AAB" w:rsidRPr="00940AAB" w14:paraId="75C45EFF" w14:textId="77777777" w:rsidTr="00940AAB">
        <w:trPr>
          <w:trHeight w:val="300"/>
        </w:trPr>
        <w:tc>
          <w:tcPr>
            <w:tcW w:w="502" w:type="pct"/>
            <w:gridSpan w:val="2"/>
            <w:vMerge/>
            <w:tcBorders>
              <w:top w:val="single" w:sz="4" w:space="0" w:color="auto"/>
              <w:left w:val="nil"/>
              <w:bottom w:val="single" w:sz="4" w:space="0" w:color="000000"/>
              <w:right w:val="nil"/>
            </w:tcBorders>
            <w:vAlign w:val="center"/>
            <w:hideMark/>
          </w:tcPr>
          <w:p w14:paraId="746C83A3" w14:textId="77777777" w:rsidR="00940AAB" w:rsidRPr="00940AAB" w:rsidRDefault="00940AAB" w:rsidP="00731076">
            <w:pPr>
              <w:spacing w:after="0" w:line="240" w:lineRule="auto"/>
              <w:rPr>
                <w:rFonts w:ascii="Arial" w:eastAsia="Times New Roman" w:hAnsi="Arial" w:cs="Arial"/>
              </w:rPr>
            </w:pPr>
          </w:p>
        </w:tc>
        <w:tc>
          <w:tcPr>
            <w:tcW w:w="354" w:type="pct"/>
            <w:vMerge/>
            <w:tcBorders>
              <w:top w:val="single" w:sz="4" w:space="0" w:color="auto"/>
              <w:left w:val="nil"/>
              <w:bottom w:val="single" w:sz="4" w:space="0" w:color="000000"/>
              <w:right w:val="nil"/>
            </w:tcBorders>
            <w:vAlign w:val="center"/>
            <w:hideMark/>
          </w:tcPr>
          <w:p w14:paraId="0202F68F" w14:textId="77777777" w:rsidR="00940AAB" w:rsidRPr="00940AAB" w:rsidRDefault="00940AAB" w:rsidP="00731076">
            <w:pPr>
              <w:spacing w:after="0" w:line="240" w:lineRule="auto"/>
              <w:jc w:val="center"/>
              <w:rPr>
                <w:rFonts w:ascii="Arial" w:eastAsia="Times New Roman" w:hAnsi="Arial" w:cs="Arial"/>
              </w:rPr>
            </w:pPr>
          </w:p>
        </w:tc>
        <w:tc>
          <w:tcPr>
            <w:tcW w:w="71" w:type="pct"/>
            <w:tcBorders>
              <w:top w:val="nil"/>
              <w:left w:val="nil"/>
              <w:bottom w:val="nil"/>
              <w:right w:val="nil"/>
            </w:tcBorders>
            <w:shd w:val="clear" w:color="auto" w:fill="auto"/>
            <w:vAlign w:val="bottom"/>
            <w:hideMark/>
          </w:tcPr>
          <w:p w14:paraId="46B9869E" w14:textId="77777777" w:rsidR="00940AAB" w:rsidRPr="00940AAB" w:rsidRDefault="00940AAB" w:rsidP="00731076">
            <w:pPr>
              <w:spacing w:after="0" w:line="240" w:lineRule="auto"/>
              <w:jc w:val="center"/>
              <w:rPr>
                <w:rFonts w:ascii="Arial" w:eastAsia="Times New Roman" w:hAnsi="Arial" w:cs="Arial"/>
              </w:rPr>
            </w:pPr>
          </w:p>
        </w:tc>
        <w:tc>
          <w:tcPr>
            <w:tcW w:w="384" w:type="pct"/>
            <w:vMerge/>
            <w:tcBorders>
              <w:top w:val="single" w:sz="4" w:space="0" w:color="auto"/>
              <w:left w:val="nil"/>
              <w:bottom w:val="single" w:sz="4" w:space="0" w:color="000000"/>
              <w:right w:val="nil"/>
            </w:tcBorders>
            <w:vAlign w:val="center"/>
            <w:hideMark/>
          </w:tcPr>
          <w:p w14:paraId="566E3DDB" w14:textId="77777777" w:rsidR="00940AAB" w:rsidRPr="00940AAB" w:rsidRDefault="00940AAB" w:rsidP="00731076">
            <w:pPr>
              <w:spacing w:after="0" w:line="240" w:lineRule="auto"/>
              <w:jc w:val="center"/>
              <w:rPr>
                <w:rFonts w:ascii="Arial" w:eastAsia="Times New Roman" w:hAnsi="Arial" w:cs="Arial"/>
              </w:rPr>
            </w:pPr>
          </w:p>
        </w:tc>
        <w:tc>
          <w:tcPr>
            <w:tcW w:w="335" w:type="pct"/>
            <w:tcBorders>
              <w:top w:val="nil"/>
              <w:left w:val="nil"/>
              <w:bottom w:val="nil"/>
              <w:right w:val="nil"/>
            </w:tcBorders>
          </w:tcPr>
          <w:p w14:paraId="746C8075" w14:textId="77777777" w:rsidR="00940AAB" w:rsidRPr="00940AAB" w:rsidRDefault="00940AAB" w:rsidP="00731076">
            <w:pPr>
              <w:spacing w:after="0" w:line="240" w:lineRule="auto"/>
              <w:jc w:val="center"/>
              <w:rPr>
                <w:rFonts w:ascii="Arial" w:eastAsia="Times New Roman" w:hAnsi="Arial" w:cs="Arial"/>
              </w:rPr>
            </w:pPr>
          </w:p>
        </w:tc>
        <w:tc>
          <w:tcPr>
            <w:tcW w:w="231" w:type="pct"/>
            <w:tcBorders>
              <w:top w:val="nil"/>
              <w:left w:val="nil"/>
              <w:bottom w:val="nil"/>
              <w:right w:val="nil"/>
            </w:tcBorders>
            <w:shd w:val="clear" w:color="auto" w:fill="auto"/>
            <w:noWrap/>
            <w:vAlign w:val="bottom"/>
            <w:hideMark/>
          </w:tcPr>
          <w:p w14:paraId="5E47DEF6" w14:textId="4046BA79" w:rsidR="00940AAB" w:rsidRPr="00940AAB" w:rsidRDefault="00940AAB" w:rsidP="00731076">
            <w:pPr>
              <w:spacing w:after="0" w:line="240" w:lineRule="auto"/>
              <w:jc w:val="center"/>
              <w:rPr>
                <w:rFonts w:ascii="Arial" w:eastAsia="Times New Roman" w:hAnsi="Arial" w:cs="Arial"/>
              </w:rPr>
            </w:pPr>
          </w:p>
        </w:tc>
        <w:tc>
          <w:tcPr>
            <w:tcW w:w="771" w:type="pct"/>
            <w:gridSpan w:val="2"/>
            <w:tcBorders>
              <w:top w:val="single" w:sz="4" w:space="0" w:color="auto"/>
              <w:left w:val="nil"/>
              <w:bottom w:val="single" w:sz="4" w:space="0" w:color="auto"/>
              <w:right w:val="nil"/>
            </w:tcBorders>
            <w:shd w:val="clear" w:color="auto" w:fill="auto"/>
            <w:noWrap/>
            <w:vAlign w:val="bottom"/>
            <w:hideMark/>
          </w:tcPr>
          <w:p w14:paraId="06416C7F" w14:textId="77777777" w:rsidR="00940AAB" w:rsidRPr="00940AAB" w:rsidRDefault="00940AAB" w:rsidP="00731076">
            <w:pPr>
              <w:spacing w:after="0" w:line="240" w:lineRule="auto"/>
              <w:jc w:val="center"/>
              <w:rPr>
                <w:rFonts w:ascii="Arial" w:eastAsia="Times New Roman" w:hAnsi="Arial" w:cs="Arial"/>
              </w:rPr>
            </w:pPr>
            <w:proofErr w:type="spellStart"/>
            <w:r w:rsidRPr="00940AAB">
              <w:rPr>
                <w:rFonts w:ascii="Arial" w:eastAsia="Times New Roman" w:hAnsi="Arial" w:cs="Arial"/>
              </w:rPr>
              <w:t>Sexo</w:t>
            </w:r>
            <w:proofErr w:type="spellEnd"/>
          </w:p>
        </w:tc>
        <w:tc>
          <w:tcPr>
            <w:tcW w:w="229" w:type="pct"/>
            <w:tcBorders>
              <w:top w:val="nil"/>
              <w:left w:val="nil"/>
              <w:bottom w:val="nil"/>
              <w:right w:val="nil"/>
            </w:tcBorders>
            <w:shd w:val="clear" w:color="auto" w:fill="auto"/>
            <w:noWrap/>
            <w:vAlign w:val="bottom"/>
            <w:hideMark/>
          </w:tcPr>
          <w:p w14:paraId="16EBF18C" w14:textId="77777777" w:rsidR="00940AAB" w:rsidRPr="00940AAB" w:rsidRDefault="00940AAB" w:rsidP="00731076">
            <w:pPr>
              <w:spacing w:after="0" w:line="240" w:lineRule="auto"/>
              <w:jc w:val="center"/>
              <w:rPr>
                <w:rFonts w:ascii="Arial" w:eastAsia="Times New Roman" w:hAnsi="Arial" w:cs="Arial"/>
              </w:rPr>
            </w:pPr>
          </w:p>
        </w:tc>
        <w:tc>
          <w:tcPr>
            <w:tcW w:w="2124" w:type="pct"/>
            <w:gridSpan w:val="7"/>
            <w:tcBorders>
              <w:top w:val="single" w:sz="4" w:space="0" w:color="auto"/>
              <w:left w:val="nil"/>
              <w:bottom w:val="single" w:sz="4" w:space="0" w:color="auto"/>
              <w:right w:val="nil"/>
            </w:tcBorders>
            <w:shd w:val="clear" w:color="auto" w:fill="auto"/>
            <w:noWrap/>
            <w:vAlign w:val="bottom"/>
            <w:hideMark/>
          </w:tcPr>
          <w:p w14:paraId="749E3E2E" w14:textId="77777777" w:rsidR="00940AAB" w:rsidRPr="00940AAB" w:rsidRDefault="00940AAB" w:rsidP="00731076">
            <w:pPr>
              <w:spacing w:after="0" w:line="240" w:lineRule="auto"/>
              <w:jc w:val="center"/>
              <w:rPr>
                <w:rFonts w:ascii="Arial" w:eastAsia="Times New Roman" w:hAnsi="Arial" w:cs="Arial"/>
              </w:rPr>
            </w:pPr>
            <w:proofErr w:type="spellStart"/>
            <w:r w:rsidRPr="00940AAB">
              <w:rPr>
                <w:rFonts w:ascii="Arial" w:eastAsia="Times New Roman" w:hAnsi="Arial" w:cs="Arial"/>
              </w:rPr>
              <w:t>Rango</w:t>
            </w:r>
            <w:proofErr w:type="spellEnd"/>
            <w:r w:rsidRPr="00940AAB">
              <w:rPr>
                <w:rFonts w:ascii="Arial" w:eastAsia="Times New Roman" w:hAnsi="Arial" w:cs="Arial"/>
              </w:rPr>
              <w:t xml:space="preserve"> </w:t>
            </w:r>
            <w:proofErr w:type="spellStart"/>
            <w:r w:rsidRPr="00940AAB">
              <w:rPr>
                <w:rFonts w:ascii="Arial" w:eastAsia="Times New Roman" w:hAnsi="Arial" w:cs="Arial"/>
              </w:rPr>
              <w:t>etario</w:t>
            </w:r>
            <w:proofErr w:type="spellEnd"/>
          </w:p>
        </w:tc>
      </w:tr>
      <w:tr w:rsidR="00940AAB" w:rsidRPr="00940AAB" w14:paraId="7B102E7F" w14:textId="77777777" w:rsidTr="00940AAB">
        <w:trPr>
          <w:trHeight w:val="300"/>
        </w:trPr>
        <w:tc>
          <w:tcPr>
            <w:tcW w:w="502" w:type="pct"/>
            <w:gridSpan w:val="2"/>
            <w:vMerge/>
            <w:tcBorders>
              <w:top w:val="single" w:sz="4" w:space="0" w:color="auto"/>
              <w:left w:val="nil"/>
              <w:bottom w:val="single" w:sz="4" w:space="0" w:color="000000"/>
              <w:right w:val="nil"/>
            </w:tcBorders>
            <w:vAlign w:val="center"/>
            <w:hideMark/>
          </w:tcPr>
          <w:p w14:paraId="097D593F" w14:textId="77777777" w:rsidR="00940AAB" w:rsidRPr="00940AAB" w:rsidRDefault="00940AAB" w:rsidP="00731076">
            <w:pPr>
              <w:spacing w:after="0" w:line="240" w:lineRule="auto"/>
              <w:rPr>
                <w:rFonts w:ascii="Arial" w:eastAsia="Times New Roman" w:hAnsi="Arial" w:cs="Arial"/>
              </w:rPr>
            </w:pPr>
          </w:p>
        </w:tc>
        <w:tc>
          <w:tcPr>
            <w:tcW w:w="354" w:type="pct"/>
            <w:vMerge/>
            <w:tcBorders>
              <w:top w:val="single" w:sz="4" w:space="0" w:color="auto"/>
              <w:left w:val="nil"/>
              <w:bottom w:val="single" w:sz="4" w:space="0" w:color="000000"/>
              <w:right w:val="nil"/>
            </w:tcBorders>
            <w:vAlign w:val="center"/>
            <w:hideMark/>
          </w:tcPr>
          <w:p w14:paraId="28D57C10" w14:textId="77777777" w:rsidR="00940AAB" w:rsidRPr="00940AAB" w:rsidRDefault="00940AAB" w:rsidP="00731076">
            <w:pPr>
              <w:spacing w:after="0" w:line="240" w:lineRule="auto"/>
              <w:jc w:val="center"/>
              <w:rPr>
                <w:rFonts w:ascii="Arial" w:eastAsia="Times New Roman" w:hAnsi="Arial" w:cs="Arial"/>
              </w:rPr>
            </w:pPr>
          </w:p>
        </w:tc>
        <w:tc>
          <w:tcPr>
            <w:tcW w:w="71" w:type="pct"/>
            <w:tcBorders>
              <w:top w:val="nil"/>
              <w:left w:val="nil"/>
              <w:bottom w:val="single" w:sz="4" w:space="0" w:color="auto"/>
              <w:right w:val="nil"/>
            </w:tcBorders>
            <w:shd w:val="clear" w:color="auto" w:fill="auto"/>
            <w:vAlign w:val="bottom"/>
            <w:hideMark/>
          </w:tcPr>
          <w:p w14:paraId="210531CE" w14:textId="77777777" w:rsidR="00940AAB" w:rsidRPr="00940AAB" w:rsidRDefault="00940AAB" w:rsidP="00731076">
            <w:pPr>
              <w:spacing w:after="0" w:line="240" w:lineRule="auto"/>
              <w:jc w:val="center"/>
              <w:rPr>
                <w:rFonts w:ascii="Arial" w:eastAsia="Times New Roman" w:hAnsi="Arial" w:cs="Arial"/>
              </w:rPr>
            </w:pPr>
          </w:p>
        </w:tc>
        <w:tc>
          <w:tcPr>
            <w:tcW w:w="384" w:type="pct"/>
            <w:vMerge/>
            <w:tcBorders>
              <w:top w:val="single" w:sz="4" w:space="0" w:color="auto"/>
              <w:left w:val="nil"/>
              <w:bottom w:val="single" w:sz="4" w:space="0" w:color="000000"/>
              <w:right w:val="nil"/>
            </w:tcBorders>
            <w:vAlign w:val="center"/>
            <w:hideMark/>
          </w:tcPr>
          <w:p w14:paraId="5F5463F5" w14:textId="77777777" w:rsidR="00940AAB" w:rsidRPr="00940AAB" w:rsidRDefault="00940AAB" w:rsidP="00731076">
            <w:pPr>
              <w:spacing w:after="0" w:line="240" w:lineRule="auto"/>
              <w:jc w:val="center"/>
              <w:rPr>
                <w:rFonts w:ascii="Arial" w:eastAsia="Times New Roman" w:hAnsi="Arial" w:cs="Arial"/>
              </w:rPr>
            </w:pPr>
          </w:p>
        </w:tc>
        <w:tc>
          <w:tcPr>
            <w:tcW w:w="335" w:type="pct"/>
            <w:tcBorders>
              <w:top w:val="nil"/>
              <w:left w:val="nil"/>
              <w:bottom w:val="single" w:sz="4" w:space="0" w:color="auto"/>
              <w:right w:val="nil"/>
            </w:tcBorders>
            <w:vAlign w:val="bottom"/>
          </w:tcPr>
          <w:p w14:paraId="7DFDDD81" w14:textId="08ABCDA3"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C</w:t>
            </w:r>
            <w:r w:rsidR="00533A51">
              <w:rPr>
                <w:rFonts w:ascii="Arial" w:eastAsia="Times New Roman" w:hAnsi="Arial" w:cs="Arial"/>
              </w:rPr>
              <w:t>CF</w:t>
            </w:r>
            <w:r w:rsidRPr="00940AAB">
              <w:rPr>
                <w:rFonts w:ascii="Arial" w:eastAsia="Times New Roman" w:hAnsi="Arial" w:cs="Arial"/>
              </w:rPr>
              <w:t>-I</w:t>
            </w:r>
          </w:p>
        </w:tc>
        <w:tc>
          <w:tcPr>
            <w:tcW w:w="231" w:type="pct"/>
            <w:tcBorders>
              <w:top w:val="nil"/>
              <w:left w:val="nil"/>
              <w:bottom w:val="single" w:sz="4" w:space="0" w:color="auto"/>
              <w:right w:val="nil"/>
            </w:tcBorders>
            <w:shd w:val="clear" w:color="auto" w:fill="auto"/>
            <w:noWrap/>
            <w:vAlign w:val="bottom"/>
            <w:hideMark/>
          </w:tcPr>
          <w:p w14:paraId="438B89B7" w14:textId="0188F3CE" w:rsidR="00940AAB" w:rsidRPr="00940AAB" w:rsidRDefault="00940AAB" w:rsidP="00731076">
            <w:pPr>
              <w:spacing w:after="0" w:line="240" w:lineRule="auto"/>
              <w:jc w:val="center"/>
              <w:rPr>
                <w:rFonts w:ascii="Arial" w:eastAsia="Times New Roman" w:hAnsi="Arial" w:cs="Arial"/>
              </w:rPr>
            </w:pPr>
          </w:p>
        </w:tc>
        <w:tc>
          <w:tcPr>
            <w:tcW w:w="412" w:type="pct"/>
            <w:tcBorders>
              <w:top w:val="nil"/>
              <w:left w:val="nil"/>
              <w:bottom w:val="single" w:sz="4" w:space="0" w:color="auto"/>
              <w:right w:val="nil"/>
            </w:tcBorders>
            <w:shd w:val="clear" w:color="auto" w:fill="auto"/>
            <w:noWrap/>
            <w:vAlign w:val="bottom"/>
            <w:hideMark/>
          </w:tcPr>
          <w:p w14:paraId="5B2F17E8" w14:textId="77777777" w:rsidR="00940AAB" w:rsidRPr="00940AAB" w:rsidRDefault="00940AAB" w:rsidP="00731076">
            <w:pPr>
              <w:spacing w:after="0" w:line="240" w:lineRule="auto"/>
              <w:jc w:val="center"/>
              <w:rPr>
                <w:rFonts w:ascii="Arial" w:eastAsia="Times New Roman" w:hAnsi="Arial" w:cs="Arial"/>
              </w:rPr>
            </w:pPr>
            <w:r w:rsidRPr="00940AAB">
              <w:rPr>
                <w:rFonts w:ascii="Arial" w:eastAsia="Times New Roman" w:hAnsi="Arial" w:cs="Arial"/>
              </w:rPr>
              <w:t>Hombre</w:t>
            </w:r>
          </w:p>
        </w:tc>
        <w:tc>
          <w:tcPr>
            <w:tcW w:w="358" w:type="pct"/>
            <w:tcBorders>
              <w:top w:val="nil"/>
              <w:left w:val="nil"/>
              <w:bottom w:val="single" w:sz="4" w:space="0" w:color="auto"/>
              <w:right w:val="nil"/>
            </w:tcBorders>
            <w:shd w:val="clear" w:color="auto" w:fill="auto"/>
            <w:noWrap/>
            <w:vAlign w:val="bottom"/>
            <w:hideMark/>
          </w:tcPr>
          <w:p w14:paraId="38B504BC" w14:textId="77777777" w:rsidR="00940AAB" w:rsidRPr="00940AAB" w:rsidRDefault="00940AAB" w:rsidP="00731076">
            <w:pPr>
              <w:spacing w:after="0" w:line="240" w:lineRule="auto"/>
              <w:jc w:val="center"/>
              <w:rPr>
                <w:rFonts w:ascii="Arial" w:eastAsia="Times New Roman" w:hAnsi="Arial" w:cs="Arial"/>
              </w:rPr>
            </w:pPr>
            <w:proofErr w:type="spellStart"/>
            <w:r w:rsidRPr="00940AAB">
              <w:rPr>
                <w:rFonts w:ascii="Arial" w:eastAsia="Times New Roman" w:hAnsi="Arial" w:cs="Arial"/>
              </w:rPr>
              <w:t>Mujer</w:t>
            </w:r>
            <w:proofErr w:type="spellEnd"/>
          </w:p>
        </w:tc>
        <w:tc>
          <w:tcPr>
            <w:tcW w:w="229" w:type="pct"/>
            <w:tcBorders>
              <w:top w:val="nil"/>
              <w:left w:val="nil"/>
              <w:bottom w:val="single" w:sz="4" w:space="0" w:color="auto"/>
              <w:right w:val="nil"/>
            </w:tcBorders>
            <w:shd w:val="clear" w:color="auto" w:fill="auto"/>
            <w:noWrap/>
            <w:vAlign w:val="bottom"/>
            <w:hideMark/>
          </w:tcPr>
          <w:p w14:paraId="138377E4" w14:textId="77777777" w:rsidR="00940AAB" w:rsidRPr="00940AAB" w:rsidRDefault="00940AAB" w:rsidP="00731076">
            <w:pPr>
              <w:spacing w:after="0" w:line="240" w:lineRule="auto"/>
              <w:jc w:val="center"/>
              <w:rPr>
                <w:rFonts w:ascii="Arial" w:eastAsia="Times New Roman" w:hAnsi="Arial" w:cs="Arial"/>
              </w:rPr>
            </w:pPr>
          </w:p>
        </w:tc>
        <w:tc>
          <w:tcPr>
            <w:tcW w:w="427" w:type="pct"/>
            <w:tcBorders>
              <w:top w:val="nil"/>
              <w:left w:val="nil"/>
              <w:bottom w:val="single" w:sz="4" w:space="0" w:color="auto"/>
              <w:right w:val="nil"/>
            </w:tcBorders>
            <w:shd w:val="clear" w:color="auto" w:fill="auto"/>
            <w:noWrap/>
            <w:vAlign w:val="bottom"/>
            <w:hideMark/>
          </w:tcPr>
          <w:p w14:paraId="359B2644" w14:textId="77777777" w:rsidR="00940AAB" w:rsidRPr="00940AAB" w:rsidRDefault="00940AAB" w:rsidP="00731076">
            <w:pPr>
              <w:spacing w:after="0" w:line="240" w:lineRule="auto"/>
              <w:jc w:val="center"/>
              <w:rPr>
                <w:rFonts w:ascii="Arial" w:eastAsia="Times New Roman" w:hAnsi="Arial" w:cs="Arial"/>
              </w:rPr>
            </w:pPr>
            <w:r w:rsidRPr="00940AAB">
              <w:rPr>
                <w:rFonts w:ascii="Arial" w:eastAsia="Times New Roman" w:hAnsi="Arial" w:cs="Arial"/>
              </w:rPr>
              <w:t>A. Joven</w:t>
            </w:r>
          </w:p>
        </w:tc>
        <w:tc>
          <w:tcPr>
            <w:tcW w:w="169" w:type="pct"/>
            <w:tcBorders>
              <w:top w:val="nil"/>
              <w:left w:val="nil"/>
              <w:bottom w:val="single" w:sz="4" w:space="0" w:color="auto"/>
              <w:right w:val="nil"/>
            </w:tcBorders>
            <w:shd w:val="clear" w:color="auto" w:fill="auto"/>
            <w:noWrap/>
            <w:vAlign w:val="bottom"/>
            <w:hideMark/>
          </w:tcPr>
          <w:p w14:paraId="1C17E0A3" w14:textId="77777777" w:rsidR="00940AAB" w:rsidRPr="00940AAB" w:rsidRDefault="00940AAB" w:rsidP="00731076">
            <w:pPr>
              <w:spacing w:after="0" w:line="240" w:lineRule="auto"/>
              <w:jc w:val="center"/>
              <w:rPr>
                <w:rFonts w:ascii="Arial" w:eastAsia="Times New Roman" w:hAnsi="Arial" w:cs="Arial"/>
              </w:rPr>
            </w:pPr>
          </w:p>
        </w:tc>
        <w:tc>
          <w:tcPr>
            <w:tcW w:w="365" w:type="pct"/>
            <w:tcBorders>
              <w:top w:val="nil"/>
              <w:left w:val="nil"/>
              <w:bottom w:val="single" w:sz="4" w:space="0" w:color="auto"/>
              <w:right w:val="nil"/>
            </w:tcBorders>
            <w:shd w:val="clear" w:color="auto" w:fill="auto"/>
            <w:noWrap/>
            <w:vAlign w:val="bottom"/>
            <w:hideMark/>
          </w:tcPr>
          <w:p w14:paraId="5B119033" w14:textId="77777777" w:rsidR="00940AAB" w:rsidRPr="00940AAB" w:rsidRDefault="00940AAB" w:rsidP="00731076">
            <w:pPr>
              <w:spacing w:after="0" w:line="240" w:lineRule="auto"/>
              <w:jc w:val="center"/>
              <w:rPr>
                <w:rFonts w:ascii="Arial" w:eastAsia="Times New Roman" w:hAnsi="Arial" w:cs="Arial"/>
              </w:rPr>
            </w:pPr>
            <w:r w:rsidRPr="00940AAB">
              <w:rPr>
                <w:rFonts w:ascii="Arial" w:eastAsia="Times New Roman" w:hAnsi="Arial" w:cs="Arial"/>
              </w:rPr>
              <w:t>A. medio</w:t>
            </w:r>
          </w:p>
        </w:tc>
        <w:tc>
          <w:tcPr>
            <w:tcW w:w="228" w:type="pct"/>
            <w:tcBorders>
              <w:top w:val="nil"/>
              <w:left w:val="nil"/>
              <w:bottom w:val="single" w:sz="4" w:space="0" w:color="auto"/>
              <w:right w:val="nil"/>
            </w:tcBorders>
            <w:shd w:val="clear" w:color="auto" w:fill="auto"/>
            <w:noWrap/>
            <w:vAlign w:val="bottom"/>
            <w:hideMark/>
          </w:tcPr>
          <w:p w14:paraId="4BD5DD34" w14:textId="77777777" w:rsidR="00940AAB" w:rsidRPr="00940AAB" w:rsidRDefault="00940AAB" w:rsidP="00731076">
            <w:pPr>
              <w:spacing w:after="0" w:line="240" w:lineRule="auto"/>
              <w:jc w:val="center"/>
              <w:rPr>
                <w:rFonts w:ascii="Arial" w:eastAsia="Times New Roman" w:hAnsi="Arial" w:cs="Arial"/>
              </w:rPr>
            </w:pPr>
          </w:p>
        </w:tc>
        <w:tc>
          <w:tcPr>
            <w:tcW w:w="369" w:type="pct"/>
            <w:tcBorders>
              <w:top w:val="nil"/>
              <w:left w:val="nil"/>
              <w:bottom w:val="single" w:sz="4" w:space="0" w:color="auto"/>
              <w:right w:val="nil"/>
            </w:tcBorders>
            <w:shd w:val="clear" w:color="auto" w:fill="auto"/>
            <w:noWrap/>
            <w:vAlign w:val="bottom"/>
            <w:hideMark/>
          </w:tcPr>
          <w:p w14:paraId="6693E436" w14:textId="77777777" w:rsidR="00940AAB" w:rsidRPr="00940AAB" w:rsidRDefault="00940AAB" w:rsidP="00731076">
            <w:pPr>
              <w:spacing w:after="0" w:line="240" w:lineRule="auto"/>
              <w:jc w:val="center"/>
              <w:rPr>
                <w:rFonts w:ascii="Arial" w:eastAsia="Times New Roman" w:hAnsi="Arial" w:cs="Arial"/>
              </w:rPr>
            </w:pPr>
            <w:r w:rsidRPr="00940AAB">
              <w:rPr>
                <w:rFonts w:ascii="Arial" w:eastAsia="Times New Roman" w:hAnsi="Arial" w:cs="Arial"/>
              </w:rPr>
              <w:t xml:space="preserve">A. </w:t>
            </w:r>
            <w:proofErr w:type="spellStart"/>
            <w:r w:rsidRPr="00940AAB">
              <w:rPr>
                <w:rFonts w:ascii="Arial" w:eastAsia="Times New Roman" w:hAnsi="Arial" w:cs="Arial"/>
              </w:rPr>
              <w:t>tardía</w:t>
            </w:r>
            <w:proofErr w:type="spellEnd"/>
          </w:p>
        </w:tc>
        <w:tc>
          <w:tcPr>
            <w:tcW w:w="228" w:type="pct"/>
            <w:tcBorders>
              <w:top w:val="nil"/>
              <w:left w:val="nil"/>
              <w:bottom w:val="single" w:sz="4" w:space="0" w:color="auto"/>
              <w:right w:val="nil"/>
            </w:tcBorders>
            <w:shd w:val="clear" w:color="auto" w:fill="auto"/>
            <w:noWrap/>
            <w:vAlign w:val="bottom"/>
            <w:hideMark/>
          </w:tcPr>
          <w:p w14:paraId="52A6E107" w14:textId="77777777" w:rsidR="00940AAB" w:rsidRPr="00940AAB" w:rsidRDefault="00940AAB" w:rsidP="00731076">
            <w:pPr>
              <w:spacing w:after="0" w:line="240" w:lineRule="auto"/>
              <w:jc w:val="center"/>
              <w:rPr>
                <w:rFonts w:ascii="Arial" w:eastAsia="Times New Roman" w:hAnsi="Arial" w:cs="Arial"/>
              </w:rPr>
            </w:pPr>
          </w:p>
        </w:tc>
        <w:tc>
          <w:tcPr>
            <w:tcW w:w="338" w:type="pct"/>
            <w:tcBorders>
              <w:top w:val="nil"/>
              <w:left w:val="nil"/>
              <w:bottom w:val="single" w:sz="4" w:space="0" w:color="auto"/>
              <w:right w:val="nil"/>
            </w:tcBorders>
            <w:shd w:val="clear" w:color="auto" w:fill="auto"/>
            <w:noWrap/>
            <w:vAlign w:val="bottom"/>
            <w:hideMark/>
          </w:tcPr>
          <w:p w14:paraId="6713BB95" w14:textId="77777777" w:rsidR="00940AAB" w:rsidRPr="00940AAB" w:rsidRDefault="00940AAB" w:rsidP="00731076">
            <w:pPr>
              <w:spacing w:after="0" w:line="240" w:lineRule="auto"/>
              <w:jc w:val="center"/>
              <w:rPr>
                <w:rFonts w:ascii="Arial" w:eastAsia="Times New Roman" w:hAnsi="Arial" w:cs="Arial"/>
              </w:rPr>
            </w:pPr>
            <w:r w:rsidRPr="00940AAB">
              <w:rPr>
                <w:rFonts w:ascii="Arial" w:eastAsia="Times New Roman" w:hAnsi="Arial" w:cs="Arial"/>
              </w:rPr>
              <w:t>A. mayor</w:t>
            </w:r>
          </w:p>
        </w:tc>
      </w:tr>
      <w:tr w:rsidR="00940AAB" w:rsidRPr="00940AAB" w14:paraId="0A29213B" w14:textId="77777777" w:rsidTr="00940AAB">
        <w:trPr>
          <w:trHeight w:val="300"/>
        </w:trPr>
        <w:tc>
          <w:tcPr>
            <w:tcW w:w="502" w:type="pct"/>
            <w:gridSpan w:val="2"/>
            <w:tcBorders>
              <w:top w:val="nil"/>
              <w:left w:val="nil"/>
              <w:bottom w:val="nil"/>
              <w:right w:val="nil"/>
            </w:tcBorders>
            <w:shd w:val="clear" w:color="auto" w:fill="auto"/>
            <w:noWrap/>
            <w:hideMark/>
          </w:tcPr>
          <w:p w14:paraId="36D4C981" w14:textId="77777777" w:rsidR="00940AAB" w:rsidRPr="00940AAB" w:rsidRDefault="00940AAB" w:rsidP="00940AAB">
            <w:pPr>
              <w:spacing w:after="0" w:line="240" w:lineRule="auto"/>
              <w:rPr>
                <w:rFonts w:ascii="Arial" w:eastAsia="Times New Roman" w:hAnsi="Arial" w:cs="Arial"/>
              </w:rPr>
            </w:pPr>
            <w:r w:rsidRPr="00940AAB">
              <w:rPr>
                <w:rFonts w:ascii="Arial" w:eastAsia="Times New Roman" w:hAnsi="Arial" w:cs="Arial"/>
              </w:rPr>
              <w:t>5</w:t>
            </w:r>
          </w:p>
        </w:tc>
        <w:tc>
          <w:tcPr>
            <w:tcW w:w="354" w:type="pct"/>
            <w:tcBorders>
              <w:top w:val="nil"/>
              <w:left w:val="nil"/>
              <w:bottom w:val="nil"/>
              <w:right w:val="nil"/>
            </w:tcBorders>
            <w:shd w:val="clear" w:color="auto" w:fill="auto"/>
            <w:noWrap/>
            <w:hideMark/>
          </w:tcPr>
          <w:p w14:paraId="1C432E03"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2.43</w:t>
            </w:r>
          </w:p>
        </w:tc>
        <w:tc>
          <w:tcPr>
            <w:tcW w:w="71" w:type="pct"/>
            <w:tcBorders>
              <w:top w:val="nil"/>
              <w:left w:val="nil"/>
              <w:bottom w:val="nil"/>
              <w:right w:val="nil"/>
            </w:tcBorders>
            <w:shd w:val="clear" w:color="auto" w:fill="auto"/>
            <w:noWrap/>
            <w:hideMark/>
          </w:tcPr>
          <w:p w14:paraId="5848DBE4" w14:textId="77777777" w:rsidR="00940AAB" w:rsidRPr="00940AAB" w:rsidRDefault="00940AAB" w:rsidP="00940AAB">
            <w:pPr>
              <w:spacing w:after="0" w:line="240" w:lineRule="auto"/>
              <w:jc w:val="center"/>
              <w:rPr>
                <w:rFonts w:ascii="Arial" w:eastAsia="Times New Roman" w:hAnsi="Arial" w:cs="Arial"/>
              </w:rPr>
            </w:pPr>
          </w:p>
        </w:tc>
        <w:tc>
          <w:tcPr>
            <w:tcW w:w="384" w:type="pct"/>
            <w:tcBorders>
              <w:top w:val="nil"/>
              <w:left w:val="nil"/>
              <w:bottom w:val="nil"/>
              <w:right w:val="nil"/>
            </w:tcBorders>
            <w:shd w:val="clear" w:color="auto" w:fill="auto"/>
            <w:noWrap/>
            <w:hideMark/>
          </w:tcPr>
          <w:p w14:paraId="7E289982"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2.92</w:t>
            </w:r>
          </w:p>
        </w:tc>
        <w:tc>
          <w:tcPr>
            <w:tcW w:w="335" w:type="pct"/>
            <w:tcBorders>
              <w:top w:val="nil"/>
              <w:left w:val="nil"/>
              <w:bottom w:val="nil"/>
              <w:right w:val="nil"/>
            </w:tcBorders>
          </w:tcPr>
          <w:p w14:paraId="7DAB7219" w14:textId="7D10792D"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color w:val="000000"/>
                <w:lang w:val="es-UY" w:eastAsia="es-UY"/>
              </w:rPr>
              <w:t>1.00</w:t>
            </w:r>
          </w:p>
        </w:tc>
        <w:tc>
          <w:tcPr>
            <w:tcW w:w="231" w:type="pct"/>
            <w:tcBorders>
              <w:top w:val="nil"/>
              <w:left w:val="nil"/>
              <w:bottom w:val="nil"/>
              <w:right w:val="nil"/>
            </w:tcBorders>
            <w:shd w:val="clear" w:color="auto" w:fill="auto"/>
            <w:noWrap/>
          </w:tcPr>
          <w:p w14:paraId="76960EB4" w14:textId="3EAF055E" w:rsidR="00940AAB" w:rsidRPr="00940AAB" w:rsidRDefault="00940AAB" w:rsidP="00940AAB">
            <w:pPr>
              <w:spacing w:after="0" w:line="240" w:lineRule="auto"/>
              <w:jc w:val="center"/>
              <w:rPr>
                <w:rFonts w:ascii="Arial" w:eastAsia="Times New Roman" w:hAnsi="Arial" w:cs="Arial"/>
              </w:rPr>
            </w:pPr>
          </w:p>
        </w:tc>
        <w:tc>
          <w:tcPr>
            <w:tcW w:w="412" w:type="pct"/>
            <w:tcBorders>
              <w:top w:val="nil"/>
              <w:left w:val="nil"/>
              <w:bottom w:val="nil"/>
              <w:right w:val="nil"/>
            </w:tcBorders>
            <w:shd w:val="clear" w:color="auto" w:fill="auto"/>
            <w:noWrap/>
            <w:hideMark/>
          </w:tcPr>
          <w:p w14:paraId="75BF009B"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1.00</w:t>
            </w:r>
          </w:p>
        </w:tc>
        <w:tc>
          <w:tcPr>
            <w:tcW w:w="358" w:type="pct"/>
            <w:tcBorders>
              <w:top w:val="nil"/>
              <w:left w:val="nil"/>
              <w:bottom w:val="nil"/>
              <w:right w:val="nil"/>
            </w:tcBorders>
            <w:shd w:val="clear" w:color="auto" w:fill="auto"/>
            <w:noWrap/>
            <w:hideMark/>
          </w:tcPr>
          <w:p w14:paraId="3B8725D5"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1.00</w:t>
            </w:r>
          </w:p>
        </w:tc>
        <w:tc>
          <w:tcPr>
            <w:tcW w:w="229" w:type="pct"/>
            <w:tcBorders>
              <w:top w:val="nil"/>
              <w:left w:val="nil"/>
              <w:bottom w:val="nil"/>
              <w:right w:val="nil"/>
            </w:tcBorders>
            <w:shd w:val="clear" w:color="auto" w:fill="auto"/>
            <w:noWrap/>
            <w:vAlign w:val="bottom"/>
            <w:hideMark/>
          </w:tcPr>
          <w:p w14:paraId="4AC32908" w14:textId="77777777" w:rsidR="00940AAB" w:rsidRPr="00940AAB" w:rsidRDefault="00940AAB" w:rsidP="00940AAB">
            <w:pPr>
              <w:spacing w:after="0" w:line="240" w:lineRule="auto"/>
              <w:jc w:val="center"/>
              <w:rPr>
                <w:rFonts w:ascii="Arial" w:eastAsia="Times New Roman" w:hAnsi="Arial" w:cs="Arial"/>
              </w:rPr>
            </w:pPr>
          </w:p>
        </w:tc>
        <w:tc>
          <w:tcPr>
            <w:tcW w:w="427" w:type="pct"/>
            <w:tcBorders>
              <w:top w:val="nil"/>
              <w:left w:val="nil"/>
              <w:bottom w:val="nil"/>
              <w:right w:val="nil"/>
            </w:tcBorders>
            <w:shd w:val="clear" w:color="auto" w:fill="auto"/>
            <w:noWrap/>
            <w:hideMark/>
          </w:tcPr>
          <w:p w14:paraId="3C09EAC7"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1.00</w:t>
            </w:r>
          </w:p>
        </w:tc>
        <w:tc>
          <w:tcPr>
            <w:tcW w:w="169" w:type="pct"/>
            <w:tcBorders>
              <w:top w:val="nil"/>
              <w:left w:val="nil"/>
              <w:bottom w:val="nil"/>
              <w:right w:val="nil"/>
            </w:tcBorders>
            <w:shd w:val="clear" w:color="auto" w:fill="auto"/>
            <w:noWrap/>
            <w:hideMark/>
          </w:tcPr>
          <w:p w14:paraId="6380AA16" w14:textId="77777777" w:rsidR="00940AAB" w:rsidRPr="00940AAB" w:rsidRDefault="00940AAB" w:rsidP="00940AAB">
            <w:pPr>
              <w:spacing w:after="0" w:line="240" w:lineRule="auto"/>
              <w:jc w:val="center"/>
              <w:rPr>
                <w:rFonts w:ascii="Arial" w:eastAsia="Times New Roman" w:hAnsi="Arial" w:cs="Arial"/>
              </w:rPr>
            </w:pPr>
          </w:p>
        </w:tc>
        <w:tc>
          <w:tcPr>
            <w:tcW w:w="365" w:type="pct"/>
            <w:tcBorders>
              <w:top w:val="nil"/>
              <w:left w:val="nil"/>
              <w:bottom w:val="nil"/>
              <w:right w:val="nil"/>
            </w:tcBorders>
            <w:shd w:val="clear" w:color="auto" w:fill="auto"/>
            <w:noWrap/>
            <w:hideMark/>
          </w:tcPr>
          <w:p w14:paraId="5A09E701"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1.00</w:t>
            </w:r>
          </w:p>
        </w:tc>
        <w:tc>
          <w:tcPr>
            <w:tcW w:w="228" w:type="pct"/>
            <w:tcBorders>
              <w:top w:val="nil"/>
              <w:left w:val="nil"/>
              <w:bottom w:val="nil"/>
              <w:right w:val="nil"/>
            </w:tcBorders>
            <w:shd w:val="clear" w:color="auto" w:fill="auto"/>
            <w:noWrap/>
            <w:hideMark/>
          </w:tcPr>
          <w:p w14:paraId="48F00979" w14:textId="77777777" w:rsidR="00940AAB" w:rsidRPr="00940AAB" w:rsidRDefault="00940AAB" w:rsidP="00940AAB">
            <w:pPr>
              <w:spacing w:after="0" w:line="240" w:lineRule="auto"/>
              <w:jc w:val="center"/>
              <w:rPr>
                <w:rFonts w:ascii="Arial" w:eastAsia="Times New Roman" w:hAnsi="Arial" w:cs="Arial"/>
              </w:rPr>
            </w:pPr>
          </w:p>
        </w:tc>
        <w:tc>
          <w:tcPr>
            <w:tcW w:w="369" w:type="pct"/>
            <w:tcBorders>
              <w:top w:val="nil"/>
              <w:left w:val="nil"/>
              <w:bottom w:val="nil"/>
              <w:right w:val="nil"/>
            </w:tcBorders>
            <w:shd w:val="clear" w:color="auto" w:fill="auto"/>
            <w:noWrap/>
            <w:hideMark/>
          </w:tcPr>
          <w:p w14:paraId="3BA84751"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1.00</w:t>
            </w:r>
          </w:p>
        </w:tc>
        <w:tc>
          <w:tcPr>
            <w:tcW w:w="228" w:type="pct"/>
            <w:tcBorders>
              <w:top w:val="nil"/>
              <w:left w:val="nil"/>
              <w:bottom w:val="nil"/>
              <w:right w:val="nil"/>
            </w:tcBorders>
            <w:shd w:val="clear" w:color="auto" w:fill="auto"/>
            <w:noWrap/>
            <w:hideMark/>
          </w:tcPr>
          <w:p w14:paraId="41C4B888" w14:textId="77777777" w:rsidR="00940AAB" w:rsidRPr="00940AAB" w:rsidRDefault="00940AAB" w:rsidP="00940AAB">
            <w:pPr>
              <w:spacing w:after="0" w:line="240" w:lineRule="auto"/>
              <w:jc w:val="center"/>
              <w:rPr>
                <w:rFonts w:ascii="Arial" w:eastAsia="Times New Roman" w:hAnsi="Arial" w:cs="Arial"/>
              </w:rPr>
            </w:pPr>
          </w:p>
        </w:tc>
        <w:tc>
          <w:tcPr>
            <w:tcW w:w="338" w:type="pct"/>
            <w:tcBorders>
              <w:top w:val="nil"/>
              <w:left w:val="nil"/>
              <w:bottom w:val="nil"/>
              <w:right w:val="nil"/>
            </w:tcBorders>
            <w:shd w:val="clear" w:color="auto" w:fill="auto"/>
            <w:noWrap/>
            <w:hideMark/>
          </w:tcPr>
          <w:p w14:paraId="32E80589"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1.00</w:t>
            </w:r>
          </w:p>
        </w:tc>
      </w:tr>
      <w:tr w:rsidR="00940AAB" w:rsidRPr="00940AAB" w14:paraId="3620471C" w14:textId="77777777" w:rsidTr="00940AAB">
        <w:trPr>
          <w:trHeight w:val="300"/>
        </w:trPr>
        <w:tc>
          <w:tcPr>
            <w:tcW w:w="502" w:type="pct"/>
            <w:gridSpan w:val="2"/>
            <w:tcBorders>
              <w:top w:val="nil"/>
              <w:left w:val="nil"/>
              <w:bottom w:val="nil"/>
              <w:right w:val="nil"/>
            </w:tcBorders>
            <w:shd w:val="clear" w:color="auto" w:fill="auto"/>
            <w:noWrap/>
            <w:hideMark/>
          </w:tcPr>
          <w:p w14:paraId="66EC7A58" w14:textId="77777777" w:rsidR="00940AAB" w:rsidRPr="00940AAB" w:rsidRDefault="00940AAB" w:rsidP="00940AAB">
            <w:pPr>
              <w:spacing w:after="0" w:line="240" w:lineRule="auto"/>
              <w:rPr>
                <w:rFonts w:ascii="Arial" w:eastAsia="Times New Roman" w:hAnsi="Arial" w:cs="Arial"/>
              </w:rPr>
            </w:pPr>
            <w:r w:rsidRPr="00940AAB">
              <w:rPr>
                <w:rFonts w:ascii="Arial" w:eastAsia="Times New Roman" w:hAnsi="Arial" w:cs="Arial"/>
              </w:rPr>
              <w:t>10</w:t>
            </w:r>
          </w:p>
        </w:tc>
        <w:tc>
          <w:tcPr>
            <w:tcW w:w="354" w:type="pct"/>
            <w:tcBorders>
              <w:top w:val="nil"/>
              <w:left w:val="nil"/>
              <w:bottom w:val="nil"/>
              <w:right w:val="nil"/>
            </w:tcBorders>
            <w:shd w:val="clear" w:color="auto" w:fill="auto"/>
            <w:noWrap/>
            <w:hideMark/>
          </w:tcPr>
          <w:p w14:paraId="191E7EBA"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2.86</w:t>
            </w:r>
          </w:p>
        </w:tc>
        <w:tc>
          <w:tcPr>
            <w:tcW w:w="71" w:type="pct"/>
            <w:tcBorders>
              <w:top w:val="nil"/>
              <w:left w:val="nil"/>
              <w:bottom w:val="nil"/>
              <w:right w:val="nil"/>
            </w:tcBorders>
            <w:shd w:val="clear" w:color="auto" w:fill="auto"/>
            <w:noWrap/>
            <w:hideMark/>
          </w:tcPr>
          <w:p w14:paraId="41F0699B" w14:textId="77777777" w:rsidR="00940AAB" w:rsidRPr="00940AAB" w:rsidRDefault="00940AAB" w:rsidP="00940AAB">
            <w:pPr>
              <w:spacing w:after="0" w:line="240" w:lineRule="auto"/>
              <w:jc w:val="center"/>
              <w:rPr>
                <w:rFonts w:ascii="Arial" w:eastAsia="Times New Roman" w:hAnsi="Arial" w:cs="Arial"/>
              </w:rPr>
            </w:pPr>
          </w:p>
        </w:tc>
        <w:tc>
          <w:tcPr>
            <w:tcW w:w="384" w:type="pct"/>
            <w:tcBorders>
              <w:top w:val="nil"/>
              <w:left w:val="nil"/>
              <w:bottom w:val="nil"/>
              <w:right w:val="nil"/>
            </w:tcBorders>
            <w:shd w:val="clear" w:color="auto" w:fill="auto"/>
            <w:noWrap/>
            <w:hideMark/>
          </w:tcPr>
          <w:p w14:paraId="3F103673"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3.38</w:t>
            </w:r>
          </w:p>
        </w:tc>
        <w:tc>
          <w:tcPr>
            <w:tcW w:w="335" w:type="pct"/>
            <w:tcBorders>
              <w:top w:val="nil"/>
              <w:left w:val="nil"/>
              <w:bottom w:val="nil"/>
              <w:right w:val="nil"/>
            </w:tcBorders>
          </w:tcPr>
          <w:p w14:paraId="3A8CB8FD" w14:textId="7C05A8D6"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color w:val="000000"/>
                <w:lang w:val="es-UY" w:eastAsia="es-UY"/>
              </w:rPr>
              <w:t>1.33</w:t>
            </w:r>
          </w:p>
        </w:tc>
        <w:tc>
          <w:tcPr>
            <w:tcW w:w="231" w:type="pct"/>
            <w:tcBorders>
              <w:top w:val="nil"/>
              <w:left w:val="nil"/>
              <w:bottom w:val="nil"/>
              <w:right w:val="nil"/>
            </w:tcBorders>
            <w:shd w:val="clear" w:color="auto" w:fill="auto"/>
            <w:noWrap/>
          </w:tcPr>
          <w:p w14:paraId="6C05BD21" w14:textId="5B6DB42C" w:rsidR="00940AAB" w:rsidRPr="00940AAB" w:rsidRDefault="00940AAB" w:rsidP="00940AAB">
            <w:pPr>
              <w:spacing w:after="0" w:line="240" w:lineRule="auto"/>
              <w:jc w:val="center"/>
              <w:rPr>
                <w:rFonts w:ascii="Arial" w:eastAsia="Times New Roman" w:hAnsi="Arial" w:cs="Arial"/>
              </w:rPr>
            </w:pPr>
          </w:p>
        </w:tc>
        <w:tc>
          <w:tcPr>
            <w:tcW w:w="412" w:type="pct"/>
            <w:tcBorders>
              <w:top w:val="nil"/>
              <w:left w:val="nil"/>
              <w:bottom w:val="nil"/>
              <w:right w:val="nil"/>
            </w:tcBorders>
            <w:shd w:val="clear" w:color="auto" w:fill="auto"/>
            <w:noWrap/>
            <w:hideMark/>
          </w:tcPr>
          <w:p w14:paraId="333595A6"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1.50</w:t>
            </w:r>
          </w:p>
        </w:tc>
        <w:tc>
          <w:tcPr>
            <w:tcW w:w="358" w:type="pct"/>
            <w:tcBorders>
              <w:top w:val="nil"/>
              <w:left w:val="nil"/>
              <w:bottom w:val="nil"/>
              <w:right w:val="nil"/>
            </w:tcBorders>
            <w:shd w:val="clear" w:color="auto" w:fill="auto"/>
            <w:noWrap/>
            <w:hideMark/>
          </w:tcPr>
          <w:p w14:paraId="29BAC21F"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1.33</w:t>
            </w:r>
          </w:p>
        </w:tc>
        <w:tc>
          <w:tcPr>
            <w:tcW w:w="229" w:type="pct"/>
            <w:tcBorders>
              <w:top w:val="nil"/>
              <w:left w:val="nil"/>
              <w:bottom w:val="nil"/>
              <w:right w:val="nil"/>
            </w:tcBorders>
            <w:shd w:val="clear" w:color="auto" w:fill="auto"/>
            <w:noWrap/>
            <w:vAlign w:val="bottom"/>
            <w:hideMark/>
          </w:tcPr>
          <w:p w14:paraId="7CB5D74E" w14:textId="77777777" w:rsidR="00940AAB" w:rsidRPr="00940AAB" w:rsidRDefault="00940AAB" w:rsidP="00940AAB">
            <w:pPr>
              <w:spacing w:after="0" w:line="240" w:lineRule="auto"/>
              <w:jc w:val="center"/>
              <w:rPr>
                <w:rFonts w:ascii="Arial" w:eastAsia="Times New Roman" w:hAnsi="Arial" w:cs="Arial"/>
              </w:rPr>
            </w:pPr>
          </w:p>
        </w:tc>
        <w:tc>
          <w:tcPr>
            <w:tcW w:w="427" w:type="pct"/>
            <w:tcBorders>
              <w:top w:val="nil"/>
              <w:left w:val="nil"/>
              <w:bottom w:val="nil"/>
              <w:right w:val="nil"/>
            </w:tcBorders>
            <w:shd w:val="clear" w:color="auto" w:fill="auto"/>
            <w:noWrap/>
            <w:hideMark/>
          </w:tcPr>
          <w:p w14:paraId="6711C671"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1.33</w:t>
            </w:r>
          </w:p>
        </w:tc>
        <w:tc>
          <w:tcPr>
            <w:tcW w:w="169" w:type="pct"/>
            <w:tcBorders>
              <w:top w:val="nil"/>
              <w:left w:val="nil"/>
              <w:bottom w:val="nil"/>
              <w:right w:val="nil"/>
            </w:tcBorders>
            <w:shd w:val="clear" w:color="auto" w:fill="auto"/>
            <w:noWrap/>
            <w:hideMark/>
          </w:tcPr>
          <w:p w14:paraId="2FF6C7AD" w14:textId="77777777" w:rsidR="00940AAB" w:rsidRPr="00940AAB" w:rsidRDefault="00940AAB" w:rsidP="00940AAB">
            <w:pPr>
              <w:spacing w:after="0" w:line="240" w:lineRule="auto"/>
              <w:jc w:val="center"/>
              <w:rPr>
                <w:rFonts w:ascii="Arial" w:eastAsia="Times New Roman" w:hAnsi="Arial" w:cs="Arial"/>
              </w:rPr>
            </w:pPr>
          </w:p>
        </w:tc>
        <w:tc>
          <w:tcPr>
            <w:tcW w:w="365" w:type="pct"/>
            <w:tcBorders>
              <w:top w:val="nil"/>
              <w:left w:val="nil"/>
              <w:bottom w:val="nil"/>
              <w:right w:val="nil"/>
            </w:tcBorders>
            <w:shd w:val="clear" w:color="auto" w:fill="auto"/>
            <w:noWrap/>
            <w:hideMark/>
          </w:tcPr>
          <w:p w14:paraId="2956FD88"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1.33</w:t>
            </w:r>
          </w:p>
        </w:tc>
        <w:tc>
          <w:tcPr>
            <w:tcW w:w="228" w:type="pct"/>
            <w:tcBorders>
              <w:top w:val="nil"/>
              <w:left w:val="nil"/>
              <w:bottom w:val="nil"/>
              <w:right w:val="nil"/>
            </w:tcBorders>
            <w:shd w:val="clear" w:color="auto" w:fill="auto"/>
            <w:noWrap/>
            <w:hideMark/>
          </w:tcPr>
          <w:p w14:paraId="09492167" w14:textId="77777777" w:rsidR="00940AAB" w:rsidRPr="00940AAB" w:rsidRDefault="00940AAB" w:rsidP="00940AAB">
            <w:pPr>
              <w:spacing w:after="0" w:line="240" w:lineRule="auto"/>
              <w:jc w:val="center"/>
              <w:rPr>
                <w:rFonts w:ascii="Arial" w:eastAsia="Times New Roman" w:hAnsi="Arial" w:cs="Arial"/>
              </w:rPr>
            </w:pPr>
          </w:p>
        </w:tc>
        <w:tc>
          <w:tcPr>
            <w:tcW w:w="369" w:type="pct"/>
            <w:tcBorders>
              <w:top w:val="nil"/>
              <w:left w:val="nil"/>
              <w:bottom w:val="nil"/>
              <w:right w:val="nil"/>
            </w:tcBorders>
            <w:shd w:val="clear" w:color="auto" w:fill="auto"/>
            <w:noWrap/>
            <w:hideMark/>
          </w:tcPr>
          <w:p w14:paraId="55931B79"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1.50</w:t>
            </w:r>
          </w:p>
        </w:tc>
        <w:tc>
          <w:tcPr>
            <w:tcW w:w="228" w:type="pct"/>
            <w:tcBorders>
              <w:top w:val="nil"/>
              <w:left w:val="nil"/>
              <w:bottom w:val="nil"/>
              <w:right w:val="nil"/>
            </w:tcBorders>
            <w:shd w:val="clear" w:color="auto" w:fill="auto"/>
            <w:noWrap/>
            <w:hideMark/>
          </w:tcPr>
          <w:p w14:paraId="0791CD7F" w14:textId="77777777" w:rsidR="00940AAB" w:rsidRPr="00940AAB" w:rsidRDefault="00940AAB" w:rsidP="00940AAB">
            <w:pPr>
              <w:spacing w:after="0" w:line="240" w:lineRule="auto"/>
              <w:jc w:val="center"/>
              <w:rPr>
                <w:rFonts w:ascii="Arial" w:eastAsia="Times New Roman" w:hAnsi="Arial" w:cs="Arial"/>
              </w:rPr>
            </w:pPr>
          </w:p>
        </w:tc>
        <w:tc>
          <w:tcPr>
            <w:tcW w:w="338" w:type="pct"/>
            <w:tcBorders>
              <w:top w:val="nil"/>
              <w:left w:val="nil"/>
              <w:bottom w:val="nil"/>
              <w:right w:val="nil"/>
            </w:tcBorders>
            <w:shd w:val="clear" w:color="auto" w:fill="auto"/>
            <w:noWrap/>
            <w:hideMark/>
          </w:tcPr>
          <w:p w14:paraId="7F85411F"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1.50</w:t>
            </w:r>
          </w:p>
        </w:tc>
      </w:tr>
      <w:tr w:rsidR="00940AAB" w:rsidRPr="00940AAB" w14:paraId="20E0BAF0" w14:textId="77777777" w:rsidTr="00940AAB">
        <w:trPr>
          <w:trHeight w:val="300"/>
        </w:trPr>
        <w:tc>
          <w:tcPr>
            <w:tcW w:w="502" w:type="pct"/>
            <w:gridSpan w:val="2"/>
            <w:tcBorders>
              <w:top w:val="nil"/>
              <w:left w:val="nil"/>
              <w:bottom w:val="nil"/>
              <w:right w:val="nil"/>
            </w:tcBorders>
            <w:shd w:val="clear" w:color="auto" w:fill="auto"/>
            <w:noWrap/>
            <w:hideMark/>
          </w:tcPr>
          <w:p w14:paraId="0F54D8F6" w14:textId="77777777" w:rsidR="00940AAB" w:rsidRPr="00940AAB" w:rsidRDefault="00940AAB" w:rsidP="00940AAB">
            <w:pPr>
              <w:spacing w:after="0" w:line="240" w:lineRule="auto"/>
              <w:rPr>
                <w:rFonts w:ascii="Arial" w:eastAsia="Times New Roman" w:hAnsi="Arial" w:cs="Arial"/>
              </w:rPr>
            </w:pPr>
            <w:r w:rsidRPr="00940AAB">
              <w:rPr>
                <w:rFonts w:ascii="Arial" w:eastAsia="Times New Roman" w:hAnsi="Arial" w:cs="Arial"/>
              </w:rPr>
              <w:t>25</w:t>
            </w:r>
          </w:p>
        </w:tc>
        <w:tc>
          <w:tcPr>
            <w:tcW w:w="354" w:type="pct"/>
            <w:tcBorders>
              <w:top w:val="nil"/>
              <w:left w:val="nil"/>
              <w:bottom w:val="nil"/>
              <w:right w:val="nil"/>
            </w:tcBorders>
            <w:shd w:val="clear" w:color="auto" w:fill="auto"/>
            <w:noWrap/>
            <w:hideMark/>
          </w:tcPr>
          <w:p w14:paraId="45141C66"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3.71</w:t>
            </w:r>
          </w:p>
        </w:tc>
        <w:tc>
          <w:tcPr>
            <w:tcW w:w="71" w:type="pct"/>
            <w:tcBorders>
              <w:top w:val="nil"/>
              <w:left w:val="nil"/>
              <w:bottom w:val="nil"/>
              <w:right w:val="nil"/>
            </w:tcBorders>
            <w:shd w:val="clear" w:color="auto" w:fill="auto"/>
            <w:noWrap/>
            <w:hideMark/>
          </w:tcPr>
          <w:p w14:paraId="2F925663" w14:textId="77777777" w:rsidR="00940AAB" w:rsidRPr="00940AAB" w:rsidRDefault="00940AAB" w:rsidP="00940AAB">
            <w:pPr>
              <w:spacing w:after="0" w:line="240" w:lineRule="auto"/>
              <w:jc w:val="center"/>
              <w:rPr>
                <w:rFonts w:ascii="Arial" w:eastAsia="Times New Roman" w:hAnsi="Arial" w:cs="Arial"/>
              </w:rPr>
            </w:pPr>
          </w:p>
        </w:tc>
        <w:tc>
          <w:tcPr>
            <w:tcW w:w="384" w:type="pct"/>
            <w:tcBorders>
              <w:top w:val="nil"/>
              <w:left w:val="nil"/>
              <w:bottom w:val="nil"/>
              <w:right w:val="nil"/>
            </w:tcBorders>
            <w:shd w:val="clear" w:color="auto" w:fill="auto"/>
            <w:noWrap/>
            <w:hideMark/>
          </w:tcPr>
          <w:p w14:paraId="1C08EBEF"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4.00</w:t>
            </w:r>
          </w:p>
        </w:tc>
        <w:tc>
          <w:tcPr>
            <w:tcW w:w="335" w:type="pct"/>
            <w:tcBorders>
              <w:top w:val="nil"/>
              <w:left w:val="nil"/>
              <w:bottom w:val="nil"/>
              <w:right w:val="nil"/>
            </w:tcBorders>
          </w:tcPr>
          <w:p w14:paraId="2696AC51" w14:textId="002B0378"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color w:val="000000"/>
                <w:lang w:val="es-UY" w:eastAsia="es-UY"/>
              </w:rPr>
              <w:t>2.00</w:t>
            </w:r>
          </w:p>
        </w:tc>
        <w:tc>
          <w:tcPr>
            <w:tcW w:w="231" w:type="pct"/>
            <w:tcBorders>
              <w:top w:val="nil"/>
              <w:left w:val="nil"/>
              <w:bottom w:val="nil"/>
              <w:right w:val="nil"/>
            </w:tcBorders>
            <w:shd w:val="clear" w:color="auto" w:fill="auto"/>
            <w:noWrap/>
          </w:tcPr>
          <w:p w14:paraId="1D4FECBE" w14:textId="1AA5F1B3" w:rsidR="00940AAB" w:rsidRPr="00940AAB" w:rsidRDefault="00940AAB" w:rsidP="00940AAB">
            <w:pPr>
              <w:spacing w:after="0" w:line="240" w:lineRule="auto"/>
              <w:jc w:val="center"/>
              <w:rPr>
                <w:rFonts w:ascii="Arial" w:eastAsia="Times New Roman" w:hAnsi="Arial" w:cs="Arial"/>
              </w:rPr>
            </w:pPr>
          </w:p>
        </w:tc>
        <w:tc>
          <w:tcPr>
            <w:tcW w:w="412" w:type="pct"/>
            <w:tcBorders>
              <w:top w:val="nil"/>
              <w:left w:val="nil"/>
              <w:bottom w:val="nil"/>
              <w:right w:val="nil"/>
            </w:tcBorders>
            <w:shd w:val="clear" w:color="auto" w:fill="auto"/>
            <w:noWrap/>
            <w:hideMark/>
          </w:tcPr>
          <w:p w14:paraId="1E3A025A"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2.17</w:t>
            </w:r>
          </w:p>
        </w:tc>
        <w:tc>
          <w:tcPr>
            <w:tcW w:w="358" w:type="pct"/>
            <w:tcBorders>
              <w:top w:val="nil"/>
              <w:left w:val="nil"/>
              <w:bottom w:val="nil"/>
              <w:right w:val="nil"/>
            </w:tcBorders>
            <w:shd w:val="clear" w:color="auto" w:fill="auto"/>
            <w:noWrap/>
            <w:hideMark/>
          </w:tcPr>
          <w:p w14:paraId="3278FB8E"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2.00</w:t>
            </w:r>
          </w:p>
        </w:tc>
        <w:tc>
          <w:tcPr>
            <w:tcW w:w="229" w:type="pct"/>
            <w:tcBorders>
              <w:top w:val="nil"/>
              <w:left w:val="nil"/>
              <w:bottom w:val="nil"/>
              <w:right w:val="nil"/>
            </w:tcBorders>
            <w:shd w:val="clear" w:color="auto" w:fill="auto"/>
            <w:noWrap/>
            <w:vAlign w:val="bottom"/>
            <w:hideMark/>
          </w:tcPr>
          <w:p w14:paraId="66574DA7" w14:textId="77777777" w:rsidR="00940AAB" w:rsidRPr="00940AAB" w:rsidRDefault="00940AAB" w:rsidP="00940AAB">
            <w:pPr>
              <w:spacing w:after="0" w:line="240" w:lineRule="auto"/>
              <w:jc w:val="center"/>
              <w:rPr>
                <w:rFonts w:ascii="Arial" w:eastAsia="Times New Roman" w:hAnsi="Arial" w:cs="Arial"/>
              </w:rPr>
            </w:pPr>
          </w:p>
        </w:tc>
        <w:tc>
          <w:tcPr>
            <w:tcW w:w="427" w:type="pct"/>
            <w:tcBorders>
              <w:top w:val="nil"/>
              <w:left w:val="nil"/>
              <w:bottom w:val="nil"/>
              <w:right w:val="nil"/>
            </w:tcBorders>
            <w:shd w:val="clear" w:color="auto" w:fill="auto"/>
            <w:noWrap/>
            <w:hideMark/>
          </w:tcPr>
          <w:p w14:paraId="3E4ADC0E"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2.00</w:t>
            </w:r>
          </w:p>
        </w:tc>
        <w:tc>
          <w:tcPr>
            <w:tcW w:w="169" w:type="pct"/>
            <w:tcBorders>
              <w:top w:val="nil"/>
              <w:left w:val="nil"/>
              <w:bottom w:val="nil"/>
              <w:right w:val="nil"/>
            </w:tcBorders>
            <w:shd w:val="clear" w:color="auto" w:fill="auto"/>
            <w:noWrap/>
            <w:hideMark/>
          </w:tcPr>
          <w:p w14:paraId="58E8DD80" w14:textId="77777777" w:rsidR="00940AAB" w:rsidRPr="00940AAB" w:rsidRDefault="00940AAB" w:rsidP="00940AAB">
            <w:pPr>
              <w:spacing w:after="0" w:line="240" w:lineRule="auto"/>
              <w:jc w:val="center"/>
              <w:rPr>
                <w:rFonts w:ascii="Arial" w:eastAsia="Times New Roman" w:hAnsi="Arial" w:cs="Arial"/>
              </w:rPr>
            </w:pPr>
          </w:p>
        </w:tc>
        <w:tc>
          <w:tcPr>
            <w:tcW w:w="365" w:type="pct"/>
            <w:tcBorders>
              <w:top w:val="nil"/>
              <w:left w:val="nil"/>
              <w:bottom w:val="nil"/>
              <w:right w:val="nil"/>
            </w:tcBorders>
            <w:shd w:val="clear" w:color="auto" w:fill="auto"/>
            <w:noWrap/>
            <w:hideMark/>
          </w:tcPr>
          <w:p w14:paraId="78865E39"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2.00</w:t>
            </w:r>
          </w:p>
        </w:tc>
        <w:tc>
          <w:tcPr>
            <w:tcW w:w="228" w:type="pct"/>
            <w:tcBorders>
              <w:top w:val="nil"/>
              <w:left w:val="nil"/>
              <w:bottom w:val="nil"/>
              <w:right w:val="nil"/>
            </w:tcBorders>
            <w:shd w:val="clear" w:color="auto" w:fill="auto"/>
            <w:noWrap/>
            <w:hideMark/>
          </w:tcPr>
          <w:p w14:paraId="55D9B208" w14:textId="77777777" w:rsidR="00940AAB" w:rsidRPr="00940AAB" w:rsidRDefault="00940AAB" w:rsidP="00940AAB">
            <w:pPr>
              <w:spacing w:after="0" w:line="240" w:lineRule="auto"/>
              <w:jc w:val="center"/>
              <w:rPr>
                <w:rFonts w:ascii="Arial" w:eastAsia="Times New Roman" w:hAnsi="Arial" w:cs="Arial"/>
              </w:rPr>
            </w:pPr>
          </w:p>
        </w:tc>
        <w:tc>
          <w:tcPr>
            <w:tcW w:w="369" w:type="pct"/>
            <w:tcBorders>
              <w:top w:val="nil"/>
              <w:left w:val="nil"/>
              <w:bottom w:val="nil"/>
              <w:right w:val="nil"/>
            </w:tcBorders>
            <w:shd w:val="clear" w:color="auto" w:fill="auto"/>
            <w:noWrap/>
            <w:hideMark/>
          </w:tcPr>
          <w:p w14:paraId="1B8FCA87"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2.29</w:t>
            </w:r>
          </w:p>
        </w:tc>
        <w:tc>
          <w:tcPr>
            <w:tcW w:w="228" w:type="pct"/>
            <w:tcBorders>
              <w:top w:val="nil"/>
              <w:left w:val="nil"/>
              <w:bottom w:val="nil"/>
              <w:right w:val="nil"/>
            </w:tcBorders>
            <w:shd w:val="clear" w:color="auto" w:fill="auto"/>
            <w:noWrap/>
            <w:hideMark/>
          </w:tcPr>
          <w:p w14:paraId="76596CEA" w14:textId="77777777" w:rsidR="00940AAB" w:rsidRPr="00940AAB" w:rsidRDefault="00940AAB" w:rsidP="00940AAB">
            <w:pPr>
              <w:spacing w:after="0" w:line="240" w:lineRule="auto"/>
              <w:jc w:val="center"/>
              <w:rPr>
                <w:rFonts w:ascii="Arial" w:eastAsia="Times New Roman" w:hAnsi="Arial" w:cs="Arial"/>
              </w:rPr>
            </w:pPr>
          </w:p>
        </w:tc>
        <w:tc>
          <w:tcPr>
            <w:tcW w:w="338" w:type="pct"/>
            <w:tcBorders>
              <w:top w:val="nil"/>
              <w:left w:val="nil"/>
              <w:bottom w:val="nil"/>
              <w:right w:val="nil"/>
            </w:tcBorders>
            <w:shd w:val="clear" w:color="auto" w:fill="auto"/>
            <w:noWrap/>
            <w:hideMark/>
          </w:tcPr>
          <w:p w14:paraId="5FB43EF9"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2.50</w:t>
            </w:r>
          </w:p>
        </w:tc>
      </w:tr>
      <w:tr w:rsidR="00940AAB" w:rsidRPr="00940AAB" w14:paraId="19AC4C6F" w14:textId="77777777" w:rsidTr="00940AAB">
        <w:trPr>
          <w:trHeight w:val="300"/>
        </w:trPr>
        <w:tc>
          <w:tcPr>
            <w:tcW w:w="502" w:type="pct"/>
            <w:gridSpan w:val="2"/>
            <w:tcBorders>
              <w:top w:val="nil"/>
              <w:left w:val="nil"/>
              <w:bottom w:val="nil"/>
              <w:right w:val="nil"/>
            </w:tcBorders>
            <w:shd w:val="clear" w:color="auto" w:fill="auto"/>
            <w:noWrap/>
            <w:hideMark/>
          </w:tcPr>
          <w:p w14:paraId="687052EA" w14:textId="77777777" w:rsidR="00940AAB" w:rsidRPr="00940AAB" w:rsidRDefault="00940AAB" w:rsidP="00940AAB">
            <w:pPr>
              <w:spacing w:after="0" w:line="240" w:lineRule="auto"/>
              <w:rPr>
                <w:rFonts w:ascii="Arial" w:eastAsia="Times New Roman" w:hAnsi="Arial" w:cs="Arial"/>
              </w:rPr>
            </w:pPr>
            <w:r w:rsidRPr="00940AAB">
              <w:rPr>
                <w:rFonts w:ascii="Arial" w:eastAsia="Times New Roman" w:hAnsi="Arial" w:cs="Arial"/>
              </w:rPr>
              <w:t>33.3</w:t>
            </w:r>
          </w:p>
        </w:tc>
        <w:tc>
          <w:tcPr>
            <w:tcW w:w="354" w:type="pct"/>
            <w:tcBorders>
              <w:top w:val="nil"/>
              <w:left w:val="nil"/>
              <w:bottom w:val="nil"/>
              <w:right w:val="nil"/>
            </w:tcBorders>
            <w:shd w:val="clear" w:color="auto" w:fill="auto"/>
            <w:noWrap/>
            <w:hideMark/>
          </w:tcPr>
          <w:p w14:paraId="3829D105"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4.14</w:t>
            </w:r>
          </w:p>
        </w:tc>
        <w:tc>
          <w:tcPr>
            <w:tcW w:w="71" w:type="pct"/>
            <w:tcBorders>
              <w:top w:val="nil"/>
              <w:left w:val="nil"/>
              <w:bottom w:val="nil"/>
              <w:right w:val="nil"/>
            </w:tcBorders>
            <w:shd w:val="clear" w:color="auto" w:fill="auto"/>
            <w:noWrap/>
            <w:hideMark/>
          </w:tcPr>
          <w:p w14:paraId="374489E1" w14:textId="77777777" w:rsidR="00940AAB" w:rsidRPr="00940AAB" w:rsidRDefault="00940AAB" w:rsidP="00940AAB">
            <w:pPr>
              <w:spacing w:after="0" w:line="240" w:lineRule="auto"/>
              <w:jc w:val="center"/>
              <w:rPr>
                <w:rFonts w:ascii="Arial" w:eastAsia="Times New Roman" w:hAnsi="Arial" w:cs="Arial"/>
              </w:rPr>
            </w:pPr>
          </w:p>
        </w:tc>
        <w:tc>
          <w:tcPr>
            <w:tcW w:w="384" w:type="pct"/>
            <w:tcBorders>
              <w:top w:val="nil"/>
              <w:left w:val="nil"/>
              <w:bottom w:val="nil"/>
              <w:right w:val="nil"/>
            </w:tcBorders>
            <w:shd w:val="clear" w:color="auto" w:fill="auto"/>
            <w:noWrap/>
            <w:hideMark/>
          </w:tcPr>
          <w:p w14:paraId="5B6A4724"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4.23</w:t>
            </w:r>
          </w:p>
        </w:tc>
        <w:tc>
          <w:tcPr>
            <w:tcW w:w="335" w:type="pct"/>
            <w:tcBorders>
              <w:top w:val="nil"/>
              <w:left w:val="nil"/>
              <w:bottom w:val="nil"/>
              <w:right w:val="nil"/>
            </w:tcBorders>
          </w:tcPr>
          <w:p w14:paraId="02EB7AF2" w14:textId="0D30D176"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color w:val="000000"/>
                <w:lang w:val="es-UY" w:eastAsia="es-UY"/>
              </w:rPr>
              <w:t>2.33</w:t>
            </w:r>
          </w:p>
        </w:tc>
        <w:tc>
          <w:tcPr>
            <w:tcW w:w="231" w:type="pct"/>
            <w:tcBorders>
              <w:top w:val="nil"/>
              <w:left w:val="nil"/>
              <w:bottom w:val="nil"/>
              <w:right w:val="nil"/>
            </w:tcBorders>
            <w:shd w:val="clear" w:color="auto" w:fill="auto"/>
            <w:noWrap/>
          </w:tcPr>
          <w:p w14:paraId="17381815" w14:textId="6B362136" w:rsidR="00940AAB" w:rsidRPr="00940AAB" w:rsidRDefault="00940AAB" w:rsidP="00940AAB">
            <w:pPr>
              <w:spacing w:after="0" w:line="240" w:lineRule="auto"/>
              <w:jc w:val="center"/>
              <w:rPr>
                <w:rFonts w:ascii="Arial" w:eastAsia="Times New Roman" w:hAnsi="Arial" w:cs="Arial"/>
              </w:rPr>
            </w:pPr>
          </w:p>
        </w:tc>
        <w:tc>
          <w:tcPr>
            <w:tcW w:w="412" w:type="pct"/>
            <w:tcBorders>
              <w:top w:val="nil"/>
              <w:left w:val="nil"/>
              <w:bottom w:val="nil"/>
              <w:right w:val="nil"/>
            </w:tcBorders>
            <w:shd w:val="clear" w:color="auto" w:fill="auto"/>
            <w:noWrap/>
            <w:hideMark/>
          </w:tcPr>
          <w:p w14:paraId="5E009599"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2.50</w:t>
            </w:r>
          </w:p>
        </w:tc>
        <w:tc>
          <w:tcPr>
            <w:tcW w:w="358" w:type="pct"/>
            <w:tcBorders>
              <w:top w:val="nil"/>
              <w:left w:val="nil"/>
              <w:bottom w:val="nil"/>
              <w:right w:val="nil"/>
            </w:tcBorders>
            <w:shd w:val="clear" w:color="auto" w:fill="auto"/>
            <w:noWrap/>
            <w:hideMark/>
          </w:tcPr>
          <w:p w14:paraId="577802B8"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2.17</w:t>
            </w:r>
          </w:p>
        </w:tc>
        <w:tc>
          <w:tcPr>
            <w:tcW w:w="229" w:type="pct"/>
            <w:tcBorders>
              <w:top w:val="nil"/>
              <w:left w:val="nil"/>
              <w:bottom w:val="nil"/>
              <w:right w:val="nil"/>
            </w:tcBorders>
            <w:shd w:val="clear" w:color="auto" w:fill="auto"/>
            <w:noWrap/>
            <w:vAlign w:val="bottom"/>
            <w:hideMark/>
          </w:tcPr>
          <w:p w14:paraId="320D3B84" w14:textId="77777777" w:rsidR="00940AAB" w:rsidRPr="00940AAB" w:rsidRDefault="00940AAB" w:rsidP="00940AAB">
            <w:pPr>
              <w:spacing w:after="0" w:line="240" w:lineRule="auto"/>
              <w:jc w:val="center"/>
              <w:rPr>
                <w:rFonts w:ascii="Arial" w:eastAsia="Times New Roman" w:hAnsi="Arial" w:cs="Arial"/>
              </w:rPr>
            </w:pPr>
          </w:p>
        </w:tc>
        <w:tc>
          <w:tcPr>
            <w:tcW w:w="427" w:type="pct"/>
            <w:tcBorders>
              <w:top w:val="nil"/>
              <w:left w:val="nil"/>
              <w:bottom w:val="nil"/>
              <w:right w:val="nil"/>
            </w:tcBorders>
            <w:shd w:val="clear" w:color="auto" w:fill="auto"/>
            <w:noWrap/>
            <w:hideMark/>
          </w:tcPr>
          <w:p w14:paraId="40B0F54B"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2.17</w:t>
            </w:r>
          </w:p>
        </w:tc>
        <w:tc>
          <w:tcPr>
            <w:tcW w:w="169" w:type="pct"/>
            <w:tcBorders>
              <w:top w:val="nil"/>
              <w:left w:val="nil"/>
              <w:bottom w:val="nil"/>
              <w:right w:val="nil"/>
            </w:tcBorders>
            <w:shd w:val="clear" w:color="auto" w:fill="auto"/>
            <w:noWrap/>
            <w:hideMark/>
          </w:tcPr>
          <w:p w14:paraId="5FBF1CE1" w14:textId="77777777" w:rsidR="00940AAB" w:rsidRPr="00940AAB" w:rsidRDefault="00940AAB" w:rsidP="00940AAB">
            <w:pPr>
              <w:spacing w:after="0" w:line="240" w:lineRule="auto"/>
              <w:jc w:val="center"/>
              <w:rPr>
                <w:rFonts w:ascii="Arial" w:eastAsia="Times New Roman" w:hAnsi="Arial" w:cs="Arial"/>
              </w:rPr>
            </w:pPr>
          </w:p>
        </w:tc>
        <w:tc>
          <w:tcPr>
            <w:tcW w:w="365" w:type="pct"/>
            <w:tcBorders>
              <w:top w:val="nil"/>
              <w:left w:val="nil"/>
              <w:bottom w:val="nil"/>
              <w:right w:val="nil"/>
            </w:tcBorders>
            <w:shd w:val="clear" w:color="auto" w:fill="auto"/>
            <w:noWrap/>
            <w:hideMark/>
          </w:tcPr>
          <w:p w14:paraId="41C3CD63"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2.33</w:t>
            </w:r>
          </w:p>
        </w:tc>
        <w:tc>
          <w:tcPr>
            <w:tcW w:w="228" w:type="pct"/>
            <w:tcBorders>
              <w:top w:val="nil"/>
              <w:left w:val="nil"/>
              <w:bottom w:val="nil"/>
              <w:right w:val="nil"/>
            </w:tcBorders>
            <w:shd w:val="clear" w:color="auto" w:fill="auto"/>
            <w:noWrap/>
            <w:hideMark/>
          </w:tcPr>
          <w:p w14:paraId="0FAB2D27" w14:textId="77777777" w:rsidR="00940AAB" w:rsidRPr="00940AAB" w:rsidRDefault="00940AAB" w:rsidP="00940AAB">
            <w:pPr>
              <w:spacing w:after="0" w:line="240" w:lineRule="auto"/>
              <w:jc w:val="center"/>
              <w:rPr>
                <w:rFonts w:ascii="Arial" w:eastAsia="Times New Roman" w:hAnsi="Arial" w:cs="Arial"/>
              </w:rPr>
            </w:pPr>
          </w:p>
        </w:tc>
        <w:tc>
          <w:tcPr>
            <w:tcW w:w="369" w:type="pct"/>
            <w:tcBorders>
              <w:top w:val="nil"/>
              <w:left w:val="nil"/>
              <w:bottom w:val="nil"/>
              <w:right w:val="nil"/>
            </w:tcBorders>
            <w:shd w:val="clear" w:color="auto" w:fill="auto"/>
            <w:noWrap/>
            <w:hideMark/>
          </w:tcPr>
          <w:p w14:paraId="34EFF102"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2.66</w:t>
            </w:r>
          </w:p>
        </w:tc>
        <w:tc>
          <w:tcPr>
            <w:tcW w:w="228" w:type="pct"/>
            <w:tcBorders>
              <w:top w:val="nil"/>
              <w:left w:val="nil"/>
              <w:bottom w:val="nil"/>
              <w:right w:val="nil"/>
            </w:tcBorders>
            <w:shd w:val="clear" w:color="auto" w:fill="auto"/>
            <w:noWrap/>
            <w:hideMark/>
          </w:tcPr>
          <w:p w14:paraId="73FDAA46" w14:textId="77777777" w:rsidR="00940AAB" w:rsidRPr="00940AAB" w:rsidRDefault="00940AAB" w:rsidP="00940AAB">
            <w:pPr>
              <w:spacing w:after="0" w:line="240" w:lineRule="auto"/>
              <w:jc w:val="center"/>
              <w:rPr>
                <w:rFonts w:ascii="Arial" w:eastAsia="Times New Roman" w:hAnsi="Arial" w:cs="Arial"/>
              </w:rPr>
            </w:pPr>
          </w:p>
        </w:tc>
        <w:tc>
          <w:tcPr>
            <w:tcW w:w="338" w:type="pct"/>
            <w:tcBorders>
              <w:top w:val="nil"/>
              <w:left w:val="nil"/>
              <w:bottom w:val="nil"/>
              <w:right w:val="nil"/>
            </w:tcBorders>
            <w:shd w:val="clear" w:color="auto" w:fill="auto"/>
            <w:noWrap/>
            <w:hideMark/>
          </w:tcPr>
          <w:p w14:paraId="657A2362"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2.83</w:t>
            </w:r>
          </w:p>
        </w:tc>
      </w:tr>
      <w:tr w:rsidR="00940AAB" w:rsidRPr="00940AAB" w14:paraId="71C37D0D" w14:textId="77777777" w:rsidTr="00940AAB">
        <w:trPr>
          <w:trHeight w:val="300"/>
        </w:trPr>
        <w:tc>
          <w:tcPr>
            <w:tcW w:w="502" w:type="pct"/>
            <w:gridSpan w:val="2"/>
            <w:tcBorders>
              <w:top w:val="nil"/>
              <w:left w:val="nil"/>
              <w:bottom w:val="nil"/>
              <w:right w:val="nil"/>
            </w:tcBorders>
            <w:shd w:val="clear" w:color="auto" w:fill="auto"/>
            <w:noWrap/>
            <w:hideMark/>
          </w:tcPr>
          <w:p w14:paraId="01FCEC09" w14:textId="77777777" w:rsidR="00940AAB" w:rsidRPr="00940AAB" w:rsidRDefault="00940AAB" w:rsidP="00940AAB">
            <w:pPr>
              <w:spacing w:after="0" w:line="240" w:lineRule="auto"/>
              <w:rPr>
                <w:rFonts w:ascii="Arial" w:eastAsia="Times New Roman" w:hAnsi="Arial" w:cs="Arial"/>
              </w:rPr>
            </w:pPr>
            <w:r w:rsidRPr="00940AAB">
              <w:rPr>
                <w:rFonts w:ascii="Arial" w:eastAsia="Times New Roman" w:hAnsi="Arial" w:cs="Arial"/>
              </w:rPr>
              <w:t>50</w:t>
            </w:r>
          </w:p>
        </w:tc>
        <w:tc>
          <w:tcPr>
            <w:tcW w:w="354" w:type="pct"/>
            <w:tcBorders>
              <w:top w:val="nil"/>
              <w:left w:val="nil"/>
              <w:bottom w:val="nil"/>
              <w:right w:val="nil"/>
            </w:tcBorders>
            <w:shd w:val="clear" w:color="auto" w:fill="auto"/>
            <w:noWrap/>
            <w:hideMark/>
          </w:tcPr>
          <w:p w14:paraId="5EF7C11A"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4.57</w:t>
            </w:r>
          </w:p>
        </w:tc>
        <w:tc>
          <w:tcPr>
            <w:tcW w:w="71" w:type="pct"/>
            <w:tcBorders>
              <w:top w:val="nil"/>
              <w:left w:val="nil"/>
              <w:bottom w:val="nil"/>
              <w:right w:val="nil"/>
            </w:tcBorders>
            <w:shd w:val="clear" w:color="auto" w:fill="auto"/>
            <w:noWrap/>
            <w:hideMark/>
          </w:tcPr>
          <w:p w14:paraId="61B7E640" w14:textId="77777777" w:rsidR="00940AAB" w:rsidRPr="00940AAB" w:rsidRDefault="00940AAB" w:rsidP="00940AAB">
            <w:pPr>
              <w:spacing w:after="0" w:line="240" w:lineRule="auto"/>
              <w:jc w:val="center"/>
              <w:rPr>
                <w:rFonts w:ascii="Arial" w:eastAsia="Times New Roman" w:hAnsi="Arial" w:cs="Arial"/>
              </w:rPr>
            </w:pPr>
          </w:p>
        </w:tc>
        <w:tc>
          <w:tcPr>
            <w:tcW w:w="384" w:type="pct"/>
            <w:tcBorders>
              <w:top w:val="nil"/>
              <w:left w:val="nil"/>
              <w:bottom w:val="nil"/>
              <w:right w:val="nil"/>
            </w:tcBorders>
            <w:shd w:val="clear" w:color="auto" w:fill="auto"/>
            <w:noWrap/>
            <w:hideMark/>
          </w:tcPr>
          <w:p w14:paraId="670913FE"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4.69</w:t>
            </w:r>
          </w:p>
        </w:tc>
        <w:tc>
          <w:tcPr>
            <w:tcW w:w="335" w:type="pct"/>
            <w:tcBorders>
              <w:top w:val="nil"/>
              <w:left w:val="nil"/>
              <w:bottom w:val="nil"/>
              <w:right w:val="nil"/>
            </w:tcBorders>
          </w:tcPr>
          <w:p w14:paraId="67D2720A" w14:textId="24E05E8F"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color w:val="000000"/>
                <w:lang w:val="es-UY" w:eastAsia="es-UY"/>
              </w:rPr>
              <w:t>3.00</w:t>
            </w:r>
          </w:p>
        </w:tc>
        <w:tc>
          <w:tcPr>
            <w:tcW w:w="231" w:type="pct"/>
            <w:tcBorders>
              <w:top w:val="nil"/>
              <w:left w:val="nil"/>
              <w:bottom w:val="nil"/>
              <w:right w:val="nil"/>
            </w:tcBorders>
            <w:shd w:val="clear" w:color="auto" w:fill="auto"/>
            <w:noWrap/>
          </w:tcPr>
          <w:p w14:paraId="6250E2F2" w14:textId="16A515DF" w:rsidR="00940AAB" w:rsidRPr="00940AAB" w:rsidRDefault="00940AAB" w:rsidP="00940AAB">
            <w:pPr>
              <w:spacing w:after="0" w:line="240" w:lineRule="auto"/>
              <w:jc w:val="center"/>
              <w:rPr>
                <w:rFonts w:ascii="Arial" w:eastAsia="Times New Roman" w:hAnsi="Arial" w:cs="Arial"/>
              </w:rPr>
            </w:pPr>
          </w:p>
        </w:tc>
        <w:tc>
          <w:tcPr>
            <w:tcW w:w="412" w:type="pct"/>
            <w:tcBorders>
              <w:top w:val="nil"/>
              <w:left w:val="nil"/>
              <w:bottom w:val="nil"/>
              <w:right w:val="nil"/>
            </w:tcBorders>
            <w:shd w:val="clear" w:color="auto" w:fill="auto"/>
            <w:noWrap/>
            <w:hideMark/>
          </w:tcPr>
          <w:p w14:paraId="541F386D"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3.17</w:t>
            </w:r>
          </w:p>
        </w:tc>
        <w:tc>
          <w:tcPr>
            <w:tcW w:w="358" w:type="pct"/>
            <w:tcBorders>
              <w:top w:val="nil"/>
              <w:left w:val="nil"/>
              <w:bottom w:val="nil"/>
              <w:right w:val="nil"/>
            </w:tcBorders>
            <w:shd w:val="clear" w:color="auto" w:fill="auto"/>
            <w:noWrap/>
            <w:hideMark/>
          </w:tcPr>
          <w:p w14:paraId="4CC4979F"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3.00</w:t>
            </w:r>
          </w:p>
        </w:tc>
        <w:tc>
          <w:tcPr>
            <w:tcW w:w="229" w:type="pct"/>
            <w:tcBorders>
              <w:top w:val="nil"/>
              <w:left w:val="nil"/>
              <w:bottom w:val="nil"/>
              <w:right w:val="nil"/>
            </w:tcBorders>
            <w:shd w:val="clear" w:color="auto" w:fill="auto"/>
            <w:noWrap/>
            <w:vAlign w:val="bottom"/>
            <w:hideMark/>
          </w:tcPr>
          <w:p w14:paraId="2CF9896D" w14:textId="77777777" w:rsidR="00940AAB" w:rsidRPr="00940AAB" w:rsidRDefault="00940AAB" w:rsidP="00940AAB">
            <w:pPr>
              <w:spacing w:after="0" w:line="240" w:lineRule="auto"/>
              <w:jc w:val="center"/>
              <w:rPr>
                <w:rFonts w:ascii="Arial" w:eastAsia="Times New Roman" w:hAnsi="Arial" w:cs="Arial"/>
              </w:rPr>
            </w:pPr>
          </w:p>
        </w:tc>
        <w:tc>
          <w:tcPr>
            <w:tcW w:w="427" w:type="pct"/>
            <w:tcBorders>
              <w:top w:val="nil"/>
              <w:left w:val="nil"/>
              <w:bottom w:val="nil"/>
              <w:right w:val="nil"/>
            </w:tcBorders>
            <w:shd w:val="clear" w:color="auto" w:fill="auto"/>
            <w:noWrap/>
            <w:hideMark/>
          </w:tcPr>
          <w:p w14:paraId="7C19EC31"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2.83</w:t>
            </w:r>
          </w:p>
        </w:tc>
        <w:tc>
          <w:tcPr>
            <w:tcW w:w="169" w:type="pct"/>
            <w:tcBorders>
              <w:top w:val="nil"/>
              <w:left w:val="nil"/>
              <w:bottom w:val="nil"/>
              <w:right w:val="nil"/>
            </w:tcBorders>
            <w:shd w:val="clear" w:color="auto" w:fill="auto"/>
            <w:noWrap/>
            <w:hideMark/>
          </w:tcPr>
          <w:p w14:paraId="09870C97" w14:textId="77777777" w:rsidR="00940AAB" w:rsidRPr="00940AAB" w:rsidRDefault="00940AAB" w:rsidP="00940AAB">
            <w:pPr>
              <w:spacing w:after="0" w:line="240" w:lineRule="auto"/>
              <w:jc w:val="center"/>
              <w:rPr>
                <w:rFonts w:ascii="Arial" w:eastAsia="Times New Roman" w:hAnsi="Arial" w:cs="Arial"/>
              </w:rPr>
            </w:pPr>
          </w:p>
        </w:tc>
        <w:tc>
          <w:tcPr>
            <w:tcW w:w="365" w:type="pct"/>
            <w:tcBorders>
              <w:top w:val="nil"/>
              <w:left w:val="nil"/>
              <w:bottom w:val="nil"/>
              <w:right w:val="nil"/>
            </w:tcBorders>
            <w:shd w:val="clear" w:color="auto" w:fill="auto"/>
            <w:noWrap/>
            <w:hideMark/>
          </w:tcPr>
          <w:p w14:paraId="1CFAA8D7"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3.00</w:t>
            </w:r>
          </w:p>
        </w:tc>
        <w:tc>
          <w:tcPr>
            <w:tcW w:w="228" w:type="pct"/>
            <w:tcBorders>
              <w:top w:val="nil"/>
              <w:left w:val="nil"/>
              <w:bottom w:val="nil"/>
              <w:right w:val="nil"/>
            </w:tcBorders>
            <w:shd w:val="clear" w:color="auto" w:fill="auto"/>
            <w:noWrap/>
            <w:hideMark/>
          </w:tcPr>
          <w:p w14:paraId="572C0B7B" w14:textId="77777777" w:rsidR="00940AAB" w:rsidRPr="00940AAB" w:rsidRDefault="00940AAB" w:rsidP="00940AAB">
            <w:pPr>
              <w:spacing w:after="0" w:line="240" w:lineRule="auto"/>
              <w:jc w:val="center"/>
              <w:rPr>
                <w:rFonts w:ascii="Arial" w:eastAsia="Times New Roman" w:hAnsi="Arial" w:cs="Arial"/>
              </w:rPr>
            </w:pPr>
          </w:p>
        </w:tc>
        <w:tc>
          <w:tcPr>
            <w:tcW w:w="369" w:type="pct"/>
            <w:tcBorders>
              <w:top w:val="nil"/>
              <w:left w:val="nil"/>
              <w:bottom w:val="nil"/>
              <w:right w:val="nil"/>
            </w:tcBorders>
            <w:shd w:val="clear" w:color="auto" w:fill="auto"/>
            <w:noWrap/>
            <w:hideMark/>
          </w:tcPr>
          <w:p w14:paraId="4FC1638C"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3.17</w:t>
            </w:r>
          </w:p>
        </w:tc>
        <w:tc>
          <w:tcPr>
            <w:tcW w:w="228" w:type="pct"/>
            <w:tcBorders>
              <w:top w:val="nil"/>
              <w:left w:val="nil"/>
              <w:bottom w:val="nil"/>
              <w:right w:val="nil"/>
            </w:tcBorders>
            <w:shd w:val="clear" w:color="auto" w:fill="auto"/>
            <w:noWrap/>
            <w:hideMark/>
          </w:tcPr>
          <w:p w14:paraId="4914C0FC" w14:textId="77777777" w:rsidR="00940AAB" w:rsidRPr="00940AAB" w:rsidRDefault="00940AAB" w:rsidP="00940AAB">
            <w:pPr>
              <w:spacing w:after="0" w:line="240" w:lineRule="auto"/>
              <w:jc w:val="center"/>
              <w:rPr>
                <w:rFonts w:ascii="Arial" w:eastAsia="Times New Roman" w:hAnsi="Arial" w:cs="Arial"/>
              </w:rPr>
            </w:pPr>
          </w:p>
        </w:tc>
        <w:tc>
          <w:tcPr>
            <w:tcW w:w="338" w:type="pct"/>
            <w:tcBorders>
              <w:top w:val="nil"/>
              <w:left w:val="nil"/>
              <w:bottom w:val="nil"/>
              <w:right w:val="nil"/>
            </w:tcBorders>
            <w:shd w:val="clear" w:color="auto" w:fill="auto"/>
            <w:noWrap/>
            <w:hideMark/>
          </w:tcPr>
          <w:p w14:paraId="3C3C5631"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3.83</w:t>
            </w:r>
          </w:p>
        </w:tc>
      </w:tr>
      <w:tr w:rsidR="00940AAB" w:rsidRPr="00940AAB" w14:paraId="0D3EAA40" w14:textId="77777777" w:rsidTr="00940AAB">
        <w:trPr>
          <w:trHeight w:val="300"/>
        </w:trPr>
        <w:tc>
          <w:tcPr>
            <w:tcW w:w="502" w:type="pct"/>
            <w:gridSpan w:val="2"/>
            <w:tcBorders>
              <w:top w:val="nil"/>
              <w:left w:val="nil"/>
              <w:bottom w:val="nil"/>
              <w:right w:val="nil"/>
            </w:tcBorders>
            <w:shd w:val="clear" w:color="auto" w:fill="auto"/>
            <w:noWrap/>
            <w:hideMark/>
          </w:tcPr>
          <w:p w14:paraId="73A14119" w14:textId="77777777" w:rsidR="00940AAB" w:rsidRPr="00940AAB" w:rsidRDefault="00940AAB" w:rsidP="00940AAB">
            <w:pPr>
              <w:spacing w:after="0" w:line="240" w:lineRule="auto"/>
              <w:rPr>
                <w:rFonts w:ascii="Arial" w:eastAsia="Times New Roman" w:hAnsi="Arial" w:cs="Arial"/>
              </w:rPr>
            </w:pPr>
            <w:r w:rsidRPr="00940AAB">
              <w:rPr>
                <w:rFonts w:ascii="Arial" w:eastAsia="Times New Roman" w:hAnsi="Arial" w:cs="Arial"/>
              </w:rPr>
              <w:t>66.6</w:t>
            </w:r>
          </w:p>
        </w:tc>
        <w:tc>
          <w:tcPr>
            <w:tcW w:w="354" w:type="pct"/>
            <w:tcBorders>
              <w:top w:val="nil"/>
              <w:left w:val="nil"/>
              <w:bottom w:val="nil"/>
              <w:right w:val="nil"/>
            </w:tcBorders>
            <w:shd w:val="clear" w:color="auto" w:fill="auto"/>
            <w:noWrap/>
            <w:hideMark/>
          </w:tcPr>
          <w:p w14:paraId="0C4B5326"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5.14</w:t>
            </w:r>
          </w:p>
        </w:tc>
        <w:tc>
          <w:tcPr>
            <w:tcW w:w="71" w:type="pct"/>
            <w:tcBorders>
              <w:top w:val="nil"/>
              <w:left w:val="nil"/>
              <w:bottom w:val="nil"/>
              <w:right w:val="nil"/>
            </w:tcBorders>
            <w:shd w:val="clear" w:color="auto" w:fill="auto"/>
            <w:noWrap/>
            <w:hideMark/>
          </w:tcPr>
          <w:p w14:paraId="40C17E0B" w14:textId="77777777" w:rsidR="00940AAB" w:rsidRPr="00940AAB" w:rsidRDefault="00940AAB" w:rsidP="00940AAB">
            <w:pPr>
              <w:spacing w:after="0" w:line="240" w:lineRule="auto"/>
              <w:jc w:val="center"/>
              <w:rPr>
                <w:rFonts w:ascii="Arial" w:eastAsia="Times New Roman" w:hAnsi="Arial" w:cs="Arial"/>
              </w:rPr>
            </w:pPr>
          </w:p>
        </w:tc>
        <w:tc>
          <w:tcPr>
            <w:tcW w:w="384" w:type="pct"/>
            <w:tcBorders>
              <w:top w:val="nil"/>
              <w:left w:val="nil"/>
              <w:bottom w:val="nil"/>
              <w:right w:val="nil"/>
            </w:tcBorders>
            <w:shd w:val="clear" w:color="auto" w:fill="auto"/>
            <w:noWrap/>
            <w:hideMark/>
          </w:tcPr>
          <w:p w14:paraId="5A0D5066"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5.15</w:t>
            </w:r>
          </w:p>
        </w:tc>
        <w:tc>
          <w:tcPr>
            <w:tcW w:w="335" w:type="pct"/>
            <w:tcBorders>
              <w:top w:val="nil"/>
              <w:left w:val="nil"/>
              <w:bottom w:val="nil"/>
              <w:right w:val="nil"/>
            </w:tcBorders>
          </w:tcPr>
          <w:p w14:paraId="03101231" w14:textId="4E9848C4"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color w:val="000000"/>
                <w:lang w:val="es-UY" w:eastAsia="es-UY"/>
              </w:rPr>
              <w:t>3.67</w:t>
            </w:r>
          </w:p>
        </w:tc>
        <w:tc>
          <w:tcPr>
            <w:tcW w:w="231" w:type="pct"/>
            <w:tcBorders>
              <w:top w:val="nil"/>
              <w:left w:val="nil"/>
              <w:bottom w:val="nil"/>
              <w:right w:val="nil"/>
            </w:tcBorders>
            <w:shd w:val="clear" w:color="auto" w:fill="auto"/>
            <w:noWrap/>
          </w:tcPr>
          <w:p w14:paraId="4BD2422E" w14:textId="5644CC39" w:rsidR="00940AAB" w:rsidRPr="00940AAB" w:rsidRDefault="00940AAB" w:rsidP="00940AAB">
            <w:pPr>
              <w:spacing w:after="0" w:line="240" w:lineRule="auto"/>
              <w:jc w:val="center"/>
              <w:rPr>
                <w:rFonts w:ascii="Arial" w:eastAsia="Times New Roman" w:hAnsi="Arial" w:cs="Arial"/>
              </w:rPr>
            </w:pPr>
          </w:p>
        </w:tc>
        <w:tc>
          <w:tcPr>
            <w:tcW w:w="412" w:type="pct"/>
            <w:tcBorders>
              <w:top w:val="nil"/>
              <w:left w:val="nil"/>
              <w:bottom w:val="nil"/>
              <w:right w:val="nil"/>
            </w:tcBorders>
            <w:shd w:val="clear" w:color="auto" w:fill="auto"/>
            <w:noWrap/>
            <w:hideMark/>
          </w:tcPr>
          <w:p w14:paraId="5C41B27B"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3.67</w:t>
            </w:r>
          </w:p>
        </w:tc>
        <w:tc>
          <w:tcPr>
            <w:tcW w:w="358" w:type="pct"/>
            <w:tcBorders>
              <w:top w:val="nil"/>
              <w:left w:val="nil"/>
              <w:bottom w:val="nil"/>
              <w:right w:val="nil"/>
            </w:tcBorders>
            <w:shd w:val="clear" w:color="auto" w:fill="auto"/>
            <w:noWrap/>
            <w:hideMark/>
          </w:tcPr>
          <w:p w14:paraId="5F68F55E"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3.50</w:t>
            </w:r>
          </w:p>
        </w:tc>
        <w:tc>
          <w:tcPr>
            <w:tcW w:w="229" w:type="pct"/>
            <w:tcBorders>
              <w:top w:val="nil"/>
              <w:left w:val="nil"/>
              <w:bottom w:val="nil"/>
              <w:right w:val="nil"/>
            </w:tcBorders>
            <w:shd w:val="clear" w:color="auto" w:fill="auto"/>
            <w:noWrap/>
            <w:vAlign w:val="bottom"/>
            <w:hideMark/>
          </w:tcPr>
          <w:p w14:paraId="589A0B70" w14:textId="77777777" w:rsidR="00940AAB" w:rsidRPr="00940AAB" w:rsidRDefault="00940AAB" w:rsidP="00940AAB">
            <w:pPr>
              <w:spacing w:after="0" w:line="240" w:lineRule="auto"/>
              <w:jc w:val="center"/>
              <w:rPr>
                <w:rFonts w:ascii="Arial" w:eastAsia="Times New Roman" w:hAnsi="Arial" w:cs="Arial"/>
              </w:rPr>
            </w:pPr>
          </w:p>
        </w:tc>
        <w:tc>
          <w:tcPr>
            <w:tcW w:w="427" w:type="pct"/>
            <w:tcBorders>
              <w:top w:val="nil"/>
              <w:left w:val="nil"/>
              <w:bottom w:val="nil"/>
              <w:right w:val="nil"/>
            </w:tcBorders>
            <w:shd w:val="clear" w:color="auto" w:fill="auto"/>
            <w:noWrap/>
            <w:hideMark/>
          </w:tcPr>
          <w:p w14:paraId="28B59DEF"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3.50</w:t>
            </w:r>
          </w:p>
        </w:tc>
        <w:tc>
          <w:tcPr>
            <w:tcW w:w="169" w:type="pct"/>
            <w:tcBorders>
              <w:top w:val="nil"/>
              <w:left w:val="nil"/>
              <w:bottom w:val="nil"/>
              <w:right w:val="nil"/>
            </w:tcBorders>
            <w:shd w:val="clear" w:color="auto" w:fill="auto"/>
            <w:noWrap/>
            <w:hideMark/>
          </w:tcPr>
          <w:p w14:paraId="5A788FEC" w14:textId="77777777" w:rsidR="00940AAB" w:rsidRPr="00940AAB" w:rsidRDefault="00940AAB" w:rsidP="00940AAB">
            <w:pPr>
              <w:spacing w:after="0" w:line="240" w:lineRule="auto"/>
              <w:jc w:val="center"/>
              <w:rPr>
                <w:rFonts w:ascii="Arial" w:eastAsia="Times New Roman" w:hAnsi="Arial" w:cs="Arial"/>
              </w:rPr>
            </w:pPr>
          </w:p>
        </w:tc>
        <w:tc>
          <w:tcPr>
            <w:tcW w:w="365" w:type="pct"/>
            <w:tcBorders>
              <w:top w:val="nil"/>
              <w:left w:val="nil"/>
              <w:bottom w:val="nil"/>
              <w:right w:val="nil"/>
            </w:tcBorders>
            <w:shd w:val="clear" w:color="auto" w:fill="auto"/>
            <w:noWrap/>
            <w:hideMark/>
          </w:tcPr>
          <w:p w14:paraId="5E36301E"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3.50</w:t>
            </w:r>
          </w:p>
        </w:tc>
        <w:tc>
          <w:tcPr>
            <w:tcW w:w="228" w:type="pct"/>
            <w:tcBorders>
              <w:top w:val="nil"/>
              <w:left w:val="nil"/>
              <w:bottom w:val="nil"/>
              <w:right w:val="nil"/>
            </w:tcBorders>
            <w:shd w:val="clear" w:color="auto" w:fill="auto"/>
            <w:noWrap/>
            <w:hideMark/>
          </w:tcPr>
          <w:p w14:paraId="5FE0D181" w14:textId="77777777" w:rsidR="00940AAB" w:rsidRPr="00940AAB" w:rsidRDefault="00940AAB" w:rsidP="00940AAB">
            <w:pPr>
              <w:spacing w:after="0" w:line="240" w:lineRule="auto"/>
              <w:jc w:val="center"/>
              <w:rPr>
                <w:rFonts w:ascii="Arial" w:eastAsia="Times New Roman" w:hAnsi="Arial" w:cs="Arial"/>
              </w:rPr>
            </w:pPr>
          </w:p>
        </w:tc>
        <w:tc>
          <w:tcPr>
            <w:tcW w:w="369" w:type="pct"/>
            <w:tcBorders>
              <w:top w:val="nil"/>
              <w:left w:val="nil"/>
              <w:bottom w:val="nil"/>
              <w:right w:val="nil"/>
            </w:tcBorders>
            <w:shd w:val="clear" w:color="auto" w:fill="auto"/>
            <w:noWrap/>
            <w:hideMark/>
          </w:tcPr>
          <w:p w14:paraId="4ED21D33"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3.50</w:t>
            </w:r>
          </w:p>
        </w:tc>
        <w:tc>
          <w:tcPr>
            <w:tcW w:w="228" w:type="pct"/>
            <w:tcBorders>
              <w:top w:val="nil"/>
              <w:left w:val="nil"/>
              <w:bottom w:val="nil"/>
              <w:right w:val="nil"/>
            </w:tcBorders>
            <w:shd w:val="clear" w:color="auto" w:fill="auto"/>
            <w:noWrap/>
            <w:hideMark/>
          </w:tcPr>
          <w:p w14:paraId="6DB71779" w14:textId="77777777" w:rsidR="00940AAB" w:rsidRPr="00940AAB" w:rsidRDefault="00940AAB" w:rsidP="00940AAB">
            <w:pPr>
              <w:spacing w:after="0" w:line="240" w:lineRule="auto"/>
              <w:jc w:val="center"/>
              <w:rPr>
                <w:rFonts w:ascii="Arial" w:eastAsia="Times New Roman" w:hAnsi="Arial" w:cs="Arial"/>
              </w:rPr>
            </w:pPr>
          </w:p>
        </w:tc>
        <w:tc>
          <w:tcPr>
            <w:tcW w:w="338" w:type="pct"/>
            <w:tcBorders>
              <w:top w:val="nil"/>
              <w:left w:val="nil"/>
              <w:bottom w:val="nil"/>
              <w:right w:val="nil"/>
            </w:tcBorders>
            <w:shd w:val="clear" w:color="auto" w:fill="auto"/>
            <w:noWrap/>
            <w:hideMark/>
          </w:tcPr>
          <w:p w14:paraId="240C7704"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4.32</w:t>
            </w:r>
          </w:p>
        </w:tc>
      </w:tr>
      <w:tr w:rsidR="00940AAB" w:rsidRPr="00940AAB" w14:paraId="037DDECF" w14:textId="77777777" w:rsidTr="00940AAB">
        <w:trPr>
          <w:trHeight w:val="300"/>
        </w:trPr>
        <w:tc>
          <w:tcPr>
            <w:tcW w:w="502" w:type="pct"/>
            <w:gridSpan w:val="2"/>
            <w:tcBorders>
              <w:top w:val="nil"/>
              <w:left w:val="nil"/>
              <w:bottom w:val="nil"/>
              <w:right w:val="nil"/>
            </w:tcBorders>
            <w:shd w:val="clear" w:color="auto" w:fill="auto"/>
            <w:noWrap/>
            <w:hideMark/>
          </w:tcPr>
          <w:p w14:paraId="38160BE7" w14:textId="77777777" w:rsidR="00940AAB" w:rsidRPr="00940AAB" w:rsidRDefault="00940AAB" w:rsidP="00940AAB">
            <w:pPr>
              <w:spacing w:after="0" w:line="240" w:lineRule="auto"/>
              <w:rPr>
                <w:rFonts w:ascii="Arial" w:eastAsia="Times New Roman" w:hAnsi="Arial" w:cs="Arial"/>
              </w:rPr>
            </w:pPr>
            <w:r w:rsidRPr="00940AAB">
              <w:rPr>
                <w:rFonts w:ascii="Arial" w:eastAsia="Times New Roman" w:hAnsi="Arial" w:cs="Arial"/>
              </w:rPr>
              <w:t>75</w:t>
            </w:r>
          </w:p>
        </w:tc>
        <w:tc>
          <w:tcPr>
            <w:tcW w:w="354" w:type="pct"/>
            <w:tcBorders>
              <w:top w:val="nil"/>
              <w:left w:val="nil"/>
              <w:bottom w:val="nil"/>
              <w:right w:val="nil"/>
            </w:tcBorders>
            <w:shd w:val="clear" w:color="auto" w:fill="auto"/>
            <w:noWrap/>
            <w:hideMark/>
          </w:tcPr>
          <w:p w14:paraId="40D36EAA"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5.29</w:t>
            </w:r>
          </w:p>
        </w:tc>
        <w:tc>
          <w:tcPr>
            <w:tcW w:w="71" w:type="pct"/>
            <w:tcBorders>
              <w:top w:val="nil"/>
              <w:left w:val="nil"/>
              <w:bottom w:val="nil"/>
              <w:right w:val="nil"/>
            </w:tcBorders>
            <w:shd w:val="clear" w:color="auto" w:fill="auto"/>
            <w:noWrap/>
            <w:hideMark/>
          </w:tcPr>
          <w:p w14:paraId="0A49501F" w14:textId="77777777" w:rsidR="00940AAB" w:rsidRPr="00940AAB" w:rsidRDefault="00940AAB" w:rsidP="00940AAB">
            <w:pPr>
              <w:spacing w:after="0" w:line="240" w:lineRule="auto"/>
              <w:jc w:val="center"/>
              <w:rPr>
                <w:rFonts w:ascii="Arial" w:eastAsia="Times New Roman" w:hAnsi="Arial" w:cs="Arial"/>
              </w:rPr>
            </w:pPr>
          </w:p>
        </w:tc>
        <w:tc>
          <w:tcPr>
            <w:tcW w:w="384" w:type="pct"/>
            <w:tcBorders>
              <w:top w:val="nil"/>
              <w:left w:val="nil"/>
              <w:bottom w:val="nil"/>
              <w:right w:val="nil"/>
            </w:tcBorders>
            <w:shd w:val="clear" w:color="auto" w:fill="auto"/>
            <w:noWrap/>
            <w:hideMark/>
          </w:tcPr>
          <w:p w14:paraId="39935901"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5.46</w:t>
            </w:r>
          </w:p>
        </w:tc>
        <w:tc>
          <w:tcPr>
            <w:tcW w:w="335" w:type="pct"/>
            <w:tcBorders>
              <w:top w:val="nil"/>
              <w:left w:val="nil"/>
              <w:bottom w:val="nil"/>
              <w:right w:val="nil"/>
            </w:tcBorders>
          </w:tcPr>
          <w:p w14:paraId="1C1ACB4B" w14:textId="432C53F8"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color w:val="000000"/>
                <w:lang w:val="es-UY" w:eastAsia="es-UY"/>
              </w:rPr>
              <w:t>4.00</w:t>
            </w:r>
          </w:p>
        </w:tc>
        <w:tc>
          <w:tcPr>
            <w:tcW w:w="231" w:type="pct"/>
            <w:tcBorders>
              <w:top w:val="nil"/>
              <w:left w:val="nil"/>
              <w:bottom w:val="nil"/>
              <w:right w:val="nil"/>
            </w:tcBorders>
            <w:shd w:val="clear" w:color="auto" w:fill="auto"/>
            <w:noWrap/>
          </w:tcPr>
          <w:p w14:paraId="64CA477D" w14:textId="285B9A19" w:rsidR="00940AAB" w:rsidRPr="00940AAB" w:rsidRDefault="00940AAB" w:rsidP="00940AAB">
            <w:pPr>
              <w:spacing w:after="0" w:line="240" w:lineRule="auto"/>
              <w:jc w:val="center"/>
              <w:rPr>
                <w:rFonts w:ascii="Arial" w:eastAsia="Times New Roman" w:hAnsi="Arial" w:cs="Arial"/>
              </w:rPr>
            </w:pPr>
          </w:p>
        </w:tc>
        <w:tc>
          <w:tcPr>
            <w:tcW w:w="412" w:type="pct"/>
            <w:tcBorders>
              <w:top w:val="nil"/>
              <w:left w:val="nil"/>
              <w:bottom w:val="nil"/>
              <w:right w:val="nil"/>
            </w:tcBorders>
            <w:shd w:val="clear" w:color="auto" w:fill="auto"/>
            <w:noWrap/>
            <w:hideMark/>
          </w:tcPr>
          <w:p w14:paraId="3F25753B"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4.17</w:t>
            </w:r>
          </w:p>
        </w:tc>
        <w:tc>
          <w:tcPr>
            <w:tcW w:w="358" w:type="pct"/>
            <w:tcBorders>
              <w:top w:val="nil"/>
              <w:left w:val="nil"/>
              <w:bottom w:val="nil"/>
              <w:right w:val="nil"/>
            </w:tcBorders>
            <w:shd w:val="clear" w:color="auto" w:fill="auto"/>
            <w:noWrap/>
            <w:hideMark/>
          </w:tcPr>
          <w:p w14:paraId="1B0F24B7"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4.00</w:t>
            </w:r>
          </w:p>
        </w:tc>
        <w:tc>
          <w:tcPr>
            <w:tcW w:w="229" w:type="pct"/>
            <w:tcBorders>
              <w:top w:val="nil"/>
              <w:left w:val="nil"/>
              <w:bottom w:val="nil"/>
              <w:right w:val="nil"/>
            </w:tcBorders>
            <w:shd w:val="clear" w:color="auto" w:fill="auto"/>
            <w:noWrap/>
            <w:vAlign w:val="bottom"/>
            <w:hideMark/>
          </w:tcPr>
          <w:p w14:paraId="2F003083" w14:textId="77777777" w:rsidR="00940AAB" w:rsidRPr="00940AAB" w:rsidRDefault="00940AAB" w:rsidP="00940AAB">
            <w:pPr>
              <w:spacing w:after="0" w:line="240" w:lineRule="auto"/>
              <w:jc w:val="center"/>
              <w:rPr>
                <w:rFonts w:ascii="Arial" w:eastAsia="Times New Roman" w:hAnsi="Arial" w:cs="Arial"/>
              </w:rPr>
            </w:pPr>
          </w:p>
        </w:tc>
        <w:tc>
          <w:tcPr>
            <w:tcW w:w="427" w:type="pct"/>
            <w:tcBorders>
              <w:top w:val="nil"/>
              <w:left w:val="nil"/>
              <w:bottom w:val="nil"/>
              <w:right w:val="nil"/>
            </w:tcBorders>
            <w:shd w:val="clear" w:color="auto" w:fill="auto"/>
            <w:noWrap/>
            <w:hideMark/>
          </w:tcPr>
          <w:p w14:paraId="3551D5A0"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4.00</w:t>
            </w:r>
          </w:p>
        </w:tc>
        <w:tc>
          <w:tcPr>
            <w:tcW w:w="169" w:type="pct"/>
            <w:tcBorders>
              <w:top w:val="nil"/>
              <w:left w:val="nil"/>
              <w:bottom w:val="nil"/>
              <w:right w:val="nil"/>
            </w:tcBorders>
            <w:shd w:val="clear" w:color="auto" w:fill="auto"/>
            <w:noWrap/>
            <w:hideMark/>
          </w:tcPr>
          <w:p w14:paraId="1F7D3245" w14:textId="77777777" w:rsidR="00940AAB" w:rsidRPr="00940AAB" w:rsidRDefault="00940AAB" w:rsidP="00940AAB">
            <w:pPr>
              <w:spacing w:after="0" w:line="240" w:lineRule="auto"/>
              <w:jc w:val="center"/>
              <w:rPr>
                <w:rFonts w:ascii="Arial" w:eastAsia="Times New Roman" w:hAnsi="Arial" w:cs="Arial"/>
              </w:rPr>
            </w:pPr>
          </w:p>
        </w:tc>
        <w:tc>
          <w:tcPr>
            <w:tcW w:w="365" w:type="pct"/>
            <w:tcBorders>
              <w:top w:val="nil"/>
              <w:left w:val="nil"/>
              <w:bottom w:val="nil"/>
              <w:right w:val="nil"/>
            </w:tcBorders>
            <w:shd w:val="clear" w:color="auto" w:fill="auto"/>
            <w:noWrap/>
            <w:hideMark/>
          </w:tcPr>
          <w:p w14:paraId="20FE3E0F"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4.00</w:t>
            </w:r>
          </w:p>
        </w:tc>
        <w:tc>
          <w:tcPr>
            <w:tcW w:w="228" w:type="pct"/>
            <w:tcBorders>
              <w:top w:val="nil"/>
              <w:left w:val="nil"/>
              <w:bottom w:val="nil"/>
              <w:right w:val="nil"/>
            </w:tcBorders>
            <w:shd w:val="clear" w:color="auto" w:fill="auto"/>
            <w:noWrap/>
            <w:hideMark/>
          </w:tcPr>
          <w:p w14:paraId="549F99BE" w14:textId="77777777" w:rsidR="00940AAB" w:rsidRPr="00940AAB" w:rsidRDefault="00940AAB" w:rsidP="00940AAB">
            <w:pPr>
              <w:spacing w:after="0" w:line="240" w:lineRule="auto"/>
              <w:jc w:val="center"/>
              <w:rPr>
                <w:rFonts w:ascii="Arial" w:eastAsia="Times New Roman" w:hAnsi="Arial" w:cs="Arial"/>
              </w:rPr>
            </w:pPr>
          </w:p>
        </w:tc>
        <w:tc>
          <w:tcPr>
            <w:tcW w:w="369" w:type="pct"/>
            <w:tcBorders>
              <w:top w:val="nil"/>
              <w:left w:val="nil"/>
              <w:bottom w:val="nil"/>
              <w:right w:val="nil"/>
            </w:tcBorders>
            <w:shd w:val="clear" w:color="auto" w:fill="auto"/>
            <w:noWrap/>
            <w:hideMark/>
          </w:tcPr>
          <w:p w14:paraId="09D9F521"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4.17</w:t>
            </w:r>
          </w:p>
        </w:tc>
        <w:tc>
          <w:tcPr>
            <w:tcW w:w="228" w:type="pct"/>
            <w:tcBorders>
              <w:top w:val="nil"/>
              <w:left w:val="nil"/>
              <w:bottom w:val="nil"/>
              <w:right w:val="nil"/>
            </w:tcBorders>
            <w:shd w:val="clear" w:color="auto" w:fill="auto"/>
            <w:noWrap/>
            <w:hideMark/>
          </w:tcPr>
          <w:p w14:paraId="099DA412" w14:textId="77777777" w:rsidR="00940AAB" w:rsidRPr="00940AAB" w:rsidRDefault="00940AAB" w:rsidP="00940AAB">
            <w:pPr>
              <w:spacing w:after="0" w:line="240" w:lineRule="auto"/>
              <w:jc w:val="center"/>
              <w:rPr>
                <w:rFonts w:ascii="Arial" w:eastAsia="Times New Roman" w:hAnsi="Arial" w:cs="Arial"/>
              </w:rPr>
            </w:pPr>
          </w:p>
        </w:tc>
        <w:tc>
          <w:tcPr>
            <w:tcW w:w="338" w:type="pct"/>
            <w:tcBorders>
              <w:top w:val="nil"/>
              <w:left w:val="nil"/>
              <w:bottom w:val="nil"/>
              <w:right w:val="nil"/>
            </w:tcBorders>
            <w:shd w:val="clear" w:color="auto" w:fill="auto"/>
            <w:noWrap/>
            <w:hideMark/>
          </w:tcPr>
          <w:p w14:paraId="7FABF90A"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5.00</w:t>
            </w:r>
          </w:p>
        </w:tc>
      </w:tr>
      <w:tr w:rsidR="00940AAB" w:rsidRPr="00940AAB" w14:paraId="4724C5A3" w14:textId="77777777" w:rsidTr="00940AAB">
        <w:trPr>
          <w:trHeight w:val="300"/>
        </w:trPr>
        <w:tc>
          <w:tcPr>
            <w:tcW w:w="502" w:type="pct"/>
            <w:gridSpan w:val="2"/>
            <w:tcBorders>
              <w:top w:val="nil"/>
              <w:left w:val="nil"/>
              <w:bottom w:val="nil"/>
              <w:right w:val="nil"/>
            </w:tcBorders>
            <w:shd w:val="clear" w:color="auto" w:fill="auto"/>
            <w:noWrap/>
            <w:hideMark/>
          </w:tcPr>
          <w:p w14:paraId="0ED96D84" w14:textId="77777777" w:rsidR="00940AAB" w:rsidRPr="00940AAB" w:rsidRDefault="00940AAB" w:rsidP="00940AAB">
            <w:pPr>
              <w:spacing w:after="0" w:line="240" w:lineRule="auto"/>
              <w:rPr>
                <w:rFonts w:ascii="Arial" w:eastAsia="Times New Roman" w:hAnsi="Arial" w:cs="Arial"/>
              </w:rPr>
            </w:pPr>
            <w:r w:rsidRPr="00940AAB">
              <w:rPr>
                <w:rFonts w:ascii="Arial" w:eastAsia="Times New Roman" w:hAnsi="Arial" w:cs="Arial"/>
              </w:rPr>
              <w:t>90</w:t>
            </w:r>
          </w:p>
        </w:tc>
        <w:tc>
          <w:tcPr>
            <w:tcW w:w="354" w:type="pct"/>
            <w:tcBorders>
              <w:top w:val="nil"/>
              <w:left w:val="nil"/>
              <w:bottom w:val="nil"/>
              <w:right w:val="nil"/>
            </w:tcBorders>
            <w:shd w:val="clear" w:color="auto" w:fill="auto"/>
            <w:noWrap/>
            <w:hideMark/>
          </w:tcPr>
          <w:p w14:paraId="464B0AEA"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6.14</w:t>
            </w:r>
          </w:p>
        </w:tc>
        <w:tc>
          <w:tcPr>
            <w:tcW w:w="71" w:type="pct"/>
            <w:tcBorders>
              <w:top w:val="nil"/>
              <w:left w:val="nil"/>
              <w:bottom w:val="nil"/>
              <w:right w:val="nil"/>
            </w:tcBorders>
            <w:shd w:val="clear" w:color="auto" w:fill="auto"/>
            <w:noWrap/>
            <w:hideMark/>
          </w:tcPr>
          <w:p w14:paraId="47EE820F" w14:textId="77777777" w:rsidR="00940AAB" w:rsidRPr="00940AAB" w:rsidRDefault="00940AAB" w:rsidP="00940AAB">
            <w:pPr>
              <w:spacing w:after="0" w:line="240" w:lineRule="auto"/>
              <w:jc w:val="center"/>
              <w:rPr>
                <w:rFonts w:ascii="Arial" w:eastAsia="Times New Roman" w:hAnsi="Arial" w:cs="Arial"/>
              </w:rPr>
            </w:pPr>
          </w:p>
        </w:tc>
        <w:tc>
          <w:tcPr>
            <w:tcW w:w="384" w:type="pct"/>
            <w:tcBorders>
              <w:top w:val="nil"/>
              <w:left w:val="nil"/>
              <w:bottom w:val="nil"/>
              <w:right w:val="nil"/>
            </w:tcBorders>
            <w:shd w:val="clear" w:color="auto" w:fill="auto"/>
            <w:noWrap/>
            <w:hideMark/>
          </w:tcPr>
          <w:p w14:paraId="24004521"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6.08</w:t>
            </w:r>
          </w:p>
        </w:tc>
        <w:tc>
          <w:tcPr>
            <w:tcW w:w="335" w:type="pct"/>
            <w:tcBorders>
              <w:top w:val="nil"/>
              <w:left w:val="nil"/>
              <w:bottom w:val="nil"/>
              <w:right w:val="nil"/>
            </w:tcBorders>
          </w:tcPr>
          <w:p w14:paraId="4DB6A5A3" w14:textId="169E1B4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color w:val="000000"/>
                <w:lang w:val="es-UY" w:eastAsia="es-UY"/>
              </w:rPr>
              <w:t>5.00</w:t>
            </w:r>
          </w:p>
        </w:tc>
        <w:tc>
          <w:tcPr>
            <w:tcW w:w="231" w:type="pct"/>
            <w:tcBorders>
              <w:top w:val="nil"/>
              <w:left w:val="nil"/>
              <w:bottom w:val="nil"/>
              <w:right w:val="nil"/>
            </w:tcBorders>
            <w:shd w:val="clear" w:color="auto" w:fill="auto"/>
            <w:noWrap/>
          </w:tcPr>
          <w:p w14:paraId="3968C7FF" w14:textId="5D33806E" w:rsidR="00940AAB" w:rsidRPr="00940AAB" w:rsidRDefault="00940AAB" w:rsidP="00940AAB">
            <w:pPr>
              <w:spacing w:after="0" w:line="240" w:lineRule="auto"/>
              <w:jc w:val="center"/>
              <w:rPr>
                <w:rFonts w:ascii="Arial" w:eastAsia="Times New Roman" w:hAnsi="Arial" w:cs="Arial"/>
              </w:rPr>
            </w:pPr>
          </w:p>
        </w:tc>
        <w:tc>
          <w:tcPr>
            <w:tcW w:w="412" w:type="pct"/>
            <w:tcBorders>
              <w:top w:val="nil"/>
              <w:left w:val="nil"/>
              <w:bottom w:val="nil"/>
              <w:right w:val="nil"/>
            </w:tcBorders>
            <w:shd w:val="clear" w:color="auto" w:fill="auto"/>
            <w:noWrap/>
            <w:hideMark/>
          </w:tcPr>
          <w:p w14:paraId="03CD66A5"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5.00</w:t>
            </w:r>
          </w:p>
        </w:tc>
        <w:tc>
          <w:tcPr>
            <w:tcW w:w="358" w:type="pct"/>
            <w:tcBorders>
              <w:top w:val="nil"/>
              <w:left w:val="nil"/>
              <w:bottom w:val="nil"/>
              <w:right w:val="nil"/>
            </w:tcBorders>
            <w:shd w:val="clear" w:color="auto" w:fill="auto"/>
            <w:noWrap/>
            <w:hideMark/>
          </w:tcPr>
          <w:p w14:paraId="79E775B8"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5.00</w:t>
            </w:r>
          </w:p>
        </w:tc>
        <w:tc>
          <w:tcPr>
            <w:tcW w:w="229" w:type="pct"/>
            <w:tcBorders>
              <w:top w:val="nil"/>
              <w:left w:val="nil"/>
              <w:bottom w:val="nil"/>
              <w:right w:val="nil"/>
            </w:tcBorders>
            <w:shd w:val="clear" w:color="auto" w:fill="auto"/>
            <w:noWrap/>
            <w:vAlign w:val="bottom"/>
            <w:hideMark/>
          </w:tcPr>
          <w:p w14:paraId="3F9C135F" w14:textId="77777777" w:rsidR="00940AAB" w:rsidRPr="00940AAB" w:rsidRDefault="00940AAB" w:rsidP="00940AAB">
            <w:pPr>
              <w:spacing w:after="0" w:line="240" w:lineRule="auto"/>
              <w:jc w:val="center"/>
              <w:rPr>
                <w:rFonts w:ascii="Arial" w:eastAsia="Times New Roman" w:hAnsi="Arial" w:cs="Arial"/>
              </w:rPr>
            </w:pPr>
          </w:p>
        </w:tc>
        <w:tc>
          <w:tcPr>
            <w:tcW w:w="427" w:type="pct"/>
            <w:tcBorders>
              <w:top w:val="nil"/>
              <w:left w:val="nil"/>
              <w:bottom w:val="nil"/>
              <w:right w:val="nil"/>
            </w:tcBorders>
            <w:shd w:val="clear" w:color="auto" w:fill="auto"/>
            <w:noWrap/>
            <w:hideMark/>
          </w:tcPr>
          <w:p w14:paraId="61A00358"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4.83</w:t>
            </w:r>
          </w:p>
        </w:tc>
        <w:tc>
          <w:tcPr>
            <w:tcW w:w="169" w:type="pct"/>
            <w:tcBorders>
              <w:top w:val="nil"/>
              <w:left w:val="nil"/>
              <w:bottom w:val="nil"/>
              <w:right w:val="nil"/>
            </w:tcBorders>
            <w:shd w:val="clear" w:color="auto" w:fill="auto"/>
            <w:noWrap/>
            <w:hideMark/>
          </w:tcPr>
          <w:p w14:paraId="52AD2D05" w14:textId="77777777" w:rsidR="00940AAB" w:rsidRPr="00940AAB" w:rsidRDefault="00940AAB" w:rsidP="00940AAB">
            <w:pPr>
              <w:spacing w:after="0" w:line="240" w:lineRule="auto"/>
              <w:jc w:val="center"/>
              <w:rPr>
                <w:rFonts w:ascii="Arial" w:eastAsia="Times New Roman" w:hAnsi="Arial" w:cs="Arial"/>
              </w:rPr>
            </w:pPr>
          </w:p>
        </w:tc>
        <w:tc>
          <w:tcPr>
            <w:tcW w:w="365" w:type="pct"/>
            <w:tcBorders>
              <w:top w:val="nil"/>
              <w:left w:val="nil"/>
              <w:bottom w:val="nil"/>
              <w:right w:val="nil"/>
            </w:tcBorders>
            <w:shd w:val="clear" w:color="auto" w:fill="auto"/>
            <w:noWrap/>
            <w:hideMark/>
          </w:tcPr>
          <w:p w14:paraId="58A501CA"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5.00</w:t>
            </w:r>
          </w:p>
        </w:tc>
        <w:tc>
          <w:tcPr>
            <w:tcW w:w="228" w:type="pct"/>
            <w:tcBorders>
              <w:top w:val="nil"/>
              <w:left w:val="nil"/>
              <w:bottom w:val="nil"/>
              <w:right w:val="nil"/>
            </w:tcBorders>
            <w:shd w:val="clear" w:color="auto" w:fill="auto"/>
            <w:noWrap/>
            <w:hideMark/>
          </w:tcPr>
          <w:p w14:paraId="4D428E94" w14:textId="77777777" w:rsidR="00940AAB" w:rsidRPr="00940AAB" w:rsidRDefault="00940AAB" w:rsidP="00940AAB">
            <w:pPr>
              <w:spacing w:after="0" w:line="240" w:lineRule="auto"/>
              <w:jc w:val="center"/>
              <w:rPr>
                <w:rFonts w:ascii="Arial" w:eastAsia="Times New Roman" w:hAnsi="Arial" w:cs="Arial"/>
              </w:rPr>
            </w:pPr>
          </w:p>
        </w:tc>
        <w:tc>
          <w:tcPr>
            <w:tcW w:w="369" w:type="pct"/>
            <w:tcBorders>
              <w:top w:val="nil"/>
              <w:left w:val="nil"/>
              <w:bottom w:val="nil"/>
              <w:right w:val="nil"/>
            </w:tcBorders>
            <w:shd w:val="clear" w:color="auto" w:fill="auto"/>
            <w:noWrap/>
            <w:hideMark/>
          </w:tcPr>
          <w:p w14:paraId="0D64A8B3"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5.00</w:t>
            </w:r>
          </w:p>
        </w:tc>
        <w:tc>
          <w:tcPr>
            <w:tcW w:w="228" w:type="pct"/>
            <w:tcBorders>
              <w:top w:val="nil"/>
              <w:left w:val="nil"/>
              <w:bottom w:val="nil"/>
              <w:right w:val="nil"/>
            </w:tcBorders>
            <w:shd w:val="clear" w:color="auto" w:fill="auto"/>
            <w:noWrap/>
            <w:hideMark/>
          </w:tcPr>
          <w:p w14:paraId="69A881D7" w14:textId="77777777" w:rsidR="00940AAB" w:rsidRPr="00940AAB" w:rsidRDefault="00940AAB" w:rsidP="00940AAB">
            <w:pPr>
              <w:spacing w:after="0" w:line="240" w:lineRule="auto"/>
              <w:jc w:val="center"/>
              <w:rPr>
                <w:rFonts w:ascii="Arial" w:eastAsia="Times New Roman" w:hAnsi="Arial" w:cs="Arial"/>
              </w:rPr>
            </w:pPr>
          </w:p>
        </w:tc>
        <w:tc>
          <w:tcPr>
            <w:tcW w:w="338" w:type="pct"/>
            <w:tcBorders>
              <w:top w:val="nil"/>
              <w:left w:val="nil"/>
              <w:bottom w:val="nil"/>
              <w:right w:val="nil"/>
            </w:tcBorders>
            <w:shd w:val="clear" w:color="auto" w:fill="auto"/>
            <w:noWrap/>
            <w:hideMark/>
          </w:tcPr>
          <w:p w14:paraId="0089F265"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5.50</w:t>
            </w:r>
          </w:p>
        </w:tc>
      </w:tr>
      <w:tr w:rsidR="00940AAB" w:rsidRPr="00940AAB" w14:paraId="58CB5F52" w14:textId="77777777" w:rsidTr="00940AAB">
        <w:trPr>
          <w:trHeight w:val="300"/>
        </w:trPr>
        <w:tc>
          <w:tcPr>
            <w:tcW w:w="502" w:type="pct"/>
            <w:gridSpan w:val="2"/>
            <w:tcBorders>
              <w:top w:val="nil"/>
              <w:left w:val="nil"/>
              <w:bottom w:val="single" w:sz="4" w:space="0" w:color="auto"/>
              <w:right w:val="nil"/>
            </w:tcBorders>
            <w:shd w:val="clear" w:color="auto" w:fill="auto"/>
            <w:noWrap/>
            <w:hideMark/>
          </w:tcPr>
          <w:p w14:paraId="68BED9DA" w14:textId="77777777" w:rsidR="00940AAB" w:rsidRPr="00940AAB" w:rsidRDefault="00940AAB" w:rsidP="00940AAB">
            <w:pPr>
              <w:spacing w:after="0" w:line="240" w:lineRule="auto"/>
              <w:rPr>
                <w:rFonts w:ascii="Arial" w:eastAsia="Times New Roman" w:hAnsi="Arial" w:cs="Arial"/>
              </w:rPr>
            </w:pPr>
            <w:r w:rsidRPr="00940AAB">
              <w:rPr>
                <w:rFonts w:ascii="Arial" w:eastAsia="Times New Roman" w:hAnsi="Arial" w:cs="Arial"/>
              </w:rPr>
              <w:t>95</w:t>
            </w:r>
          </w:p>
        </w:tc>
        <w:tc>
          <w:tcPr>
            <w:tcW w:w="354" w:type="pct"/>
            <w:tcBorders>
              <w:top w:val="nil"/>
              <w:left w:val="nil"/>
              <w:bottom w:val="single" w:sz="4" w:space="0" w:color="auto"/>
              <w:right w:val="nil"/>
            </w:tcBorders>
            <w:shd w:val="clear" w:color="auto" w:fill="auto"/>
            <w:noWrap/>
            <w:hideMark/>
          </w:tcPr>
          <w:p w14:paraId="7CB86B1D"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6.43</w:t>
            </w:r>
          </w:p>
        </w:tc>
        <w:tc>
          <w:tcPr>
            <w:tcW w:w="71" w:type="pct"/>
            <w:tcBorders>
              <w:top w:val="nil"/>
              <w:left w:val="nil"/>
              <w:bottom w:val="single" w:sz="4" w:space="0" w:color="auto"/>
              <w:right w:val="nil"/>
            </w:tcBorders>
            <w:shd w:val="clear" w:color="auto" w:fill="auto"/>
            <w:noWrap/>
            <w:hideMark/>
          </w:tcPr>
          <w:p w14:paraId="49F23F74" w14:textId="77777777" w:rsidR="00940AAB" w:rsidRPr="00940AAB" w:rsidRDefault="00940AAB" w:rsidP="00940AAB">
            <w:pPr>
              <w:spacing w:after="0" w:line="240" w:lineRule="auto"/>
              <w:jc w:val="center"/>
              <w:rPr>
                <w:rFonts w:ascii="Arial" w:eastAsia="Times New Roman" w:hAnsi="Arial" w:cs="Arial"/>
              </w:rPr>
            </w:pPr>
          </w:p>
        </w:tc>
        <w:tc>
          <w:tcPr>
            <w:tcW w:w="384" w:type="pct"/>
            <w:tcBorders>
              <w:top w:val="nil"/>
              <w:left w:val="nil"/>
              <w:bottom w:val="single" w:sz="4" w:space="0" w:color="auto"/>
              <w:right w:val="nil"/>
            </w:tcBorders>
            <w:shd w:val="clear" w:color="auto" w:fill="auto"/>
            <w:noWrap/>
            <w:hideMark/>
          </w:tcPr>
          <w:p w14:paraId="6D793229"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6.38</w:t>
            </w:r>
          </w:p>
        </w:tc>
        <w:tc>
          <w:tcPr>
            <w:tcW w:w="335" w:type="pct"/>
            <w:tcBorders>
              <w:top w:val="nil"/>
              <w:left w:val="nil"/>
              <w:bottom w:val="single" w:sz="4" w:space="0" w:color="auto"/>
              <w:right w:val="nil"/>
            </w:tcBorders>
          </w:tcPr>
          <w:p w14:paraId="79DA660B" w14:textId="4A891F86"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color w:val="000000"/>
                <w:lang w:val="es-UY" w:eastAsia="es-UY"/>
              </w:rPr>
              <w:t>5.67</w:t>
            </w:r>
          </w:p>
        </w:tc>
        <w:tc>
          <w:tcPr>
            <w:tcW w:w="231" w:type="pct"/>
            <w:tcBorders>
              <w:top w:val="nil"/>
              <w:left w:val="nil"/>
              <w:bottom w:val="single" w:sz="4" w:space="0" w:color="auto"/>
              <w:right w:val="nil"/>
            </w:tcBorders>
            <w:shd w:val="clear" w:color="auto" w:fill="auto"/>
            <w:noWrap/>
          </w:tcPr>
          <w:p w14:paraId="5D8633BF" w14:textId="1BD2E384" w:rsidR="00940AAB" w:rsidRPr="00940AAB" w:rsidRDefault="00940AAB" w:rsidP="00940AAB">
            <w:pPr>
              <w:spacing w:after="0" w:line="240" w:lineRule="auto"/>
              <w:jc w:val="center"/>
              <w:rPr>
                <w:rFonts w:ascii="Arial" w:eastAsia="Times New Roman" w:hAnsi="Arial" w:cs="Arial"/>
              </w:rPr>
            </w:pPr>
          </w:p>
        </w:tc>
        <w:tc>
          <w:tcPr>
            <w:tcW w:w="412" w:type="pct"/>
            <w:tcBorders>
              <w:top w:val="nil"/>
              <w:left w:val="nil"/>
              <w:bottom w:val="single" w:sz="4" w:space="0" w:color="auto"/>
              <w:right w:val="nil"/>
            </w:tcBorders>
            <w:shd w:val="clear" w:color="auto" w:fill="auto"/>
            <w:noWrap/>
            <w:hideMark/>
          </w:tcPr>
          <w:p w14:paraId="007C131D"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5.83</w:t>
            </w:r>
          </w:p>
        </w:tc>
        <w:tc>
          <w:tcPr>
            <w:tcW w:w="358" w:type="pct"/>
            <w:tcBorders>
              <w:top w:val="nil"/>
              <w:left w:val="nil"/>
              <w:bottom w:val="single" w:sz="4" w:space="0" w:color="auto"/>
              <w:right w:val="nil"/>
            </w:tcBorders>
            <w:shd w:val="clear" w:color="auto" w:fill="auto"/>
            <w:noWrap/>
            <w:hideMark/>
          </w:tcPr>
          <w:p w14:paraId="32F5E227"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5.61</w:t>
            </w:r>
          </w:p>
        </w:tc>
        <w:tc>
          <w:tcPr>
            <w:tcW w:w="229" w:type="pct"/>
            <w:tcBorders>
              <w:top w:val="nil"/>
              <w:left w:val="nil"/>
              <w:bottom w:val="single" w:sz="4" w:space="0" w:color="auto"/>
              <w:right w:val="nil"/>
            </w:tcBorders>
            <w:shd w:val="clear" w:color="auto" w:fill="auto"/>
            <w:noWrap/>
            <w:vAlign w:val="bottom"/>
            <w:hideMark/>
          </w:tcPr>
          <w:p w14:paraId="1DF1C8DD" w14:textId="77777777" w:rsidR="00940AAB" w:rsidRPr="00940AAB" w:rsidRDefault="00940AAB" w:rsidP="00940AAB">
            <w:pPr>
              <w:spacing w:after="0" w:line="240" w:lineRule="auto"/>
              <w:jc w:val="center"/>
              <w:rPr>
                <w:rFonts w:ascii="Arial" w:eastAsia="Times New Roman" w:hAnsi="Arial" w:cs="Arial"/>
              </w:rPr>
            </w:pPr>
          </w:p>
        </w:tc>
        <w:tc>
          <w:tcPr>
            <w:tcW w:w="427" w:type="pct"/>
            <w:tcBorders>
              <w:top w:val="nil"/>
              <w:left w:val="nil"/>
              <w:bottom w:val="nil"/>
              <w:right w:val="nil"/>
            </w:tcBorders>
            <w:shd w:val="clear" w:color="auto" w:fill="auto"/>
            <w:noWrap/>
            <w:hideMark/>
          </w:tcPr>
          <w:p w14:paraId="5FB38B54"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5.50</w:t>
            </w:r>
          </w:p>
        </w:tc>
        <w:tc>
          <w:tcPr>
            <w:tcW w:w="169" w:type="pct"/>
            <w:tcBorders>
              <w:top w:val="nil"/>
              <w:left w:val="nil"/>
              <w:bottom w:val="nil"/>
              <w:right w:val="nil"/>
            </w:tcBorders>
            <w:shd w:val="clear" w:color="auto" w:fill="auto"/>
            <w:noWrap/>
            <w:hideMark/>
          </w:tcPr>
          <w:p w14:paraId="05F51130" w14:textId="77777777" w:rsidR="00940AAB" w:rsidRPr="00940AAB" w:rsidRDefault="00940AAB" w:rsidP="00940AAB">
            <w:pPr>
              <w:spacing w:after="0" w:line="240" w:lineRule="auto"/>
              <w:jc w:val="center"/>
              <w:rPr>
                <w:rFonts w:ascii="Arial" w:eastAsia="Times New Roman" w:hAnsi="Arial" w:cs="Arial"/>
              </w:rPr>
            </w:pPr>
          </w:p>
        </w:tc>
        <w:tc>
          <w:tcPr>
            <w:tcW w:w="365" w:type="pct"/>
            <w:tcBorders>
              <w:top w:val="nil"/>
              <w:left w:val="nil"/>
              <w:bottom w:val="nil"/>
              <w:right w:val="nil"/>
            </w:tcBorders>
            <w:shd w:val="clear" w:color="auto" w:fill="auto"/>
            <w:noWrap/>
            <w:hideMark/>
          </w:tcPr>
          <w:p w14:paraId="25A11D61"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5.78</w:t>
            </w:r>
          </w:p>
        </w:tc>
        <w:tc>
          <w:tcPr>
            <w:tcW w:w="228" w:type="pct"/>
            <w:tcBorders>
              <w:top w:val="nil"/>
              <w:left w:val="nil"/>
              <w:bottom w:val="nil"/>
              <w:right w:val="nil"/>
            </w:tcBorders>
            <w:shd w:val="clear" w:color="auto" w:fill="auto"/>
            <w:noWrap/>
            <w:hideMark/>
          </w:tcPr>
          <w:p w14:paraId="30F0DBE5" w14:textId="77777777" w:rsidR="00940AAB" w:rsidRPr="00940AAB" w:rsidRDefault="00940AAB" w:rsidP="00940AAB">
            <w:pPr>
              <w:spacing w:after="0" w:line="240" w:lineRule="auto"/>
              <w:jc w:val="center"/>
              <w:rPr>
                <w:rFonts w:ascii="Arial" w:eastAsia="Times New Roman" w:hAnsi="Arial" w:cs="Arial"/>
              </w:rPr>
            </w:pPr>
          </w:p>
        </w:tc>
        <w:tc>
          <w:tcPr>
            <w:tcW w:w="369" w:type="pct"/>
            <w:tcBorders>
              <w:top w:val="nil"/>
              <w:left w:val="nil"/>
              <w:bottom w:val="nil"/>
              <w:right w:val="nil"/>
            </w:tcBorders>
            <w:shd w:val="clear" w:color="auto" w:fill="auto"/>
            <w:noWrap/>
            <w:hideMark/>
          </w:tcPr>
          <w:p w14:paraId="2330A8E0"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6.00</w:t>
            </w:r>
          </w:p>
        </w:tc>
        <w:tc>
          <w:tcPr>
            <w:tcW w:w="228" w:type="pct"/>
            <w:tcBorders>
              <w:top w:val="nil"/>
              <w:left w:val="nil"/>
              <w:bottom w:val="nil"/>
              <w:right w:val="nil"/>
            </w:tcBorders>
            <w:shd w:val="clear" w:color="auto" w:fill="auto"/>
            <w:noWrap/>
            <w:hideMark/>
          </w:tcPr>
          <w:p w14:paraId="1CCB5432" w14:textId="77777777" w:rsidR="00940AAB" w:rsidRPr="00940AAB" w:rsidRDefault="00940AAB" w:rsidP="00940AAB">
            <w:pPr>
              <w:spacing w:after="0" w:line="240" w:lineRule="auto"/>
              <w:jc w:val="center"/>
              <w:rPr>
                <w:rFonts w:ascii="Arial" w:eastAsia="Times New Roman" w:hAnsi="Arial" w:cs="Arial"/>
              </w:rPr>
            </w:pPr>
          </w:p>
        </w:tc>
        <w:tc>
          <w:tcPr>
            <w:tcW w:w="338" w:type="pct"/>
            <w:tcBorders>
              <w:top w:val="nil"/>
              <w:left w:val="nil"/>
              <w:bottom w:val="nil"/>
              <w:right w:val="nil"/>
            </w:tcBorders>
            <w:shd w:val="clear" w:color="auto" w:fill="auto"/>
            <w:noWrap/>
            <w:hideMark/>
          </w:tcPr>
          <w:p w14:paraId="3F69CC32" w14:textId="77777777" w:rsidR="00940AAB" w:rsidRPr="00940AAB" w:rsidRDefault="00940AAB" w:rsidP="00940AAB">
            <w:pPr>
              <w:spacing w:after="0" w:line="240" w:lineRule="auto"/>
              <w:jc w:val="center"/>
              <w:rPr>
                <w:rFonts w:ascii="Arial" w:eastAsia="Times New Roman" w:hAnsi="Arial" w:cs="Arial"/>
              </w:rPr>
            </w:pPr>
            <w:r w:rsidRPr="00940AAB">
              <w:rPr>
                <w:rFonts w:ascii="Arial" w:eastAsia="Times New Roman" w:hAnsi="Arial" w:cs="Arial"/>
              </w:rPr>
              <w:t>6.24</w:t>
            </w:r>
          </w:p>
        </w:tc>
      </w:tr>
      <w:tr w:rsidR="00940AAB" w:rsidRPr="00533A51" w14:paraId="700C34D5" w14:textId="77777777" w:rsidTr="00940AAB">
        <w:trPr>
          <w:trHeight w:val="300"/>
        </w:trPr>
        <w:tc>
          <w:tcPr>
            <w:tcW w:w="51" w:type="pct"/>
            <w:tcBorders>
              <w:top w:val="single" w:sz="4" w:space="0" w:color="auto"/>
              <w:left w:val="nil"/>
              <w:bottom w:val="nil"/>
              <w:right w:val="nil"/>
            </w:tcBorders>
          </w:tcPr>
          <w:p w14:paraId="20A1D0F7" w14:textId="77777777" w:rsidR="00940AAB" w:rsidRPr="00940AAB" w:rsidRDefault="00940AAB" w:rsidP="00731076">
            <w:pPr>
              <w:spacing w:after="0" w:line="240" w:lineRule="auto"/>
              <w:rPr>
                <w:rFonts w:ascii="Arial" w:eastAsia="Times New Roman" w:hAnsi="Arial" w:cs="Arial"/>
                <w:i/>
                <w:iCs/>
                <w:lang w:val="es-UY"/>
              </w:rPr>
            </w:pPr>
          </w:p>
        </w:tc>
        <w:tc>
          <w:tcPr>
            <w:tcW w:w="4948" w:type="pct"/>
            <w:gridSpan w:val="16"/>
            <w:tcBorders>
              <w:top w:val="single" w:sz="4" w:space="0" w:color="auto"/>
              <w:left w:val="nil"/>
              <w:bottom w:val="nil"/>
              <w:right w:val="nil"/>
            </w:tcBorders>
            <w:shd w:val="clear" w:color="auto" w:fill="auto"/>
            <w:noWrap/>
            <w:vAlign w:val="bottom"/>
            <w:hideMark/>
          </w:tcPr>
          <w:p w14:paraId="0D14BFBC" w14:textId="4A89B998" w:rsidR="00940AAB" w:rsidRPr="00940AAB" w:rsidRDefault="00940AAB" w:rsidP="00731076">
            <w:pPr>
              <w:spacing w:after="0" w:line="240" w:lineRule="auto"/>
              <w:rPr>
                <w:rFonts w:ascii="Arial" w:eastAsia="Times New Roman" w:hAnsi="Arial" w:cs="Arial"/>
                <w:lang w:val="es-UY"/>
              </w:rPr>
            </w:pPr>
            <w:r w:rsidRPr="00940AAB">
              <w:rPr>
                <w:rFonts w:ascii="Arial" w:eastAsia="Times New Roman" w:hAnsi="Arial" w:cs="Arial"/>
                <w:i/>
                <w:iCs/>
                <w:lang w:val="es-UY"/>
              </w:rPr>
              <w:t>Notas.</w:t>
            </w:r>
            <w:r w:rsidRPr="00940AAB">
              <w:rPr>
                <w:rFonts w:ascii="Arial" w:eastAsia="Times New Roman" w:hAnsi="Arial" w:cs="Arial"/>
                <w:lang w:val="es-UY"/>
              </w:rPr>
              <w:t xml:space="preserve"> CCF-I= Consideración de las Consecuencias Inmediatas; CCF-F= Consideración de las Consecuencias Futuras; CCF-T= Consideración de las consecuencias por puntuación total; A= Adulto.</w:t>
            </w:r>
          </w:p>
        </w:tc>
      </w:tr>
    </w:tbl>
    <w:p w14:paraId="1F53CFA9" w14:textId="77777777" w:rsidR="00BD409A" w:rsidRPr="00AE52A4" w:rsidRDefault="00BD409A" w:rsidP="00731076">
      <w:pPr>
        <w:spacing w:line="240" w:lineRule="auto"/>
        <w:jc w:val="both"/>
        <w:rPr>
          <w:rFonts w:ascii="Arial" w:eastAsia="Arial" w:hAnsi="Arial" w:cs="Arial"/>
          <w:sz w:val="24"/>
          <w:szCs w:val="24"/>
          <w:lang w:val="es-UY"/>
        </w:rPr>
      </w:pPr>
    </w:p>
    <w:p w14:paraId="6D5238AB" w14:textId="77777777" w:rsidR="00BD409A" w:rsidRPr="00AE52A4" w:rsidRDefault="00BD409A" w:rsidP="00731076">
      <w:pPr>
        <w:spacing w:line="240" w:lineRule="auto"/>
        <w:rPr>
          <w:rFonts w:ascii="Arial" w:hAnsi="Arial" w:cs="Arial"/>
          <w:sz w:val="24"/>
          <w:szCs w:val="24"/>
          <w:lang w:val="es-UY"/>
        </w:rPr>
      </w:pPr>
    </w:p>
    <w:sectPr w:rsidR="00BD409A" w:rsidRPr="00AE52A4" w:rsidSect="00AE52A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5A754" w14:textId="77777777" w:rsidR="00170719" w:rsidRDefault="00170719" w:rsidP="00AE52A4">
      <w:pPr>
        <w:spacing w:after="0" w:line="240" w:lineRule="auto"/>
      </w:pPr>
      <w:r>
        <w:separator/>
      </w:r>
    </w:p>
  </w:endnote>
  <w:endnote w:type="continuationSeparator" w:id="0">
    <w:p w14:paraId="2106535D" w14:textId="77777777" w:rsidR="00170719" w:rsidRDefault="00170719" w:rsidP="00AE5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184001"/>
      <w:docPartObj>
        <w:docPartGallery w:val="Page Numbers (Bottom of Page)"/>
        <w:docPartUnique/>
      </w:docPartObj>
    </w:sdtPr>
    <w:sdtEndPr/>
    <w:sdtContent>
      <w:p w14:paraId="44D890CD" w14:textId="77777777" w:rsidR="007C5FA5" w:rsidRDefault="007C5FA5">
        <w:pPr>
          <w:pStyle w:val="Piedepgina"/>
          <w:jc w:val="right"/>
        </w:pPr>
        <w:r>
          <w:fldChar w:fldCharType="begin"/>
        </w:r>
        <w:r>
          <w:instrText>PAGE   \* MERGEFORMAT</w:instrText>
        </w:r>
        <w:r>
          <w:fldChar w:fldCharType="separate"/>
        </w:r>
        <w:r>
          <w:rPr>
            <w:lang w:val="es-ES"/>
          </w:rPr>
          <w:t>2</w:t>
        </w:r>
        <w:r>
          <w:fldChar w:fldCharType="end"/>
        </w:r>
      </w:p>
    </w:sdtContent>
  </w:sdt>
  <w:p w14:paraId="4337EFCD" w14:textId="77777777" w:rsidR="007C5FA5" w:rsidRDefault="007C5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B06F7" w14:textId="77777777" w:rsidR="00170719" w:rsidRDefault="00170719" w:rsidP="00AE52A4">
      <w:pPr>
        <w:spacing w:after="0" w:line="240" w:lineRule="auto"/>
      </w:pPr>
      <w:r>
        <w:separator/>
      </w:r>
    </w:p>
  </w:footnote>
  <w:footnote w:type="continuationSeparator" w:id="0">
    <w:p w14:paraId="6637C226" w14:textId="77777777" w:rsidR="00170719" w:rsidRDefault="00170719" w:rsidP="00AE52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9A"/>
    <w:rsid w:val="00062338"/>
    <w:rsid w:val="0008108E"/>
    <w:rsid w:val="000F395B"/>
    <w:rsid w:val="000F58B6"/>
    <w:rsid w:val="00170719"/>
    <w:rsid w:val="00184FDA"/>
    <w:rsid w:val="001917F2"/>
    <w:rsid w:val="001D42A6"/>
    <w:rsid w:val="00297292"/>
    <w:rsid w:val="002F5435"/>
    <w:rsid w:val="00320040"/>
    <w:rsid w:val="00397556"/>
    <w:rsid w:val="003A47B5"/>
    <w:rsid w:val="003F3725"/>
    <w:rsid w:val="00455BAF"/>
    <w:rsid w:val="004978D6"/>
    <w:rsid w:val="00533A51"/>
    <w:rsid w:val="005861CF"/>
    <w:rsid w:val="00590B2E"/>
    <w:rsid w:val="005F072E"/>
    <w:rsid w:val="005F4937"/>
    <w:rsid w:val="00601A2A"/>
    <w:rsid w:val="00690AD4"/>
    <w:rsid w:val="006E78F6"/>
    <w:rsid w:val="006F3298"/>
    <w:rsid w:val="00731076"/>
    <w:rsid w:val="007C5FA5"/>
    <w:rsid w:val="00887DFE"/>
    <w:rsid w:val="00940AAB"/>
    <w:rsid w:val="009C3CB8"/>
    <w:rsid w:val="009D0DD3"/>
    <w:rsid w:val="00A33A95"/>
    <w:rsid w:val="00A37AC0"/>
    <w:rsid w:val="00A60EA6"/>
    <w:rsid w:val="00AD650B"/>
    <w:rsid w:val="00AE52A4"/>
    <w:rsid w:val="00B045AB"/>
    <w:rsid w:val="00B10941"/>
    <w:rsid w:val="00B279D6"/>
    <w:rsid w:val="00B511AF"/>
    <w:rsid w:val="00B87D4F"/>
    <w:rsid w:val="00BC41F3"/>
    <w:rsid w:val="00BD409A"/>
    <w:rsid w:val="00C4485A"/>
    <w:rsid w:val="00CA5847"/>
    <w:rsid w:val="00CC2074"/>
    <w:rsid w:val="00D177BB"/>
    <w:rsid w:val="00D953E1"/>
    <w:rsid w:val="00E046B4"/>
    <w:rsid w:val="00E51B48"/>
    <w:rsid w:val="00F76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B06F"/>
  <w15:chartTrackingRefBased/>
  <w15:docId w15:val="{1BB32662-1E72-4759-AB20-283AB2F6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D409A"/>
    <w:pPr>
      <w:keepNext/>
      <w:keepLines/>
      <w:spacing w:before="40" w:after="0"/>
      <w:outlineLvl w:val="1"/>
    </w:pPr>
    <w:rPr>
      <w:rFonts w:ascii="Times New Roman" w:eastAsia="Times New Roman" w:hAnsi="Times New Roman" w:cs="Times New Roman"/>
      <w:b/>
      <w:sz w:val="24"/>
      <w:szCs w:val="24"/>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D409A"/>
    <w:rPr>
      <w:rFonts w:ascii="Times New Roman" w:eastAsia="Times New Roman" w:hAnsi="Times New Roman" w:cs="Times New Roman"/>
      <w:b/>
      <w:sz w:val="24"/>
      <w:szCs w:val="24"/>
      <w:lang w:val="es-UY" w:eastAsia="es-UY"/>
    </w:rPr>
  </w:style>
  <w:style w:type="paragraph" w:styleId="Encabezado">
    <w:name w:val="header"/>
    <w:basedOn w:val="Normal"/>
    <w:link w:val="EncabezadoCar"/>
    <w:uiPriority w:val="99"/>
    <w:unhideWhenUsed/>
    <w:rsid w:val="00AE52A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E52A4"/>
  </w:style>
  <w:style w:type="paragraph" w:styleId="Piedepgina">
    <w:name w:val="footer"/>
    <w:basedOn w:val="Normal"/>
    <w:link w:val="PiedepginaCar"/>
    <w:uiPriority w:val="99"/>
    <w:unhideWhenUsed/>
    <w:rsid w:val="00AE52A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E52A4"/>
  </w:style>
  <w:style w:type="character" w:customStyle="1" w:styleId="tlid-translation">
    <w:name w:val="tlid-translation"/>
    <w:basedOn w:val="Fuentedeprrafopredeter"/>
    <w:rsid w:val="00887DFE"/>
  </w:style>
  <w:style w:type="paragraph" w:styleId="Textodeglobo">
    <w:name w:val="Balloon Text"/>
    <w:basedOn w:val="Normal"/>
    <w:link w:val="TextodegloboCar"/>
    <w:uiPriority w:val="99"/>
    <w:semiHidden/>
    <w:unhideWhenUsed/>
    <w:rsid w:val="005861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61CF"/>
    <w:rPr>
      <w:rFonts w:ascii="Segoe UI" w:hAnsi="Segoe UI" w:cs="Segoe UI"/>
      <w:sz w:val="18"/>
      <w:szCs w:val="18"/>
    </w:rPr>
  </w:style>
  <w:style w:type="character" w:styleId="Refdecomentario">
    <w:name w:val="annotation reference"/>
    <w:basedOn w:val="Fuentedeprrafopredeter"/>
    <w:uiPriority w:val="99"/>
    <w:semiHidden/>
    <w:unhideWhenUsed/>
    <w:rsid w:val="005861CF"/>
    <w:rPr>
      <w:sz w:val="16"/>
      <w:szCs w:val="16"/>
    </w:rPr>
  </w:style>
  <w:style w:type="paragraph" w:styleId="Textocomentario">
    <w:name w:val="annotation text"/>
    <w:basedOn w:val="Normal"/>
    <w:link w:val="TextocomentarioCar"/>
    <w:uiPriority w:val="99"/>
    <w:semiHidden/>
    <w:unhideWhenUsed/>
    <w:rsid w:val="005861C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61CF"/>
    <w:rPr>
      <w:sz w:val="20"/>
      <w:szCs w:val="20"/>
    </w:rPr>
  </w:style>
  <w:style w:type="paragraph" w:styleId="Asuntodelcomentario">
    <w:name w:val="annotation subject"/>
    <w:basedOn w:val="Textocomentario"/>
    <w:next w:val="Textocomentario"/>
    <w:link w:val="AsuntodelcomentarioCar"/>
    <w:uiPriority w:val="99"/>
    <w:semiHidden/>
    <w:unhideWhenUsed/>
    <w:rsid w:val="005861CF"/>
    <w:rPr>
      <w:b/>
      <w:bCs/>
    </w:rPr>
  </w:style>
  <w:style w:type="character" w:customStyle="1" w:styleId="AsuntodelcomentarioCar">
    <w:name w:val="Asunto del comentario Car"/>
    <w:basedOn w:val="TextocomentarioCar"/>
    <w:link w:val="Asuntodelcomentario"/>
    <w:uiPriority w:val="99"/>
    <w:semiHidden/>
    <w:rsid w:val="005861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168753">
      <w:bodyDiv w:val="1"/>
      <w:marLeft w:val="0"/>
      <w:marRight w:val="0"/>
      <w:marTop w:val="0"/>
      <w:marBottom w:val="0"/>
      <w:divBdr>
        <w:top w:val="none" w:sz="0" w:space="0" w:color="auto"/>
        <w:left w:val="none" w:sz="0" w:space="0" w:color="auto"/>
        <w:bottom w:val="none" w:sz="0" w:space="0" w:color="auto"/>
        <w:right w:val="none" w:sz="0" w:space="0" w:color="auto"/>
      </w:divBdr>
      <w:divsChild>
        <w:div w:id="491412618">
          <w:marLeft w:val="0"/>
          <w:marRight w:val="0"/>
          <w:marTop w:val="0"/>
          <w:marBottom w:val="0"/>
          <w:divBdr>
            <w:top w:val="none" w:sz="0" w:space="0" w:color="auto"/>
            <w:left w:val="none" w:sz="0" w:space="0" w:color="auto"/>
            <w:bottom w:val="none" w:sz="0" w:space="0" w:color="auto"/>
            <w:right w:val="none" w:sz="0" w:space="0" w:color="auto"/>
          </w:divBdr>
          <w:divsChild>
            <w:div w:id="818620930">
              <w:marLeft w:val="0"/>
              <w:marRight w:val="0"/>
              <w:marTop w:val="0"/>
              <w:marBottom w:val="0"/>
              <w:divBdr>
                <w:top w:val="none" w:sz="0" w:space="0" w:color="auto"/>
                <w:left w:val="none" w:sz="0" w:space="0" w:color="auto"/>
                <w:bottom w:val="none" w:sz="0" w:space="0" w:color="auto"/>
                <w:right w:val="none" w:sz="0" w:space="0" w:color="auto"/>
              </w:divBdr>
              <w:divsChild>
                <w:div w:id="1267930765">
                  <w:marLeft w:val="-240"/>
                  <w:marRight w:val="-240"/>
                  <w:marTop w:val="0"/>
                  <w:marBottom w:val="0"/>
                  <w:divBdr>
                    <w:top w:val="none" w:sz="0" w:space="0" w:color="auto"/>
                    <w:left w:val="none" w:sz="0" w:space="0" w:color="auto"/>
                    <w:bottom w:val="none" w:sz="0" w:space="0" w:color="auto"/>
                    <w:right w:val="none" w:sz="0" w:space="0" w:color="auto"/>
                  </w:divBdr>
                  <w:divsChild>
                    <w:div w:id="278922592">
                      <w:marLeft w:val="0"/>
                      <w:marRight w:val="0"/>
                      <w:marTop w:val="0"/>
                      <w:marBottom w:val="0"/>
                      <w:divBdr>
                        <w:top w:val="none" w:sz="0" w:space="0" w:color="auto"/>
                        <w:left w:val="none" w:sz="0" w:space="0" w:color="auto"/>
                        <w:bottom w:val="none" w:sz="0" w:space="0" w:color="auto"/>
                        <w:right w:val="none" w:sz="0" w:space="0" w:color="auto"/>
                      </w:divBdr>
                      <w:divsChild>
                        <w:div w:id="1156263524">
                          <w:marLeft w:val="0"/>
                          <w:marRight w:val="0"/>
                          <w:marTop w:val="0"/>
                          <w:marBottom w:val="0"/>
                          <w:divBdr>
                            <w:top w:val="none" w:sz="0" w:space="0" w:color="auto"/>
                            <w:left w:val="none" w:sz="0" w:space="0" w:color="auto"/>
                            <w:bottom w:val="none" w:sz="0" w:space="0" w:color="auto"/>
                            <w:right w:val="none" w:sz="0" w:space="0" w:color="auto"/>
                          </w:divBdr>
                        </w:div>
                        <w:div w:id="82145982">
                          <w:marLeft w:val="0"/>
                          <w:marRight w:val="0"/>
                          <w:marTop w:val="0"/>
                          <w:marBottom w:val="0"/>
                          <w:divBdr>
                            <w:top w:val="none" w:sz="0" w:space="0" w:color="auto"/>
                            <w:left w:val="none" w:sz="0" w:space="0" w:color="auto"/>
                            <w:bottom w:val="none" w:sz="0" w:space="0" w:color="auto"/>
                            <w:right w:val="none" w:sz="0" w:space="0" w:color="auto"/>
                          </w:divBdr>
                          <w:divsChild>
                            <w:div w:id="1791508064">
                              <w:marLeft w:val="165"/>
                              <w:marRight w:val="165"/>
                              <w:marTop w:val="0"/>
                              <w:marBottom w:val="0"/>
                              <w:divBdr>
                                <w:top w:val="none" w:sz="0" w:space="0" w:color="auto"/>
                                <w:left w:val="none" w:sz="0" w:space="0" w:color="auto"/>
                                <w:bottom w:val="none" w:sz="0" w:space="0" w:color="auto"/>
                                <w:right w:val="none" w:sz="0" w:space="0" w:color="auto"/>
                              </w:divBdr>
                              <w:divsChild>
                                <w:div w:id="662129235">
                                  <w:marLeft w:val="0"/>
                                  <w:marRight w:val="0"/>
                                  <w:marTop w:val="0"/>
                                  <w:marBottom w:val="0"/>
                                  <w:divBdr>
                                    <w:top w:val="none" w:sz="0" w:space="0" w:color="auto"/>
                                    <w:left w:val="none" w:sz="0" w:space="0" w:color="auto"/>
                                    <w:bottom w:val="none" w:sz="0" w:space="0" w:color="auto"/>
                                    <w:right w:val="none" w:sz="0" w:space="0" w:color="auto"/>
                                  </w:divBdr>
                                  <w:divsChild>
                                    <w:div w:id="14511212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5420">
      <w:bodyDiv w:val="1"/>
      <w:marLeft w:val="0"/>
      <w:marRight w:val="0"/>
      <w:marTop w:val="0"/>
      <w:marBottom w:val="0"/>
      <w:divBdr>
        <w:top w:val="none" w:sz="0" w:space="0" w:color="auto"/>
        <w:left w:val="none" w:sz="0" w:space="0" w:color="auto"/>
        <w:bottom w:val="none" w:sz="0" w:space="0" w:color="auto"/>
        <w:right w:val="none" w:sz="0" w:space="0" w:color="auto"/>
      </w:divBdr>
    </w:div>
    <w:div w:id="1811095718">
      <w:bodyDiv w:val="1"/>
      <w:marLeft w:val="0"/>
      <w:marRight w:val="0"/>
      <w:marTop w:val="0"/>
      <w:marBottom w:val="0"/>
      <w:divBdr>
        <w:top w:val="none" w:sz="0" w:space="0" w:color="auto"/>
        <w:left w:val="none" w:sz="0" w:space="0" w:color="auto"/>
        <w:bottom w:val="none" w:sz="0" w:space="0" w:color="auto"/>
        <w:right w:val="none" w:sz="0" w:space="0" w:color="auto"/>
      </w:divBdr>
    </w:div>
    <w:div w:id="2001157261">
      <w:bodyDiv w:val="1"/>
      <w:marLeft w:val="0"/>
      <w:marRight w:val="0"/>
      <w:marTop w:val="0"/>
      <w:marBottom w:val="0"/>
      <w:divBdr>
        <w:top w:val="none" w:sz="0" w:space="0" w:color="auto"/>
        <w:left w:val="none" w:sz="0" w:space="0" w:color="auto"/>
        <w:bottom w:val="none" w:sz="0" w:space="0" w:color="auto"/>
        <w:right w:val="none" w:sz="0" w:space="0" w:color="auto"/>
      </w:divBdr>
    </w:div>
    <w:div w:id="203013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B09EF-5EAF-4C20-BE01-E1E984D8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19078</Words>
  <Characters>104931</Characters>
  <Application>Microsoft Office Word</Application>
  <DocSecurity>0</DocSecurity>
  <Lines>874</Lines>
  <Paragraphs>247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Invitados</dc:creator>
  <cp:keywords/>
  <dc:description/>
  <cp:lastModifiedBy>Invitados</cp:lastModifiedBy>
  <cp:revision>7</cp:revision>
  <dcterms:created xsi:type="dcterms:W3CDTF">2020-03-19T19:02:00Z</dcterms:created>
  <dcterms:modified xsi:type="dcterms:W3CDTF">2020-03-20T15:34:00Z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ies>
</file>