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Fragmentaci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n de sue</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en pacientes mexicanos con fibromialgia y su relevancia cl</w:t>
      </w:r>
      <w:r>
        <w:rPr>
          <w:rFonts w:ascii="Times New Roman" w:hAnsi="Times New Roman" w:hint="default"/>
          <w:b w:val="1"/>
          <w:bCs w:val="1"/>
          <w:sz w:val="24"/>
          <w:szCs w:val="24"/>
          <w:rtl w:val="0"/>
          <w:lang w:val="es-ES_tradnl"/>
        </w:rPr>
        <w:t>í</w:t>
      </w:r>
      <w:r>
        <w:rPr>
          <w:rFonts w:ascii="Times New Roman" w:hAnsi="Times New Roman"/>
          <w:b w:val="1"/>
          <w:bCs w:val="1"/>
          <w:sz w:val="24"/>
          <w:szCs w:val="24"/>
          <w:rtl w:val="0"/>
          <w:lang w:val="es-ES_tradnl"/>
        </w:rPr>
        <w:t>nica.</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Autores: J. Esael Pineda-S</w:t>
      </w:r>
      <w:r>
        <w:rPr>
          <w:rFonts w:ascii="Times New Roman" w:hAnsi="Times New Roman" w:hint="default"/>
          <w:sz w:val="24"/>
          <w:szCs w:val="24"/>
          <w:rtl w:val="0"/>
          <w:lang w:val="es-ES_tradnl"/>
        </w:rPr>
        <w:t>á</w:t>
      </w:r>
      <w:r>
        <w:rPr>
          <w:rFonts w:ascii="Times New Roman" w:hAnsi="Times New Roman"/>
          <w:sz w:val="24"/>
          <w:szCs w:val="24"/>
          <w:rtl w:val="0"/>
          <w:lang w:val="es-ES_tradnl"/>
        </w:rPr>
        <w:t>nchez</w:t>
      </w:r>
      <w:r>
        <w:rPr>
          <w:rFonts w:ascii="Times New Roman" w:hAnsi="Times New Roman"/>
          <w:sz w:val="24"/>
          <w:szCs w:val="24"/>
          <w:vertAlign w:val="superscript"/>
          <w:rtl w:val="0"/>
          <w:lang w:val="es-ES_tradnl"/>
        </w:rPr>
        <w:t>a</w:t>
      </w:r>
      <w:r>
        <w:rPr>
          <w:rFonts w:ascii="Times New Roman" w:cs="Times New Roman" w:hAnsi="Times New Roman" w:eastAsia="Times New Roman"/>
          <w:sz w:val="24"/>
          <w:szCs w:val="24"/>
          <w:vertAlign w:val="superscript"/>
        </w:rPr>
        <w:footnoteReference w:id="1"/>
      </w:r>
      <w:r>
        <w:rPr>
          <w:rFonts w:ascii="Times New Roman" w:hAnsi="Times New Roman"/>
          <w:sz w:val="24"/>
          <w:szCs w:val="24"/>
          <w:rtl w:val="0"/>
          <w:lang w:val="es-ES_tradnl"/>
        </w:rPr>
        <w:t>, Erik L. Mateos-Salgado</w:t>
      </w:r>
      <w:r>
        <w:rPr>
          <w:rFonts w:ascii="Times New Roman" w:hAnsi="Times New Roman"/>
          <w:sz w:val="24"/>
          <w:szCs w:val="24"/>
          <w:vertAlign w:val="superscript"/>
          <w:rtl w:val="0"/>
          <w:lang w:val="es-ES_tradnl"/>
        </w:rPr>
        <w:t>b</w:t>
      </w:r>
      <w:r>
        <w:rPr>
          <w:rFonts w:ascii="Times New Roman" w:hAnsi="Times New Roman"/>
          <w:sz w:val="24"/>
          <w:szCs w:val="24"/>
          <w:rtl w:val="0"/>
          <w:lang w:val="es-ES_tradnl"/>
        </w:rPr>
        <w:t>, Fructuoso Ayala-Guerrero</w:t>
      </w:r>
      <w:r>
        <w:rPr>
          <w:rFonts w:ascii="Times New Roman" w:hAnsi="Times New Roman"/>
          <w:sz w:val="24"/>
          <w:szCs w:val="24"/>
          <w:vertAlign w:val="superscript"/>
          <w:rtl w:val="0"/>
          <w:lang w:val="es-ES_tradnl"/>
        </w:rPr>
        <w:t>b</w:t>
      </w:r>
      <w:r>
        <w:rPr>
          <w:rFonts w:ascii="Times New Roman" w:hAnsi="Times New Roman"/>
          <w:sz w:val="24"/>
          <w:szCs w:val="24"/>
          <w:rtl w:val="0"/>
          <w:lang w:val="es-ES_tradnl"/>
        </w:rPr>
        <w:t>, Benjam</w:t>
      </w:r>
      <w:r>
        <w:rPr>
          <w:rFonts w:ascii="Times New Roman" w:hAnsi="Times New Roman" w:hint="default"/>
          <w:sz w:val="24"/>
          <w:szCs w:val="24"/>
          <w:rtl w:val="0"/>
          <w:lang w:val="es-ES_tradnl"/>
        </w:rPr>
        <w:t>í</w:t>
      </w:r>
      <w:r>
        <w:rPr>
          <w:rFonts w:ascii="Times New Roman" w:hAnsi="Times New Roman"/>
          <w:sz w:val="24"/>
          <w:szCs w:val="24"/>
          <w:rtl w:val="0"/>
          <w:lang w:val="es-ES_tradnl"/>
        </w:rPr>
        <w:t>n Dom</w:t>
      </w:r>
      <w:r>
        <w:rPr>
          <w:rFonts w:ascii="Times New Roman" w:hAnsi="Times New Roman" w:hint="default"/>
          <w:sz w:val="24"/>
          <w:szCs w:val="24"/>
          <w:rtl w:val="0"/>
          <w:lang w:val="es-ES_tradnl"/>
        </w:rPr>
        <w:t>í</w:t>
      </w:r>
      <w:r>
        <w:rPr>
          <w:rFonts w:ascii="Times New Roman" w:hAnsi="Times New Roman"/>
          <w:sz w:val="24"/>
          <w:szCs w:val="24"/>
          <w:rtl w:val="0"/>
          <w:lang w:val="es-ES_tradnl"/>
        </w:rPr>
        <w:t>nguez-Trejo</w:t>
      </w:r>
      <w:r>
        <w:rPr>
          <w:rFonts w:ascii="Times New Roman" w:hAnsi="Times New Roman"/>
          <w:sz w:val="24"/>
          <w:szCs w:val="24"/>
          <w:vertAlign w:val="superscript"/>
          <w:rtl w:val="0"/>
          <w:lang w:val="es-ES_tradnl"/>
        </w:rPr>
        <w:t>b</w:t>
      </w:r>
      <w:r>
        <w:rPr>
          <w:rFonts w:ascii="Times New Roman" w:hAnsi="Times New Roman"/>
          <w:sz w:val="24"/>
          <w:szCs w:val="24"/>
          <w:rtl w:val="0"/>
          <w:lang w:val="es-ES_tradnl"/>
        </w:rPr>
        <w:t>.</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 Academia de Psicolog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Instituto de Ciencias de la Salud, Universidad Aut</w:t>
      </w:r>
      <w:r>
        <w:rPr>
          <w:rFonts w:ascii="Times New Roman" w:hAnsi="Times New Roman" w:hint="default"/>
          <w:sz w:val="24"/>
          <w:szCs w:val="24"/>
          <w:rtl w:val="0"/>
          <w:lang w:val="es-ES_tradnl"/>
        </w:rPr>
        <w:t>ó</w:t>
      </w:r>
      <w:r>
        <w:rPr>
          <w:rFonts w:ascii="Times New Roman" w:hAnsi="Times New Roman"/>
          <w:sz w:val="24"/>
          <w:szCs w:val="24"/>
          <w:rtl w:val="0"/>
          <w:lang w:val="es-ES_tradnl"/>
        </w:rPr>
        <w:t>noma del Estado de Hidalgo, Hidalgo,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b. Facultad de Psicolog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Universidad Nacional Aut</w:t>
      </w:r>
      <w:r>
        <w:rPr>
          <w:rFonts w:ascii="Times New Roman" w:hAnsi="Times New Roman" w:hint="default"/>
          <w:sz w:val="24"/>
          <w:szCs w:val="24"/>
          <w:rtl w:val="0"/>
          <w:lang w:val="es-ES_tradnl"/>
        </w:rPr>
        <w:t>ó</w:t>
      </w:r>
      <w:r>
        <w:rPr>
          <w:rFonts w:ascii="Times New Roman" w:hAnsi="Times New Roman"/>
          <w:sz w:val="24"/>
          <w:szCs w:val="24"/>
          <w:rtl w:val="0"/>
          <w:lang w:val="es-ES_tradnl"/>
        </w:rPr>
        <w:t>noma de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Ciudad de M</w:t>
      </w:r>
      <w:r>
        <w:rPr>
          <w:rFonts w:ascii="Times New Roman" w:hAnsi="Times New Roman" w:hint="default"/>
          <w:sz w:val="24"/>
          <w:szCs w:val="24"/>
          <w:rtl w:val="0"/>
          <w:lang w:val="es-ES_tradnl"/>
        </w:rPr>
        <w:t>é</w:t>
      </w:r>
      <w:r>
        <w:rPr>
          <w:rFonts w:ascii="Times New Roman" w:hAnsi="Times New Roman"/>
          <w:sz w:val="24"/>
          <w:szCs w:val="24"/>
          <w:rtl w:val="0"/>
          <w:lang w:val="es-ES_tradnl"/>
        </w:rPr>
        <w:t>xico, M</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xico. </w:t>
      </w: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Resumen</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fibromialgia es un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doloroso de sensibilizaci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central caracterizado por la presencia de </w:t>
      </w:r>
      <w:r>
        <w:rPr>
          <w:rFonts w:ascii="Times New Roman" w:hAnsi="Times New Roman"/>
          <w:i w:val="1"/>
          <w:iCs w:val="1"/>
          <w:sz w:val="24"/>
          <w:szCs w:val="24"/>
          <w:rtl w:val="0"/>
          <w:lang w:val="es-ES_tradnl"/>
        </w:rPr>
        <w:t>tender points</w:t>
      </w:r>
      <w:r>
        <w:rPr>
          <w:rFonts w:ascii="Times New Roman" w:hAnsi="Times New Roman"/>
          <w:sz w:val="24"/>
          <w:szCs w:val="24"/>
          <w:rtl w:val="0"/>
          <w:lang w:val="es-ES_tradnl"/>
        </w:rPr>
        <w:t xml:space="preserve"> en los cuatro cuadrantes del cuerpo. La mala calidad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es una de las quejas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frecuentes en los pacientes. Sin embargo, pocas investigaciones han explorado la utilidad cl</w:t>
      </w:r>
      <w:r>
        <w:rPr>
          <w:rFonts w:ascii="Times New Roman" w:hAnsi="Times New Roman" w:hint="default"/>
          <w:sz w:val="24"/>
          <w:szCs w:val="24"/>
          <w:rtl w:val="0"/>
          <w:lang w:val="es-ES_tradnl"/>
        </w:rPr>
        <w:t>í</w:t>
      </w:r>
      <w:r>
        <w:rPr>
          <w:rFonts w:ascii="Times New Roman" w:hAnsi="Times New Roman"/>
          <w:sz w:val="24"/>
          <w:szCs w:val="24"/>
          <w:rtl w:val="0"/>
          <w:lang w:val="es-ES_tradnl"/>
        </w:rPr>
        <w:t>nica de las medidas polisomnogr</w:t>
      </w:r>
      <w:r>
        <w:rPr>
          <w:rFonts w:ascii="Times New Roman" w:hAnsi="Times New Roman" w:hint="default"/>
          <w:sz w:val="24"/>
          <w:szCs w:val="24"/>
          <w:rtl w:val="0"/>
          <w:lang w:val="es-ES_tradnl"/>
        </w:rPr>
        <w:t>á</w:t>
      </w:r>
      <w:r>
        <w:rPr>
          <w:rFonts w:ascii="Times New Roman" w:hAnsi="Times New Roman"/>
          <w:sz w:val="24"/>
          <w:szCs w:val="24"/>
          <w:rtl w:val="0"/>
          <w:lang w:val="es-ES_tradnl"/>
        </w:rPr>
        <w:t>ficas en este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Por ello, el presente trabajo se enfoc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en la caracterizaci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pacientes con fibromialgia y su utilidad diagn</w:t>
      </w:r>
      <w:r>
        <w:rPr>
          <w:rFonts w:ascii="Times New Roman" w:hAnsi="Times New Roman" w:hint="default"/>
          <w:sz w:val="24"/>
          <w:szCs w:val="24"/>
          <w:rtl w:val="0"/>
          <w:lang w:val="es-ES_tradnl"/>
        </w:rPr>
        <w:t>ó</w:t>
      </w:r>
      <w:r>
        <w:rPr>
          <w:rFonts w:ascii="Times New Roman" w:hAnsi="Times New Roman"/>
          <w:sz w:val="24"/>
          <w:szCs w:val="24"/>
          <w:rtl w:val="0"/>
          <w:lang w:val="es-ES_tradnl"/>
        </w:rPr>
        <w:t>stica y terap</w:t>
      </w:r>
      <w:r>
        <w:rPr>
          <w:rFonts w:ascii="Times New Roman" w:hAnsi="Times New Roman" w:hint="default"/>
          <w:sz w:val="24"/>
          <w:szCs w:val="24"/>
          <w:rtl w:val="0"/>
          <w:lang w:val="es-ES_tradnl"/>
        </w:rPr>
        <w:t>é</w:t>
      </w:r>
      <w:r>
        <w:rPr>
          <w:rFonts w:ascii="Times New Roman" w:hAnsi="Times New Roman"/>
          <w:sz w:val="24"/>
          <w:szCs w:val="24"/>
          <w:rtl w:val="0"/>
          <w:lang w:val="es-ES_tradnl"/>
        </w:rPr>
        <w:t>utica. Los resultados de este estudio resaltan la importancia de tratar la sintomatolog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pacientes con fibromialgia y la relevancia cl</w:t>
      </w:r>
      <w:r>
        <w:rPr>
          <w:rFonts w:ascii="Times New Roman" w:hAnsi="Times New Roman" w:hint="default"/>
          <w:sz w:val="24"/>
          <w:szCs w:val="24"/>
          <w:rtl w:val="0"/>
          <w:lang w:val="es-ES_tradnl"/>
        </w:rPr>
        <w:t>í</w:t>
      </w:r>
      <w:r>
        <w:rPr>
          <w:rFonts w:ascii="Times New Roman" w:hAnsi="Times New Roman"/>
          <w:sz w:val="24"/>
          <w:szCs w:val="24"/>
          <w:rtl w:val="0"/>
          <w:lang w:val="es-ES_tradnl"/>
        </w:rPr>
        <w:t>nica del registro polisomnogr</w:t>
      </w:r>
      <w:r>
        <w:rPr>
          <w:rFonts w:ascii="Times New Roman" w:hAnsi="Times New Roman" w:hint="default"/>
          <w:sz w:val="24"/>
          <w:szCs w:val="24"/>
          <w:rtl w:val="0"/>
          <w:lang w:val="es-ES_tradnl"/>
        </w:rPr>
        <w:t>á</w:t>
      </w:r>
      <w:r>
        <w:rPr>
          <w:rFonts w:ascii="Times New Roman" w:hAnsi="Times New Roman"/>
          <w:sz w:val="24"/>
          <w:szCs w:val="24"/>
          <w:rtl w:val="0"/>
          <w:lang w:val="es-ES_tradnl"/>
        </w:rPr>
        <w:t>fico al momento de dise</w:t>
      </w:r>
      <w:r>
        <w:rPr>
          <w:rFonts w:ascii="Times New Roman" w:hAnsi="Times New Roman" w:hint="default"/>
          <w:sz w:val="24"/>
          <w:szCs w:val="24"/>
          <w:rtl w:val="0"/>
          <w:lang w:val="es-ES_tradnl"/>
        </w:rPr>
        <w:t>ñ</w:t>
      </w:r>
      <w:r>
        <w:rPr>
          <w:rFonts w:ascii="Times New Roman" w:hAnsi="Times New Roman"/>
          <w:sz w:val="24"/>
          <w:szCs w:val="24"/>
          <w:rtl w:val="0"/>
          <w:lang w:val="es-ES_tradnl"/>
        </w:rPr>
        <w:t>ar intervenciones en esta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Palabras clave: Fibromialgia,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w:t>
      </w:r>
    </w:p>
    <w:p>
      <w:pPr>
        <w:pStyle w:val="Normal.0"/>
        <w:spacing w:line="240" w:lineRule="auto"/>
        <w:rPr>
          <w:rFonts w:ascii="Times New Roman" w:cs="Times New Roman" w:hAnsi="Times New Roman" w:eastAsia="Times New Roman"/>
          <w:b w:val="1"/>
          <w:bCs w:val="1"/>
          <w:sz w:val="24"/>
          <w:szCs w:val="24"/>
        </w:rPr>
      </w:pPr>
    </w:p>
    <w:p>
      <w:pPr>
        <w:pStyle w:val="Normal.0"/>
        <w:spacing w:line="240" w:lineRule="auto"/>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Sleep fragmentation in Mexican fibromyalgia patients and its clinical relevance.</w:t>
      </w:r>
    </w:p>
    <w:p>
      <w:pPr>
        <w:pStyle w:val="Normal.0"/>
        <w:spacing w:line="240" w:lineRule="auto"/>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Abstract</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Fibromyalgia is a central sensitization syndrome characterized by the presence of tender points in four body quadrants. Poor</w:t>
      </w:r>
      <w:r>
        <w:rPr>
          <w:rFonts w:ascii="Times New Roman" w:hAnsi="Times New Roman"/>
          <w:sz w:val="24"/>
          <w:szCs w:val="24"/>
          <w:rtl w:val="0"/>
          <w:lang w:val="en-US"/>
        </w:rPr>
        <w:t xml:space="preserve"> quality of sleep is one of the most common complaints of patients.</w:t>
      </w:r>
      <w:r>
        <w:rPr>
          <w:rFonts w:ascii="Times New Roman" w:hAnsi="Times New Roman"/>
          <w:color w:val="212121"/>
          <w:sz w:val="20"/>
          <w:szCs w:val="20"/>
          <w:u w:color="212121"/>
          <w:rtl w:val="0"/>
          <w:lang w:val="en-US"/>
        </w:rPr>
        <w:t xml:space="preserve"> </w:t>
      </w:r>
      <w:r>
        <w:rPr>
          <w:rFonts w:ascii="Times New Roman" w:hAnsi="Times New Roman"/>
          <w:sz w:val="24"/>
          <w:szCs w:val="24"/>
          <w:rtl w:val="0"/>
          <w:lang w:val="en-US"/>
        </w:rPr>
        <w:t>However, few studies have explored the clinical utility of the polysomnographic measures in this syndrome. Therefore, the present work focused on the characterization of sleep architecture in patients with fibromyalgia and its diagnostic and therapeutic utility. The results of this study highlight the importance of treating the symptoms of sleep in patients with fibromyalgia and clinical relevance of polysomnographic recording when designing interventions for this population.</w:t>
      </w:r>
    </w:p>
    <w:p>
      <w:pPr>
        <w:pStyle w:val="Normal.0"/>
        <w:spacing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Keywords: Fibromyalgia, Sleep, Sleep Architecture, Sleep Fragmentation.</w:t>
      </w:r>
    </w:p>
    <w:p>
      <w:pPr>
        <w:pStyle w:val="Normal.0"/>
        <w:spacing w:line="240" w:lineRule="auto"/>
        <w:rPr>
          <w:rFonts w:ascii="Times New Roman" w:cs="Times New Roman" w:hAnsi="Times New Roman" w:eastAsia="Times New Roman"/>
          <w:sz w:val="24"/>
          <w:szCs w:val="24"/>
          <w:lang w:val="en-US"/>
        </w:rPr>
      </w:pPr>
    </w:p>
    <w:p>
      <w:pPr>
        <w:pStyle w:val="Párrafo de lista"/>
        <w:ind w:left="0" w:firstLine="0"/>
        <w:rPr>
          <w:rFonts w:ascii="Times New Roman" w:cs="Times New Roman" w:hAnsi="Times New Roman" w:eastAsia="Times New Roman"/>
        </w:rPr>
      </w:pPr>
      <w:r>
        <w:rPr>
          <w:rFonts w:ascii="Times New Roman" w:hAnsi="Times New Roman"/>
          <w:rtl w:val="0"/>
          <w:lang w:val="es-ES_tradnl"/>
        </w:rPr>
        <w:t>El s</w:t>
      </w:r>
      <w:r>
        <w:rPr>
          <w:rFonts w:ascii="Times New Roman" w:hAnsi="Times New Roman" w:hint="default"/>
          <w:rtl w:val="0"/>
          <w:lang w:val="es-ES_tradnl"/>
        </w:rPr>
        <w:t>í</w:t>
      </w:r>
      <w:r>
        <w:rPr>
          <w:rFonts w:ascii="Times New Roman" w:hAnsi="Times New Roman"/>
          <w:rtl w:val="0"/>
          <w:lang w:val="es-ES_tradnl"/>
        </w:rPr>
        <w:t>ndrome de fibromialgia (FM) es el s</w:t>
      </w:r>
      <w:r>
        <w:rPr>
          <w:rFonts w:ascii="Times New Roman" w:hAnsi="Times New Roman" w:hint="default"/>
          <w:rtl w:val="0"/>
          <w:lang w:val="es-ES_tradnl"/>
        </w:rPr>
        <w:t>í</w:t>
      </w:r>
      <w:r>
        <w:rPr>
          <w:rFonts w:ascii="Times New Roman" w:hAnsi="Times New Roman"/>
          <w:rtl w:val="0"/>
          <w:lang w:val="es-ES_tradnl"/>
        </w:rPr>
        <w:t>ndrome de sensibilizaci</w:t>
      </w:r>
      <w:r>
        <w:rPr>
          <w:rFonts w:ascii="Times New Roman" w:hAnsi="Times New Roman" w:hint="default"/>
          <w:rtl w:val="0"/>
          <w:lang w:val="es-ES_tradnl"/>
        </w:rPr>
        <w:t>ó</w:t>
      </w:r>
      <w:r>
        <w:rPr>
          <w:rFonts w:ascii="Times New Roman" w:hAnsi="Times New Roman"/>
          <w:rtl w:val="0"/>
          <w:lang w:val="es-ES_tradnl"/>
        </w:rPr>
        <w:t>n central m</w:t>
      </w:r>
      <w:r>
        <w:rPr>
          <w:rFonts w:ascii="Times New Roman" w:hAnsi="Times New Roman" w:hint="default"/>
          <w:rtl w:val="0"/>
          <w:lang w:val="es-ES_tradnl"/>
        </w:rPr>
        <w:t>á</w:t>
      </w:r>
      <w:r>
        <w:rPr>
          <w:rFonts w:ascii="Times New Roman" w:hAnsi="Times New Roman"/>
          <w:rtl w:val="0"/>
          <w:lang w:val="es-ES_tradnl"/>
        </w:rPr>
        <w:t>s com</w:t>
      </w:r>
      <w:r>
        <w:rPr>
          <w:rFonts w:ascii="Times New Roman" w:hAnsi="Times New Roman" w:hint="default"/>
          <w:rtl w:val="0"/>
          <w:lang w:val="es-ES_tradnl"/>
        </w:rPr>
        <w:t>ú</w:t>
      </w:r>
      <w:r>
        <w:rPr>
          <w:rFonts w:ascii="Times New Roman" w:hAnsi="Times New Roman"/>
          <w:rtl w:val="0"/>
          <w:lang w:val="es-ES_tradnl"/>
        </w:rPr>
        <w:t>n (S. Boomershine, 2015). Se caracteriza por fatiga, dolor generalizado y persistente, as</w:t>
      </w:r>
      <w:r>
        <w:rPr>
          <w:rFonts w:ascii="Times New Roman" w:hAnsi="Times New Roman" w:hint="default"/>
          <w:rtl w:val="0"/>
          <w:lang w:val="es-ES_tradnl"/>
        </w:rPr>
        <w:t xml:space="preserve">í </w:t>
      </w:r>
      <w:r>
        <w:rPr>
          <w:rFonts w:ascii="Times New Roman" w:hAnsi="Times New Roman"/>
          <w:rtl w:val="0"/>
          <w:lang w:val="es-ES_tradnl"/>
        </w:rPr>
        <w:t>como  rigidez de intensidad variable en los m</w:t>
      </w:r>
      <w:r>
        <w:rPr>
          <w:rFonts w:ascii="Times New Roman" w:hAnsi="Times New Roman" w:hint="default"/>
          <w:rtl w:val="0"/>
          <w:lang w:val="es-ES_tradnl"/>
        </w:rPr>
        <w:t>ú</w:t>
      </w:r>
      <w:r>
        <w:rPr>
          <w:rFonts w:ascii="Times New Roman" w:hAnsi="Times New Roman"/>
          <w:rtl w:val="0"/>
          <w:lang w:val="es-ES_tradnl"/>
        </w:rPr>
        <w:t>sculos, tendones y tejidos blandos, que se puede acompa</w:t>
      </w:r>
      <w:r>
        <w:rPr>
          <w:rFonts w:ascii="Times New Roman" w:hAnsi="Times New Roman" w:hint="default"/>
          <w:rtl w:val="0"/>
          <w:lang w:val="es-ES_tradnl"/>
        </w:rPr>
        <w:t>ñ</w:t>
      </w:r>
      <w:r>
        <w:rPr>
          <w:rFonts w:ascii="Times New Roman" w:hAnsi="Times New Roman"/>
          <w:rtl w:val="0"/>
          <w:lang w:val="es-ES_tradnl"/>
        </w:rPr>
        <w:t>ar de otros problemas f</w:t>
      </w:r>
      <w:r>
        <w:rPr>
          <w:rFonts w:ascii="Times New Roman" w:hAnsi="Times New Roman" w:hint="default"/>
          <w:rtl w:val="0"/>
          <w:lang w:val="es-ES_tradnl"/>
        </w:rPr>
        <w:t>í</w:t>
      </w:r>
      <w:r>
        <w:rPr>
          <w:rFonts w:ascii="Times New Roman" w:hAnsi="Times New Roman"/>
          <w:rtl w:val="0"/>
          <w:lang w:val="es-ES_tradnl"/>
        </w:rPr>
        <w:t>sicos o psicol</w:t>
      </w:r>
      <w:r>
        <w:rPr>
          <w:rFonts w:ascii="Times New Roman" w:hAnsi="Times New Roman" w:hint="default"/>
          <w:rtl w:val="0"/>
          <w:lang w:val="es-ES_tradnl"/>
        </w:rPr>
        <w:t>ó</w:t>
      </w:r>
      <w:r>
        <w:rPr>
          <w:rFonts w:ascii="Times New Roman" w:hAnsi="Times New Roman"/>
          <w:rtl w:val="0"/>
          <w:lang w:val="es-ES_tradnl"/>
        </w:rPr>
        <w:t>gicos (Albiol, Gom</w:t>
      </w:r>
      <w:r>
        <w:rPr>
          <w:rFonts w:ascii="Times New Roman" w:hAnsi="Times New Roman" w:hint="default"/>
          <w:rtl w:val="0"/>
          <w:lang w:val="es-ES_tradnl"/>
        </w:rPr>
        <w:t>á</w:t>
      </w:r>
      <w:r>
        <w:rPr>
          <w:rFonts w:ascii="Times New Roman" w:hAnsi="Times New Roman"/>
          <w:rtl w:val="0"/>
          <w:lang w:val="es-ES_tradnl"/>
        </w:rPr>
        <w:t>-i-Freixanet, Valero, Vega y Muro, 2014; Zafra-Polo, Pastor-Mira y L</w:t>
      </w:r>
      <w:r>
        <w:rPr>
          <w:rFonts w:ascii="Times New Roman" w:hAnsi="Times New Roman" w:hint="default"/>
          <w:rtl w:val="0"/>
          <w:lang w:val="es-ES_tradnl"/>
        </w:rPr>
        <w:t>ó</w:t>
      </w:r>
      <w:r>
        <w:rPr>
          <w:rFonts w:ascii="Times New Roman" w:hAnsi="Times New Roman"/>
          <w:rtl w:val="0"/>
          <w:lang w:val="es-ES_tradnl"/>
        </w:rPr>
        <w:t>pez-Roig, 2014). Se estima que tiene una prevalencia mundial de entre 2% y 8% de la poblaci</w:t>
      </w:r>
      <w:r>
        <w:rPr>
          <w:rFonts w:ascii="Times New Roman" w:hAnsi="Times New Roman" w:hint="default"/>
          <w:rtl w:val="0"/>
          <w:lang w:val="es-ES_tradnl"/>
        </w:rPr>
        <w:t>ó</w:t>
      </w:r>
      <w:r>
        <w:rPr>
          <w:rFonts w:ascii="Times New Roman" w:hAnsi="Times New Roman"/>
          <w:rtl w:val="0"/>
          <w:lang w:val="es-ES_tradnl"/>
        </w:rPr>
        <w:t>n y afecta a las mujeres en una tasa de 3:1 con respecto de los hombres (Queiroz, 2013; Clauw, 2014). El impacto econ</w:t>
      </w:r>
      <w:r>
        <w:rPr>
          <w:rFonts w:ascii="Times New Roman" w:hAnsi="Times New Roman" w:hint="default"/>
          <w:rtl w:val="0"/>
          <w:lang w:val="es-ES_tradnl"/>
        </w:rPr>
        <w:t>ó</w:t>
      </w:r>
      <w:r>
        <w:rPr>
          <w:rFonts w:ascii="Times New Roman" w:hAnsi="Times New Roman"/>
          <w:rtl w:val="0"/>
          <w:lang w:val="es-ES_tradnl"/>
        </w:rPr>
        <w:t>mico-social que provoca es insostenible para el sistema de salud, ya que se trata de una entidad no curable con secuelas incapacitantes con alto consumo de medicamentos (Del Portillo, 2007; Annemans, et al., 2008). De acuerdo con la Uni</w:t>
      </w:r>
      <w:r>
        <w:rPr>
          <w:rFonts w:ascii="Times New Roman" w:hAnsi="Times New Roman" w:hint="default"/>
          <w:rtl w:val="0"/>
          <w:lang w:val="es-ES_tradnl"/>
        </w:rPr>
        <w:t>ó</w:t>
      </w:r>
      <w:r>
        <w:rPr>
          <w:rFonts w:ascii="Times New Roman" w:hAnsi="Times New Roman"/>
          <w:rtl w:val="0"/>
          <w:lang w:val="es-ES_tradnl"/>
        </w:rPr>
        <w:t>n Europea se gastaron aproximadamente 10,000 euros por persona al a</w:t>
      </w:r>
      <w:r>
        <w:rPr>
          <w:rFonts w:ascii="Times New Roman" w:hAnsi="Times New Roman" w:hint="default"/>
          <w:rtl w:val="0"/>
          <w:lang w:val="es-ES_tradnl"/>
        </w:rPr>
        <w:t>ñ</w:t>
      </w:r>
      <w:r>
        <w:rPr>
          <w:rFonts w:ascii="Times New Roman" w:hAnsi="Times New Roman"/>
          <w:rtl w:val="0"/>
          <w:lang w:val="es-ES_tradnl"/>
        </w:rPr>
        <w:t>o en la atenci</w:t>
      </w:r>
      <w:r>
        <w:rPr>
          <w:rFonts w:ascii="Times New Roman" w:hAnsi="Times New Roman" w:hint="default"/>
          <w:rtl w:val="0"/>
          <w:lang w:val="es-ES_tradnl"/>
        </w:rPr>
        <w:t>ó</w:t>
      </w:r>
      <w:r>
        <w:rPr>
          <w:rFonts w:ascii="Times New Roman" w:hAnsi="Times New Roman"/>
          <w:rtl w:val="0"/>
          <w:lang w:val="es-ES_tradnl"/>
        </w:rPr>
        <w:t>n de este s</w:t>
      </w:r>
      <w:r>
        <w:rPr>
          <w:rFonts w:ascii="Times New Roman" w:hAnsi="Times New Roman" w:hint="default"/>
          <w:rtl w:val="0"/>
          <w:lang w:val="es-ES_tradnl"/>
        </w:rPr>
        <w:t>í</w:t>
      </w:r>
      <w:r>
        <w:rPr>
          <w:rFonts w:ascii="Times New Roman" w:hAnsi="Times New Roman"/>
          <w:rtl w:val="0"/>
          <w:lang w:val="es-ES_tradnl"/>
        </w:rPr>
        <w:t>ndrome (Sicras-Mainar, Blanca-Tamayo, Navarro-Artieda y Rejas-Guti</w:t>
      </w:r>
      <w:r>
        <w:rPr>
          <w:rFonts w:ascii="Times New Roman" w:hAnsi="Times New Roman" w:hint="default"/>
          <w:rtl w:val="0"/>
          <w:lang w:val="es-ES_tradnl"/>
        </w:rPr>
        <w:t>é</w:t>
      </w:r>
      <w:r>
        <w:rPr>
          <w:rFonts w:ascii="Times New Roman" w:hAnsi="Times New Roman"/>
          <w:rtl w:val="0"/>
          <w:lang w:val="es-ES_tradnl"/>
        </w:rPr>
        <w:t>rrez, 2009). El diagn</w:t>
      </w:r>
      <w:r>
        <w:rPr>
          <w:rFonts w:ascii="Times New Roman" w:hAnsi="Times New Roman" w:hint="default"/>
          <w:rtl w:val="0"/>
          <w:lang w:val="es-ES_tradnl"/>
        </w:rPr>
        <w:t>ó</w:t>
      </w:r>
      <w:r>
        <w:rPr>
          <w:rFonts w:ascii="Times New Roman" w:hAnsi="Times New Roman"/>
          <w:rtl w:val="0"/>
          <w:lang w:val="es-ES_tradnl"/>
        </w:rPr>
        <w:t>stico de FM es cl</w:t>
      </w:r>
      <w:r>
        <w:rPr>
          <w:rFonts w:ascii="Times New Roman" w:hAnsi="Times New Roman" w:hint="default"/>
          <w:rtl w:val="0"/>
          <w:lang w:val="es-ES_tradnl"/>
        </w:rPr>
        <w:t>í</w:t>
      </w:r>
      <w:r>
        <w:rPr>
          <w:rFonts w:ascii="Times New Roman" w:hAnsi="Times New Roman"/>
          <w:rtl w:val="0"/>
          <w:lang w:val="es-ES_tradnl"/>
        </w:rPr>
        <w:t>nico y se fundamenta en los criterios propuestos en 1990 por el American College of Rheumatology (Jensen, et al., 2009), que incluyen: 1) historia de dolor difuso con una duraci</w:t>
      </w:r>
      <w:r>
        <w:rPr>
          <w:rFonts w:ascii="Times New Roman" w:hAnsi="Times New Roman" w:hint="default"/>
          <w:rtl w:val="0"/>
          <w:lang w:val="es-ES_tradnl"/>
        </w:rPr>
        <w:t>ó</w:t>
      </w:r>
      <w:r>
        <w:rPr>
          <w:rFonts w:ascii="Times New Roman" w:hAnsi="Times New Roman"/>
          <w:rtl w:val="0"/>
          <w:lang w:val="es-ES_tradnl"/>
        </w:rPr>
        <w:t>n m</w:t>
      </w:r>
      <w:r>
        <w:rPr>
          <w:rFonts w:ascii="Times New Roman" w:hAnsi="Times New Roman" w:hint="default"/>
          <w:rtl w:val="0"/>
          <w:lang w:val="es-ES_tradnl"/>
        </w:rPr>
        <w:t>í</w:t>
      </w:r>
      <w:r>
        <w:rPr>
          <w:rFonts w:ascii="Times New Roman" w:hAnsi="Times New Roman"/>
          <w:rtl w:val="0"/>
          <w:lang w:val="es-ES_tradnl"/>
        </w:rPr>
        <w:t>nima de tres meses y 2) dolor a la presi</w:t>
      </w:r>
      <w:r>
        <w:rPr>
          <w:rFonts w:ascii="Times New Roman" w:hAnsi="Times New Roman" w:hint="default"/>
          <w:rtl w:val="0"/>
          <w:lang w:val="es-ES_tradnl"/>
        </w:rPr>
        <w:t>ó</w:t>
      </w:r>
      <w:r>
        <w:rPr>
          <w:rFonts w:ascii="Times New Roman" w:hAnsi="Times New Roman"/>
          <w:rtl w:val="0"/>
          <w:lang w:val="es-ES_tradnl"/>
        </w:rPr>
        <w:t xml:space="preserve">n digital en 11 de 18 zonas del cuerpo denominadas </w:t>
      </w:r>
      <w:r>
        <w:rPr>
          <w:rFonts w:ascii="Times New Roman" w:hAnsi="Times New Roman" w:hint="default"/>
          <w:i w:val="1"/>
          <w:iCs w:val="1"/>
          <w:rtl w:val="0"/>
          <w:lang w:val="es-ES_tradnl"/>
        </w:rPr>
        <w:t>“</w:t>
      </w:r>
      <w:r>
        <w:rPr>
          <w:rFonts w:ascii="Times New Roman" w:hAnsi="Times New Roman"/>
          <w:i w:val="1"/>
          <w:iCs w:val="1"/>
          <w:rtl w:val="0"/>
          <w:lang w:val="es-ES_tradnl"/>
        </w:rPr>
        <w:t>tender points</w:t>
      </w:r>
      <w:r>
        <w:rPr>
          <w:rFonts w:ascii="Times New Roman" w:hAnsi="Times New Roman" w:hint="default"/>
          <w:i w:val="1"/>
          <w:iCs w:val="1"/>
          <w:rtl w:val="0"/>
          <w:lang w:val="es-ES_tradnl"/>
        </w:rPr>
        <w:t>”</w:t>
      </w:r>
      <w:r>
        <w:rPr>
          <w:rFonts w:ascii="Times New Roman" w:hAnsi="Times New Roman"/>
          <w:rtl w:val="0"/>
          <w:lang w:val="es-ES_tradnl"/>
        </w:rPr>
        <w:t xml:space="preserve"> (Wolfe, et al., 1990). La Organizaci</w:t>
      </w:r>
      <w:r>
        <w:rPr>
          <w:rFonts w:ascii="Times New Roman" w:hAnsi="Times New Roman" w:hint="default"/>
          <w:rtl w:val="0"/>
          <w:lang w:val="es-ES_tradnl"/>
        </w:rPr>
        <w:t>ó</w:t>
      </w:r>
      <w:r>
        <w:rPr>
          <w:rFonts w:ascii="Times New Roman" w:hAnsi="Times New Roman"/>
          <w:rtl w:val="0"/>
          <w:lang w:val="es-ES_tradnl"/>
        </w:rPr>
        <w:t>n Mundial de la Salud (OMS) incorpor</w:t>
      </w:r>
      <w:r>
        <w:rPr>
          <w:rFonts w:ascii="Times New Roman" w:hAnsi="Times New Roman" w:hint="default"/>
          <w:rtl w:val="0"/>
          <w:lang w:val="es-ES_tradnl"/>
        </w:rPr>
        <w:t xml:space="preserve">ó </w:t>
      </w:r>
      <w:r>
        <w:rPr>
          <w:rFonts w:ascii="Times New Roman" w:hAnsi="Times New Roman"/>
          <w:rtl w:val="0"/>
          <w:lang w:val="es-ES_tradnl"/>
        </w:rPr>
        <w:t>a la FM en su d</w:t>
      </w:r>
      <w:r>
        <w:rPr>
          <w:rFonts w:ascii="Times New Roman" w:hAnsi="Times New Roman" w:hint="default"/>
          <w:rtl w:val="0"/>
          <w:lang w:val="es-ES_tradnl"/>
        </w:rPr>
        <w:t>é</w:t>
      </w:r>
      <w:r>
        <w:rPr>
          <w:rFonts w:ascii="Times New Roman" w:hAnsi="Times New Roman"/>
          <w:rtl w:val="0"/>
          <w:lang w:val="es-ES_tradnl"/>
        </w:rPr>
        <w:t>cima revisi</w:t>
      </w:r>
      <w:r>
        <w:rPr>
          <w:rFonts w:ascii="Times New Roman" w:hAnsi="Times New Roman" w:hint="default"/>
          <w:rtl w:val="0"/>
          <w:lang w:val="es-ES_tradnl"/>
        </w:rPr>
        <w:t>ó</w:t>
      </w:r>
      <w:r>
        <w:rPr>
          <w:rFonts w:ascii="Times New Roman" w:hAnsi="Times New Roman"/>
          <w:rtl w:val="0"/>
          <w:lang w:val="es-ES_tradnl"/>
        </w:rPr>
        <w:t>n de la Clasificaci</w:t>
      </w:r>
      <w:r>
        <w:rPr>
          <w:rFonts w:ascii="Times New Roman" w:hAnsi="Times New Roman" w:hint="default"/>
          <w:rtl w:val="0"/>
          <w:lang w:val="es-ES_tradnl"/>
        </w:rPr>
        <w:t>ó</w:t>
      </w:r>
      <w:r>
        <w:rPr>
          <w:rFonts w:ascii="Times New Roman" w:hAnsi="Times New Roman"/>
          <w:rtl w:val="0"/>
          <w:lang w:val="es-ES_tradnl"/>
        </w:rPr>
        <w:t>n Internacional de Enfermedades (CIE) en 1992 (Capilla, Gonz</w:t>
      </w:r>
      <w:r>
        <w:rPr>
          <w:rFonts w:ascii="Times New Roman" w:hAnsi="Times New Roman" w:hint="default"/>
          <w:rtl w:val="0"/>
          <w:lang w:val="es-ES_tradnl"/>
        </w:rPr>
        <w:t>á</w:t>
      </w:r>
      <w:r>
        <w:rPr>
          <w:rFonts w:ascii="Times New Roman" w:hAnsi="Times New Roman"/>
          <w:rtl w:val="0"/>
          <w:lang w:val="es-ES_tradnl"/>
        </w:rPr>
        <w:t>lez, Casado, Santamar</w:t>
      </w:r>
      <w:r>
        <w:rPr>
          <w:rFonts w:ascii="Times New Roman" w:hAnsi="Times New Roman" w:hint="default"/>
          <w:rtl w:val="0"/>
          <w:lang w:val="es-ES_tradnl"/>
        </w:rPr>
        <w:t>í</w:t>
      </w:r>
      <w:r>
        <w:rPr>
          <w:rFonts w:ascii="Times New Roman" w:hAnsi="Times New Roman"/>
          <w:rtl w:val="0"/>
          <w:lang w:val="es-ES_tradnl"/>
        </w:rPr>
        <w:t>a y P</w:t>
      </w:r>
      <w:r>
        <w:rPr>
          <w:rFonts w:ascii="Times New Roman" w:hAnsi="Times New Roman" w:hint="default"/>
          <w:rtl w:val="0"/>
          <w:lang w:val="es-ES_tradnl"/>
        </w:rPr>
        <w:t>é</w:t>
      </w:r>
      <w:r>
        <w:rPr>
          <w:rFonts w:ascii="Times New Roman" w:hAnsi="Times New Roman"/>
          <w:rtl w:val="0"/>
          <w:lang w:val="es-ES_tradnl"/>
        </w:rPr>
        <w:t>rez, 2013) y la International Association for Study of Pain (IAPS) la reconoce en 1994 (Merskey y Bogduck, 2002). Sin embargo, este enfoque enfatiza particularmente la sintomatolog</w:t>
      </w:r>
      <w:r>
        <w:rPr>
          <w:rFonts w:ascii="Times New Roman" w:hAnsi="Times New Roman" w:hint="default"/>
          <w:rtl w:val="0"/>
          <w:lang w:val="es-ES_tradnl"/>
        </w:rPr>
        <w:t>í</w:t>
      </w:r>
      <w:r>
        <w:rPr>
          <w:rFonts w:ascii="Times New Roman" w:hAnsi="Times New Roman"/>
          <w:rtl w:val="0"/>
          <w:lang w:val="es-ES_tradnl"/>
        </w:rPr>
        <w:t>a dolorosa del s</w:t>
      </w:r>
      <w:r>
        <w:rPr>
          <w:rFonts w:ascii="Times New Roman" w:hAnsi="Times New Roman" w:hint="default"/>
          <w:rtl w:val="0"/>
          <w:lang w:val="es-ES_tradnl"/>
        </w:rPr>
        <w:t>í</w:t>
      </w:r>
      <w:r>
        <w:rPr>
          <w:rFonts w:ascii="Times New Roman" w:hAnsi="Times New Roman"/>
          <w:rtl w:val="0"/>
          <w:lang w:val="es-ES_tradnl"/>
        </w:rPr>
        <w:t>ndrome restando importancia a la comprensi</w:t>
      </w:r>
      <w:r>
        <w:rPr>
          <w:rFonts w:ascii="Times New Roman" w:hAnsi="Times New Roman" w:hint="default"/>
          <w:rtl w:val="0"/>
          <w:lang w:val="es-ES_tradnl"/>
        </w:rPr>
        <w:t>ó</w:t>
      </w:r>
      <w:r>
        <w:rPr>
          <w:rFonts w:ascii="Times New Roman" w:hAnsi="Times New Roman"/>
          <w:rtl w:val="0"/>
          <w:lang w:val="es-ES_tradnl"/>
        </w:rPr>
        <w:t>n y tratamiento de otros problemas concomitantes (Wolfe, et al., 2010). Entre las principales limitaciones de este enfoque se encuentran: a) solo aborda el aspecto doloroso del s</w:t>
      </w:r>
      <w:r>
        <w:rPr>
          <w:rFonts w:ascii="Times New Roman" w:hAnsi="Times New Roman" w:hint="default"/>
          <w:rtl w:val="0"/>
          <w:lang w:val="es-ES_tradnl"/>
        </w:rPr>
        <w:t>í</w:t>
      </w:r>
      <w:r>
        <w:rPr>
          <w:rFonts w:ascii="Times New Roman" w:hAnsi="Times New Roman"/>
          <w:rtl w:val="0"/>
          <w:lang w:val="es-ES_tradnl"/>
        </w:rPr>
        <w:t>ndrome; b) no existe evidencia de alguna asociaci</w:t>
      </w:r>
      <w:r>
        <w:rPr>
          <w:rFonts w:ascii="Times New Roman" w:hAnsi="Times New Roman" w:hint="default"/>
          <w:rtl w:val="0"/>
          <w:lang w:val="es-ES_tradnl"/>
        </w:rPr>
        <w:t>ó</w:t>
      </w:r>
      <w:r>
        <w:rPr>
          <w:rFonts w:ascii="Times New Roman" w:hAnsi="Times New Roman"/>
          <w:rtl w:val="0"/>
          <w:lang w:val="es-ES_tradnl"/>
        </w:rPr>
        <w:t>n entre los puntos sensibles y un mecanismo fisiol</w:t>
      </w:r>
      <w:r>
        <w:rPr>
          <w:rFonts w:ascii="Times New Roman" w:hAnsi="Times New Roman" w:hint="default"/>
          <w:rtl w:val="0"/>
          <w:lang w:val="es-ES_tradnl"/>
        </w:rPr>
        <w:t>ó</w:t>
      </w:r>
      <w:r>
        <w:rPr>
          <w:rFonts w:ascii="Times New Roman" w:hAnsi="Times New Roman"/>
          <w:rtl w:val="0"/>
          <w:lang w:val="es-ES_tradnl"/>
        </w:rPr>
        <w:t>gico subyacente; c) el dolor reportado no se focaliza solo en los puntos sensibles; y d) no existe evidencia de una correlaci</w:t>
      </w:r>
      <w:r>
        <w:rPr>
          <w:rFonts w:ascii="Times New Roman" w:hAnsi="Times New Roman" w:hint="default"/>
          <w:rtl w:val="0"/>
          <w:lang w:val="es-ES_tradnl"/>
        </w:rPr>
        <w:t>ó</w:t>
      </w:r>
      <w:r>
        <w:rPr>
          <w:rFonts w:ascii="Times New Roman" w:hAnsi="Times New Roman"/>
          <w:rtl w:val="0"/>
          <w:lang w:val="es-ES_tradnl"/>
        </w:rPr>
        <w:t>n entre la cantidad de puntos sensibles y la intensidad del dolor (Buskila, 2009; Goldenberg, 2009). En el a</w:t>
      </w:r>
      <w:r>
        <w:rPr>
          <w:rFonts w:ascii="Times New Roman" w:hAnsi="Times New Roman" w:hint="default"/>
          <w:rtl w:val="0"/>
          <w:lang w:val="es-ES_tradnl"/>
        </w:rPr>
        <w:t>ñ</w:t>
      </w:r>
      <w:r>
        <w:rPr>
          <w:rFonts w:ascii="Times New Roman" w:hAnsi="Times New Roman"/>
          <w:rtl w:val="0"/>
          <w:lang w:val="es-ES_tradnl"/>
        </w:rPr>
        <w:t>o 2010 el American College of Rheumatology propuso un conjunto alternativo de criterios para el diagn</w:t>
      </w:r>
      <w:r>
        <w:rPr>
          <w:rFonts w:ascii="Times New Roman" w:hAnsi="Times New Roman" w:hint="default"/>
          <w:rtl w:val="0"/>
          <w:lang w:val="es-ES_tradnl"/>
        </w:rPr>
        <w:t>ó</w:t>
      </w:r>
      <w:r>
        <w:rPr>
          <w:rFonts w:ascii="Times New Roman" w:hAnsi="Times New Roman"/>
          <w:rtl w:val="0"/>
          <w:lang w:val="es-ES_tradnl"/>
        </w:rPr>
        <w:t>stico de la FM. En estos se sugiere que, adem</w:t>
      </w:r>
      <w:r>
        <w:rPr>
          <w:rFonts w:ascii="Times New Roman" w:hAnsi="Times New Roman" w:hint="default"/>
          <w:rtl w:val="0"/>
          <w:lang w:val="es-ES_tradnl"/>
        </w:rPr>
        <w:t>á</w:t>
      </w:r>
      <w:r>
        <w:rPr>
          <w:rFonts w:ascii="Times New Roman" w:hAnsi="Times New Roman"/>
          <w:rtl w:val="0"/>
          <w:lang w:val="es-ES_tradnl"/>
        </w:rPr>
        <w:t>s de la condici</w:t>
      </w:r>
      <w:r>
        <w:rPr>
          <w:rFonts w:ascii="Times New Roman" w:hAnsi="Times New Roman" w:hint="default"/>
          <w:rtl w:val="0"/>
          <w:lang w:val="es-ES_tradnl"/>
        </w:rPr>
        <w:t>ó</w:t>
      </w:r>
      <w:r>
        <w:rPr>
          <w:rFonts w:ascii="Times New Roman" w:hAnsi="Times New Roman"/>
          <w:rtl w:val="0"/>
          <w:lang w:val="es-ES_tradnl"/>
        </w:rPr>
        <w:t>n dolorosa, es primordial considerar otros aspectos, como los trastornos de sue</w:t>
      </w:r>
      <w:r>
        <w:rPr>
          <w:rFonts w:ascii="Times New Roman" w:hAnsi="Times New Roman" w:hint="default"/>
          <w:rtl w:val="0"/>
          <w:lang w:val="es-ES_tradnl"/>
        </w:rPr>
        <w:t>ñ</w:t>
      </w:r>
      <w:r>
        <w:rPr>
          <w:rFonts w:ascii="Times New Roman" w:hAnsi="Times New Roman"/>
          <w:rtl w:val="0"/>
          <w:lang w:val="es-ES_tradnl"/>
        </w:rPr>
        <w:t>o y fatiga, procesos cognitivos y diversos s</w:t>
      </w:r>
      <w:r>
        <w:rPr>
          <w:rFonts w:ascii="Times New Roman" w:hAnsi="Times New Roman" w:hint="default"/>
          <w:rtl w:val="0"/>
          <w:lang w:val="es-ES_tradnl"/>
        </w:rPr>
        <w:t>í</w:t>
      </w:r>
      <w:r>
        <w:rPr>
          <w:rFonts w:ascii="Times New Roman" w:hAnsi="Times New Roman"/>
          <w:rtl w:val="0"/>
          <w:lang w:val="es-ES_tradnl"/>
        </w:rPr>
        <w:t>ntomas som</w:t>
      </w:r>
      <w:r>
        <w:rPr>
          <w:rFonts w:ascii="Times New Roman" w:hAnsi="Times New Roman" w:hint="default"/>
          <w:rtl w:val="0"/>
          <w:lang w:val="es-ES_tradnl"/>
        </w:rPr>
        <w:t>á</w:t>
      </w:r>
      <w:r>
        <w:rPr>
          <w:rFonts w:ascii="Times New Roman" w:hAnsi="Times New Roman"/>
          <w:rtl w:val="0"/>
          <w:lang w:val="es-ES_tradnl"/>
        </w:rPr>
        <w:t>ticos, primordiales para realizar un diagn</w:t>
      </w:r>
      <w:r>
        <w:rPr>
          <w:rFonts w:ascii="Times New Roman" w:hAnsi="Times New Roman" w:hint="default"/>
          <w:rtl w:val="0"/>
          <w:lang w:val="es-ES_tradnl"/>
        </w:rPr>
        <w:t>ó</w:t>
      </w:r>
      <w:r>
        <w:rPr>
          <w:rFonts w:ascii="Times New Roman" w:hAnsi="Times New Roman"/>
          <w:rtl w:val="0"/>
          <w:lang w:val="es-ES_tradnl"/>
        </w:rPr>
        <w:t>stico adecuado de este s</w:t>
      </w:r>
      <w:r>
        <w:rPr>
          <w:rFonts w:ascii="Times New Roman" w:hAnsi="Times New Roman" w:hint="default"/>
          <w:rtl w:val="0"/>
          <w:lang w:val="es-ES_tradnl"/>
        </w:rPr>
        <w:t>í</w:t>
      </w:r>
      <w:r>
        <w:rPr>
          <w:rFonts w:ascii="Times New Roman" w:hAnsi="Times New Roman"/>
          <w:rtl w:val="0"/>
          <w:lang w:val="es-ES_tradnl"/>
        </w:rPr>
        <w:t>ndrome (Wolfe y Hauser, 2011; Wolfe, et al., 2011).</w:t>
      </w:r>
    </w:p>
    <w:p>
      <w:pPr>
        <w:pStyle w:val="Normal.0"/>
        <w:spacing w:after="0" w:line="240" w:lineRule="auto"/>
        <w:rPr>
          <w:rFonts w:ascii="Times New Roman" w:cs="Times New Roman" w:hAnsi="Times New Roman" w:eastAsia="Times New Roman"/>
          <w:b w:val="1"/>
          <w:bCs w:val="1"/>
        </w:rPr>
      </w:pPr>
      <w:r>
        <w:rPr>
          <w:rFonts w:ascii="Times New Roman" w:hAnsi="Times New Roman"/>
          <w:sz w:val="24"/>
          <w:szCs w:val="24"/>
          <w:rtl w:val="0"/>
          <w:lang w:val="es-ES_tradnl"/>
        </w:rPr>
        <w:t>Se reconoce que 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la sintomatolog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dolor, la alteraci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es una de las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distintivas en los pacientes con FM (Moldofsky, 2008). Se estima que afecta entre el 70 y 90% de estos pacientes y se reconoce que existe una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directa entre la intensidad de la alteraci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la gravedad del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(Theadom, Cropley y Humphrey, 2006; Theadom y Cropley, 2008). Entre las principales alteraciones descritas se encuentran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no reparador, superficial e inestable (Moldofsky, Scarisbrick, England y Smythe, 1975; Moldofsky y Scarisbrick, 1976). Algunas investigaciones reportan anormalidades polisomnogr</w:t>
      </w:r>
      <w:r>
        <w:rPr>
          <w:rFonts w:ascii="Times New Roman" w:hAnsi="Times New Roman" w:hint="default"/>
          <w:sz w:val="24"/>
          <w:szCs w:val="24"/>
          <w:rtl w:val="0"/>
          <w:lang w:val="es-ES_tradnl"/>
        </w:rPr>
        <w:t>á</w:t>
      </w:r>
      <w:r>
        <w:rPr>
          <w:rFonts w:ascii="Times New Roman" w:hAnsi="Times New Roman"/>
          <w:sz w:val="24"/>
          <w:szCs w:val="24"/>
          <w:rtl w:val="0"/>
          <w:lang w:val="es-ES_tradnl"/>
        </w:rPr>
        <w:t>ficas como incremento de la fase N1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disminuci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ondas lentas (N3), intromisi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ondas alfa durante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profundo asociado con altos niveles de dolor y presencia de </w:t>
      </w:r>
      <w:r>
        <w:rPr>
          <w:rFonts w:ascii="Times New Roman" w:hAnsi="Times New Roman" w:hint="default"/>
          <w:sz w:val="24"/>
          <w:szCs w:val="24"/>
          <w:rtl w:val="0"/>
          <w:lang w:val="es-ES_tradnl"/>
        </w:rPr>
        <w:t>“</w:t>
      </w:r>
      <w:r>
        <w:rPr>
          <w:rFonts w:ascii="Times New Roman" w:hAnsi="Times New Roman"/>
          <w:i w:val="1"/>
          <w:iCs w:val="1"/>
          <w:sz w:val="24"/>
          <w:szCs w:val="24"/>
          <w:rtl w:val="0"/>
          <w:lang w:val="es-ES_tradnl"/>
        </w:rPr>
        <w:t>tender points</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(Roizenblatt, Moldofsky, Benedito-Silva y Tufik, 2001). Se postula que la sintomatolog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dolor es atribuible a la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debido a que los procesos fisiol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que regulan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interact</w:t>
      </w:r>
      <w:r>
        <w:rPr>
          <w:rFonts w:ascii="Times New Roman" w:hAnsi="Times New Roman" w:hint="default"/>
          <w:sz w:val="24"/>
          <w:szCs w:val="24"/>
          <w:rtl w:val="0"/>
          <w:lang w:val="es-ES_tradnl"/>
        </w:rPr>
        <w:t>ú</w:t>
      </w:r>
      <w:r>
        <w:rPr>
          <w:rFonts w:ascii="Times New Roman" w:hAnsi="Times New Roman"/>
          <w:sz w:val="24"/>
          <w:szCs w:val="24"/>
          <w:rtl w:val="0"/>
          <w:lang w:val="es-ES_tradnl"/>
        </w:rPr>
        <w:t>an de manera todav</w:t>
      </w:r>
      <w:r>
        <w:rPr>
          <w:rFonts w:ascii="Times New Roman" w:hAnsi="Times New Roman" w:hint="default"/>
          <w:sz w:val="24"/>
          <w:szCs w:val="24"/>
          <w:rtl w:val="0"/>
          <w:lang w:val="es-ES_tradnl"/>
        </w:rPr>
        <w:t>í</w:t>
      </w:r>
      <w:r>
        <w:rPr>
          <w:rFonts w:ascii="Times New Roman" w:hAnsi="Times New Roman"/>
          <w:sz w:val="24"/>
          <w:szCs w:val="24"/>
          <w:rtl w:val="0"/>
          <w:lang w:val="es-ES_tradnl"/>
        </w:rPr>
        <w:t>a no comprendida con la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otras estructuras centrales que modulan el dolor (Spaeth, Rizzi y Sarzi-Puttini, 2011). Mateos (2014) sostiene que los cambios en la estructura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son frecuentes en pacientes con dolor cr</w:t>
      </w:r>
      <w:r>
        <w:rPr>
          <w:rFonts w:ascii="Times New Roman" w:hAnsi="Times New Roman" w:hint="default"/>
          <w:sz w:val="24"/>
          <w:szCs w:val="24"/>
          <w:rtl w:val="0"/>
          <w:lang w:val="es-ES_tradnl"/>
        </w:rPr>
        <w:t>ó</w:t>
      </w:r>
      <w:r>
        <w:rPr>
          <w:rFonts w:ascii="Times New Roman" w:hAnsi="Times New Roman"/>
          <w:sz w:val="24"/>
          <w:szCs w:val="24"/>
          <w:rtl w:val="0"/>
          <w:lang w:val="es-ES_tradnl"/>
        </w:rPr>
        <w:t>nico y que tanto la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como los trastornos en la microestructura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pueden agravar el dolor y contribuir a la manifestaci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diurnos. Hern</w:t>
      </w:r>
      <w:r>
        <w:rPr>
          <w:rFonts w:ascii="Times New Roman" w:hAnsi="Times New Roman" w:hint="default"/>
          <w:sz w:val="24"/>
          <w:szCs w:val="24"/>
          <w:rtl w:val="0"/>
          <w:lang w:val="es-ES_tradnl"/>
        </w:rPr>
        <w:t>á</w:t>
      </w:r>
      <w:r>
        <w:rPr>
          <w:rFonts w:ascii="Times New Roman" w:hAnsi="Times New Roman"/>
          <w:sz w:val="24"/>
          <w:szCs w:val="24"/>
          <w:rtl w:val="0"/>
          <w:lang w:val="es-ES_tradnl"/>
        </w:rPr>
        <w:t>ndez y Ramos (2005), describieron alteraciones en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pacientes mexicanos con FM, que consistieron en un aumento del porcentaje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ligero con anormalidades en la continuidad y mantenimiento del mismo; y disminuci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el porcentaje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ondas lentas que se relacion</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con incremento en la sintomatolog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dolorosa con la que cursan estos pacientes. Tambi</w:t>
      </w:r>
      <w:r>
        <w:rPr>
          <w:rFonts w:ascii="Times New Roman" w:hAnsi="Times New Roman" w:hint="default"/>
          <w:sz w:val="24"/>
          <w:szCs w:val="24"/>
          <w:rtl w:val="0"/>
          <w:lang w:val="es-ES_tradnl"/>
        </w:rPr>
        <w:t>é</w:t>
      </w:r>
      <w:r>
        <w:rPr>
          <w:rFonts w:ascii="Times New Roman" w:hAnsi="Times New Roman"/>
          <w:sz w:val="24"/>
          <w:szCs w:val="24"/>
          <w:rtl w:val="0"/>
          <w:lang w:val="es-ES_tradnl"/>
        </w:rPr>
        <w:t>n se report</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disminuci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la presencia y potencia de los husos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lo que implica que algunos aspectos de los mecanismos t</w:t>
      </w:r>
      <w:r>
        <w:rPr>
          <w:rFonts w:ascii="Times New Roman" w:hAnsi="Times New Roman" w:hint="default"/>
          <w:sz w:val="24"/>
          <w:szCs w:val="24"/>
          <w:rtl w:val="0"/>
          <w:lang w:val="es-ES_tradnl"/>
        </w:rPr>
        <w:t>á</w:t>
      </w:r>
      <w:r>
        <w:rPr>
          <w:rFonts w:ascii="Times New Roman" w:hAnsi="Times New Roman"/>
          <w:sz w:val="24"/>
          <w:szCs w:val="24"/>
          <w:rtl w:val="0"/>
          <w:lang w:val="es-ES_tradnl"/>
        </w:rPr>
        <w:t>lamo-corticales pudiesen estar alterados (Landis, Lentz, Rothermel, Buchwald y Shaver, 2004).</w:t>
      </w:r>
      <w:r>
        <w:rPr>
          <w:rFonts w:ascii="Times New Roman" w:hAnsi="Times New Roman"/>
          <w:rtl w:val="0"/>
          <w:lang w:val="es-ES_tradnl"/>
        </w:rPr>
        <w:t xml:space="preserve"> </w:t>
      </w:r>
      <w:r>
        <w:rPr>
          <w:rFonts w:ascii="Times New Roman" w:hAnsi="Times New Roman"/>
          <w:sz w:val="24"/>
          <w:szCs w:val="24"/>
          <w:rtl w:val="0"/>
          <w:lang w:val="es-ES_tradnl"/>
        </w:rPr>
        <w:t>Las investigaciones sugieren que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no reparador es un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 primario de insomnio y de otros problemas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salud o psiqui</w:t>
      </w:r>
      <w:r>
        <w:rPr>
          <w:rFonts w:ascii="Times New Roman" w:hAnsi="Times New Roman" w:hint="default"/>
          <w:sz w:val="24"/>
          <w:szCs w:val="24"/>
          <w:rtl w:val="0"/>
          <w:lang w:val="es-ES_tradnl"/>
        </w:rPr>
        <w:t>á</w:t>
      </w:r>
      <w:r>
        <w:rPr>
          <w:rFonts w:ascii="Times New Roman" w:hAnsi="Times New Roman"/>
          <w:sz w:val="24"/>
          <w:szCs w:val="24"/>
          <w:rtl w:val="0"/>
          <w:lang w:val="es-ES_tradnl"/>
        </w:rPr>
        <w:t>tricos. Por ello es fundamental comprender este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 como una v</w:t>
      </w:r>
      <w:r>
        <w:rPr>
          <w:rFonts w:ascii="Times New Roman" w:hAnsi="Times New Roman" w:hint="default"/>
          <w:sz w:val="24"/>
          <w:szCs w:val="24"/>
          <w:rtl w:val="0"/>
          <w:lang w:val="es-ES_tradnl"/>
        </w:rPr>
        <w:t>í</w:t>
      </w:r>
      <w:r>
        <w:rPr>
          <w:rFonts w:ascii="Times New Roman" w:hAnsi="Times New Roman"/>
          <w:sz w:val="24"/>
          <w:szCs w:val="24"/>
          <w:rtl w:val="0"/>
          <w:lang w:val="es-ES_tradnl"/>
        </w:rPr>
        <w:t>a para entender la etiolog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del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(Stone, Taylor, McCrae, Kalsekar y Lichstein, 2008; Wilkinson y Shapiro, 2012).</w:t>
      </w:r>
      <w:r>
        <w:rPr>
          <w:rFonts w:ascii="Times New Roman" w:hAnsi="Times New Roman"/>
          <w:b w:val="1"/>
          <w:bCs w:val="1"/>
          <w:rtl w:val="0"/>
          <w:lang w:val="es-ES_tradnl"/>
        </w:rPr>
        <w:t xml:space="preserve"> </w:t>
      </w:r>
    </w:p>
    <w:p>
      <w:pPr>
        <w:pStyle w:val="Párrafo de lista"/>
        <w:ind w:left="0" w:firstLine="0"/>
        <w:rPr>
          <w:rFonts w:ascii="Times New Roman" w:cs="Times New Roman" w:hAnsi="Times New Roman" w:eastAsia="Times New Roman"/>
        </w:rPr>
      </w:pPr>
      <w:r>
        <w:rPr>
          <w:rFonts w:ascii="Times New Roman" w:hAnsi="Times New Roman"/>
          <w:rtl w:val="0"/>
          <w:lang w:val="es-ES_tradnl"/>
        </w:rPr>
        <w:t>Actualmente no existe un tratamiento espec</w:t>
      </w:r>
      <w:r>
        <w:rPr>
          <w:rFonts w:ascii="Times New Roman" w:hAnsi="Times New Roman" w:hint="default"/>
          <w:rtl w:val="0"/>
          <w:lang w:val="es-ES_tradnl"/>
        </w:rPr>
        <w:t>í</w:t>
      </w:r>
      <w:r>
        <w:rPr>
          <w:rFonts w:ascii="Times New Roman" w:hAnsi="Times New Roman"/>
          <w:rtl w:val="0"/>
          <w:lang w:val="es-ES_tradnl"/>
        </w:rPr>
        <w:t>fico para este s</w:t>
      </w:r>
      <w:r>
        <w:rPr>
          <w:rFonts w:ascii="Times New Roman" w:hAnsi="Times New Roman" w:hint="default"/>
          <w:rtl w:val="0"/>
          <w:lang w:val="es-ES_tradnl"/>
        </w:rPr>
        <w:t>í</w:t>
      </w:r>
      <w:r>
        <w:rPr>
          <w:rFonts w:ascii="Times New Roman" w:hAnsi="Times New Roman"/>
          <w:rtl w:val="0"/>
          <w:lang w:val="es-ES_tradnl"/>
        </w:rPr>
        <w:t>ndrome pero resulta imprescindible, para la calidad de vida del paciente, contar con un diagn</w:t>
      </w:r>
      <w:r>
        <w:rPr>
          <w:rFonts w:ascii="Times New Roman" w:hAnsi="Times New Roman" w:hint="default"/>
          <w:rtl w:val="0"/>
          <w:lang w:val="es-ES_tradnl"/>
        </w:rPr>
        <w:t>ó</w:t>
      </w:r>
      <w:r>
        <w:rPr>
          <w:rFonts w:ascii="Times New Roman" w:hAnsi="Times New Roman"/>
          <w:rtl w:val="0"/>
          <w:lang w:val="es-ES_tradnl"/>
        </w:rPr>
        <w:t>stico espec</w:t>
      </w:r>
      <w:r>
        <w:rPr>
          <w:rFonts w:ascii="Times New Roman" w:hAnsi="Times New Roman" w:hint="default"/>
          <w:rtl w:val="0"/>
          <w:lang w:val="es-ES_tradnl"/>
        </w:rPr>
        <w:t>í</w:t>
      </w:r>
      <w:r>
        <w:rPr>
          <w:rFonts w:ascii="Times New Roman" w:hAnsi="Times New Roman"/>
          <w:rtl w:val="0"/>
          <w:lang w:val="es-ES_tradnl"/>
        </w:rPr>
        <w:t>fico que le permita valorar las distintas opciones de tratamiento (Montoya, 2011). Los prop</w:t>
      </w:r>
      <w:r>
        <w:rPr>
          <w:rFonts w:ascii="Times New Roman" w:hAnsi="Times New Roman" w:hint="default"/>
          <w:rtl w:val="0"/>
          <w:lang w:val="es-ES_tradnl"/>
        </w:rPr>
        <w:t>ó</w:t>
      </w:r>
      <w:r>
        <w:rPr>
          <w:rFonts w:ascii="Times New Roman" w:hAnsi="Times New Roman"/>
          <w:rtl w:val="0"/>
          <w:lang w:val="es-ES_tradnl"/>
        </w:rPr>
        <w:t>sitos de la presente investigaci</w:t>
      </w:r>
      <w:r>
        <w:rPr>
          <w:rFonts w:ascii="Times New Roman" w:hAnsi="Times New Roman" w:hint="default"/>
          <w:rtl w:val="0"/>
          <w:lang w:val="es-ES_tradnl"/>
        </w:rPr>
        <w:t>ó</w:t>
      </w:r>
      <w:r>
        <w:rPr>
          <w:rFonts w:ascii="Times New Roman" w:hAnsi="Times New Roman"/>
          <w:rtl w:val="0"/>
          <w:lang w:val="es-ES_tradnl"/>
        </w:rPr>
        <w:t>n fueron determinar, mediante registro polisomnogr</w:t>
      </w:r>
      <w:r>
        <w:rPr>
          <w:rFonts w:ascii="Times New Roman" w:hAnsi="Times New Roman" w:hint="default"/>
          <w:rtl w:val="0"/>
          <w:lang w:val="es-ES_tradnl"/>
        </w:rPr>
        <w:t>á</w:t>
      </w:r>
      <w:r>
        <w:rPr>
          <w:rFonts w:ascii="Times New Roman" w:hAnsi="Times New Roman"/>
          <w:rtl w:val="0"/>
          <w:lang w:val="es-ES_tradnl"/>
        </w:rPr>
        <w:t>fico del sue</w:t>
      </w:r>
      <w:r>
        <w:rPr>
          <w:rFonts w:ascii="Times New Roman" w:hAnsi="Times New Roman" w:hint="default"/>
          <w:rtl w:val="0"/>
          <w:lang w:val="es-ES_tradnl"/>
        </w:rPr>
        <w:t>ñ</w:t>
      </w:r>
      <w:r>
        <w:rPr>
          <w:rFonts w:ascii="Times New Roman" w:hAnsi="Times New Roman"/>
          <w:rtl w:val="0"/>
          <w:lang w:val="es-ES_tradnl"/>
        </w:rPr>
        <w:t>o, las caracter</w:t>
      </w:r>
      <w:r>
        <w:rPr>
          <w:rFonts w:ascii="Times New Roman" w:hAnsi="Times New Roman" w:hint="default"/>
          <w:rtl w:val="0"/>
          <w:lang w:val="es-ES_tradnl"/>
        </w:rPr>
        <w:t>í</w:t>
      </w:r>
      <w:r>
        <w:rPr>
          <w:rFonts w:ascii="Times New Roman" w:hAnsi="Times New Roman"/>
          <w:rtl w:val="0"/>
          <w:lang w:val="es-ES_tradnl"/>
        </w:rPr>
        <w:t>sticas de la arquitectura del sue</w:t>
      </w:r>
      <w:r>
        <w:rPr>
          <w:rFonts w:ascii="Times New Roman" w:hAnsi="Times New Roman" w:hint="default"/>
          <w:rtl w:val="0"/>
          <w:lang w:val="es-ES_tradnl"/>
        </w:rPr>
        <w:t>ñ</w:t>
      </w:r>
      <w:r>
        <w:rPr>
          <w:rFonts w:ascii="Times New Roman" w:hAnsi="Times New Roman"/>
          <w:rtl w:val="0"/>
          <w:lang w:val="es-ES_tradnl"/>
        </w:rPr>
        <w:t>o de los pacientes con fibromialgia compar</w:t>
      </w:r>
      <w:r>
        <w:rPr>
          <w:rFonts w:ascii="Times New Roman" w:hAnsi="Times New Roman" w:hint="default"/>
          <w:rtl w:val="0"/>
          <w:lang w:val="es-ES_tradnl"/>
        </w:rPr>
        <w:t>á</w:t>
      </w:r>
      <w:r>
        <w:rPr>
          <w:rFonts w:ascii="Times New Roman" w:hAnsi="Times New Roman"/>
          <w:rtl w:val="0"/>
          <w:lang w:val="es-ES_tradnl"/>
        </w:rPr>
        <w:t xml:space="preserve">ndolos con un grupo control pareado por edad, sexo e </w:t>
      </w:r>
      <w:r>
        <w:rPr>
          <w:rFonts w:ascii="Times New Roman" w:hAnsi="Times New Roman" w:hint="default"/>
          <w:rtl w:val="0"/>
          <w:lang w:val="es-ES_tradnl"/>
        </w:rPr>
        <w:t>í</w:t>
      </w:r>
      <w:r>
        <w:rPr>
          <w:rFonts w:ascii="Times New Roman" w:hAnsi="Times New Roman"/>
          <w:rtl w:val="0"/>
          <w:lang w:val="es-ES_tradnl"/>
        </w:rPr>
        <w:t>ndice de masa corporal (IMC), y explorar la pertinencia de observar otros componentes electroencefalogr</w:t>
      </w:r>
      <w:r>
        <w:rPr>
          <w:rFonts w:ascii="Times New Roman" w:hAnsi="Times New Roman" w:hint="default"/>
          <w:rtl w:val="0"/>
          <w:lang w:val="es-ES_tradnl"/>
        </w:rPr>
        <w:t>á</w:t>
      </w:r>
      <w:r>
        <w:rPr>
          <w:rFonts w:ascii="Times New Roman" w:hAnsi="Times New Roman"/>
          <w:rtl w:val="0"/>
          <w:lang w:val="es-ES_tradnl"/>
        </w:rPr>
        <w:t>ficos importantes que pudieran complementar el diagn</w:t>
      </w:r>
      <w:r>
        <w:rPr>
          <w:rFonts w:ascii="Times New Roman" w:hAnsi="Times New Roman" w:hint="default"/>
          <w:rtl w:val="0"/>
          <w:lang w:val="es-ES_tradnl"/>
        </w:rPr>
        <w:t>ó</w:t>
      </w:r>
      <w:r>
        <w:rPr>
          <w:rFonts w:ascii="Times New Roman" w:hAnsi="Times New Roman"/>
          <w:rtl w:val="0"/>
          <w:lang w:val="es-ES_tradnl"/>
        </w:rPr>
        <w:t>stico cl</w:t>
      </w:r>
      <w:r>
        <w:rPr>
          <w:rFonts w:ascii="Times New Roman" w:hAnsi="Times New Roman" w:hint="default"/>
          <w:rtl w:val="0"/>
          <w:lang w:val="es-ES_tradnl"/>
        </w:rPr>
        <w:t>í</w:t>
      </w:r>
      <w:r>
        <w:rPr>
          <w:rFonts w:ascii="Times New Roman" w:hAnsi="Times New Roman"/>
          <w:rtl w:val="0"/>
          <w:lang w:val="es-ES_tradnl"/>
        </w:rPr>
        <w:t>nico.</w:t>
      </w: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M</w:t>
      </w:r>
      <w:r>
        <w:rPr>
          <w:rFonts w:ascii="Times New Roman" w:hAnsi="Times New Roman" w:hint="default"/>
          <w:b w:val="1"/>
          <w:bCs w:val="1"/>
          <w:sz w:val="24"/>
          <w:szCs w:val="24"/>
          <w:rtl w:val="0"/>
          <w:lang w:val="es-ES_tradnl"/>
        </w:rPr>
        <w:t>é</w:t>
      </w:r>
      <w:r>
        <w:rPr>
          <w:rFonts w:ascii="Times New Roman" w:hAnsi="Times New Roman"/>
          <w:b w:val="1"/>
          <w:bCs w:val="1"/>
          <w:sz w:val="24"/>
          <w:szCs w:val="24"/>
          <w:rtl w:val="0"/>
          <w:lang w:val="es-ES_tradnl"/>
        </w:rPr>
        <w:t>todo</w:t>
      </w: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Participantes</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Participaron 10 mujeres con diagn</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stico confirmado de fibromialgia y 10 voluntarias sanas pareadas en edad e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 de masa corporal. Las participantes ten</w:t>
      </w:r>
      <w:r>
        <w:rPr>
          <w:rFonts w:ascii="Times New Roman" w:hAnsi="Times New Roman" w:hint="default"/>
          <w:sz w:val="24"/>
          <w:szCs w:val="24"/>
          <w:rtl w:val="0"/>
          <w:lang w:val="es-ES_tradnl"/>
        </w:rPr>
        <w:t>í</w:t>
      </w:r>
      <w:r>
        <w:rPr>
          <w:rFonts w:ascii="Times New Roman" w:hAnsi="Times New Roman"/>
          <w:sz w:val="24"/>
          <w:szCs w:val="24"/>
          <w:rtl w:val="0"/>
          <w:lang w:val="es-ES_tradnl"/>
        </w:rPr>
        <w:t>an una edad comprendida entre los 24 y los 58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y hab</w:t>
      </w:r>
      <w:r>
        <w:rPr>
          <w:rFonts w:ascii="Times New Roman" w:hAnsi="Times New Roman" w:hint="default"/>
          <w:sz w:val="24"/>
          <w:szCs w:val="24"/>
          <w:rtl w:val="0"/>
          <w:lang w:val="es-ES_tradnl"/>
        </w:rPr>
        <w:t>í</w:t>
      </w:r>
      <w:r>
        <w:rPr>
          <w:rFonts w:ascii="Times New Roman" w:hAnsi="Times New Roman"/>
          <w:sz w:val="24"/>
          <w:szCs w:val="24"/>
          <w:rtl w:val="0"/>
          <w:lang w:val="es-ES_tradnl"/>
        </w:rPr>
        <w:t>an sido diagnosticadas con al menos un a</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antelaci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al momento del estudio. Se excluyeron a todas aquellas personas que adem</w:t>
      </w:r>
      <w:r>
        <w:rPr>
          <w:rFonts w:ascii="Times New Roman" w:hAnsi="Times New Roman" w:hint="default"/>
          <w:sz w:val="24"/>
          <w:szCs w:val="24"/>
          <w:rtl w:val="0"/>
          <w:lang w:val="es-ES_tradnl"/>
        </w:rPr>
        <w:t>á</w:t>
      </w:r>
      <w:r>
        <w:rPr>
          <w:rFonts w:ascii="Times New Roman" w:hAnsi="Times New Roman"/>
          <w:sz w:val="24"/>
          <w:szCs w:val="24"/>
          <w:rtl w:val="0"/>
          <w:lang w:val="es-ES_tradnl"/>
        </w:rPr>
        <w:t>s del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de FM padecieran alguna enfermedad mental o f</w:t>
      </w:r>
      <w:r>
        <w:rPr>
          <w:rFonts w:ascii="Times New Roman" w:hAnsi="Times New Roman" w:hint="default"/>
          <w:sz w:val="24"/>
          <w:szCs w:val="24"/>
          <w:rtl w:val="0"/>
          <w:lang w:val="es-ES_tradnl"/>
        </w:rPr>
        <w:t>í</w:t>
      </w:r>
      <w:r>
        <w:rPr>
          <w:rFonts w:ascii="Times New Roman" w:hAnsi="Times New Roman"/>
          <w:sz w:val="24"/>
          <w:szCs w:val="24"/>
          <w:rtl w:val="0"/>
          <w:lang w:val="es-ES_tradnl"/>
        </w:rPr>
        <w:t>sica, tuvieran adicci</w:t>
      </w:r>
      <w:r>
        <w:rPr>
          <w:rFonts w:ascii="Times New Roman" w:hAnsi="Times New Roman" w:hint="default"/>
          <w:sz w:val="24"/>
          <w:szCs w:val="24"/>
          <w:rtl w:val="0"/>
          <w:lang w:val="es-ES_tradnl"/>
        </w:rPr>
        <w:t>ó</w:t>
      </w:r>
      <w:r>
        <w:rPr>
          <w:rFonts w:ascii="Times New Roman" w:hAnsi="Times New Roman"/>
          <w:sz w:val="24"/>
          <w:szCs w:val="24"/>
          <w:rtl w:val="0"/>
          <w:lang w:val="es-ES_tradnl"/>
        </w:rPr>
        <w:t>n a alguna sustancia o se encontrara evidencia, por medio de estudio polisomnogr</w:t>
      </w:r>
      <w:r>
        <w:rPr>
          <w:rFonts w:ascii="Times New Roman" w:hAnsi="Times New Roman" w:hint="default"/>
          <w:sz w:val="24"/>
          <w:szCs w:val="24"/>
          <w:rtl w:val="0"/>
          <w:lang w:val="es-ES_tradnl"/>
        </w:rPr>
        <w:t>á</w:t>
      </w:r>
      <w:r>
        <w:rPr>
          <w:rFonts w:ascii="Times New Roman" w:hAnsi="Times New Roman"/>
          <w:sz w:val="24"/>
          <w:szCs w:val="24"/>
          <w:rtl w:val="0"/>
          <w:lang w:val="es-ES_tradnl"/>
        </w:rPr>
        <w:t>fico,  de alg</w:t>
      </w:r>
      <w:r>
        <w:rPr>
          <w:rFonts w:ascii="Times New Roman" w:hAnsi="Times New Roman" w:hint="default"/>
          <w:sz w:val="24"/>
          <w:szCs w:val="24"/>
          <w:rtl w:val="0"/>
          <w:lang w:val="es-ES_tradnl"/>
        </w:rPr>
        <w:t>ú</w:t>
      </w:r>
      <w:r>
        <w:rPr>
          <w:rFonts w:ascii="Times New Roman" w:hAnsi="Times New Roman"/>
          <w:sz w:val="24"/>
          <w:szCs w:val="24"/>
          <w:rtl w:val="0"/>
          <w:lang w:val="es-ES_tradnl"/>
        </w:rPr>
        <w:t>n trastorno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concomitante.</w:t>
      </w: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Instrumentos</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Con la finalidad de descartar la presencia de alg</w:t>
      </w:r>
      <w:r>
        <w:rPr>
          <w:rFonts w:ascii="Times New Roman" w:hAnsi="Times New Roman" w:hint="default"/>
          <w:sz w:val="24"/>
          <w:szCs w:val="24"/>
          <w:rtl w:val="0"/>
          <w:lang w:val="es-ES_tradnl"/>
        </w:rPr>
        <w:t>ú</w:t>
      </w:r>
      <w:r>
        <w:rPr>
          <w:rFonts w:ascii="Times New Roman" w:hAnsi="Times New Roman"/>
          <w:sz w:val="24"/>
          <w:szCs w:val="24"/>
          <w:rtl w:val="0"/>
          <w:lang w:val="es-ES_tradnl"/>
        </w:rPr>
        <w:t xml:space="preserve">n trastorno del estado de </w:t>
      </w:r>
      <w:r>
        <w:rPr>
          <w:rFonts w:ascii="Times New Roman" w:hAnsi="Times New Roman" w:hint="default"/>
          <w:sz w:val="24"/>
          <w:szCs w:val="24"/>
          <w:rtl w:val="0"/>
          <w:lang w:val="es-ES_tradnl"/>
        </w:rPr>
        <w:t>á</w:t>
      </w:r>
      <w:r>
        <w:rPr>
          <w:rFonts w:ascii="Times New Roman" w:hAnsi="Times New Roman"/>
          <w:sz w:val="24"/>
          <w:szCs w:val="24"/>
          <w:rtl w:val="0"/>
          <w:lang w:val="es-ES_tradnl"/>
        </w:rPr>
        <w:t>nimo se utiliz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Inventario de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Beck (BDI) validado al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ol (Jurado, Villegas, M</w:t>
      </w:r>
      <w:r>
        <w:rPr>
          <w:rFonts w:ascii="Times New Roman" w:hAnsi="Times New Roman" w:hint="default"/>
          <w:sz w:val="24"/>
          <w:szCs w:val="24"/>
          <w:rtl w:val="0"/>
          <w:lang w:val="es-ES_tradnl"/>
        </w:rPr>
        <w:t>é</w:t>
      </w:r>
      <w:r>
        <w:rPr>
          <w:rFonts w:ascii="Times New Roman" w:hAnsi="Times New Roman"/>
          <w:sz w:val="24"/>
          <w:szCs w:val="24"/>
          <w:rtl w:val="0"/>
          <w:lang w:val="es-ES_tradnl"/>
        </w:rPr>
        <w:t>ndez, Rodr</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guez, Loperana y Varela, 1998). Dicho instrumento consta de 21 </w:t>
      </w:r>
      <w:r>
        <w:rPr>
          <w:rFonts w:ascii="Times New Roman" w:hAnsi="Times New Roman" w:hint="default"/>
          <w:sz w:val="24"/>
          <w:szCs w:val="24"/>
          <w:rtl w:val="0"/>
          <w:lang w:val="es-ES_tradnl"/>
        </w:rPr>
        <w:t>í</w:t>
      </w:r>
      <w:r>
        <w:rPr>
          <w:rFonts w:ascii="Times New Roman" w:hAnsi="Times New Roman"/>
          <w:sz w:val="24"/>
          <w:szCs w:val="24"/>
          <w:rtl w:val="0"/>
          <w:lang w:val="es-ES_tradnl"/>
        </w:rPr>
        <w:t>tems que eval</w:t>
      </w:r>
      <w:r>
        <w:rPr>
          <w:rFonts w:ascii="Times New Roman" w:hAnsi="Times New Roman" w:hint="default"/>
          <w:sz w:val="24"/>
          <w:szCs w:val="24"/>
          <w:rtl w:val="0"/>
          <w:lang w:val="es-ES_tradnl"/>
        </w:rPr>
        <w:t>ú</w:t>
      </w:r>
      <w:r>
        <w:rPr>
          <w:rFonts w:ascii="Times New Roman" w:hAnsi="Times New Roman"/>
          <w:sz w:val="24"/>
          <w:szCs w:val="24"/>
          <w:rtl w:val="0"/>
          <w:lang w:val="es-ES_tradnl"/>
        </w:rPr>
        <w:t>a la severidad de los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depresivos agrupados en tres factores: actitudes negativas hacia 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mismos, deterioro del rendimiento y alteraci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som</w:t>
      </w:r>
      <w:r>
        <w:rPr>
          <w:rFonts w:ascii="Times New Roman" w:hAnsi="Times New Roman" w:hint="default"/>
          <w:sz w:val="24"/>
          <w:szCs w:val="24"/>
          <w:rtl w:val="0"/>
          <w:lang w:val="es-ES_tradnl"/>
        </w:rPr>
        <w:t>á</w:t>
      </w:r>
      <w:r>
        <w:rPr>
          <w:rFonts w:ascii="Times New Roman" w:hAnsi="Times New Roman"/>
          <w:sz w:val="24"/>
          <w:szCs w:val="24"/>
          <w:rtl w:val="0"/>
          <w:lang w:val="es-ES_tradnl"/>
        </w:rPr>
        <w:t>tica. Asimismo, se aplic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el Inventario de Ansiedad de Beck (BAI) en su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validada al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ol (Robles, Varela, Jurado y P</w:t>
      </w:r>
      <w:r>
        <w:rPr>
          <w:rFonts w:ascii="Times New Roman" w:hAnsi="Times New Roman" w:hint="default"/>
          <w:sz w:val="24"/>
          <w:szCs w:val="24"/>
          <w:rtl w:val="0"/>
          <w:lang w:val="es-ES_tradnl"/>
        </w:rPr>
        <w:t>á</w:t>
      </w:r>
      <w:r>
        <w:rPr>
          <w:rFonts w:ascii="Times New Roman" w:hAnsi="Times New Roman"/>
          <w:sz w:val="24"/>
          <w:szCs w:val="24"/>
          <w:rtl w:val="0"/>
          <w:lang w:val="es-ES_tradnl"/>
        </w:rPr>
        <w:t>ez, 2001). El Inventario de Ansiedad de Beck es una escala de autoaplicaci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21 </w:t>
      </w:r>
      <w:r>
        <w:rPr>
          <w:rFonts w:ascii="Times New Roman" w:hAnsi="Times New Roman" w:hint="default"/>
          <w:sz w:val="24"/>
          <w:szCs w:val="24"/>
          <w:rtl w:val="0"/>
          <w:lang w:val="es-ES_tradnl"/>
        </w:rPr>
        <w:t>í</w:t>
      </w:r>
      <w:r>
        <w:rPr>
          <w:rFonts w:ascii="Times New Roman" w:hAnsi="Times New Roman"/>
          <w:sz w:val="24"/>
          <w:szCs w:val="24"/>
          <w:rtl w:val="0"/>
          <w:lang w:val="es-ES_tradnl"/>
        </w:rPr>
        <w:t>tems que eval</w:t>
      </w:r>
      <w:r>
        <w:rPr>
          <w:rFonts w:ascii="Times New Roman" w:hAnsi="Times New Roman" w:hint="default"/>
          <w:sz w:val="24"/>
          <w:szCs w:val="24"/>
          <w:rtl w:val="0"/>
          <w:lang w:val="es-ES_tradnl"/>
        </w:rPr>
        <w:t>ú</w:t>
      </w:r>
      <w:r>
        <w:rPr>
          <w:rFonts w:ascii="Times New Roman" w:hAnsi="Times New Roman"/>
          <w:sz w:val="24"/>
          <w:szCs w:val="24"/>
          <w:rtl w:val="0"/>
          <w:lang w:val="es-ES_tradnl"/>
        </w:rPr>
        <w:t>a la sintomatolog</w:t>
      </w:r>
      <w:r>
        <w:rPr>
          <w:rFonts w:ascii="Times New Roman" w:hAnsi="Times New Roman" w:hint="default"/>
          <w:sz w:val="24"/>
          <w:szCs w:val="24"/>
          <w:rtl w:val="0"/>
          <w:lang w:val="es-ES_tradnl"/>
        </w:rPr>
        <w:t>í</w:t>
      </w:r>
      <w:r>
        <w:rPr>
          <w:rFonts w:ascii="Times New Roman" w:hAnsi="Times New Roman"/>
          <w:sz w:val="24"/>
          <w:szCs w:val="24"/>
          <w:rtl w:val="0"/>
          <w:lang w:val="es-ES_tradnl"/>
        </w:rPr>
        <w:t>a ansiosa en dos dimensiones: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subjetivos y som</w:t>
      </w:r>
      <w:r>
        <w:rPr>
          <w:rFonts w:ascii="Times New Roman" w:hAnsi="Times New Roman" w:hint="default"/>
          <w:sz w:val="24"/>
          <w:szCs w:val="24"/>
          <w:rtl w:val="0"/>
          <w:lang w:val="es-ES_tradnl"/>
        </w:rPr>
        <w:t>á</w:t>
      </w:r>
      <w:r>
        <w:rPr>
          <w:rFonts w:ascii="Times New Roman" w:hAnsi="Times New Roman"/>
          <w:sz w:val="24"/>
          <w:szCs w:val="24"/>
          <w:rtl w:val="0"/>
          <w:lang w:val="es-ES_tradnl"/>
        </w:rPr>
        <w:t>ticos; y cuatro factores: subjetivo, neurofisiol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 auton</w:t>
      </w:r>
      <w:r>
        <w:rPr>
          <w:rFonts w:ascii="Times New Roman" w:hAnsi="Times New Roman" w:hint="default"/>
          <w:sz w:val="24"/>
          <w:szCs w:val="24"/>
          <w:rtl w:val="0"/>
          <w:lang w:val="es-ES_tradnl"/>
        </w:rPr>
        <w:t>ó</w:t>
      </w:r>
      <w:r>
        <w:rPr>
          <w:rFonts w:ascii="Times New Roman" w:hAnsi="Times New Roman"/>
          <w:sz w:val="24"/>
          <w:szCs w:val="24"/>
          <w:rtl w:val="0"/>
          <w:lang w:val="es-ES_tradnl"/>
        </w:rPr>
        <w:t>mico y p</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nico. </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Para evaluar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se utiliz</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 equipo de polisomnograf</w:t>
      </w:r>
      <w:r>
        <w:rPr>
          <w:rFonts w:ascii="Times New Roman" w:hAnsi="Times New Roman" w:hint="default"/>
          <w:sz w:val="24"/>
          <w:szCs w:val="24"/>
          <w:rtl w:val="0"/>
          <w:lang w:val="es-ES_tradnl"/>
        </w:rPr>
        <w:t>í</w:t>
      </w:r>
      <w:r>
        <w:rPr>
          <w:rFonts w:ascii="Times New Roman" w:hAnsi="Times New Roman"/>
          <w:sz w:val="24"/>
          <w:szCs w:val="24"/>
          <w:rtl w:val="0"/>
          <w:lang w:val="es-ES_tradnl"/>
        </w:rPr>
        <w:t>a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modelo Easy II marca Cadwell, con una frecuencia de muestreo de 400 Hz.</w:t>
      </w: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Procedimiento</w:t>
      </w:r>
    </w:p>
    <w:p>
      <w:pPr>
        <w:pStyle w:val="Texto independiente"/>
        <w:jc w:val="left"/>
        <w:rPr>
          <w:rFonts w:ascii="Times New Roman" w:cs="Times New Roman" w:hAnsi="Times New Roman" w:eastAsia="Times New Roman"/>
        </w:rPr>
      </w:pPr>
      <w:r>
        <w:rPr>
          <w:rFonts w:ascii="Times New Roman" w:hAnsi="Times New Roman"/>
          <w:rtl w:val="0"/>
        </w:rPr>
        <w:t>Se invit</w:t>
      </w:r>
      <w:r>
        <w:rPr>
          <w:rFonts w:ascii="Times New Roman" w:hAnsi="Times New Roman" w:hint="default"/>
          <w:rtl w:val="0"/>
        </w:rPr>
        <w:t xml:space="preserve">ó </w:t>
      </w:r>
      <w:r>
        <w:rPr>
          <w:rFonts w:ascii="Times New Roman" w:hAnsi="Times New Roman"/>
          <w:rtl w:val="0"/>
        </w:rPr>
        <w:t>a participar voluntariamente en el proyecto a personas diagnosticadas con s</w:t>
      </w:r>
      <w:r>
        <w:rPr>
          <w:rFonts w:ascii="Times New Roman" w:hAnsi="Times New Roman" w:hint="default"/>
          <w:rtl w:val="0"/>
        </w:rPr>
        <w:t>í</w:t>
      </w:r>
      <w:r>
        <w:rPr>
          <w:rFonts w:ascii="Times New Roman" w:hAnsi="Times New Roman"/>
          <w:rtl w:val="0"/>
        </w:rPr>
        <w:t>ndrome de F</w:t>
      </w:r>
      <w:r>
        <w:rPr>
          <w:rFonts w:ascii="Times New Roman" w:hAnsi="Times New Roman"/>
          <w:rtl w:val="0"/>
          <w:lang w:val="es-ES_tradnl"/>
        </w:rPr>
        <w:t>M</w:t>
      </w:r>
      <w:r>
        <w:rPr>
          <w:rFonts w:ascii="Times New Roman" w:hAnsi="Times New Roman"/>
          <w:rtl w:val="0"/>
        </w:rPr>
        <w:t xml:space="preserve"> por medio de distintas Fundaciones de </w:t>
      </w:r>
      <w:r>
        <w:rPr>
          <w:rFonts w:ascii="Times New Roman" w:hAnsi="Times New Roman"/>
          <w:rtl w:val="0"/>
          <w:lang w:val="es-ES_tradnl"/>
        </w:rPr>
        <w:t>M</w:t>
      </w:r>
      <w:r>
        <w:rPr>
          <w:rFonts w:ascii="Times New Roman" w:hAnsi="Times New Roman" w:hint="default"/>
          <w:rtl w:val="0"/>
          <w:lang w:val="es-ES_tradnl"/>
        </w:rPr>
        <w:t>é</w:t>
      </w:r>
      <w:r>
        <w:rPr>
          <w:rFonts w:ascii="Times New Roman" w:hAnsi="Times New Roman"/>
          <w:rtl w:val="0"/>
          <w:lang w:val="es-ES_tradnl"/>
        </w:rPr>
        <w:t>xico</w:t>
      </w:r>
      <w:r>
        <w:rPr>
          <w:rFonts w:ascii="Times New Roman" w:hAnsi="Times New Roman"/>
          <w:rtl w:val="0"/>
        </w:rPr>
        <w:t>, detallando los requisitos de participaci</w:t>
      </w:r>
      <w:r>
        <w:rPr>
          <w:rFonts w:ascii="Times New Roman" w:hAnsi="Times New Roman" w:hint="default"/>
          <w:rtl w:val="0"/>
        </w:rPr>
        <w:t>ó</w:t>
      </w:r>
      <w:r>
        <w:rPr>
          <w:rFonts w:ascii="Times New Roman" w:hAnsi="Times New Roman"/>
          <w:rtl w:val="0"/>
        </w:rPr>
        <w:t>n y la finalidad del proyecto. Por medio de una entrevista cl</w:t>
      </w:r>
      <w:r>
        <w:rPr>
          <w:rFonts w:ascii="Times New Roman" w:hAnsi="Times New Roman" w:hint="default"/>
          <w:rtl w:val="0"/>
        </w:rPr>
        <w:t>í</w:t>
      </w:r>
      <w:r>
        <w:rPr>
          <w:rFonts w:ascii="Times New Roman" w:hAnsi="Times New Roman"/>
          <w:rtl w:val="0"/>
        </w:rPr>
        <w:t>nica se verific</w:t>
      </w:r>
      <w:r>
        <w:rPr>
          <w:rFonts w:ascii="Times New Roman" w:hAnsi="Times New Roman" w:hint="default"/>
          <w:rtl w:val="0"/>
        </w:rPr>
        <w:t xml:space="preserve">ó </w:t>
      </w:r>
      <w:r>
        <w:rPr>
          <w:rFonts w:ascii="Times New Roman" w:hAnsi="Times New Roman"/>
          <w:rtl w:val="0"/>
        </w:rPr>
        <w:t>que las pacientes cumplieran con los criterios de inclusi</w:t>
      </w:r>
      <w:r>
        <w:rPr>
          <w:rFonts w:ascii="Times New Roman" w:hAnsi="Times New Roman" w:hint="default"/>
          <w:rtl w:val="0"/>
        </w:rPr>
        <w:t>ó</w:t>
      </w:r>
      <w:r>
        <w:rPr>
          <w:rFonts w:ascii="Times New Roman" w:hAnsi="Times New Roman"/>
          <w:rtl w:val="0"/>
        </w:rPr>
        <w:t xml:space="preserve">n y firmaron carta </w:t>
      </w:r>
      <w:r>
        <w:rPr>
          <w:rFonts w:ascii="Times New Roman" w:hAnsi="Times New Roman"/>
          <w:rtl w:val="0"/>
          <w:lang w:val="es-ES_tradnl"/>
        </w:rPr>
        <w:t xml:space="preserve">de </w:t>
      </w:r>
      <w:r>
        <w:rPr>
          <w:rFonts w:ascii="Times New Roman" w:hAnsi="Times New Roman"/>
          <w:rtl w:val="0"/>
        </w:rPr>
        <w:t>consentimiento informado. Posteriormente se efectu</w:t>
      </w:r>
      <w:r>
        <w:rPr>
          <w:rFonts w:ascii="Times New Roman" w:hAnsi="Times New Roman" w:hint="default"/>
          <w:rtl w:val="0"/>
        </w:rPr>
        <w:t xml:space="preserve">ó </w:t>
      </w:r>
      <w:r>
        <w:rPr>
          <w:rFonts w:ascii="Times New Roman" w:hAnsi="Times New Roman"/>
          <w:rtl w:val="0"/>
        </w:rPr>
        <w:t>la evaluaci</w:t>
      </w:r>
      <w:r>
        <w:rPr>
          <w:rFonts w:ascii="Times New Roman" w:hAnsi="Times New Roman" w:hint="default"/>
          <w:rtl w:val="0"/>
        </w:rPr>
        <w:t>ó</w:t>
      </w:r>
      <w:r>
        <w:rPr>
          <w:rFonts w:ascii="Times New Roman" w:hAnsi="Times New Roman"/>
          <w:rtl w:val="0"/>
        </w:rPr>
        <w:t>n de los aspectos psicol</w:t>
      </w:r>
      <w:r>
        <w:rPr>
          <w:rFonts w:ascii="Times New Roman" w:hAnsi="Times New Roman" w:hint="default"/>
          <w:rtl w:val="0"/>
        </w:rPr>
        <w:t>ó</w:t>
      </w:r>
      <w:r>
        <w:rPr>
          <w:rFonts w:ascii="Times New Roman" w:hAnsi="Times New Roman"/>
          <w:rtl w:val="0"/>
        </w:rPr>
        <w:t>gicos de ansiedad y depresi</w:t>
      </w:r>
      <w:r>
        <w:rPr>
          <w:rFonts w:ascii="Times New Roman" w:hAnsi="Times New Roman" w:hint="default"/>
          <w:rtl w:val="0"/>
        </w:rPr>
        <w:t>ó</w:t>
      </w:r>
      <w:r>
        <w:rPr>
          <w:rFonts w:ascii="Times New Roman" w:hAnsi="Times New Roman"/>
          <w:rtl w:val="0"/>
        </w:rPr>
        <w:t>n, y se procedi</w:t>
      </w:r>
      <w:r>
        <w:rPr>
          <w:rFonts w:ascii="Times New Roman" w:hAnsi="Times New Roman" w:hint="default"/>
          <w:rtl w:val="0"/>
        </w:rPr>
        <w:t xml:space="preserve">ó </w:t>
      </w:r>
      <w:r>
        <w:rPr>
          <w:rFonts w:ascii="Times New Roman" w:hAnsi="Times New Roman"/>
          <w:rtl w:val="0"/>
        </w:rPr>
        <w:t>a realizar los registros polisomnogr</w:t>
      </w:r>
      <w:r>
        <w:rPr>
          <w:rFonts w:ascii="Times New Roman" w:hAnsi="Times New Roman" w:hint="default"/>
          <w:rtl w:val="0"/>
        </w:rPr>
        <w:t>á</w:t>
      </w:r>
      <w:r>
        <w:rPr>
          <w:rFonts w:ascii="Times New Roman" w:hAnsi="Times New Roman"/>
          <w:rtl w:val="0"/>
        </w:rPr>
        <w:t xml:space="preserve">ficos durante 2 noches consecutivas. </w:t>
      </w:r>
    </w:p>
    <w:p>
      <w:pPr>
        <w:pStyle w:val="Texto independiente"/>
        <w:jc w:val="left"/>
        <w:rPr>
          <w:rFonts w:ascii="Times New Roman" w:cs="Times New Roman" w:hAnsi="Times New Roman" w:eastAsia="Times New Roman"/>
        </w:rPr>
      </w:pPr>
      <w:r>
        <w:rPr>
          <w:rFonts w:ascii="Times New Roman" w:hAnsi="Times New Roman"/>
          <w:rtl w:val="0"/>
          <w:lang w:val="es-ES_tradnl"/>
        </w:rPr>
        <w:t>En todos los casos (pacientes y controles) los registros polisomnogr</w:t>
      </w:r>
      <w:r>
        <w:rPr>
          <w:rFonts w:ascii="Times New Roman" w:hAnsi="Times New Roman" w:hint="default"/>
          <w:rtl w:val="0"/>
          <w:lang w:val="es-ES_tradnl"/>
        </w:rPr>
        <w:t>á</w:t>
      </w:r>
      <w:r>
        <w:rPr>
          <w:rFonts w:ascii="Times New Roman" w:hAnsi="Times New Roman"/>
          <w:rtl w:val="0"/>
          <w:lang w:val="es-ES_tradnl"/>
        </w:rPr>
        <w:t>ficos fueron conducidos en condiciones estandarizadas, de forma individual y en el laboratorio de Neurociencias de la Facultad de Psicolog</w:t>
      </w:r>
      <w:r>
        <w:rPr>
          <w:rFonts w:ascii="Times New Roman" w:hAnsi="Times New Roman" w:hint="default"/>
          <w:rtl w:val="0"/>
          <w:lang w:val="es-ES_tradnl"/>
        </w:rPr>
        <w:t>í</w:t>
      </w:r>
      <w:r>
        <w:rPr>
          <w:rFonts w:ascii="Times New Roman" w:hAnsi="Times New Roman"/>
          <w:rtl w:val="0"/>
          <w:lang w:val="es-ES_tradnl"/>
        </w:rPr>
        <w:t>a de la Universidad Nacional Aut</w:t>
      </w:r>
      <w:r>
        <w:rPr>
          <w:rFonts w:ascii="Times New Roman" w:hAnsi="Times New Roman" w:hint="default"/>
          <w:rtl w:val="0"/>
          <w:lang w:val="es-ES_tradnl"/>
        </w:rPr>
        <w:t>ó</w:t>
      </w:r>
      <w:r>
        <w:rPr>
          <w:rFonts w:ascii="Times New Roman" w:hAnsi="Times New Roman"/>
          <w:rtl w:val="0"/>
          <w:lang w:val="es-ES_tradnl"/>
        </w:rPr>
        <w:t>noma de M</w:t>
      </w:r>
      <w:r>
        <w:rPr>
          <w:rFonts w:ascii="Times New Roman" w:hAnsi="Times New Roman" w:hint="default"/>
          <w:rtl w:val="0"/>
          <w:lang w:val="es-ES_tradnl"/>
        </w:rPr>
        <w:t>é</w:t>
      </w:r>
      <w:r>
        <w:rPr>
          <w:rFonts w:ascii="Times New Roman" w:hAnsi="Times New Roman"/>
          <w:rtl w:val="0"/>
          <w:lang w:val="es-ES_tradnl"/>
        </w:rPr>
        <w:t>xico. Despu</w:t>
      </w:r>
      <w:r>
        <w:rPr>
          <w:rFonts w:ascii="Times New Roman" w:hAnsi="Times New Roman" w:hint="default"/>
          <w:rtl w:val="0"/>
          <w:lang w:val="es-ES_tradnl"/>
        </w:rPr>
        <w:t>é</w:t>
      </w:r>
      <w:r>
        <w:rPr>
          <w:rFonts w:ascii="Times New Roman" w:hAnsi="Times New Roman"/>
          <w:rtl w:val="0"/>
          <w:lang w:val="es-ES_tradnl"/>
        </w:rPr>
        <w:t>s de dos horas de preparaci</w:t>
      </w:r>
      <w:r>
        <w:rPr>
          <w:rFonts w:ascii="Times New Roman" w:hAnsi="Times New Roman" w:hint="default"/>
          <w:rtl w:val="0"/>
          <w:lang w:val="es-ES_tradnl"/>
        </w:rPr>
        <w:t>ó</w:t>
      </w:r>
      <w:r>
        <w:rPr>
          <w:rFonts w:ascii="Times New Roman" w:hAnsi="Times New Roman"/>
          <w:rtl w:val="0"/>
          <w:lang w:val="es-ES_tradnl"/>
        </w:rPr>
        <w:t>n, en las que se limpi</w:t>
      </w:r>
      <w:r>
        <w:rPr>
          <w:rFonts w:ascii="Times New Roman" w:hAnsi="Times New Roman" w:hint="default"/>
          <w:rtl w:val="0"/>
          <w:lang w:val="es-ES_tradnl"/>
        </w:rPr>
        <w:t xml:space="preserve">ó </w:t>
      </w:r>
      <w:r>
        <w:rPr>
          <w:rFonts w:ascii="Times New Roman" w:hAnsi="Times New Roman"/>
          <w:rtl w:val="0"/>
          <w:lang w:val="es-ES_tradnl"/>
        </w:rPr>
        <w:t>la piel y se realiz</w:t>
      </w:r>
      <w:r>
        <w:rPr>
          <w:rFonts w:ascii="Times New Roman" w:hAnsi="Times New Roman" w:hint="default"/>
          <w:rtl w:val="0"/>
          <w:lang w:val="es-ES_tradnl"/>
        </w:rPr>
        <w:t xml:space="preserve">ó </w:t>
      </w:r>
      <w:r>
        <w:rPr>
          <w:rFonts w:ascii="Times New Roman" w:hAnsi="Times New Roman"/>
          <w:rtl w:val="0"/>
          <w:lang w:val="es-ES_tradnl"/>
        </w:rPr>
        <w:t>la colocaci</w:t>
      </w:r>
      <w:r>
        <w:rPr>
          <w:rFonts w:ascii="Times New Roman" w:hAnsi="Times New Roman" w:hint="default"/>
          <w:rtl w:val="0"/>
          <w:lang w:val="es-ES_tradnl"/>
        </w:rPr>
        <w:t>ó</w:t>
      </w:r>
      <w:r>
        <w:rPr>
          <w:rFonts w:ascii="Times New Roman" w:hAnsi="Times New Roman"/>
          <w:rtl w:val="0"/>
          <w:lang w:val="es-ES_tradnl"/>
        </w:rPr>
        <w:t>n de electrodos, se inici</w:t>
      </w:r>
      <w:r>
        <w:rPr>
          <w:rFonts w:ascii="Times New Roman" w:hAnsi="Times New Roman" w:hint="default"/>
          <w:rtl w:val="0"/>
          <w:lang w:val="es-ES_tradnl"/>
        </w:rPr>
        <w:t xml:space="preserve">ó </w:t>
      </w:r>
      <w:r>
        <w:rPr>
          <w:rFonts w:ascii="Times New Roman" w:hAnsi="Times New Roman"/>
          <w:rtl w:val="0"/>
          <w:lang w:val="es-ES_tradnl"/>
        </w:rPr>
        <w:t>el registro con una duraci</w:t>
      </w:r>
      <w:r>
        <w:rPr>
          <w:rFonts w:ascii="Times New Roman" w:hAnsi="Times New Roman" w:hint="default"/>
          <w:rtl w:val="0"/>
          <w:lang w:val="es-ES_tradnl"/>
        </w:rPr>
        <w:t>ó</w:t>
      </w:r>
      <w:r>
        <w:rPr>
          <w:rFonts w:ascii="Times New Roman" w:hAnsi="Times New Roman"/>
          <w:rtl w:val="0"/>
          <w:lang w:val="es-ES_tradnl"/>
        </w:rPr>
        <w:t>n aproximada de ocho horas. El registro se realiz</w:t>
      </w:r>
      <w:r>
        <w:rPr>
          <w:rFonts w:ascii="Times New Roman" w:hAnsi="Times New Roman" w:hint="default"/>
          <w:rtl w:val="0"/>
          <w:lang w:val="es-ES_tradnl"/>
        </w:rPr>
        <w:t xml:space="preserve">ó </w:t>
      </w:r>
      <w:r>
        <w:rPr>
          <w:rFonts w:ascii="Times New Roman" w:hAnsi="Times New Roman"/>
          <w:rtl w:val="0"/>
          <w:lang w:val="es-ES_tradnl"/>
        </w:rPr>
        <w:t>mediante monitoreo de seis derivaciones bipolares EEG (F3-A2, F4-A1, C3-A2, C4-A1, O1-A2, O2-A1) para la primera noche y 19 derivaciones EEG de acuerdo al Sistema 10-20 internacional para la segunda noche, dos canales bipolares para EOG derecho e izquierdo y cuatro canales bipolares para registro EMG, dos para los m</w:t>
      </w:r>
      <w:r>
        <w:rPr>
          <w:rFonts w:ascii="Times New Roman" w:hAnsi="Times New Roman" w:hint="default"/>
          <w:rtl w:val="0"/>
          <w:lang w:val="es-ES_tradnl"/>
        </w:rPr>
        <w:t>ú</w:t>
      </w:r>
      <w:r>
        <w:rPr>
          <w:rFonts w:ascii="Times New Roman" w:hAnsi="Times New Roman"/>
          <w:rtl w:val="0"/>
          <w:lang w:val="es-ES_tradnl"/>
        </w:rPr>
        <w:t>sculos submentonianos izquierdo y derecho, y otros dos para los m</w:t>
      </w:r>
      <w:r>
        <w:rPr>
          <w:rFonts w:ascii="Times New Roman" w:hAnsi="Times New Roman" w:hint="default"/>
          <w:rtl w:val="0"/>
          <w:lang w:val="es-ES_tradnl"/>
        </w:rPr>
        <w:t>ú</w:t>
      </w:r>
      <w:r>
        <w:rPr>
          <w:rFonts w:ascii="Times New Roman" w:hAnsi="Times New Roman"/>
          <w:rtl w:val="0"/>
          <w:lang w:val="es-ES_tradnl"/>
        </w:rPr>
        <w:t>sculos tibiales anteriores izquierdo y derecho. Para el registro de los par</w:t>
      </w:r>
      <w:r>
        <w:rPr>
          <w:rFonts w:ascii="Times New Roman" w:hAnsi="Times New Roman" w:hint="default"/>
          <w:rtl w:val="0"/>
          <w:lang w:val="es-ES_tradnl"/>
        </w:rPr>
        <w:t>á</w:t>
      </w:r>
      <w:r>
        <w:rPr>
          <w:rFonts w:ascii="Times New Roman" w:hAnsi="Times New Roman"/>
          <w:rtl w:val="0"/>
          <w:lang w:val="es-ES_tradnl"/>
        </w:rPr>
        <w:t>metros respiratorios se incluy</w:t>
      </w:r>
      <w:r>
        <w:rPr>
          <w:rFonts w:ascii="Times New Roman" w:hAnsi="Times New Roman" w:hint="default"/>
          <w:rtl w:val="0"/>
          <w:lang w:val="es-ES_tradnl"/>
        </w:rPr>
        <w:t xml:space="preserve">ó </w:t>
      </w:r>
      <w:r>
        <w:rPr>
          <w:rFonts w:ascii="Times New Roman" w:hAnsi="Times New Roman"/>
          <w:rtl w:val="0"/>
          <w:lang w:val="es-ES_tradnl"/>
        </w:rPr>
        <w:t>un canal para el flujo nasal-oral y dos canales para los movimientos abdominales y tor</w:t>
      </w:r>
      <w:r>
        <w:rPr>
          <w:rFonts w:ascii="Times New Roman" w:hAnsi="Times New Roman" w:hint="default"/>
          <w:rtl w:val="0"/>
          <w:lang w:val="es-ES_tradnl"/>
        </w:rPr>
        <w:t>á</w:t>
      </w:r>
      <w:r>
        <w:rPr>
          <w:rFonts w:ascii="Times New Roman" w:hAnsi="Times New Roman"/>
          <w:rtl w:val="0"/>
          <w:lang w:val="es-ES_tradnl"/>
        </w:rPr>
        <w:t>cicos respectivamente, dos canales bipolares para el registro electrocardiogr</w:t>
      </w:r>
      <w:r>
        <w:rPr>
          <w:rFonts w:ascii="Times New Roman" w:hAnsi="Times New Roman" w:hint="default"/>
          <w:rtl w:val="0"/>
          <w:lang w:val="es-ES_tradnl"/>
        </w:rPr>
        <w:t>á</w:t>
      </w:r>
      <w:r>
        <w:rPr>
          <w:rFonts w:ascii="Times New Roman" w:hAnsi="Times New Roman"/>
          <w:rtl w:val="0"/>
          <w:lang w:val="es-ES_tradnl"/>
        </w:rPr>
        <w:t>fico, un canal para registrar el ronquido y otro para registrar la postura corporal. El nivel de saturaci</w:t>
      </w:r>
      <w:r>
        <w:rPr>
          <w:rFonts w:ascii="Times New Roman" w:hAnsi="Times New Roman" w:hint="default"/>
          <w:rtl w:val="0"/>
          <w:lang w:val="es-ES_tradnl"/>
        </w:rPr>
        <w:t>ó</w:t>
      </w:r>
      <w:r>
        <w:rPr>
          <w:rFonts w:ascii="Times New Roman" w:hAnsi="Times New Roman"/>
          <w:rtl w:val="0"/>
          <w:lang w:val="es-ES_tradnl"/>
        </w:rPr>
        <w:t>n de ox</w:t>
      </w:r>
      <w:r>
        <w:rPr>
          <w:rFonts w:ascii="Times New Roman" w:hAnsi="Times New Roman" w:hint="default"/>
          <w:rtl w:val="0"/>
          <w:lang w:val="es-ES_tradnl"/>
        </w:rPr>
        <w:t>í</w:t>
      </w:r>
      <w:r>
        <w:rPr>
          <w:rFonts w:ascii="Times New Roman" w:hAnsi="Times New Roman"/>
          <w:rtl w:val="0"/>
          <w:lang w:val="es-ES_tradnl"/>
        </w:rPr>
        <w:t>geno se registr</w:t>
      </w:r>
      <w:r>
        <w:rPr>
          <w:rFonts w:ascii="Times New Roman" w:hAnsi="Times New Roman" w:hint="default"/>
          <w:rtl w:val="0"/>
          <w:lang w:val="es-ES_tradnl"/>
        </w:rPr>
        <w:t xml:space="preserve">ó </w:t>
      </w:r>
      <w:r>
        <w:rPr>
          <w:rFonts w:ascii="Times New Roman" w:hAnsi="Times New Roman"/>
          <w:rtl w:val="0"/>
          <w:lang w:val="es-ES_tradnl"/>
        </w:rPr>
        <w:t>por medio de un puls</w:t>
      </w:r>
      <w:r>
        <w:rPr>
          <w:rFonts w:ascii="Times New Roman" w:hAnsi="Times New Roman" w:hint="default"/>
          <w:rtl w:val="0"/>
          <w:lang w:val="es-ES_tradnl"/>
        </w:rPr>
        <w:t>í</w:t>
      </w:r>
      <w:r>
        <w:rPr>
          <w:rFonts w:ascii="Times New Roman" w:hAnsi="Times New Roman"/>
          <w:rtl w:val="0"/>
          <w:lang w:val="es-ES_tradnl"/>
        </w:rPr>
        <w:t xml:space="preserve">metro colocado en el dedo </w:t>
      </w:r>
      <w:r>
        <w:rPr>
          <w:rFonts w:ascii="Times New Roman" w:hAnsi="Times New Roman" w:hint="default"/>
          <w:rtl w:val="0"/>
          <w:lang w:val="es-ES_tradnl"/>
        </w:rPr>
        <w:t>í</w:t>
      </w:r>
      <w:r>
        <w:rPr>
          <w:rFonts w:ascii="Times New Roman" w:hAnsi="Times New Roman"/>
          <w:rtl w:val="0"/>
          <w:lang w:val="es-ES_tradnl"/>
        </w:rPr>
        <w:t xml:space="preserve">ndice. </w:t>
      </w:r>
      <w:r>
        <w:rPr>
          <w:rFonts w:ascii="Times New Roman" w:hAnsi="Times New Roman"/>
          <w:rtl w:val="0"/>
        </w:rPr>
        <w:t>La limpieza de la piel, la colocaci</w:t>
      </w:r>
      <w:r>
        <w:rPr>
          <w:rFonts w:ascii="Times New Roman" w:hAnsi="Times New Roman" w:hint="default"/>
          <w:rtl w:val="0"/>
        </w:rPr>
        <w:t>ó</w:t>
      </w:r>
      <w:r>
        <w:rPr>
          <w:rFonts w:ascii="Times New Roman" w:hAnsi="Times New Roman"/>
          <w:rtl w:val="0"/>
        </w:rPr>
        <w:t>n de electrodos y la calibraci</w:t>
      </w:r>
      <w:r>
        <w:rPr>
          <w:rFonts w:ascii="Times New Roman" w:hAnsi="Times New Roman" w:hint="default"/>
          <w:rtl w:val="0"/>
        </w:rPr>
        <w:t>ó</w:t>
      </w:r>
      <w:r>
        <w:rPr>
          <w:rFonts w:ascii="Times New Roman" w:hAnsi="Times New Roman"/>
          <w:rtl w:val="0"/>
        </w:rPr>
        <w:t>n del equipo en ambos registros se realiz</w:t>
      </w:r>
      <w:r>
        <w:rPr>
          <w:rFonts w:ascii="Times New Roman" w:hAnsi="Times New Roman" w:hint="default"/>
          <w:rtl w:val="0"/>
        </w:rPr>
        <w:t xml:space="preserve">ó </w:t>
      </w:r>
      <w:r>
        <w:rPr>
          <w:rFonts w:ascii="Times New Roman" w:hAnsi="Times New Roman"/>
          <w:rtl w:val="0"/>
        </w:rPr>
        <w:t>de acuerdo con las recomendaciones de Butkov (2007) y Leary (2007).</w:t>
      </w:r>
    </w:p>
    <w:p>
      <w:pPr>
        <w:pStyle w:val="Texto independiente"/>
        <w:jc w:val="left"/>
        <w:rPr>
          <w:rFonts w:ascii="Times New Roman" w:cs="Times New Roman" w:hAnsi="Times New Roman" w:eastAsia="Times New Roman"/>
        </w:rPr>
      </w:pPr>
      <w:r>
        <w:rPr>
          <w:rFonts w:ascii="Times New Roman" w:hAnsi="Times New Roman"/>
          <w:rtl w:val="0"/>
        </w:rPr>
        <w:t>El registro de la primera noche sirvi</w:t>
      </w:r>
      <w:r>
        <w:rPr>
          <w:rFonts w:ascii="Times New Roman" w:hAnsi="Times New Roman" w:hint="default"/>
          <w:rtl w:val="0"/>
        </w:rPr>
        <w:t xml:space="preserve">ó </w:t>
      </w:r>
      <w:r>
        <w:rPr>
          <w:rFonts w:ascii="Times New Roman" w:hAnsi="Times New Roman"/>
          <w:rtl w:val="0"/>
        </w:rPr>
        <w:t>como noche de adaptaci</w:t>
      </w:r>
      <w:r>
        <w:rPr>
          <w:rFonts w:ascii="Times New Roman" w:hAnsi="Times New Roman" w:hint="default"/>
          <w:rtl w:val="0"/>
        </w:rPr>
        <w:t>ó</w:t>
      </w:r>
      <w:r>
        <w:rPr>
          <w:rFonts w:ascii="Times New Roman" w:hAnsi="Times New Roman"/>
          <w:rtl w:val="0"/>
        </w:rPr>
        <w:t>n y se aprovech</w:t>
      </w:r>
      <w:r>
        <w:rPr>
          <w:rFonts w:ascii="Times New Roman" w:hAnsi="Times New Roman" w:hint="default"/>
          <w:rtl w:val="0"/>
        </w:rPr>
        <w:t xml:space="preserve">ó </w:t>
      </w:r>
      <w:r>
        <w:rPr>
          <w:rFonts w:ascii="Times New Roman" w:hAnsi="Times New Roman"/>
          <w:rtl w:val="0"/>
        </w:rPr>
        <w:t>para descartar la presencia de cualquier trastorno de sue</w:t>
      </w:r>
      <w:r>
        <w:rPr>
          <w:rFonts w:ascii="Times New Roman" w:hAnsi="Times New Roman" w:hint="default"/>
          <w:rtl w:val="0"/>
        </w:rPr>
        <w:t>ñ</w:t>
      </w:r>
      <w:r>
        <w:rPr>
          <w:rFonts w:ascii="Times New Roman" w:hAnsi="Times New Roman"/>
          <w:rtl w:val="0"/>
        </w:rPr>
        <w:t>o concomitante al s</w:t>
      </w:r>
      <w:r>
        <w:rPr>
          <w:rFonts w:ascii="Times New Roman" w:hAnsi="Times New Roman" w:hint="default"/>
          <w:rtl w:val="0"/>
        </w:rPr>
        <w:t>í</w:t>
      </w:r>
      <w:r>
        <w:rPr>
          <w:rFonts w:ascii="Times New Roman" w:hAnsi="Times New Roman"/>
          <w:rtl w:val="0"/>
        </w:rPr>
        <w:t>ndrome. Despu</w:t>
      </w:r>
      <w:r>
        <w:rPr>
          <w:rFonts w:ascii="Times New Roman" w:hAnsi="Times New Roman" w:hint="default"/>
          <w:rtl w:val="0"/>
        </w:rPr>
        <w:t>é</w:t>
      </w:r>
      <w:r>
        <w:rPr>
          <w:rFonts w:ascii="Times New Roman" w:hAnsi="Times New Roman"/>
          <w:rtl w:val="0"/>
        </w:rPr>
        <w:t>s de descartar la presencia de alg</w:t>
      </w:r>
      <w:r>
        <w:rPr>
          <w:rFonts w:ascii="Times New Roman" w:hAnsi="Times New Roman" w:hint="default"/>
          <w:rtl w:val="0"/>
        </w:rPr>
        <w:t>ú</w:t>
      </w:r>
      <w:r>
        <w:rPr>
          <w:rFonts w:ascii="Times New Roman" w:hAnsi="Times New Roman"/>
          <w:rtl w:val="0"/>
        </w:rPr>
        <w:t xml:space="preserve">n trastorno </w:t>
      </w:r>
      <w:r>
        <w:rPr>
          <w:rFonts w:ascii="Times New Roman" w:hAnsi="Times New Roman"/>
          <w:rtl w:val="0"/>
          <w:lang w:val="es-ES_tradnl"/>
        </w:rPr>
        <w:t>de sue</w:t>
      </w:r>
      <w:r>
        <w:rPr>
          <w:rFonts w:ascii="Times New Roman" w:hAnsi="Times New Roman" w:hint="default"/>
          <w:rtl w:val="0"/>
          <w:lang w:val="es-ES_tradnl"/>
        </w:rPr>
        <w:t>ñ</w:t>
      </w:r>
      <w:r>
        <w:rPr>
          <w:rFonts w:ascii="Times New Roman" w:hAnsi="Times New Roman"/>
          <w:rtl w:val="0"/>
          <w:lang w:val="es-ES_tradnl"/>
        </w:rPr>
        <w:t>o</w:t>
      </w:r>
      <w:r>
        <w:rPr>
          <w:rFonts w:ascii="Times New Roman" w:hAnsi="Times New Roman"/>
          <w:rtl w:val="0"/>
        </w:rPr>
        <w:t xml:space="preserve"> se procedi</w:t>
      </w:r>
      <w:r>
        <w:rPr>
          <w:rFonts w:ascii="Times New Roman" w:hAnsi="Times New Roman" w:hint="default"/>
          <w:rtl w:val="0"/>
        </w:rPr>
        <w:t xml:space="preserve">ó </w:t>
      </w:r>
      <w:r>
        <w:rPr>
          <w:rFonts w:ascii="Times New Roman" w:hAnsi="Times New Roman"/>
          <w:rtl w:val="0"/>
        </w:rPr>
        <w:t>a una segunda noche de registro polisomnogr</w:t>
      </w:r>
      <w:r>
        <w:rPr>
          <w:rFonts w:ascii="Times New Roman" w:hAnsi="Times New Roman" w:hint="default"/>
          <w:rtl w:val="0"/>
        </w:rPr>
        <w:t>á</w:t>
      </w:r>
      <w:r>
        <w:rPr>
          <w:rFonts w:ascii="Times New Roman" w:hAnsi="Times New Roman"/>
          <w:rtl w:val="0"/>
        </w:rPr>
        <w:t>fico.</w:t>
      </w:r>
    </w:p>
    <w:p>
      <w:pPr>
        <w:pStyle w:val="Texto independiente"/>
        <w:jc w:val="left"/>
        <w:rPr>
          <w:rFonts w:ascii="Times New Roman" w:cs="Times New Roman" w:hAnsi="Times New Roman" w:eastAsia="Times New Roman"/>
        </w:rPr>
      </w:pPr>
    </w:p>
    <w:p>
      <w:pPr>
        <w:pStyle w:val="Normal.0"/>
        <w:tabs>
          <w:tab w:val="left" w:pos="2705"/>
        </w:tabs>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An</w:t>
      </w:r>
      <w:r>
        <w:rPr>
          <w:rFonts w:ascii="Times New Roman" w:hAnsi="Times New Roman" w:hint="default"/>
          <w:b w:val="1"/>
          <w:bCs w:val="1"/>
          <w:sz w:val="24"/>
          <w:szCs w:val="24"/>
          <w:rtl w:val="0"/>
          <w:lang w:val="es-ES_tradnl"/>
        </w:rPr>
        <w:t>á</w:t>
      </w:r>
      <w:r>
        <w:rPr>
          <w:rFonts w:ascii="Times New Roman" w:hAnsi="Times New Roman"/>
          <w:b w:val="1"/>
          <w:bCs w:val="1"/>
          <w:sz w:val="24"/>
          <w:szCs w:val="24"/>
          <w:rtl w:val="0"/>
          <w:lang w:val="es-ES_tradnl"/>
        </w:rPr>
        <w:t>lisis de los datos</w:t>
        <w:tab/>
      </w:r>
    </w:p>
    <w:p>
      <w:pPr>
        <w:pStyle w:val="Normal.0"/>
        <w:tabs>
          <w:tab w:val="left" w:pos="2705"/>
        </w:tabs>
        <w:spacing w:line="240" w:lineRule="auto"/>
        <w:rPr>
          <w:rFonts w:ascii="Times New Roman" w:cs="Times New Roman" w:hAnsi="Times New Roman" w:eastAsia="Times New Roman"/>
          <w:b w:val="1"/>
          <w:bCs w:val="1"/>
          <w:sz w:val="24"/>
          <w:szCs w:val="24"/>
        </w:rPr>
      </w:pPr>
      <w:r>
        <w:rPr>
          <w:rFonts w:ascii="Times New Roman" w:hAnsi="Times New Roman"/>
          <w:sz w:val="24"/>
          <w:szCs w:val="24"/>
          <w:rtl w:val="0"/>
          <w:lang w:val="es-ES_tradnl"/>
        </w:rPr>
        <w:t>Se corrobor</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normalidad en la distribuci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los datos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s de la prueba Kolmogorov-Smirnov para la edad (p=.567) y el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 de masa corporal (p=.389); y se aplic</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una prueba t de student para establecer la equivalencia de los grupos en estas dos variables (edad, t=.000, p=1.0; IMC, t=.000, p=.96).</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Despu</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comprobar la equivalencia de los grupos se procedi</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a hacer una serie de an</w:t>
      </w:r>
      <w:r>
        <w:rPr>
          <w:rFonts w:ascii="Times New Roman" w:hAnsi="Times New Roman" w:hint="default"/>
          <w:sz w:val="24"/>
          <w:szCs w:val="24"/>
          <w:rtl w:val="0"/>
          <w:lang w:val="es-ES_tradnl"/>
        </w:rPr>
        <w:t>á</w:t>
      </w:r>
      <w:r>
        <w:rPr>
          <w:rFonts w:ascii="Times New Roman" w:hAnsi="Times New Roman"/>
          <w:sz w:val="24"/>
          <w:szCs w:val="24"/>
          <w:rtl w:val="0"/>
          <w:lang w:val="es-ES_tradnl"/>
        </w:rPr>
        <w:t>lisis de tipo inter-grupal. Se compararon los indicadores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extra</w:t>
      </w:r>
      <w:r>
        <w:rPr>
          <w:rFonts w:ascii="Times New Roman" w:hAnsi="Times New Roman" w:hint="default"/>
          <w:sz w:val="24"/>
          <w:szCs w:val="24"/>
          <w:rtl w:val="0"/>
          <w:lang w:val="es-ES_tradnl"/>
        </w:rPr>
        <w:t>í</w:t>
      </w:r>
      <w:r>
        <w:rPr>
          <w:rFonts w:ascii="Times New Roman" w:hAnsi="Times New Roman"/>
          <w:sz w:val="24"/>
          <w:szCs w:val="24"/>
          <w:rtl w:val="0"/>
          <w:lang w:val="es-ES_tradnl"/>
        </w:rPr>
        <w:t>dos de la calificaci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recomendados por la AASM como el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 de eficiencia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las latencias de las diferentes fases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etc.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mismo, se obtuvieron los porcentajes ocupados por cada fase en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el tiempo total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as</w:t>
      </w:r>
      <w:r>
        <w:rPr>
          <w:rFonts w:ascii="Times New Roman" w:hAnsi="Times New Roman" w:hint="default"/>
          <w:sz w:val="24"/>
          <w:szCs w:val="24"/>
          <w:rtl w:val="0"/>
          <w:lang w:val="es-ES_tradnl"/>
        </w:rPr>
        <w:t xml:space="preserve">í </w:t>
      </w:r>
      <w:r>
        <w:rPr>
          <w:rFonts w:ascii="Times New Roman" w:hAnsi="Times New Roman"/>
          <w:sz w:val="24"/>
          <w:szCs w:val="24"/>
          <w:rtl w:val="0"/>
          <w:lang w:val="es-ES_tradnl"/>
        </w:rPr>
        <w:t>como el n</w:t>
      </w:r>
      <w:r>
        <w:rPr>
          <w:rFonts w:ascii="Times New Roman" w:hAnsi="Times New Roman" w:hint="default"/>
          <w:sz w:val="24"/>
          <w:szCs w:val="24"/>
          <w:rtl w:val="0"/>
          <w:lang w:val="es-ES_tradnl"/>
        </w:rPr>
        <w:t>ú</w:t>
      </w:r>
      <w:r>
        <w:rPr>
          <w:rFonts w:ascii="Times New Roman" w:hAnsi="Times New Roman"/>
          <w:sz w:val="24"/>
          <w:szCs w:val="24"/>
          <w:rtl w:val="0"/>
          <w:lang w:val="es-ES_tradnl"/>
        </w:rPr>
        <w:t xml:space="preserve">mero de despertares y de cambios de fase. </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Considerando el tama</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la muestra y sus implicaciones para asegurar la homocedasticidad de la distribuci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 los puntajes se realizaron comparaciones no param</w:t>
      </w:r>
      <w:r>
        <w:rPr>
          <w:rFonts w:ascii="Times New Roman" w:hAnsi="Times New Roman" w:hint="default"/>
          <w:sz w:val="24"/>
          <w:szCs w:val="24"/>
          <w:rtl w:val="0"/>
          <w:lang w:val="es-ES_tradnl"/>
        </w:rPr>
        <w:t>é</w:t>
      </w:r>
      <w:r>
        <w:rPr>
          <w:rFonts w:ascii="Times New Roman" w:hAnsi="Times New Roman"/>
          <w:sz w:val="24"/>
          <w:szCs w:val="24"/>
          <w:rtl w:val="0"/>
          <w:lang w:val="es-ES_tradnl"/>
        </w:rPr>
        <w:t>tricas, de las diferentes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evaluadas, por medio del uso de la prueba de U de Mann-Whitney.</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Se compararon el tiempo total de registro (TTR), el tiempo total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(TTS), el </w:t>
      </w:r>
      <w:r>
        <w:rPr>
          <w:rFonts w:ascii="Times New Roman" w:hAnsi="Times New Roman" w:hint="default"/>
          <w:sz w:val="24"/>
          <w:szCs w:val="24"/>
          <w:rtl w:val="0"/>
          <w:lang w:val="es-ES_tradnl"/>
        </w:rPr>
        <w:t>í</w:t>
      </w:r>
      <w:r>
        <w:rPr>
          <w:rFonts w:ascii="Times New Roman" w:hAnsi="Times New Roman"/>
          <w:sz w:val="24"/>
          <w:szCs w:val="24"/>
          <w:rtl w:val="0"/>
          <w:lang w:val="es-ES_tradnl"/>
        </w:rPr>
        <w:t>ndice de eficiencia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(IES), el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despertares por registro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el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cambios de fase durante el registro (CF) y se calcul</w:t>
      </w:r>
      <w:r>
        <w:rPr>
          <w:rFonts w:ascii="Times New Roman" w:hAnsi="Times New Roman" w:hint="default"/>
          <w:sz w:val="24"/>
          <w:szCs w:val="24"/>
          <w:rtl w:val="0"/>
          <w:lang w:val="es-ES_tradnl"/>
        </w:rPr>
        <w:t xml:space="preserve">ó </w:t>
      </w:r>
      <w:r>
        <w:rPr>
          <w:rFonts w:ascii="Times New Roman" w:hAnsi="Times New Roman"/>
          <w:sz w:val="24"/>
          <w:szCs w:val="24"/>
          <w:rtl w:val="0"/>
          <w:lang w:val="es-ES_tradnl"/>
        </w:rPr>
        <w:t>la diferencia entre las medias de ambos grupos.</w:t>
      </w: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Resultados.</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Se encontraron diferencias significativas en el estado de </w:t>
      </w:r>
      <w:r>
        <w:rPr>
          <w:rFonts w:ascii="Times New Roman" w:hAnsi="Times New Roman" w:hint="default"/>
          <w:sz w:val="24"/>
          <w:szCs w:val="24"/>
          <w:rtl w:val="0"/>
          <w:lang w:val="es-ES_tradnl"/>
        </w:rPr>
        <w:t>á</w:t>
      </w:r>
      <w:r>
        <w:rPr>
          <w:rFonts w:ascii="Times New Roman" w:hAnsi="Times New Roman"/>
          <w:sz w:val="24"/>
          <w:szCs w:val="24"/>
          <w:rtl w:val="0"/>
          <w:lang w:val="es-ES_tradnl"/>
        </w:rPr>
        <w:t>nimo de ambos grupos para los inventarios de Beck para ansiedad (U= 9.5, p=.004) y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(U= 7.0, p=.002). Cabe resaltar que los puntajes obtenidos por los pacientes con fibromialgia no alcanzaron el nivel m</w:t>
      </w:r>
      <w:r>
        <w:rPr>
          <w:rFonts w:ascii="Times New Roman" w:hAnsi="Times New Roman" w:hint="default"/>
          <w:sz w:val="24"/>
          <w:szCs w:val="24"/>
          <w:rtl w:val="0"/>
          <w:lang w:val="es-ES_tradnl"/>
        </w:rPr>
        <w:t>á</w:t>
      </w:r>
      <w:r>
        <w:rPr>
          <w:rFonts w:ascii="Times New Roman" w:hAnsi="Times New Roman"/>
          <w:sz w:val="24"/>
          <w:szCs w:val="24"/>
          <w:rtl w:val="0"/>
          <w:lang w:val="es-ES_tradnl"/>
        </w:rPr>
        <w:t>ximo de severidad en ambas escalas por lo que se consideran en el rango subcl</w:t>
      </w:r>
      <w:r>
        <w:rPr>
          <w:rFonts w:ascii="Times New Roman" w:hAnsi="Times New Roman" w:hint="default"/>
          <w:sz w:val="24"/>
          <w:szCs w:val="24"/>
          <w:rtl w:val="0"/>
          <w:lang w:val="es-ES_tradnl"/>
        </w:rPr>
        <w:t>í</w:t>
      </w:r>
      <w:r>
        <w:rPr>
          <w:rFonts w:ascii="Times New Roman" w:hAnsi="Times New Roman"/>
          <w:sz w:val="24"/>
          <w:szCs w:val="24"/>
          <w:rtl w:val="0"/>
          <w:lang w:val="es-ES_tradnl"/>
        </w:rPr>
        <w:t>nico.</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Se obtuvieron los hipnogramas para cada participante de ambos grupos (Figura 1). Para ello se calificaron los registros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de acuerdo con las indicaciones del </w:t>
      </w:r>
      <w:r>
        <w:rPr>
          <w:rFonts w:ascii="Times New Roman" w:hAnsi="Times New Roman"/>
          <w:i w:val="1"/>
          <w:iCs w:val="1"/>
          <w:sz w:val="24"/>
          <w:szCs w:val="24"/>
          <w:rtl w:val="0"/>
          <w:lang w:val="es-ES_tradnl"/>
        </w:rPr>
        <w:t xml:space="preserve">Manual for Scoring of Sleep and Associated Events </w:t>
      </w:r>
      <w:r>
        <w:rPr>
          <w:rFonts w:ascii="Times New Roman" w:hAnsi="Times New Roman"/>
          <w:sz w:val="24"/>
          <w:szCs w:val="24"/>
          <w:rtl w:val="0"/>
          <w:lang w:val="es-ES_tradnl"/>
        </w:rPr>
        <w:t>de la American Academy of Sleep Medicine (Iber, Ancoli-Israel, Chesson y Quan, 2007).</w:t>
      </w: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mc:AlternateContent>
          <mc:Choice Requires="wps">
            <w:drawing>
              <wp:anchor distT="0" distB="0" distL="0" distR="0" simplePos="0" relativeHeight="251660288" behindDoc="0" locked="0" layoutInCell="1" allowOverlap="1">
                <wp:simplePos x="0" y="0"/>
                <wp:positionH relativeFrom="column">
                  <wp:posOffset>29210</wp:posOffset>
                </wp:positionH>
                <wp:positionV relativeFrom="line">
                  <wp:posOffset>1823720</wp:posOffset>
                </wp:positionV>
                <wp:extent cx="5396230" cy="61341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5396230" cy="613410"/>
                        </a:xfrm>
                        <a:prstGeom prst="rect">
                          <a:avLst/>
                        </a:prstGeom>
                        <a:solidFill>
                          <a:srgbClr val="FFFFFF"/>
                        </a:solidFill>
                        <a:ln w="12700" cap="flat">
                          <a:noFill/>
                          <a:miter lim="400000"/>
                        </a:ln>
                        <a:effectLst/>
                      </wps:spPr>
                      <wps:txbx>
                        <w:txbxContent>
                          <w:p>
                            <w:pPr>
                              <w:pStyle w:val="Normal.0"/>
                              <w:pBdr>
                                <w:top w:val="single" w:color="000000" w:sz="4" w:space="0" w:shadow="0" w:frame="0"/>
                                <w:left w:val="nil"/>
                                <w:bottom w:val="nil"/>
                                <w:right w:val="nil"/>
                              </w:pBdr>
                              <w:jc w:val="both"/>
                            </w:pPr>
                            <w:r>
                              <w:rPr>
                                <w:rFonts w:ascii="Times New Roman" w:hAnsi="Times New Roman"/>
                                <w:sz w:val="20"/>
                                <w:szCs w:val="20"/>
                                <w:rtl w:val="0"/>
                                <w:lang w:val="es-ES_tradnl"/>
                              </w:rPr>
                              <w:t>Figura 1. Hipnogramas donde se muestra la arquitectura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de un participante del grupo control y un participante con FM. N</w:t>
                            </w:r>
                            <w:r>
                              <w:rPr>
                                <w:rFonts w:ascii="Times New Roman" w:hAnsi="Times New Roman" w:hint="default"/>
                                <w:sz w:val="20"/>
                                <w:szCs w:val="20"/>
                                <w:rtl w:val="0"/>
                                <w:lang w:val="es-ES_tradnl"/>
                              </w:rPr>
                              <w:t>ó</w:t>
                            </w:r>
                            <w:r>
                              <w:rPr>
                                <w:rFonts w:ascii="Times New Roman" w:hAnsi="Times New Roman"/>
                                <w:sz w:val="20"/>
                                <w:szCs w:val="20"/>
                                <w:rtl w:val="0"/>
                                <w:lang w:val="es-ES_tradnl"/>
                              </w:rPr>
                              <w:t>tese 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fragmentado de la paciente. Vigilia (V), fases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no-MOR (N1-N3) y 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MOR.</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3pt;margin-top:143.6pt;width:424.9pt;height:48.3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pBdr>
                          <w:top w:val="single" w:color="000000" w:sz="4" w:space="0" w:shadow="0" w:frame="0"/>
                          <w:left w:val="nil"/>
                          <w:bottom w:val="nil"/>
                          <w:right w:val="nil"/>
                        </w:pBdr>
                        <w:jc w:val="both"/>
                      </w:pPr>
                      <w:r>
                        <w:rPr>
                          <w:rFonts w:ascii="Times New Roman" w:hAnsi="Times New Roman"/>
                          <w:sz w:val="20"/>
                          <w:szCs w:val="20"/>
                          <w:rtl w:val="0"/>
                          <w:lang w:val="es-ES_tradnl"/>
                        </w:rPr>
                        <w:t>Figura 1. Hipnogramas donde se muestra la arquitectura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de un participante del grupo control y un participante con FM. N</w:t>
                      </w:r>
                      <w:r>
                        <w:rPr>
                          <w:rFonts w:ascii="Times New Roman" w:hAnsi="Times New Roman" w:hint="default"/>
                          <w:sz w:val="20"/>
                          <w:szCs w:val="20"/>
                          <w:rtl w:val="0"/>
                          <w:lang w:val="es-ES_tradnl"/>
                        </w:rPr>
                        <w:t>ó</w:t>
                      </w:r>
                      <w:r>
                        <w:rPr>
                          <w:rFonts w:ascii="Times New Roman" w:hAnsi="Times New Roman"/>
                          <w:sz w:val="20"/>
                          <w:szCs w:val="20"/>
                          <w:rtl w:val="0"/>
                          <w:lang w:val="es-ES_tradnl"/>
                        </w:rPr>
                        <w:t>tese 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fragmentado de la paciente. Vigilia (V), fases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no-MOR (N1-N3) y 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o MOR.</w:t>
                      </w:r>
                    </w:p>
                  </w:txbxContent>
                </v:textbox>
                <w10:wrap type="none" side="bothSides" anchorx="text"/>
              </v:shape>
            </w:pict>
          </mc:Fallback>
        </mc:AlternateContent>
      </w:r>
      <w:r>
        <w:rPr>
          <w:rFonts w:ascii="Times New Roman" w:cs="Times New Roman" w:hAnsi="Times New Roman" w:eastAsia="Times New Roman"/>
          <w:sz w:val="24"/>
          <w:szCs w:val="24"/>
        </w:rPr>
        <mc:AlternateContent>
          <mc:Choice Requires="wpg">
            <w:drawing>
              <wp:anchor distT="0" distB="0" distL="0" distR="0" simplePos="0" relativeHeight="251659264" behindDoc="0" locked="0" layoutInCell="1" allowOverlap="1">
                <wp:simplePos x="0" y="0"/>
                <wp:positionH relativeFrom="column">
                  <wp:posOffset>483869</wp:posOffset>
                </wp:positionH>
                <wp:positionV relativeFrom="line">
                  <wp:posOffset>-4444</wp:posOffset>
                </wp:positionV>
                <wp:extent cx="4650741" cy="1867069"/>
                <wp:effectExtent l="0" t="0" r="0" b="0"/>
                <wp:wrapNone/>
                <wp:docPr id="1073741830" name="officeArt object"/>
                <wp:cNvGraphicFramePr/>
                <a:graphic xmlns:a="http://schemas.openxmlformats.org/drawingml/2006/main">
                  <a:graphicData uri="http://schemas.microsoft.com/office/word/2010/wordprocessingGroup">
                    <wpg:wgp>
                      <wpg:cNvGrpSpPr/>
                      <wpg:grpSpPr>
                        <a:xfrm>
                          <a:off x="0" y="0"/>
                          <a:ext cx="4650741" cy="1867069"/>
                          <a:chOff x="0" y="0"/>
                          <a:chExt cx="4650740" cy="1867068"/>
                        </a:xfrm>
                      </wpg:grpSpPr>
                      <pic:pic xmlns:pic="http://schemas.openxmlformats.org/drawingml/2006/picture">
                        <pic:nvPicPr>
                          <pic:cNvPr id="1073741826" name="image-filtered.jpeg"/>
                          <pic:cNvPicPr>
                            <a:picLocks noChangeAspect="1"/>
                          </pic:cNvPicPr>
                        </pic:nvPicPr>
                        <pic:blipFill>
                          <a:blip r:embed="rId4">
                            <a:extLst/>
                          </a:blip>
                          <a:stretch>
                            <a:fillRect/>
                          </a:stretch>
                        </pic:blipFill>
                        <pic:spPr>
                          <a:xfrm>
                            <a:off x="2314529" y="0"/>
                            <a:ext cx="2336212" cy="1846580"/>
                          </a:xfrm>
                          <a:prstGeom prst="rect">
                            <a:avLst/>
                          </a:prstGeom>
                          <a:ln w="12700" cap="flat">
                            <a:noFill/>
                            <a:miter lim="400000"/>
                          </a:ln>
                          <a:effectLst/>
                        </pic:spPr>
                      </pic:pic>
                      <pic:pic xmlns:pic="http://schemas.openxmlformats.org/drawingml/2006/picture">
                        <pic:nvPicPr>
                          <pic:cNvPr id="1073741827" name="image-filtered.jpeg"/>
                          <pic:cNvPicPr>
                            <a:picLocks noChangeAspect="1"/>
                          </pic:cNvPicPr>
                        </pic:nvPicPr>
                        <pic:blipFill>
                          <a:blip r:embed="rId5">
                            <a:extLst/>
                          </a:blip>
                          <a:stretch>
                            <a:fillRect/>
                          </a:stretch>
                        </pic:blipFill>
                        <pic:spPr>
                          <a:xfrm>
                            <a:off x="-1" y="0"/>
                            <a:ext cx="2314531" cy="1846580"/>
                          </a:xfrm>
                          <a:prstGeom prst="rect">
                            <a:avLst/>
                          </a:prstGeom>
                          <a:ln w="12700" cap="flat">
                            <a:noFill/>
                            <a:miter lim="400000"/>
                          </a:ln>
                          <a:effectLst/>
                        </pic:spPr>
                      </pic:pic>
                      <wps:wsp>
                        <wps:cNvPr id="1073741828" name="Shape 1073741828"/>
                        <wps:cNvSpPr txBox="1"/>
                        <wps:spPr>
                          <a:xfrm>
                            <a:off x="789941" y="1645453"/>
                            <a:ext cx="498682" cy="221616"/>
                          </a:xfrm>
                          <a:prstGeom prst="rect">
                            <a:avLst/>
                          </a:prstGeom>
                          <a:solidFill>
                            <a:srgbClr val="FFFFFF"/>
                          </a:solidFill>
                          <a:ln w="12700" cap="flat">
                            <a:noFill/>
                            <a:miter lim="400000"/>
                          </a:ln>
                          <a:effectLst/>
                        </wps:spPr>
                        <wps:txbx>
                          <w:txbxContent>
                            <w:p>
                              <w:pPr>
                                <w:pStyle w:val="Normal (Web)"/>
                                <w:spacing w:before="0" w:after="0"/>
                              </w:pPr>
                              <w:r>
                                <w:rPr>
                                  <w:rFonts w:ascii="Calibri" w:cs="Calibri" w:hAnsi="Calibri" w:eastAsia="Calibri"/>
                                  <w:b w:val="1"/>
                                  <w:bCs w:val="1"/>
                                  <w:color w:val="000000"/>
                                  <w:kern w:val="24"/>
                                  <w:sz w:val="16"/>
                                  <w:szCs w:val="16"/>
                                  <w:u w:color="000000"/>
                                  <w:rtl w:val="0"/>
                                  <w:lang w:val="es-ES_tradnl"/>
                                </w:rPr>
                                <w:t>HORAS</w:t>
                              </w:r>
                            </w:p>
                          </w:txbxContent>
                        </wps:txbx>
                        <wps:bodyPr wrap="square" lIns="45719" tIns="45719" rIns="45719" bIns="45719" numCol="1" anchor="t">
                          <a:noAutofit/>
                        </wps:bodyPr>
                      </wps:wsp>
                      <wps:wsp>
                        <wps:cNvPr id="1073741829" name="Shape 1073741829"/>
                        <wps:cNvSpPr txBox="1"/>
                        <wps:spPr>
                          <a:xfrm>
                            <a:off x="3133379" y="1562662"/>
                            <a:ext cx="498682" cy="221616"/>
                          </a:xfrm>
                          <a:prstGeom prst="rect">
                            <a:avLst/>
                          </a:prstGeom>
                          <a:solidFill>
                            <a:srgbClr val="FFFFFF"/>
                          </a:solidFill>
                          <a:ln w="12700" cap="flat">
                            <a:noFill/>
                            <a:miter lim="400000"/>
                          </a:ln>
                          <a:effectLst/>
                        </wps:spPr>
                        <wps:txbx>
                          <w:txbxContent>
                            <w:p>
                              <w:pPr>
                                <w:pStyle w:val="Normal (Web)"/>
                                <w:spacing w:before="0" w:after="0"/>
                              </w:pPr>
                              <w:r>
                                <w:rPr>
                                  <w:rFonts w:ascii="Calibri" w:cs="Calibri" w:hAnsi="Calibri" w:eastAsia="Calibri"/>
                                  <w:b w:val="1"/>
                                  <w:bCs w:val="1"/>
                                  <w:color w:val="000000"/>
                                  <w:kern w:val="24"/>
                                  <w:sz w:val="16"/>
                                  <w:szCs w:val="16"/>
                                  <w:u w:color="000000"/>
                                  <w:rtl w:val="0"/>
                                  <w:lang w:val="es-ES_tradnl"/>
                                </w:rPr>
                                <w:t>HORAS</w:t>
                              </w:r>
                            </w:p>
                          </w:txbxContent>
                        </wps:txbx>
                        <wps:bodyPr wrap="square" lIns="45719" tIns="45719" rIns="45719" bIns="45719" numCol="1" anchor="t">
                          <a:noAutofit/>
                        </wps:bodyPr>
                      </wps:wsp>
                    </wpg:wgp>
                  </a:graphicData>
                </a:graphic>
              </wp:anchor>
            </w:drawing>
          </mc:Choice>
          <mc:Fallback>
            <w:pict>
              <v:group id="_x0000_s1027" style="visibility:visible;position:absolute;margin-left:38.1pt;margin-top:-0.3pt;width:366.2pt;height:147.0pt;z-index:251659264;mso-position-horizontal:absolute;mso-position-horizontal-relative:text;mso-position-vertical:absolute;mso-position-vertical-relative:line;mso-wrap-distance-left:0.0pt;mso-wrap-distance-top:0.0pt;mso-wrap-distance-right:0.0pt;mso-wrap-distance-bottom:0.0pt;" coordorigin="0,0" coordsize="4650740,1867068">
                <w10:wrap type="none" side="bothSides" anchorx="text"/>
                <v:shape id="_x0000_s1028" type="#_x0000_t75" style="position:absolute;left:2314529;top:0;width:2336211;height:1846580;">
                  <v:imagedata r:id="rId4" o:title="image-filtered.jpeg"/>
                </v:shape>
                <v:shape id="_x0000_s1029" type="#_x0000_t75" style="position:absolute;left:0;top:0;width:2314529;height:1846580;">
                  <v:imagedata r:id="rId5" o:title="image-filtered.jpeg"/>
                </v:shape>
                <v:shape id="_x0000_s1030" type="#_x0000_t202" style="position:absolute;left:789941;top:1645453;width:498681;height:221615;">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 (Web)"/>
                          <w:spacing w:before="0" w:after="0"/>
                        </w:pPr>
                        <w:r>
                          <w:rPr>
                            <w:rFonts w:ascii="Calibri" w:cs="Calibri" w:hAnsi="Calibri" w:eastAsia="Calibri"/>
                            <w:b w:val="1"/>
                            <w:bCs w:val="1"/>
                            <w:color w:val="000000"/>
                            <w:kern w:val="24"/>
                            <w:sz w:val="16"/>
                            <w:szCs w:val="16"/>
                            <w:u w:color="000000"/>
                            <w:rtl w:val="0"/>
                            <w:lang w:val="es-ES_tradnl"/>
                          </w:rPr>
                          <w:t>HORAS</w:t>
                        </w:r>
                      </w:p>
                    </w:txbxContent>
                  </v:textbox>
                </v:shape>
                <v:shape id="_x0000_s1031" type="#_x0000_t202" style="position:absolute;left:3133380;top:1562662;width:498681;height:221615;">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 (Web)"/>
                          <w:spacing w:before="0" w:after="0"/>
                        </w:pPr>
                        <w:r>
                          <w:rPr>
                            <w:rFonts w:ascii="Calibri" w:cs="Calibri" w:hAnsi="Calibri" w:eastAsia="Calibri"/>
                            <w:b w:val="1"/>
                            <w:bCs w:val="1"/>
                            <w:color w:val="000000"/>
                            <w:kern w:val="24"/>
                            <w:sz w:val="16"/>
                            <w:szCs w:val="16"/>
                            <w:u w:color="000000"/>
                            <w:rtl w:val="0"/>
                            <w:lang w:val="es-ES_tradnl"/>
                          </w:rPr>
                          <w:t>HORAS</w:t>
                        </w:r>
                      </w:p>
                    </w:txbxContent>
                  </v:textbox>
                </v:shape>
              </v:group>
            </w:pict>
          </mc:Fallback>
        </mc:AlternateContent>
      </w: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Se encontraron diferencias en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ambos grupos, las pacientes con FM mostraron mayor porcentaje de vigilia, fase N1 y MOR y menor porcentaje en las fases N2 y N3 (tabla 1), sin embargo las diferencias no alcanzaron significancia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w:t>
      </w:r>
    </w:p>
    <w:p>
      <w:pPr>
        <w:pStyle w:val="Normal.0"/>
        <w:tabs>
          <w:tab w:val="left" w:pos="6463"/>
        </w:tabs>
        <w:spacing w:line="240" w:lineRule="auto"/>
        <w:rPr>
          <w:rFonts w:ascii="Times New Roman" w:cs="Times New Roman" w:hAnsi="Times New Roman" w:eastAsia="Times New Roman"/>
          <w:sz w:val="24"/>
          <w:szCs w:val="24"/>
        </w:rPr>
      </w:pPr>
    </w:p>
    <w:p>
      <w:pPr>
        <w:pStyle w:val="Normal.0"/>
        <w:tabs>
          <w:tab w:val="left" w:pos="6463"/>
        </w:tabs>
        <w:spacing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mc:AlternateContent>
          <mc:Choice Requires="wps">
            <w:drawing>
              <wp:anchor distT="0" distB="0" distL="0" distR="0" simplePos="0" relativeHeight="251661312" behindDoc="0" locked="0" layoutInCell="1" allowOverlap="1">
                <wp:simplePos x="0" y="0"/>
                <wp:positionH relativeFrom="column">
                  <wp:posOffset>902970</wp:posOffset>
                </wp:positionH>
                <wp:positionV relativeFrom="line">
                  <wp:posOffset>-634</wp:posOffset>
                </wp:positionV>
                <wp:extent cx="3621405" cy="855345"/>
                <wp:effectExtent l="0" t="0" r="0" b="0"/>
                <wp:wrapNone/>
                <wp:docPr id="1073741831" name="officeArt object"/>
                <wp:cNvGraphicFramePr/>
                <a:graphic xmlns:a="http://schemas.openxmlformats.org/drawingml/2006/main">
                  <a:graphicData uri="http://schemas.microsoft.com/office/word/2010/wordprocessingShape">
                    <wps:wsp>
                      <wps:cNvSpPr txBox="1"/>
                      <wps:spPr>
                        <a:xfrm>
                          <a:off x="0" y="0"/>
                          <a:ext cx="3621405" cy="855345"/>
                        </a:xfrm>
                        <a:prstGeom prst="rect">
                          <a:avLst/>
                        </a:prstGeom>
                        <a:solidFill>
                          <a:srgbClr val="FFFFFF"/>
                        </a:solidFill>
                        <a:ln w="12700" cap="flat">
                          <a:noFill/>
                          <a:miter lim="400000"/>
                        </a:ln>
                        <a:effectLst/>
                      </wps:spPr>
                      <wps:txbx>
                        <w:txbxContent>
                          <w:p>
                            <w:pPr>
                              <w:pStyle w:val="Normal.0"/>
                              <w:jc w:val="both"/>
                              <w:rPr>
                                <w:rFonts w:ascii="Times New Roman" w:cs="Times New Roman" w:hAnsi="Times New Roman" w:eastAsia="Times New Roman"/>
                                <w:sz w:val="20"/>
                                <w:szCs w:val="20"/>
                              </w:rPr>
                            </w:pPr>
                            <w:r>
                              <w:rPr>
                                <w:rFonts w:ascii="Times New Roman" w:hAnsi="Times New Roman"/>
                                <w:sz w:val="20"/>
                                <w:szCs w:val="20"/>
                                <w:rtl w:val="0"/>
                                <w:lang w:val="es-ES_tradnl"/>
                              </w:rPr>
                              <w:t xml:space="preserve">Tabla 1 </w:t>
                            </w:r>
                          </w:p>
                          <w:p>
                            <w:pPr>
                              <w:pStyle w:val="Normal.0"/>
                              <w:jc w:val="both"/>
                              <w:rPr>
                                <w:rFonts w:ascii="Times New Roman" w:cs="Times New Roman" w:hAnsi="Times New Roman" w:eastAsia="Times New Roman"/>
                                <w:sz w:val="20"/>
                                <w:szCs w:val="20"/>
                              </w:rPr>
                            </w:pPr>
                            <w:r>
                              <w:rPr>
                                <w:rFonts w:ascii="Times New Roman" w:hAnsi="Times New Roman"/>
                                <w:sz w:val="20"/>
                                <w:szCs w:val="20"/>
                                <w:rtl w:val="0"/>
                                <w:lang w:val="es-ES_tradnl"/>
                              </w:rPr>
                              <w:t>Se presentan los puntajes promedio (%) de la arquitectura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 xml:space="preserve">o de un grupo personas diagnosticadas con FM y un grupo control. </w:t>
                            </w:r>
                          </w:p>
                          <w:p>
                            <w:pPr>
                              <w:pStyle w:val="Normal.0"/>
                              <w:jc w:val="both"/>
                            </w:pPr>
                            <w:r>
                              <w:rPr>
                                <w:rFonts w:ascii="Times New Roman" w:cs="Times New Roman" w:hAnsi="Times New Roman" w:eastAsia="Times New Roman"/>
                                <w:sz w:val="20"/>
                                <w:szCs w:val="20"/>
                              </w:rPr>
                            </w:r>
                          </w:p>
                        </w:txbxContent>
                      </wps:txbx>
                      <wps:bodyPr wrap="square" lIns="45719" tIns="45719" rIns="45719" bIns="45719" numCol="1" anchor="t">
                        <a:noAutofit/>
                      </wps:bodyPr>
                    </wps:wsp>
                  </a:graphicData>
                </a:graphic>
              </wp:anchor>
            </w:drawing>
          </mc:Choice>
          <mc:Fallback>
            <w:pict>
              <v:shape id="_x0000_s1032" type="#_x0000_t202" style="visibility:visible;position:absolute;margin-left:71.1pt;margin-top:-0.0pt;width:285.1pt;height:67.3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both"/>
                        <w:rPr>
                          <w:rFonts w:ascii="Times New Roman" w:cs="Times New Roman" w:hAnsi="Times New Roman" w:eastAsia="Times New Roman"/>
                          <w:sz w:val="20"/>
                          <w:szCs w:val="20"/>
                        </w:rPr>
                      </w:pPr>
                      <w:r>
                        <w:rPr>
                          <w:rFonts w:ascii="Times New Roman" w:hAnsi="Times New Roman"/>
                          <w:sz w:val="20"/>
                          <w:szCs w:val="20"/>
                          <w:rtl w:val="0"/>
                          <w:lang w:val="es-ES_tradnl"/>
                        </w:rPr>
                        <w:t xml:space="preserve">Tabla 1 </w:t>
                      </w:r>
                    </w:p>
                    <w:p>
                      <w:pPr>
                        <w:pStyle w:val="Normal.0"/>
                        <w:jc w:val="both"/>
                        <w:rPr>
                          <w:rFonts w:ascii="Times New Roman" w:cs="Times New Roman" w:hAnsi="Times New Roman" w:eastAsia="Times New Roman"/>
                          <w:sz w:val="20"/>
                          <w:szCs w:val="20"/>
                        </w:rPr>
                      </w:pPr>
                      <w:r>
                        <w:rPr>
                          <w:rFonts w:ascii="Times New Roman" w:hAnsi="Times New Roman"/>
                          <w:sz w:val="20"/>
                          <w:szCs w:val="20"/>
                          <w:rtl w:val="0"/>
                          <w:lang w:val="es-ES_tradnl"/>
                        </w:rPr>
                        <w:t>Se presentan los puntajes promedio (%) de la arquitectura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 xml:space="preserve">o de un grupo personas diagnosticadas con FM y un grupo control. </w:t>
                      </w:r>
                    </w:p>
                    <w:p>
                      <w:pPr>
                        <w:pStyle w:val="Normal.0"/>
                        <w:jc w:val="both"/>
                      </w:pPr>
                      <w:r>
                        <w:rPr>
                          <w:rFonts w:ascii="Times New Roman" w:cs="Times New Roman" w:hAnsi="Times New Roman" w:eastAsia="Times New Roman"/>
                          <w:sz w:val="20"/>
                          <w:szCs w:val="20"/>
                        </w:rPr>
                      </w:r>
                    </w:p>
                  </w:txbxContent>
                </v:textbox>
                <w10:wrap type="none" side="bothSides" anchorx="text"/>
              </v:shape>
            </w:pict>
          </mc:Fallback>
        </mc:AlternateContent>
      </w:r>
    </w:p>
    <w:p>
      <w:pPr>
        <w:pStyle w:val="Normal.0"/>
        <w:tabs>
          <w:tab w:val="left" w:pos="1803"/>
        </w:tabs>
        <w:spacing w:line="240" w:lineRule="auto"/>
        <w:rPr>
          <w:rFonts w:ascii="Times New Roman" w:cs="Times New Roman" w:hAnsi="Times New Roman" w:eastAsia="Times New Roman"/>
          <w:sz w:val="24"/>
          <w:szCs w:val="24"/>
        </w:rPr>
      </w:pPr>
    </w:p>
    <w:tbl>
      <w:tblPr>
        <w:tblW w:w="56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6"/>
        <w:gridCol w:w="952"/>
        <w:gridCol w:w="748"/>
        <w:gridCol w:w="875"/>
        <w:gridCol w:w="750"/>
        <w:gridCol w:w="657"/>
      </w:tblGrid>
      <w:tr>
        <w:tblPrEx>
          <w:shd w:val="clear" w:color="auto" w:fill="ced7e7"/>
        </w:tblPrEx>
        <w:trPr>
          <w:trHeight w:val="442" w:hRule="atLeast"/>
        </w:trPr>
        <w:tc>
          <w:tcPr>
            <w:tcW w:type="dxa" w:w="169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line="240" w:lineRule="auto"/>
              <w:jc w:val="right"/>
            </w:pPr>
            <w:r>
              <w:rPr>
                <w:rFonts w:ascii="Times New Roman" w:hAnsi="Times New Roman" w:hint="default"/>
                <w:sz w:val="20"/>
                <w:szCs w:val="20"/>
                <w:rtl w:val="0"/>
                <w:lang w:val="es-ES_tradnl"/>
              </w:rPr>
              <w:t> </w:t>
            </w:r>
          </w:p>
        </w:tc>
        <w:tc>
          <w:tcPr>
            <w:tcW w:type="dxa" w:w="95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line="240" w:lineRule="auto"/>
              <w:jc w:val="right"/>
            </w:pPr>
            <w:r>
              <w:rPr>
                <w:rFonts w:ascii="Times New Roman" w:hAnsi="Times New Roman"/>
                <w:b w:val="1"/>
                <w:bCs w:val="1"/>
                <w:sz w:val="20"/>
                <w:szCs w:val="20"/>
                <w:rtl w:val="0"/>
                <w:lang w:val="es-ES_tradnl"/>
              </w:rPr>
              <w:t>VIGILIA</w:t>
            </w:r>
          </w:p>
        </w:tc>
        <w:tc>
          <w:tcPr>
            <w:tcW w:type="dxa" w:w="74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line="240" w:lineRule="auto"/>
              <w:jc w:val="right"/>
            </w:pPr>
            <w:r>
              <w:rPr>
                <w:rFonts w:ascii="Times New Roman" w:hAnsi="Times New Roman"/>
                <w:b w:val="1"/>
                <w:bCs w:val="1"/>
                <w:sz w:val="20"/>
                <w:szCs w:val="20"/>
                <w:rtl w:val="0"/>
                <w:lang w:val="es-ES_tradnl"/>
              </w:rPr>
              <w:t>N1</w:t>
            </w:r>
          </w:p>
        </w:tc>
        <w:tc>
          <w:tcPr>
            <w:tcW w:type="dxa" w:w="87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line="240" w:lineRule="auto"/>
              <w:jc w:val="right"/>
            </w:pPr>
            <w:r>
              <w:rPr>
                <w:rFonts w:ascii="Times New Roman" w:hAnsi="Times New Roman"/>
                <w:b w:val="1"/>
                <w:bCs w:val="1"/>
                <w:sz w:val="20"/>
                <w:szCs w:val="20"/>
                <w:rtl w:val="0"/>
                <w:lang w:val="es-ES_tradnl"/>
              </w:rPr>
              <w:t>N2</w:t>
            </w:r>
          </w:p>
        </w:tc>
        <w:tc>
          <w:tcPr>
            <w:tcW w:type="dxa" w:w="7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line="240" w:lineRule="auto"/>
              <w:jc w:val="right"/>
            </w:pPr>
            <w:r>
              <w:rPr>
                <w:rFonts w:ascii="Times New Roman" w:hAnsi="Times New Roman"/>
                <w:b w:val="1"/>
                <w:bCs w:val="1"/>
                <w:sz w:val="20"/>
                <w:szCs w:val="20"/>
                <w:rtl w:val="0"/>
                <w:lang w:val="es-ES_tradnl"/>
              </w:rPr>
              <w:t>N3</w:t>
            </w:r>
          </w:p>
        </w:tc>
        <w:tc>
          <w:tcPr>
            <w:tcW w:type="dxa" w:w="65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line="240" w:lineRule="auto"/>
              <w:jc w:val="right"/>
            </w:pPr>
            <w:r>
              <w:rPr>
                <w:rFonts w:ascii="Times New Roman" w:hAnsi="Times New Roman"/>
                <w:b w:val="1"/>
                <w:bCs w:val="1"/>
                <w:sz w:val="20"/>
                <w:szCs w:val="20"/>
                <w:rtl w:val="0"/>
                <w:lang w:val="es-ES_tradnl"/>
              </w:rPr>
              <w:t>MOR</w:t>
            </w:r>
          </w:p>
        </w:tc>
      </w:tr>
      <w:tr>
        <w:tblPrEx>
          <w:shd w:val="clear" w:color="auto" w:fill="ced7e7"/>
        </w:tblPrEx>
        <w:trPr>
          <w:trHeight w:val="437" w:hRule="atLeast"/>
        </w:trPr>
        <w:tc>
          <w:tcPr>
            <w:tcW w:type="dxa" w:w="169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FIBROMIALGIA</w:t>
            </w:r>
          </w:p>
        </w:tc>
        <w:tc>
          <w:tcPr>
            <w:tcW w:type="dxa" w:w="95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17.80</w:t>
            </w:r>
          </w:p>
        </w:tc>
        <w:tc>
          <w:tcPr>
            <w:tcW w:type="dxa" w:w="74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22.31</w:t>
            </w:r>
          </w:p>
        </w:tc>
        <w:tc>
          <w:tcPr>
            <w:tcW w:type="dxa" w:w="87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43.81</w:t>
            </w:r>
          </w:p>
        </w:tc>
        <w:tc>
          <w:tcPr>
            <w:tcW w:type="dxa" w:w="75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13.37</w:t>
            </w:r>
          </w:p>
        </w:tc>
        <w:tc>
          <w:tcPr>
            <w:tcW w:type="dxa" w:w="65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16.98</w:t>
            </w:r>
          </w:p>
        </w:tc>
      </w:tr>
      <w:tr>
        <w:tblPrEx>
          <w:shd w:val="clear" w:color="auto" w:fill="ced7e7"/>
        </w:tblPrEx>
        <w:trPr>
          <w:trHeight w:val="212" w:hRule="atLeast"/>
        </w:trPr>
        <w:tc>
          <w:tcPr>
            <w:tcW w:type="dxa" w:w="1696"/>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CONTROL</w:t>
            </w:r>
          </w:p>
        </w:tc>
        <w:tc>
          <w:tcPr>
            <w:tcW w:type="dxa" w:w="952"/>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10.50</w:t>
            </w:r>
          </w:p>
        </w:tc>
        <w:tc>
          <w:tcPr>
            <w:tcW w:type="dxa" w:w="748"/>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20.36</w:t>
            </w:r>
          </w:p>
        </w:tc>
        <w:tc>
          <w:tcPr>
            <w:tcW w:type="dxa" w:w="874"/>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47.80</w:t>
            </w:r>
          </w:p>
        </w:tc>
        <w:tc>
          <w:tcPr>
            <w:tcW w:type="dxa" w:w="75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15.39</w:t>
            </w:r>
          </w:p>
        </w:tc>
        <w:tc>
          <w:tcPr>
            <w:tcW w:type="dxa" w:w="657"/>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14.61</w:t>
            </w:r>
          </w:p>
        </w:tc>
      </w:tr>
      <w:tr>
        <w:tblPrEx>
          <w:shd w:val="clear" w:color="auto" w:fill="ced7e7"/>
        </w:tblPrEx>
        <w:trPr>
          <w:trHeight w:val="212" w:hRule="atLeast"/>
        </w:trPr>
        <w:tc>
          <w:tcPr>
            <w:tcW w:type="dxa" w:w="1696"/>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U de Mann</w:t>
            </w:r>
          </w:p>
        </w:tc>
        <w:tc>
          <w:tcPr>
            <w:tcW w:type="dxa" w:w="952"/>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26.5</w:t>
            </w:r>
          </w:p>
        </w:tc>
        <w:tc>
          <w:tcPr>
            <w:tcW w:type="dxa" w:w="748"/>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48</w:t>
            </w:r>
          </w:p>
        </w:tc>
        <w:tc>
          <w:tcPr>
            <w:tcW w:type="dxa" w:w="874"/>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46</w:t>
            </w:r>
          </w:p>
        </w:tc>
        <w:tc>
          <w:tcPr>
            <w:tcW w:type="dxa" w:w="750"/>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42</w:t>
            </w:r>
          </w:p>
        </w:tc>
        <w:tc>
          <w:tcPr>
            <w:tcW w:type="dxa" w:w="657"/>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38</w:t>
            </w:r>
          </w:p>
        </w:tc>
      </w:tr>
      <w:tr>
        <w:tblPrEx>
          <w:shd w:val="clear" w:color="auto" w:fill="ced7e7"/>
        </w:tblPrEx>
        <w:trPr>
          <w:trHeight w:val="217" w:hRule="atLeast"/>
        </w:trPr>
        <w:tc>
          <w:tcPr>
            <w:tcW w:type="dxa" w:w="169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Significancia</w:t>
            </w:r>
          </w:p>
        </w:tc>
        <w:tc>
          <w:tcPr>
            <w:tcW w:type="dxa" w:w="952"/>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.075</w:t>
            </w:r>
          </w:p>
        </w:tc>
        <w:tc>
          <w:tcPr>
            <w:tcW w:type="dxa" w:w="748"/>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.88</w:t>
            </w:r>
          </w:p>
        </w:tc>
        <w:tc>
          <w:tcPr>
            <w:tcW w:type="dxa" w:w="874"/>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.762</w:t>
            </w:r>
          </w:p>
        </w:tc>
        <w:tc>
          <w:tcPr>
            <w:tcW w:type="dxa" w:w="750"/>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.545</w:t>
            </w:r>
          </w:p>
        </w:tc>
        <w:tc>
          <w:tcPr>
            <w:tcW w:type="dxa" w:w="657"/>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jc w:val="right"/>
            </w:pPr>
            <w:r>
              <w:rPr>
                <w:rFonts w:ascii="Times New Roman" w:hAnsi="Times New Roman"/>
                <w:sz w:val="20"/>
                <w:szCs w:val="20"/>
                <w:rtl w:val="0"/>
                <w:lang w:val="es-ES_tradnl"/>
              </w:rPr>
              <w:t>.364</w:t>
            </w:r>
          </w:p>
        </w:tc>
      </w:tr>
    </w:tbl>
    <w:p>
      <w:pPr>
        <w:pStyle w:val="Normal.0"/>
        <w:tabs>
          <w:tab w:val="left" w:pos="1803"/>
        </w:tabs>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Como puede observarse en la  tabla 2 se encontraron diferencias en 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TTR, el IES y CF.  Sin embargo, solamente en el TTR y CF, estas diferencias fueron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sticamente significativas.  La latencia al inicio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la latencia al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MOR fueron mayores en los pacientes (21 min; 217 min) en comparaci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la de los controles (8 min; 86 min). Ambas diferencias alcanzaron niveles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sticamente significativas (U=18.000; p=0.015 y  U=19.000; p=0.019 respectivamente).</w:t>
      </w: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mc:AlternateContent>
          <mc:Choice Requires="wps">
            <w:drawing>
              <wp:anchor distT="0" distB="0" distL="0" distR="0" simplePos="0" relativeHeight="251662336" behindDoc="0" locked="0" layoutInCell="1" allowOverlap="1">
                <wp:simplePos x="0" y="0"/>
                <wp:positionH relativeFrom="column">
                  <wp:posOffset>733424</wp:posOffset>
                </wp:positionH>
                <wp:positionV relativeFrom="line">
                  <wp:posOffset>3174</wp:posOffset>
                </wp:positionV>
                <wp:extent cx="3942716" cy="706756"/>
                <wp:effectExtent l="0" t="0" r="0" b="0"/>
                <wp:wrapNone/>
                <wp:docPr id="1073741832" name="officeArt object"/>
                <wp:cNvGraphicFramePr/>
                <a:graphic xmlns:a="http://schemas.openxmlformats.org/drawingml/2006/main">
                  <a:graphicData uri="http://schemas.microsoft.com/office/word/2010/wordprocessingShape">
                    <wps:wsp>
                      <wps:cNvSpPr txBox="1"/>
                      <wps:spPr>
                        <a:xfrm>
                          <a:off x="0" y="0"/>
                          <a:ext cx="3942716" cy="706756"/>
                        </a:xfrm>
                        <a:prstGeom prst="rect">
                          <a:avLst/>
                        </a:prstGeom>
                        <a:solidFill>
                          <a:srgbClr val="FFFFFF"/>
                        </a:solidFill>
                        <a:ln w="12700" cap="flat">
                          <a:noFill/>
                          <a:miter lim="400000"/>
                        </a:ln>
                        <a:effectLst/>
                      </wps:spPr>
                      <wps:txbx>
                        <w:txbxContent>
                          <w:p>
                            <w:pPr>
                              <w:pStyle w:val="Normal.0"/>
                              <w:jc w:val="both"/>
                              <w:rPr>
                                <w:rFonts w:ascii="Times New Roman" w:cs="Times New Roman" w:hAnsi="Times New Roman" w:eastAsia="Times New Roman"/>
                                <w:sz w:val="20"/>
                                <w:szCs w:val="20"/>
                              </w:rPr>
                            </w:pPr>
                            <w:r>
                              <w:rPr>
                                <w:rFonts w:ascii="Times New Roman" w:hAnsi="Times New Roman"/>
                                <w:sz w:val="20"/>
                                <w:szCs w:val="20"/>
                                <w:rtl w:val="0"/>
                                <w:lang w:val="es-ES_tradnl"/>
                              </w:rPr>
                              <w:t xml:space="preserve">Tabla 2 </w:t>
                            </w:r>
                          </w:p>
                          <w:p>
                            <w:pPr>
                              <w:pStyle w:val="Normal.0"/>
                              <w:jc w:val="both"/>
                            </w:pPr>
                            <w:r>
                              <w:rPr>
                                <w:rFonts w:ascii="Times New Roman" w:hAnsi="Times New Roman"/>
                                <w:sz w:val="20"/>
                                <w:szCs w:val="20"/>
                                <w:rtl w:val="0"/>
                                <w:lang w:val="es-ES_tradnl"/>
                              </w:rPr>
                              <w:t xml:space="preserve"> Datos promedio de las principales caracter</w:t>
                            </w:r>
                            <w:r>
                              <w:rPr>
                                <w:rFonts w:ascii="Times New Roman" w:hAnsi="Times New Roman" w:hint="default"/>
                                <w:sz w:val="20"/>
                                <w:szCs w:val="20"/>
                                <w:rtl w:val="0"/>
                                <w:lang w:val="es-ES_tradnl"/>
                              </w:rPr>
                              <w:t>í</w:t>
                            </w:r>
                            <w:r>
                              <w:rPr>
                                <w:rFonts w:ascii="Times New Roman" w:hAnsi="Times New Roman"/>
                                <w:sz w:val="20"/>
                                <w:szCs w:val="20"/>
                                <w:rtl w:val="0"/>
                                <w:lang w:val="es-ES_tradnl"/>
                              </w:rPr>
                              <w:t>sticas cl</w:t>
                            </w:r>
                            <w:r>
                              <w:rPr>
                                <w:rFonts w:ascii="Times New Roman" w:hAnsi="Times New Roman" w:hint="default"/>
                                <w:sz w:val="20"/>
                                <w:szCs w:val="20"/>
                                <w:rtl w:val="0"/>
                                <w:lang w:val="es-ES_tradnl"/>
                              </w:rPr>
                              <w:t>í</w:t>
                            </w:r>
                            <w:r>
                              <w:rPr>
                                <w:rFonts w:ascii="Times New Roman" w:hAnsi="Times New Roman"/>
                                <w:sz w:val="20"/>
                                <w:szCs w:val="20"/>
                                <w:rtl w:val="0"/>
                                <w:lang w:val="es-ES_tradnl"/>
                              </w:rPr>
                              <w:t>nicas de la arquitectura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 xml:space="preserve">o de pacientes y el grupo control. </w:t>
                            </w:r>
                          </w:p>
                        </w:txbxContent>
                      </wps:txbx>
                      <wps:bodyPr wrap="square" lIns="45719" tIns="45719" rIns="45719" bIns="45719" numCol="1" anchor="t">
                        <a:noAutofit/>
                      </wps:bodyPr>
                    </wps:wsp>
                  </a:graphicData>
                </a:graphic>
              </wp:anchor>
            </w:drawing>
          </mc:Choice>
          <mc:Fallback>
            <w:pict>
              <v:shape id="_x0000_s1033" type="#_x0000_t202" style="visibility:visible;position:absolute;margin-left:57.7pt;margin-top:0.2pt;width:310.5pt;height:55.7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both"/>
                        <w:rPr>
                          <w:rFonts w:ascii="Times New Roman" w:cs="Times New Roman" w:hAnsi="Times New Roman" w:eastAsia="Times New Roman"/>
                          <w:sz w:val="20"/>
                          <w:szCs w:val="20"/>
                        </w:rPr>
                      </w:pPr>
                      <w:r>
                        <w:rPr>
                          <w:rFonts w:ascii="Times New Roman" w:hAnsi="Times New Roman"/>
                          <w:sz w:val="20"/>
                          <w:szCs w:val="20"/>
                          <w:rtl w:val="0"/>
                          <w:lang w:val="es-ES_tradnl"/>
                        </w:rPr>
                        <w:t xml:space="preserve">Tabla 2 </w:t>
                      </w:r>
                    </w:p>
                    <w:p>
                      <w:pPr>
                        <w:pStyle w:val="Normal.0"/>
                        <w:jc w:val="both"/>
                      </w:pPr>
                      <w:r>
                        <w:rPr>
                          <w:rFonts w:ascii="Times New Roman" w:hAnsi="Times New Roman"/>
                          <w:sz w:val="20"/>
                          <w:szCs w:val="20"/>
                          <w:rtl w:val="0"/>
                          <w:lang w:val="es-ES_tradnl"/>
                        </w:rPr>
                        <w:t xml:space="preserve"> Datos promedio de las principales caracter</w:t>
                      </w:r>
                      <w:r>
                        <w:rPr>
                          <w:rFonts w:ascii="Times New Roman" w:hAnsi="Times New Roman" w:hint="default"/>
                          <w:sz w:val="20"/>
                          <w:szCs w:val="20"/>
                          <w:rtl w:val="0"/>
                          <w:lang w:val="es-ES_tradnl"/>
                        </w:rPr>
                        <w:t>í</w:t>
                      </w:r>
                      <w:r>
                        <w:rPr>
                          <w:rFonts w:ascii="Times New Roman" w:hAnsi="Times New Roman"/>
                          <w:sz w:val="20"/>
                          <w:szCs w:val="20"/>
                          <w:rtl w:val="0"/>
                          <w:lang w:val="es-ES_tradnl"/>
                        </w:rPr>
                        <w:t>sticas cl</w:t>
                      </w:r>
                      <w:r>
                        <w:rPr>
                          <w:rFonts w:ascii="Times New Roman" w:hAnsi="Times New Roman" w:hint="default"/>
                          <w:sz w:val="20"/>
                          <w:szCs w:val="20"/>
                          <w:rtl w:val="0"/>
                          <w:lang w:val="es-ES_tradnl"/>
                        </w:rPr>
                        <w:t>í</w:t>
                      </w:r>
                      <w:r>
                        <w:rPr>
                          <w:rFonts w:ascii="Times New Roman" w:hAnsi="Times New Roman"/>
                          <w:sz w:val="20"/>
                          <w:szCs w:val="20"/>
                          <w:rtl w:val="0"/>
                          <w:lang w:val="es-ES_tradnl"/>
                        </w:rPr>
                        <w:t>nicas de la arquitectura del sue</w:t>
                      </w:r>
                      <w:r>
                        <w:rPr>
                          <w:rFonts w:ascii="Times New Roman" w:hAnsi="Times New Roman" w:hint="default"/>
                          <w:sz w:val="20"/>
                          <w:szCs w:val="20"/>
                          <w:rtl w:val="0"/>
                          <w:lang w:val="es-ES_tradnl"/>
                        </w:rPr>
                        <w:t>ñ</w:t>
                      </w:r>
                      <w:r>
                        <w:rPr>
                          <w:rFonts w:ascii="Times New Roman" w:hAnsi="Times New Roman"/>
                          <w:sz w:val="20"/>
                          <w:szCs w:val="20"/>
                          <w:rtl w:val="0"/>
                          <w:lang w:val="es-ES_tradnl"/>
                        </w:rPr>
                        <w:t xml:space="preserve">o de pacientes y el grupo control. </w:t>
                      </w:r>
                    </w:p>
                  </w:txbxContent>
                </v:textbox>
                <w10:wrap type="none" side="bothSides" anchorx="text"/>
              </v:shape>
            </w:pict>
          </mc:Fallback>
        </mc:AlternateContent>
      </w:r>
    </w:p>
    <w:p>
      <w:pPr>
        <w:pStyle w:val="Normal.0"/>
        <w:tabs>
          <w:tab w:val="left" w:pos="1837"/>
        </w:tabs>
        <w:spacing w:line="240" w:lineRule="auto"/>
        <w:rPr>
          <w:rFonts w:ascii="Times New Roman" w:cs="Times New Roman" w:hAnsi="Times New Roman" w:eastAsia="Times New Roman"/>
          <w:sz w:val="24"/>
          <w:szCs w:val="24"/>
        </w:rPr>
      </w:pPr>
    </w:p>
    <w:p>
      <w:pPr>
        <w:pStyle w:val="Normal.0"/>
        <w:tabs>
          <w:tab w:val="left" w:pos="1837"/>
        </w:tabs>
        <w:spacing w:line="240" w:lineRule="auto"/>
        <w:rPr>
          <w:rFonts w:ascii="Times New Roman" w:cs="Times New Roman" w:hAnsi="Times New Roman" w:eastAsia="Times New Roman"/>
          <w:sz w:val="24"/>
          <w:szCs w:val="24"/>
        </w:rPr>
      </w:pPr>
    </w:p>
    <w:tbl>
      <w:tblPr>
        <w:tblW w:w="63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96"/>
        <w:gridCol w:w="690"/>
        <w:gridCol w:w="850"/>
        <w:gridCol w:w="720"/>
        <w:gridCol w:w="1352"/>
        <w:gridCol w:w="1018"/>
      </w:tblGrid>
      <w:tr>
        <w:tblPrEx>
          <w:shd w:val="clear" w:color="auto" w:fill="ced7e7"/>
        </w:tblPrEx>
        <w:trPr>
          <w:trHeight w:val="662" w:hRule="atLeast"/>
        </w:trPr>
        <w:tc>
          <w:tcPr>
            <w:tcW w:type="dxa" w:w="169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jc w:val="right"/>
            </w:pPr>
            <w:r>
              <w:rPr>
                <w:rFonts w:ascii="Times New Roman" w:hAnsi="Times New Roman" w:hint="default"/>
                <w:b w:val="1"/>
                <w:bCs w:val="1"/>
                <w:sz w:val="20"/>
                <w:szCs w:val="20"/>
                <w:rtl w:val="0"/>
                <w:lang w:val="es-ES_tradnl"/>
              </w:rPr>
              <w:t> </w:t>
            </w:r>
          </w:p>
        </w:tc>
        <w:tc>
          <w:tcPr>
            <w:tcW w:type="dxa" w:w="69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s-ES_tradnl"/>
              </w:rPr>
              <w:t>TTR</w:t>
            </w:r>
          </w:p>
          <w:p>
            <w:pPr>
              <w:pStyle w:val="Normal.0"/>
              <w:bidi w:val="0"/>
              <w:spacing w:after="0" w:line="240" w:lineRule="auto"/>
              <w:ind w:left="0" w:right="0" w:firstLine="0"/>
              <w:jc w:val="center"/>
              <w:rPr>
                <w:rtl w:val="0"/>
              </w:rPr>
            </w:pPr>
            <w:r>
              <w:rPr>
                <w:rFonts w:ascii="Times New Roman" w:hAnsi="Times New Roman"/>
                <w:sz w:val="20"/>
                <w:szCs w:val="20"/>
                <w:rtl w:val="0"/>
                <w:lang w:val="es-ES_tradnl"/>
              </w:rPr>
              <w:t>Horas</w:t>
            </w:r>
          </w:p>
        </w:tc>
        <w:tc>
          <w:tcPr>
            <w:tcW w:type="dxa" w:w="8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s-ES_tradnl"/>
              </w:rPr>
              <w:t>TTS</w:t>
            </w:r>
          </w:p>
          <w:p>
            <w:pPr>
              <w:pStyle w:val="Normal.0"/>
              <w:bidi w:val="0"/>
              <w:spacing w:after="0" w:line="240" w:lineRule="auto"/>
              <w:ind w:left="0" w:right="0" w:firstLine="0"/>
              <w:jc w:val="center"/>
              <w:rPr>
                <w:rtl w:val="0"/>
              </w:rPr>
            </w:pPr>
            <w:r>
              <w:rPr>
                <w:rFonts w:ascii="Times New Roman" w:hAnsi="Times New Roman"/>
                <w:sz w:val="20"/>
                <w:szCs w:val="20"/>
                <w:rtl w:val="0"/>
                <w:lang w:val="es-ES_tradnl"/>
              </w:rPr>
              <w:t>Horas</w:t>
            </w:r>
          </w:p>
        </w:tc>
        <w:tc>
          <w:tcPr>
            <w:tcW w:type="dxa" w:w="72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jc w:val="center"/>
            </w:pPr>
            <w:r>
              <w:rPr>
                <w:rFonts w:ascii="Times New Roman" w:hAnsi="Times New Roman"/>
                <w:b w:val="1"/>
                <w:bCs w:val="1"/>
                <w:sz w:val="20"/>
                <w:szCs w:val="20"/>
                <w:rtl w:val="0"/>
                <w:lang w:val="es-ES_tradnl"/>
              </w:rPr>
              <w:t>IES</w:t>
            </w:r>
            <w:r>
              <w:rPr>
                <w:rFonts w:ascii="Times New Roman" w:hAnsi="Times New Roman"/>
                <w:sz w:val="20"/>
                <w:szCs w:val="20"/>
                <w:rtl w:val="0"/>
                <w:lang w:val="es-ES_tradnl"/>
              </w:rPr>
              <w:t xml:space="preserve"> (%)</w:t>
            </w:r>
          </w:p>
        </w:tc>
        <w:tc>
          <w:tcPr>
            <w:tcW w:type="dxa" w:w="135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s-ES_tradnl"/>
              </w:rPr>
              <w:t>DESPERTAR</w:t>
            </w:r>
          </w:p>
          <w:p>
            <w:pPr>
              <w:pStyle w:val="Normal.0"/>
              <w:bidi w:val="0"/>
              <w:spacing w:after="0" w:line="240" w:lineRule="auto"/>
              <w:ind w:left="0" w:right="0" w:firstLine="0"/>
              <w:jc w:val="center"/>
              <w:rPr>
                <w:rtl w:val="0"/>
              </w:rPr>
            </w:pPr>
            <w:r>
              <w:rPr>
                <w:rFonts w:ascii="Times New Roman" w:hAnsi="Times New Roman"/>
                <w:sz w:val="20"/>
                <w:szCs w:val="20"/>
                <w:rtl w:val="0"/>
                <w:lang w:val="es-ES_tradnl"/>
              </w:rPr>
              <w:t>Frecuencia</w:t>
            </w:r>
          </w:p>
        </w:tc>
        <w:tc>
          <w:tcPr>
            <w:tcW w:type="dxa" w:w="101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Normal.0"/>
              <w:spacing w:after="0" w:line="240" w:lineRule="auto"/>
              <w:jc w:val="center"/>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s-ES_tradnl"/>
              </w:rPr>
              <w:t>CF</w:t>
            </w:r>
          </w:p>
          <w:p>
            <w:pPr>
              <w:pStyle w:val="Normal.0"/>
              <w:bidi w:val="0"/>
              <w:spacing w:after="0" w:line="240" w:lineRule="auto"/>
              <w:ind w:left="0" w:right="0" w:firstLine="0"/>
              <w:jc w:val="center"/>
              <w:rPr>
                <w:rtl w:val="0"/>
              </w:rPr>
            </w:pPr>
            <w:r>
              <w:rPr>
                <w:rFonts w:ascii="Times New Roman" w:hAnsi="Times New Roman"/>
                <w:sz w:val="20"/>
                <w:szCs w:val="20"/>
                <w:rtl w:val="0"/>
                <w:lang w:val="es-ES_tradnl"/>
              </w:rPr>
              <w:t>Frecuencia</w:t>
            </w:r>
          </w:p>
        </w:tc>
      </w:tr>
      <w:tr>
        <w:tblPrEx>
          <w:shd w:val="clear" w:color="auto" w:fill="ced7e7"/>
        </w:tblPrEx>
        <w:trPr>
          <w:trHeight w:val="447" w:hRule="atLeast"/>
        </w:trPr>
        <w:tc>
          <w:tcPr>
            <w:tcW w:type="dxa" w:w="169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FIBROMIALGIA</w:t>
            </w:r>
          </w:p>
        </w:tc>
        <w:tc>
          <w:tcPr>
            <w:tcW w:type="dxa" w:w="69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8.00</w:t>
            </w:r>
          </w:p>
        </w:tc>
        <w:tc>
          <w:tcPr>
            <w:tcW w:type="dxa" w:w="85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6.61</w:t>
            </w:r>
          </w:p>
        </w:tc>
        <w:tc>
          <w:tcPr>
            <w:tcW w:type="dxa" w:w="72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u w:val="single"/>
                <w:rtl w:val="0"/>
                <w:lang w:val="es-ES_tradnl"/>
              </w:rPr>
              <w:t>82</w:t>
            </w:r>
          </w:p>
        </w:tc>
        <w:tc>
          <w:tcPr>
            <w:tcW w:type="dxa" w:w="135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37.00</w:t>
            </w:r>
          </w:p>
        </w:tc>
        <w:tc>
          <w:tcPr>
            <w:tcW w:type="dxa" w:w="101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85.00</w:t>
            </w:r>
          </w:p>
        </w:tc>
      </w:tr>
      <w:tr>
        <w:tblPrEx>
          <w:shd w:val="clear" w:color="auto" w:fill="ced7e7"/>
        </w:tblPrEx>
        <w:trPr>
          <w:trHeight w:val="232" w:hRule="atLeast"/>
        </w:trPr>
        <w:tc>
          <w:tcPr>
            <w:tcW w:type="dxa" w:w="1696"/>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CONTROL</w:t>
            </w:r>
          </w:p>
        </w:tc>
        <w:tc>
          <w:tcPr>
            <w:tcW w:type="dxa" w:w="69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7.00</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6.35</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u w:val="single"/>
                <w:rtl w:val="0"/>
                <w:lang w:val="es-ES_tradnl"/>
              </w:rPr>
              <w:t>90</w:t>
            </w:r>
          </w:p>
        </w:tc>
        <w:tc>
          <w:tcPr>
            <w:tcW w:type="dxa" w:w="1352"/>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26.00</w:t>
            </w:r>
          </w:p>
        </w:tc>
        <w:tc>
          <w:tcPr>
            <w:tcW w:type="dxa" w:w="1018"/>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63.00</w:t>
            </w:r>
          </w:p>
        </w:tc>
      </w:tr>
      <w:tr>
        <w:tblPrEx>
          <w:shd w:val="clear" w:color="auto" w:fill="ced7e7"/>
        </w:tblPrEx>
        <w:trPr>
          <w:trHeight w:val="232" w:hRule="atLeast"/>
        </w:trPr>
        <w:tc>
          <w:tcPr>
            <w:tcW w:type="dxa" w:w="1696"/>
            <w:tcBorders>
              <w:top w:val="nil"/>
              <w:left w:val="nil"/>
              <w:bottom w:val="nil"/>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U de Mann</w:t>
            </w:r>
          </w:p>
        </w:tc>
        <w:tc>
          <w:tcPr>
            <w:tcW w:type="dxa" w:w="69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4.00</w:t>
            </w:r>
          </w:p>
        </w:tc>
        <w:tc>
          <w:tcPr>
            <w:tcW w:type="dxa" w:w="85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40.50</w:t>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26.50</w:t>
            </w:r>
          </w:p>
        </w:tc>
        <w:tc>
          <w:tcPr>
            <w:tcW w:type="dxa" w:w="1352"/>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27.00</w:t>
            </w:r>
          </w:p>
        </w:tc>
        <w:tc>
          <w:tcPr>
            <w:tcW w:type="dxa" w:w="1018"/>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17.50</w:t>
            </w:r>
          </w:p>
        </w:tc>
      </w:tr>
      <w:tr>
        <w:tblPrEx>
          <w:shd w:val="clear" w:color="auto" w:fill="ced7e7"/>
        </w:tblPrEx>
        <w:trPr>
          <w:trHeight w:val="447" w:hRule="atLeast"/>
        </w:trPr>
        <w:tc>
          <w:tcPr>
            <w:tcW w:type="dxa" w:w="1696"/>
            <w:tcBorders>
              <w:top w:val="nil"/>
              <w:left w:val="nil"/>
              <w:bottom w:val="single" w:color="000000" w:sz="4" w:space="0" w:shadow="0" w:frame="0"/>
              <w:right w:val="nil"/>
            </w:tcBorders>
            <w:shd w:val="clear" w:color="auto" w:fill="auto"/>
            <w:tcMar>
              <w:top w:type="dxa" w:w="80"/>
              <w:left w:type="dxa" w:w="80"/>
              <w:bottom w:type="dxa" w:w="80"/>
              <w:right w:type="dxa" w:w="80"/>
            </w:tcMar>
            <w:vAlign w:val="bottom"/>
          </w:tcPr>
          <w:p>
            <w:pPr>
              <w:pStyle w:val="Normal.0"/>
              <w:spacing w:line="240" w:lineRule="auto"/>
            </w:pPr>
            <w:r>
              <w:rPr>
                <w:rFonts w:ascii="Times New Roman" w:hAnsi="Times New Roman"/>
                <w:b w:val="1"/>
                <w:bCs w:val="1"/>
                <w:sz w:val="20"/>
                <w:szCs w:val="20"/>
                <w:rtl w:val="0"/>
                <w:lang w:val="es-ES_tradnl"/>
              </w:rPr>
              <w:t>Significancia</w:t>
            </w:r>
          </w:p>
        </w:tc>
        <w:tc>
          <w:tcPr>
            <w:tcW w:type="dxa" w:w="69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.000**</w:t>
            </w:r>
          </w:p>
        </w:tc>
        <w:tc>
          <w:tcPr>
            <w:tcW w:type="dxa" w:w="85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.472</w:t>
            </w:r>
          </w:p>
        </w:tc>
        <w:tc>
          <w:tcPr>
            <w:tcW w:type="dxa" w:w="72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.075</w:t>
            </w:r>
          </w:p>
        </w:tc>
        <w:tc>
          <w:tcPr>
            <w:tcW w:type="dxa" w:w="135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080</w:t>
            </w:r>
          </w:p>
        </w:tc>
        <w:tc>
          <w:tcPr>
            <w:tcW w:type="dxa" w:w="101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line="240" w:lineRule="auto"/>
              <w:jc w:val="right"/>
            </w:pPr>
            <w:r>
              <w:rPr>
                <w:rFonts w:ascii="Times New Roman" w:hAnsi="Times New Roman"/>
                <w:sz w:val="20"/>
                <w:szCs w:val="20"/>
                <w:rtl w:val="0"/>
                <w:lang w:val="es-ES_tradnl"/>
              </w:rPr>
              <w:t>.014**</w:t>
            </w:r>
          </w:p>
        </w:tc>
      </w:tr>
    </w:tbl>
    <w:p>
      <w:pPr>
        <w:pStyle w:val="Normal.0"/>
        <w:widowControl w:val="0"/>
        <w:tabs>
          <w:tab w:val="left" w:pos="1837"/>
        </w:tabs>
        <w:spacing w:line="240" w:lineRule="auto"/>
        <w:jc w:val="center"/>
        <w:rPr>
          <w:rFonts w:ascii="Times New Roman" w:cs="Times New Roman" w:hAnsi="Times New Roman" w:eastAsia="Times New Roman"/>
          <w:sz w:val="24"/>
          <w:szCs w:val="24"/>
        </w:rPr>
      </w:pPr>
    </w:p>
    <w:p>
      <w:pPr>
        <w:pStyle w:val="Normal.0"/>
        <w:tabs>
          <w:tab w:val="left" w:pos="1837"/>
        </w:tabs>
        <w:spacing w:line="240" w:lineRule="auto"/>
        <w:rPr>
          <w:rFonts w:ascii="Times New Roman" w:cs="Times New Roman" w:hAnsi="Times New Roman" w:eastAsia="Times New Roman"/>
          <w:sz w:val="24"/>
          <w:szCs w:val="24"/>
        </w:rPr>
      </w:pPr>
    </w:p>
    <w:p>
      <w:pPr>
        <w:pStyle w:val="Normal.0"/>
        <w:spacing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Discusi</w:t>
      </w:r>
      <w:r>
        <w:rPr>
          <w:rFonts w:ascii="Times New Roman" w:hAnsi="Times New Roman" w:hint="default"/>
          <w:b w:val="1"/>
          <w:bCs w:val="1"/>
          <w:sz w:val="24"/>
          <w:szCs w:val="24"/>
          <w:rtl w:val="0"/>
          <w:lang w:val="es-ES_tradnl"/>
        </w:rPr>
        <w:t>ó</w:t>
      </w:r>
      <w:r>
        <w:rPr>
          <w:rFonts w:ascii="Times New Roman" w:hAnsi="Times New Roman"/>
          <w:b w:val="1"/>
          <w:bCs w:val="1"/>
          <w:sz w:val="24"/>
          <w:szCs w:val="24"/>
          <w:rtl w:val="0"/>
          <w:lang w:val="es-ES_tradnl"/>
        </w:rPr>
        <w:t>n</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Existe un creciente inter</w:t>
      </w:r>
      <w:r>
        <w:rPr>
          <w:rFonts w:ascii="Times New Roman" w:hAnsi="Times New Roman" w:hint="default"/>
          <w:sz w:val="24"/>
          <w:szCs w:val="24"/>
          <w:rtl w:val="0"/>
          <w:lang w:val="es-ES_tradnl"/>
        </w:rPr>
        <w:t>é</w:t>
      </w:r>
      <w:r>
        <w:rPr>
          <w:rFonts w:ascii="Times New Roman" w:hAnsi="Times New Roman"/>
          <w:sz w:val="24"/>
          <w:szCs w:val="24"/>
          <w:rtl w:val="0"/>
          <w:lang w:val="es-ES_tradnl"/>
        </w:rPr>
        <w:t>s en el papel que juegan los factores psicol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en la FM (Matar</w:t>
      </w:r>
      <w:r>
        <w:rPr>
          <w:rFonts w:ascii="Times New Roman" w:hAnsi="Times New Roman" w:hint="default"/>
          <w:sz w:val="24"/>
          <w:szCs w:val="24"/>
          <w:rtl w:val="0"/>
          <w:lang w:val="es-ES_tradnl"/>
        </w:rPr>
        <w:t>á</w:t>
      </w:r>
      <w:r>
        <w:rPr>
          <w:rFonts w:ascii="Times New Roman" w:hAnsi="Times New Roman"/>
          <w:sz w:val="24"/>
          <w:szCs w:val="24"/>
          <w:rtl w:val="0"/>
          <w:lang w:val="es-ES_tradnl"/>
        </w:rPr>
        <w:t>n-Pe</w:t>
      </w:r>
      <w:r>
        <w:rPr>
          <w:rFonts w:ascii="Times New Roman" w:hAnsi="Times New Roman" w:hint="default"/>
          <w:sz w:val="24"/>
          <w:szCs w:val="24"/>
          <w:rtl w:val="0"/>
          <w:lang w:val="es-ES_tradnl"/>
        </w:rPr>
        <w:t>ñ</w:t>
      </w:r>
      <w:r>
        <w:rPr>
          <w:rFonts w:ascii="Times New Roman" w:hAnsi="Times New Roman"/>
          <w:sz w:val="24"/>
          <w:szCs w:val="24"/>
          <w:rtl w:val="0"/>
          <w:lang w:val="es-ES_tradnl"/>
        </w:rPr>
        <w:t>arrocha, et al., 2011), se considera que los trastornos depresivos y de ansiedad ocurren com</w:t>
      </w:r>
      <w:r>
        <w:rPr>
          <w:rFonts w:ascii="Times New Roman" w:hAnsi="Times New Roman" w:hint="default"/>
          <w:sz w:val="24"/>
          <w:szCs w:val="24"/>
          <w:rtl w:val="0"/>
          <w:lang w:val="es-ES_tradnl"/>
        </w:rPr>
        <w:t>ó</w:t>
      </w:r>
      <w:r>
        <w:rPr>
          <w:rFonts w:ascii="Times New Roman" w:hAnsi="Times New Roman"/>
          <w:sz w:val="24"/>
          <w:szCs w:val="24"/>
          <w:rtl w:val="0"/>
          <w:lang w:val="es-ES_tradnl"/>
        </w:rPr>
        <w:t>rbidamente. Sin embargo, no existe un acuerdo con respecto de si estos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son el resultado o la causa de las disfunciones resultantes en este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(Bernik, Sampaio y Gandarela, 2013). Los datos obtenidos en la presente investigaci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ratifican la presencia de problemas del estado de </w:t>
      </w:r>
      <w:r>
        <w:rPr>
          <w:rFonts w:ascii="Times New Roman" w:hAnsi="Times New Roman" w:hint="default"/>
          <w:sz w:val="24"/>
          <w:szCs w:val="24"/>
          <w:rtl w:val="0"/>
          <w:lang w:val="es-ES_tradnl"/>
        </w:rPr>
        <w:t>á</w:t>
      </w:r>
      <w:r>
        <w:rPr>
          <w:rFonts w:ascii="Times New Roman" w:hAnsi="Times New Roman"/>
          <w:sz w:val="24"/>
          <w:szCs w:val="24"/>
          <w:rtl w:val="0"/>
          <w:lang w:val="es-ES_tradnl"/>
        </w:rPr>
        <w:t>nimo y de ansiedad en pacientes con FM en comparaci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con sus pares sanos. Asimismo, los puntajes subcl</w:t>
      </w:r>
      <w:r>
        <w:rPr>
          <w:rFonts w:ascii="Times New Roman" w:hAnsi="Times New Roman" w:hint="default"/>
          <w:sz w:val="24"/>
          <w:szCs w:val="24"/>
          <w:rtl w:val="0"/>
          <w:lang w:val="es-ES_tradnl"/>
        </w:rPr>
        <w:t>í</w:t>
      </w:r>
      <w:r>
        <w:rPr>
          <w:rFonts w:ascii="Times New Roman" w:hAnsi="Times New Roman"/>
          <w:sz w:val="24"/>
          <w:szCs w:val="24"/>
          <w:rtl w:val="0"/>
          <w:lang w:val="es-ES_tradnl"/>
        </w:rPr>
        <w:t>nicos en ambas escalas Beck sugieren una asociaci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las disfunciones asociadas al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y los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emocionales. Por otra parte, estos hallazgos incrementan y especifican la din</w:t>
      </w:r>
      <w:r>
        <w:rPr>
          <w:rFonts w:ascii="Times New Roman" w:hAnsi="Times New Roman" w:hint="default"/>
          <w:sz w:val="24"/>
          <w:szCs w:val="24"/>
          <w:rtl w:val="0"/>
          <w:lang w:val="es-ES_tradnl"/>
        </w:rPr>
        <w:t>á</w:t>
      </w:r>
      <w:r>
        <w:rPr>
          <w:rFonts w:ascii="Times New Roman" w:hAnsi="Times New Roman"/>
          <w:sz w:val="24"/>
          <w:szCs w:val="24"/>
          <w:rtl w:val="0"/>
          <w:lang w:val="es-ES_tradnl"/>
        </w:rPr>
        <w:t>mica entre estos trastornos y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presentados por los pacientes con FM, con la adici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datos cuantitativos electrofisiol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gicos que complementan los reportes de otros investigadores (p. e. Moldofsky, 2008; Diaz- Piedra, et al., 2014) quienes han sugerido que estos trastornos juegan un papel importante en la interrelaci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entre los s</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ntomas dolorosos, del estado de </w:t>
      </w:r>
      <w:r>
        <w:rPr>
          <w:rFonts w:ascii="Times New Roman" w:hAnsi="Times New Roman" w:hint="default"/>
          <w:sz w:val="24"/>
          <w:szCs w:val="24"/>
          <w:rtl w:val="0"/>
          <w:lang w:val="es-ES_tradnl"/>
        </w:rPr>
        <w:t>á</w:t>
      </w:r>
      <w:r>
        <w:rPr>
          <w:rFonts w:ascii="Times New Roman" w:hAnsi="Times New Roman"/>
          <w:sz w:val="24"/>
          <w:szCs w:val="24"/>
          <w:rtl w:val="0"/>
          <w:lang w:val="es-ES_tradnl"/>
        </w:rPr>
        <w:t>nimo y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Los resultados apoyan el enfoque de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integral para los pacientes con fibromialgia, que los auxilie en el tratamiento de estos s</w:t>
      </w:r>
      <w:r>
        <w:rPr>
          <w:rFonts w:ascii="Times New Roman" w:hAnsi="Times New Roman" w:hint="default"/>
          <w:sz w:val="24"/>
          <w:szCs w:val="24"/>
          <w:rtl w:val="0"/>
          <w:lang w:val="es-ES_tradnl"/>
        </w:rPr>
        <w:t>í</w:t>
      </w:r>
      <w:r>
        <w:rPr>
          <w:rFonts w:ascii="Times New Roman" w:hAnsi="Times New Roman"/>
          <w:sz w:val="24"/>
          <w:szCs w:val="24"/>
          <w:rtl w:val="0"/>
          <w:lang w:val="es-ES_tradnl"/>
        </w:rPr>
        <w:t>ntomas independientemente de la naturaleza etiol</w:t>
      </w:r>
      <w:r>
        <w:rPr>
          <w:rFonts w:ascii="Times New Roman" w:hAnsi="Times New Roman" w:hint="default"/>
          <w:sz w:val="24"/>
          <w:szCs w:val="24"/>
          <w:rtl w:val="0"/>
          <w:lang w:val="es-ES_tradnl"/>
        </w:rPr>
        <w:t>ó</w:t>
      </w:r>
      <w:r>
        <w:rPr>
          <w:rFonts w:ascii="Times New Roman" w:hAnsi="Times New Roman"/>
          <w:sz w:val="24"/>
          <w:szCs w:val="24"/>
          <w:rtl w:val="0"/>
          <w:lang w:val="es-ES_tradnl"/>
        </w:rPr>
        <w:t>gica de los mismos (P</w:t>
      </w:r>
      <w:r>
        <w:rPr>
          <w:rFonts w:ascii="Times New Roman" w:hAnsi="Times New Roman" w:hint="default"/>
          <w:sz w:val="24"/>
          <w:szCs w:val="24"/>
          <w:rtl w:val="0"/>
          <w:lang w:val="es-ES_tradnl"/>
        </w:rPr>
        <w:t>é</w:t>
      </w:r>
      <w:r>
        <w:rPr>
          <w:rFonts w:ascii="Times New Roman" w:hAnsi="Times New Roman"/>
          <w:sz w:val="24"/>
          <w:szCs w:val="24"/>
          <w:rtl w:val="0"/>
          <w:lang w:val="es-ES_tradnl"/>
        </w:rPr>
        <w:t>rez-Pareja, et al., 2004). Finalmente es importante resaltar que en el campo de la evaluaci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ansiedad y la depresi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se considera que los inventarios de Beck se encuentran entre las medidas con mayor validez convergente y divergente (G</w:t>
      </w:r>
      <w:r>
        <w:rPr>
          <w:rFonts w:ascii="Times New Roman" w:hAnsi="Times New Roman" w:hint="default"/>
          <w:sz w:val="24"/>
          <w:szCs w:val="24"/>
          <w:rtl w:val="0"/>
          <w:lang w:val="es-ES_tradnl"/>
        </w:rPr>
        <w:t>ó</w:t>
      </w:r>
      <w:r>
        <w:rPr>
          <w:rFonts w:ascii="Times New Roman" w:hAnsi="Times New Roman"/>
          <w:sz w:val="24"/>
          <w:szCs w:val="24"/>
          <w:rtl w:val="0"/>
          <w:lang w:val="es-ES_tradnl"/>
        </w:rPr>
        <w:t>ngora y Casullo, 2009; Antunez y Vinet, 2012; Carrillo, et al., 2012).</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El hecho de que el American Rheumatology College haya incluido en su revisi</w:t>
      </w:r>
      <w:r>
        <w:rPr>
          <w:rFonts w:ascii="Times New Roman" w:hAnsi="Times New Roman" w:hint="default"/>
          <w:sz w:val="24"/>
          <w:szCs w:val="24"/>
          <w:rtl w:val="0"/>
          <w:lang w:val="es-ES_tradnl"/>
        </w:rPr>
        <w:t>ó</w:t>
      </w:r>
      <w:r>
        <w:rPr>
          <w:rFonts w:ascii="Times New Roman" w:hAnsi="Times New Roman"/>
          <w:sz w:val="24"/>
          <w:szCs w:val="24"/>
          <w:rtl w:val="0"/>
          <w:lang w:val="es-ES_tradnl"/>
        </w:rPr>
        <w:t>n m</w:t>
      </w:r>
      <w:r>
        <w:rPr>
          <w:rFonts w:ascii="Times New Roman" w:hAnsi="Times New Roman" w:hint="default"/>
          <w:sz w:val="24"/>
          <w:szCs w:val="24"/>
          <w:rtl w:val="0"/>
          <w:lang w:val="es-ES_tradnl"/>
        </w:rPr>
        <w:t>á</w:t>
      </w:r>
      <w:r>
        <w:rPr>
          <w:rFonts w:ascii="Times New Roman" w:hAnsi="Times New Roman"/>
          <w:sz w:val="24"/>
          <w:szCs w:val="24"/>
          <w:rtl w:val="0"/>
          <w:lang w:val="es-ES_tradnl"/>
        </w:rPr>
        <w:t>s reciente los aspectos relacionados con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como una de las variables diagnosticas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importantes en la FM (Wolfe, et al., 2011) resalta la importancia de este aspecto al momento de tratar el s</w:t>
      </w:r>
      <w:r>
        <w:rPr>
          <w:rFonts w:ascii="Times New Roman" w:hAnsi="Times New Roman" w:hint="default"/>
          <w:sz w:val="24"/>
          <w:szCs w:val="24"/>
          <w:rtl w:val="0"/>
          <w:lang w:val="es-ES_tradnl"/>
        </w:rPr>
        <w:t>í</w:t>
      </w:r>
      <w:r>
        <w:rPr>
          <w:rFonts w:ascii="Times New Roman" w:hAnsi="Times New Roman"/>
          <w:sz w:val="24"/>
          <w:szCs w:val="24"/>
          <w:rtl w:val="0"/>
          <w:lang w:val="es-ES_tradnl"/>
        </w:rPr>
        <w:t>ndrome. En lo que respecta a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las anomal</w:t>
      </w:r>
      <w:r>
        <w:rPr>
          <w:rFonts w:ascii="Times New Roman" w:hAnsi="Times New Roman" w:hint="default"/>
          <w:sz w:val="24"/>
          <w:szCs w:val="24"/>
          <w:rtl w:val="0"/>
          <w:lang w:val="es-ES_tradnl"/>
        </w:rPr>
        <w:t>í</w:t>
      </w:r>
      <w:r>
        <w:rPr>
          <w:rFonts w:ascii="Times New Roman" w:hAnsi="Times New Roman"/>
          <w:sz w:val="24"/>
          <w:szCs w:val="24"/>
          <w:rtl w:val="0"/>
          <w:lang w:val="es-ES_tradnl"/>
        </w:rPr>
        <w:t>as encontradas en los pacientes en el presente proyecto coinciden en gran parte con las reportadas en la literatura. Entre las m</w:t>
      </w:r>
      <w:r>
        <w:rPr>
          <w:rFonts w:ascii="Times New Roman" w:hAnsi="Times New Roman" w:hint="default"/>
          <w:sz w:val="24"/>
          <w:szCs w:val="24"/>
          <w:rtl w:val="0"/>
          <w:lang w:val="es-ES_tradnl"/>
        </w:rPr>
        <w:t>á</w:t>
      </w:r>
      <w:r>
        <w:rPr>
          <w:rFonts w:ascii="Times New Roman" w:hAnsi="Times New Roman"/>
          <w:sz w:val="24"/>
          <w:szCs w:val="24"/>
          <w:rtl w:val="0"/>
          <w:lang w:val="es-ES_tradnl"/>
        </w:rPr>
        <w:t>s importantes destacan un tiempo total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reducido, latencia de inicio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aumentada, mayor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despertares, mayor porcentaje de vigilia nocturna, menor eficiencia al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(Besteiro, et al., 2011; S</w:t>
      </w:r>
      <w:r>
        <w:rPr>
          <w:rFonts w:ascii="Times New Roman" w:hAnsi="Times New Roman" w:hint="default"/>
          <w:sz w:val="24"/>
          <w:szCs w:val="24"/>
          <w:rtl w:val="0"/>
          <w:lang w:val="es-ES_tradnl"/>
        </w:rPr>
        <w:t>á</w:t>
      </w:r>
      <w:r>
        <w:rPr>
          <w:rFonts w:ascii="Times New Roman" w:hAnsi="Times New Roman"/>
          <w:sz w:val="24"/>
          <w:szCs w:val="24"/>
          <w:rtl w:val="0"/>
          <w:lang w:val="es-ES_tradnl"/>
        </w:rPr>
        <w:t>nchez, et al., 2012). Los datos confirman que las mujeres con FM presentan alteraciones en la estructura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comparadas con sus pares saludables. Esto tiene relevancia cl</w:t>
      </w:r>
      <w:r>
        <w:rPr>
          <w:rFonts w:ascii="Times New Roman" w:hAnsi="Times New Roman" w:hint="default"/>
          <w:sz w:val="24"/>
          <w:szCs w:val="24"/>
          <w:rtl w:val="0"/>
          <w:lang w:val="es-ES_tradnl"/>
        </w:rPr>
        <w:t>í</w:t>
      </w:r>
      <w:r>
        <w:rPr>
          <w:rFonts w:ascii="Times New Roman" w:hAnsi="Times New Roman"/>
          <w:sz w:val="24"/>
          <w:szCs w:val="24"/>
          <w:rtl w:val="0"/>
          <w:lang w:val="es-ES_tradnl"/>
        </w:rPr>
        <w:t>nica para que en la conformaci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programas interdisciplinarios de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para estos pacientes se consideren los aspectos relacionados al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ya que como sostiene Diaz-Piedra, et al. (2015), los trastornos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nocturno tienen un impacto muy grande sobre la calidad de vida y el funcionamiento diurno de estos pacientes poniendo en riesgo su seguridad tanto en el </w:t>
      </w:r>
      <w:r>
        <w:rPr>
          <w:rFonts w:ascii="Times New Roman" w:hAnsi="Times New Roman" w:hint="default"/>
          <w:sz w:val="24"/>
          <w:szCs w:val="24"/>
          <w:rtl w:val="0"/>
          <w:lang w:val="es-ES_tradnl"/>
        </w:rPr>
        <w:t>á</w:t>
      </w:r>
      <w:r>
        <w:rPr>
          <w:rFonts w:ascii="Times New Roman" w:hAnsi="Times New Roman"/>
          <w:sz w:val="24"/>
          <w:szCs w:val="24"/>
          <w:rtl w:val="0"/>
          <w:lang w:val="es-ES_tradnl"/>
        </w:rPr>
        <w:t>rea laboral como en el riesgo de sufrir accidentes automovil</w:t>
      </w:r>
      <w:r>
        <w:rPr>
          <w:rFonts w:ascii="Times New Roman" w:hAnsi="Times New Roman" w:hint="default"/>
          <w:sz w:val="24"/>
          <w:szCs w:val="24"/>
          <w:rtl w:val="0"/>
          <w:lang w:val="es-ES_tradnl"/>
        </w:rPr>
        <w:t>í</w:t>
      </w:r>
      <w:r>
        <w:rPr>
          <w:rFonts w:ascii="Times New Roman" w:hAnsi="Times New Roman"/>
          <w:sz w:val="24"/>
          <w:szCs w:val="24"/>
          <w:rtl w:val="0"/>
          <w:lang w:val="es-ES_tradnl"/>
        </w:rPr>
        <w:t>sticos.</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Sin embargo, llama la atenci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el hecho de que las pacientes con FM de nuestra muestra no exhiben diferencias estad</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relevantes en los porcentajes de cada una de las fases de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En cambio la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 m</w:t>
      </w:r>
      <w:r>
        <w:rPr>
          <w:rFonts w:ascii="Times New Roman" w:hAnsi="Times New Roman" w:hint="default"/>
          <w:sz w:val="24"/>
          <w:szCs w:val="24"/>
          <w:rtl w:val="0"/>
          <w:lang w:val="es-ES_tradnl"/>
        </w:rPr>
        <w:t>á</w:t>
      </w:r>
      <w:r>
        <w:rPr>
          <w:rFonts w:ascii="Times New Roman" w:hAnsi="Times New Roman"/>
          <w:sz w:val="24"/>
          <w:szCs w:val="24"/>
          <w:rtl w:val="0"/>
          <w:lang w:val="es-ES_tradnl"/>
        </w:rPr>
        <w:t>s sobresaliente que discrimina la arquitectura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los pacientes con FM y el grupo control es la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que se infiere a partir de la gran cantidad de cambios de fase que presentan estos pacientes. Aunque los hallazgos descritos en el presente trabajo aluden a la macroestructura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el elevado n</w:t>
      </w:r>
      <w:r>
        <w:rPr>
          <w:rFonts w:ascii="Times New Roman" w:hAnsi="Times New Roman" w:hint="default"/>
          <w:sz w:val="24"/>
          <w:szCs w:val="24"/>
          <w:rtl w:val="0"/>
          <w:lang w:val="es-ES_tradnl"/>
        </w:rPr>
        <w:t>ú</w:t>
      </w:r>
      <w:r>
        <w:rPr>
          <w:rFonts w:ascii="Times New Roman" w:hAnsi="Times New Roman"/>
          <w:sz w:val="24"/>
          <w:szCs w:val="24"/>
          <w:rtl w:val="0"/>
          <w:lang w:val="es-ES_tradnl"/>
        </w:rPr>
        <w:t>mero de cambios de fase podr</w:t>
      </w:r>
      <w:r>
        <w:rPr>
          <w:rFonts w:ascii="Times New Roman" w:hAnsi="Times New Roman" w:hint="default"/>
          <w:sz w:val="24"/>
          <w:szCs w:val="24"/>
          <w:rtl w:val="0"/>
          <w:lang w:val="es-ES_tradnl"/>
        </w:rPr>
        <w:t>í</w:t>
      </w:r>
      <w:r>
        <w:rPr>
          <w:rFonts w:ascii="Times New Roman" w:hAnsi="Times New Roman"/>
          <w:sz w:val="24"/>
          <w:szCs w:val="24"/>
          <w:rtl w:val="0"/>
          <w:lang w:val="es-ES_tradnl"/>
        </w:rPr>
        <w:t>a tener implicaciones en el estudio de la microestructura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sobre todo la relacionada con la cantidad de despertares. Al respecto, es importante recordar que la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se acompa</w:t>
      </w:r>
      <w:r>
        <w:rPr>
          <w:rFonts w:ascii="Times New Roman" w:hAnsi="Times New Roman" w:hint="default"/>
          <w:sz w:val="24"/>
          <w:szCs w:val="24"/>
          <w:rtl w:val="0"/>
          <w:lang w:val="es-ES_tradnl"/>
        </w:rPr>
        <w:t>ñ</w:t>
      </w:r>
      <w:r>
        <w:rPr>
          <w:rFonts w:ascii="Times New Roman" w:hAnsi="Times New Roman"/>
          <w:sz w:val="24"/>
          <w:szCs w:val="24"/>
          <w:rtl w:val="0"/>
          <w:lang w:val="es-ES_tradnl"/>
        </w:rPr>
        <w:t>a de varios tipos despertares que pueden ser clasificados como conductual, por movimiento, cortical y auton</w:t>
      </w:r>
      <w:r>
        <w:rPr>
          <w:rFonts w:ascii="Times New Roman" w:hAnsi="Times New Roman" w:hint="default"/>
          <w:sz w:val="24"/>
          <w:szCs w:val="24"/>
          <w:rtl w:val="0"/>
          <w:lang w:val="es-ES_tradnl"/>
        </w:rPr>
        <w:t>ó</w:t>
      </w:r>
      <w:r>
        <w:rPr>
          <w:rFonts w:ascii="Times New Roman" w:hAnsi="Times New Roman"/>
          <w:sz w:val="24"/>
          <w:szCs w:val="24"/>
          <w:rtl w:val="0"/>
          <w:lang w:val="es-ES_tradnl"/>
        </w:rPr>
        <w:t>mico (Hal</w:t>
      </w:r>
      <w:r>
        <w:rPr>
          <w:rFonts w:ascii="Times New Roman" w:hAnsi="Times New Roman" w:hint="default"/>
          <w:sz w:val="24"/>
          <w:szCs w:val="24"/>
          <w:rtl w:val="0"/>
          <w:lang w:val="es-ES_tradnl"/>
        </w:rPr>
        <w:t>á</w:t>
      </w:r>
      <w:r>
        <w:rPr>
          <w:rFonts w:ascii="Times New Roman" w:hAnsi="Times New Roman"/>
          <w:sz w:val="24"/>
          <w:szCs w:val="24"/>
          <w:rtl w:val="0"/>
          <w:lang w:val="es-ES_tradnl"/>
        </w:rPr>
        <w:t>sz, Terzano, Parrino y B</w:t>
      </w:r>
      <w:r>
        <w:rPr>
          <w:rFonts w:ascii="Times New Roman" w:hAnsi="Times New Roman" w:hint="default"/>
          <w:sz w:val="24"/>
          <w:szCs w:val="24"/>
          <w:rtl w:val="0"/>
          <w:lang w:val="es-ES_tradnl"/>
        </w:rPr>
        <w:t>ó</w:t>
      </w:r>
      <w:r>
        <w:rPr>
          <w:rFonts w:ascii="Times New Roman" w:hAnsi="Times New Roman"/>
          <w:sz w:val="24"/>
          <w:szCs w:val="24"/>
          <w:rtl w:val="0"/>
          <w:lang w:val="es-ES_tradnl"/>
        </w:rPr>
        <w:t>diz, 2004). Por ello sugerimos que en estudios posteriores se analicen estas caracter</w:t>
      </w:r>
      <w:r>
        <w:rPr>
          <w:rFonts w:ascii="Times New Roman" w:hAnsi="Times New Roman" w:hint="default"/>
          <w:sz w:val="24"/>
          <w:szCs w:val="24"/>
          <w:rtl w:val="0"/>
          <w:lang w:val="es-ES_tradnl"/>
        </w:rPr>
        <w:t>í</w:t>
      </w:r>
      <w:r>
        <w:rPr>
          <w:rFonts w:ascii="Times New Roman" w:hAnsi="Times New Roman"/>
          <w:sz w:val="24"/>
          <w:szCs w:val="24"/>
          <w:rtl w:val="0"/>
          <w:lang w:val="es-ES_tradnl"/>
        </w:rPr>
        <w:t>sticas. Como describen Burns y cols. (2008), resaltar este tipo de aspectos en la integraci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hipnogramas dentro de la medicina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 puede significar el acercamiento a un </w:t>
      </w:r>
      <w:r>
        <w:rPr>
          <w:rFonts w:ascii="Times New Roman" w:hAnsi="Times New Roman" w:hint="default"/>
          <w:sz w:val="24"/>
          <w:szCs w:val="24"/>
          <w:rtl w:val="0"/>
          <w:lang w:val="es-ES_tradnl"/>
        </w:rPr>
        <w:t>á</w:t>
      </w:r>
      <w:r>
        <w:rPr>
          <w:rFonts w:ascii="Times New Roman" w:hAnsi="Times New Roman"/>
          <w:sz w:val="24"/>
          <w:szCs w:val="24"/>
          <w:rtl w:val="0"/>
          <w:lang w:val="es-ES_tradnl"/>
        </w:rPr>
        <w:t>rea poco explorada en el estudio de estos pacientes: la fragmentaci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o la presi</w:t>
      </w:r>
      <w:r>
        <w:rPr>
          <w:rFonts w:ascii="Times New Roman" w:hAnsi="Times New Roman" w:hint="default"/>
          <w:sz w:val="24"/>
          <w:szCs w:val="24"/>
          <w:rtl w:val="0"/>
          <w:lang w:val="es-ES_tradnl"/>
        </w:rPr>
        <w:t>ó</w:t>
      </w:r>
      <w:r>
        <w:rPr>
          <w:rFonts w:ascii="Times New Roman" w:hAnsi="Times New Roman"/>
          <w:sz w:val="24"/>
          <w:szCs w:val="24"/>
          <w:rtl w:val="0"/>
          <w:lang w:val="es-ES_tradnl"/>
        </w:rPr>
        <w:t>n por recuperar el sue</w:t>
      </w:r>
      <w:r>
        <w:rPr>
          <w:rFonts w:ascii="Times New Roman" w:hAnsi="Times New Roman" w:hint="default"/>
          <w:sz w:val="24"/>
          <w:szCs w:val="24"/>
          <w:rtl w:val="0"/>
          <w:lang w:val="es-ES_tradnl"/>
        </w:rPr>
        <w:t>ñ</w:t>
      </w:r>
      <w:r>
        <w:rPr>
          <w:rFonts w:ascii="Times New Roman" w:hAnsi="Times New Roman"/>
          <w:sz w:val="24"/>
          <w:szCs w:val="24"/>
          <w:rtl w:val="0"/>
          <w:lang w:val="es-ES_tradnl"/>
        </w:rPr>
        <w:t>o. Esto se traduce en un problema asociado con una adecuada funci</w:t>
      </w:r>
      <w:r>
        <w:rPr>
          <w:rFonts w:ascii="Times New Roman" w:hAnsi="Times New Roman" w:hint="default"/>
          <w:sz w:val="24"/>
          <w:szCs w:val="24"/>
          <w:rtl w:val="0"/>
          <w:lang w:val="es-ES_tradnl"/>
        </w:rPr>
        <w:t>ó</w:t>
      </w:r>
      <w:r>
        <w:rPr>
          <w:rFonts w:ascii="Times New Roman" w:hAnsi="Times New Roman"/>
          <w:sz w:val="24"/>
          <w:szCs w:val="24"/>
          <w:rtl w:val="0"/>
          <w:lang w:val="es-ES_tradnl"/>
        </w:rPr>
        <w:t>n restauradora que limita a este grupo de pacientes.</w:t>
      </w:r>
    </w:p>
    <w:p>
      <w:pPr>
        <w:pStyle w:val="Normal.0"/>
        <w:spacing w:line="240" w:lineRule="auto"/>
        <w:rPr>
          <w:rFonts w:ascii="Times New Roman" w:cs="Times New Roman" w:hAnsi="Times New Roman" w:eastAsia="Times New Roman"/>
          <w:b w:val="1"/>
          <w:bCs w:val="1"/>
          <w:sz w:val="24"/>
          <w:szCs w:val="24"/>
        </w:rPr>
      </w:pPr>
    </w:p>
    <w:p>
      <w:pPr>
        <w:pStyle w:val="Normal.0"/>
        <w:spacing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Referencias</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Albiol, S., Gom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-i-Freixanet, M., Valero, S., Vega, D. y Muro, A. (2014). Rasgos de personalidad (ZKPQ) en pacientes con fibromialgia: un estudio de casos y controles. </w:t>
      </w:r>
      <w:r>
        <w:rPr>
          <w:rFonts w:ascii="Times New Roman" w:hAnsi="Times New Roman"/>
          <w:i w:val="1"/>
          <w:iCs w:val="1"/>
          <w:sz w:val="24"/>
          <w:szCs w:val="24"/>
          <w:rtl w:val="0"/>
          <w:lang w:val="es-ES_tradnl"/>
        </w:rPr>
        <w:t>Anales de Psicolog</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a</w:t>
      </w:r>
      <w:r>
        <w:rPr>
          <w:rFonts w:ascii="Times New Roman" w:hAnsi="Times New Roman"/>
          <w:sz w:val="24"/>
          <w:szCs w:val="24"/>
          <w:rtl w:val="0"/>
          <w:lang w:val="es-ES_tradnl"/>
        </w:rPr>
        <w:t>, 30 (3), 937-943. doi:</w:t>
      </w:r>
      <w:r>
        <w:rPr>
          <w:sz w:val="14"/>
          <w:szCs w:val="14"/>
          <w:rtl w:val="0"/>
          <w:lang w:val="es-ES_tradnl"/>
        </w:rPr>
        <w:t xml:space="preserve"> </w:t>
      </w:r>
      <w:r>
        <w:rPr>
          <w:rFonts w:ascii="Times New Roman" w:hAnsi="Times New Roman"/>
          <w:sz w:val="24"/>
          <w:szCs w:val="24"/>
          <w:rtl w:val="0"/>
          <w:lang w:val="es-ES_tradnl"/>
        </w:rPr>
        <w:t>10.6018/analesps.30.3.153791.</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American Academy of Sleep Medicine (2007). </w:t>
      </w:r>
      <w:r>
        <w:rPr>
          <w:rFonts w:ascii="Times New Roman" w:hAnsi="Times New Roman"/>
          <w:sz w:val="24"/>
          <w:szCs w:val="24"/>
          <w:rtl w:val="0"/>
          <w:lang w:val="en-US"/>
        </w:rPr>
        <w:t>The International Classification of Sleep Disorders. Diagnostic and coding manual. Westchester, IL: ASDA</w:t>
      </w:r>
    </w:p>
    <w:p>
      <w:pPr>
        <w:pStyle w:val="Normal.0"/>
        <w:spacing w:line="240" w:lineRule="auto"/>
        <w:rPr>
          <w:rFonts w:ascii="Times New Roman" w:cs="Times New Roman" w:hAnsi="Times New Roman" w:eastAsia="Times New Roman"/>
          <w:color w:val="0000ff"/>
          <w:sz w:val="24"/>
          <w:szCs w:val="24"/>
          <w:u w:val="single" w:color="0000ff"/>
          <w:lang w:val="en-US"/>
        </w:rPr>
      </w:pPr>
      <w:r>
        <w:rPr>
          <w:rFonts w:ascii="Times New Roman" w:hAnsi="Times New Roman"/>
          <w:sz w:val="24"/>
          <w:szCs w:val="24"/>
          <w:rtl w:val="0"/>
          <w:lang w:val="en-US"/>
        </w:rPr>
        <w:t xml:space="preserve">Annemans, L., Wessely, S., Spaepen, E., Caekelbergh, K., Caubere, J. P., Lay, K. L. y Taieb, C. (2008). Health economic consequences related diagnosis of fibromyalgia syndrome. </w:t>
      </w:r>
      <w:r>
        <w:rPr>
          <w:rFonts w:ascii="Times New Roman" w:hAnsi="Times New Roman"/>
          <w:i w:val="1"/>
          <w:iCs w:val="1"/>
          <w:sz w:val="24"/>
          <w:szCs w:val="24"/>
          <w:rtl w:val="0"/>
          <w:lang w:val="en-US"/>
        </w:rPr>
        <w:t>Arthritis and Rheumatology</w:t>
      </w:r>
      <w:r>
        <w:rPr>
          <w:rFonts w:ascii="Times New Roman" w:hAnsi="Times New Roman"/>
          <w:sz w:val="24"/>
          <w:szCs w:val="24"/>
          <w:rtl w:val="0"/>
          <w:lang w:val="en-US"/>
        </w:rPr>
        <w:t>, 58 (3), 895-902. doi:</w:t>
      </w:r>
      <w:r>
        <w:rPr>
          <w:rFonts w:ascii="Times New Roman" w:hAnsi="Times New Roman"/>
          <w:color w:val="000000"/>
          <w:sz w:val="24"/>
          <w:szCs w:val="24"/>
          <w:u w:color="000000"/>
          <w:shd w:val="clear" w:color="auto" w:fill="ffffff"/>
          <w:rtl w:val="0"/>
          <w:lang w:val="en-US"/>
        </w:rPr>
        <w:t>10.1002/art.23265</w:t>
      </w:r>
      <w:r>
        <w:rPr>
          <w:rFonts w:ascii="Times New Roman" w:hAnsi="Times New Roman"/>
          <w:sz w:val="24"/>
          <w:szCs w:val="24"/>
          <w:rtl w:val="0"/>
          <w:lang w:val="en-US"/>
        </w:rPr>
        <w:t>.</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Antunez, Z. y Vinet, E. V. (2012). Escalas de depression, ansiedad y estr</w:t>
      </w:r>
      <w:r>
        <w:rPr>
          <w:rFonts w:ascii="Times New Roman" w:hAnsi="Times New Roman" w:hint="default"/>
          <w:sz w:val="24"/>
          <w:szCs w:val="24"/>
          <w:rtl w:val="0"/>
          <w:lang w:val="es-ES_tradnl"/>
        </w:rPr>
        <w:t>é</w:t>
      </w:r>
      <w:r>
        <w:rPr>
          <w:rFonts w:ascii="Times New Roman" w:hAnsi="Times New Roman"/>
          <w:sz w:val="24"/>
          <w:szCs w:val="24"/>
          <w:rtl w:val="0"/>
          <w:lang w:val="es-ES_tradnl"/>
        </w:rPr>
        <w:t>s (DASS-21): Validaci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de la version abreviada en estudiantes universitarios chilenos. </w:t>
      </w:r>
      <w:r>
        <w:rPr>
          <w:rFonts w:ascii="Times New Roman" w:hAnsi="Times New Roman"/>
          <w:i w:val="1"/>
          <w:iCs w:val="1"/>
          <w:sz w:val="24"/>
          <w:szCs w:val="24"/>
          <w:rtl w:val="0"/>
          <w:lang w:val="es-ES_tradnl"/>
        </w:rPr>
        <w:t xml:space="preserve"> Terapia Psicol</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gica,</w:t>
      </w:r>
      <w:r>
        <w:rPr>
          <w:rFonts w:ascii="Times New Roman" w:hAnsi="Times New Roman"/>
          <w:sz w:val="24"/>
          <w:szCs w:val="24"/>
          <w:rtl w:val="0"/>
          <w:lang w:val="es-ES_tradnl"/>
        </w:rPr>
        <w:t xml:space="preserve"> 30 (3), 49-55.</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Bernik, M., Sampaio, T. P. A. y Gandarela, L. (2013). </w:t>
      </w:r>
      <w:r>
        <w:rPr>
          <w:rFonts w:ascii="Times New Roman" w:hAnsi="Times New Roman"/>
          <w:sz w:val="24"/>
          <w:szCs w:val="24"/>
          <w:rtl w:val="0"/>
          <w:lang w:val="en-US"/>
        </w:rPr>
        <w:t xml:space="preserve">Fibromyalgia comorbid with anxiety disorders and depression: combined medical and psychological treatments. </w:t>
      </w:r>
      <w:r>
        <w:rPr>
          <w:rFonts w:ascii="Times New Roman" w:hAnsi="Times New Roman"/>
          <w:i w:val="1"/>
          <w:iCs w:val="1"/>
          <w:sz w:val="24"/>
          <w:szCs w:val="24"/>
          <w:rtl w:val="0"/>
          <w:lang w:val="en-US"/>
        </w:rPr>
        <w:t xml:space="preserve">Current Pain and Headache Reports, </w:t>
      </w:r>
      <w:r>
        <w:rPr>
          <w:rFonts w:ascii="Times New Roman" w:hAnsi="Times New Roman"/>
          <w:sz w:val="24"/>
          <w:szCs w:val="24"/>
          <w:rtl w:val="0"/>
          <w:lang w:val="en-US"/>
        </w:rPr>
        <w:t>17(9), 1-9. doi:10.1007/s11916-013-0358-3.</w:t>
      </w:r>
    </w:p>
    <w:p>
      <w:pPr>
        <w:pStyle w:val="Normal.0"/>
        <w:spacing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S. Boomershine, C. (2015). Fibromyalgia: the prototypical central sensitivity syndrome.</w:t>
      </w:r>
      <w:r>
        <w:rPr>
          <w:rFonts w:ascii="Times New Roman" w:hAnsi="Times New Roman" w:hint="default"/>
          <w:sz w:val="24"/>
          <w:szCs w:val="24"/>
          <w:rtl w:val="0"/>
          <w:lang w:val="en-US"/>
        </w:rPr>
        <w:t> </w:t>
      </w:r>
      <w:r>
        <w:rPr>
          <w:rFonts w:ascii="Times New Roman" w:hAnsi="Times New Roman"/>
          <w:i w:val="1"/>
          <w:iCs w:val="1"/>
          <w:sz w:val="24"/>
          <w:szCs w:val="24"/>
          <w:rtl w:val="0"/>
          <w:lang w:val="en-US"/>
        </w:rPr>
        <w:t>Current Rheumatology Reviews</w:t>
      </w:r>
      <w:r>
        <w:rPr>
          <w:rFonts w:ascii="Times New Roman" w:hAnsi="Times New Roman"/>
          <w:sz w:val="24"/>
          <w:szCs w:val="24"/>
          <w:rtl w:val="0"/>
          <w:lang w:val="en-US"/>
        </w:rPr>
        <w:t>,</w:t>
      </w:r>
      <w:r>
        <w:rPr>
          <w:rFonts w:ascii="Times New Roman" w:hAnsi="Times New Roman" w:hint="default"/>
          <w:sz w:val="24"/>
          <w:szCs w:val="24"/>
          <w:rtl w:val="0"/>
          <w:lang w:val="en-US"/>
        </w:rPr>
        <w:t> </w:t>
      </w:r>
      <w:r>
        <w:rPr>
          <w:rFonts w:ascii="Times New Roman" w:hAnsi="Times New Roman"/>
          <w:i w:val="1"/>
          <w:iCs w:val="1"/>
          <w:sz w:val="24"/>
          <w:szCs w:val="24"/>
          <w:rtl w:val="0"/>
          <w:lang w:val="en-US"/>
        </w:rPr>
        <w:t>11</w:t>
      </w:r>
      <w:r>
        <w:rPr>
          <w:rFonts w:ascii="Times New Roman" w:hAnsi="Times New Roman"/>
          <w:sz w:val="24"/>
          <w:szCs w:val="24"/>
          <w:rtl w:val="0"/>
          <w:lang w:val="en-US"/>
        </w:rPr>
        <w:t>(2), 131-145.</w:t>
      </w:r>
    </w:p>
    <w:p>
      <w:pPr>
        <w:pStyle w:val="Normal.0"/>
        <w:spacing w:line="240" w:lineRule="auto"/>
        <w:rPr>
          <w:rFonts w:ascii="Times New Roman" w:cs="Times New Roman" w:hAnsi="Times New Roman" w:eastAsia="Times New Roman"/>
          <w:color w:val="0000ff"/>
          <w:sz w:val="24"/>
          <w:szCs w:val="24"/>
          <w:u w:val="single" w:color="0000ff"/>
        </w:rPr>
      </w:pPr>
      <w:r>
        <w:rPr>
          <w:rFonts w:ascii="Times New Roman" w:hAnsi="Times New Roman"/>
          <w:sz w:val="24"/>
          <w:szCs w:val="24"/>
          <w:rtl w:val="0"/>
          <w:lang w:val="en-US"/>
        </w:rPr>
        <w:t xml:space="preserve">Buskila, D. (2009). Fibromyalgia: the diagnosis and pharmacologic treatment. </w:t>
      </w:r>
      <w:r>
        <w:rPr>
          <w:rFonts w:ascii="Times New Roman" w:hAnsi="Times New Roman"/>
          <w:i w:val="1"/>
          <w:iCs w:val="1"/>
          <w:sz w:val="24"/>
          <w:szCs w:val="24"/>
          <w:rtl w:val="0"/>
          <w:lang w:val="es-ES_tradnl"/>
        </w:rPr>
        <w:t>Europan Journal of Pain Supplements,</w:t>
      </w:r>
      <w:r>
        <w:rPr>
          <w:rFonts w:ascii="Times New Roman" w:hAnsi="Times New Roman"/>
          <w:sz w:val="24"/>
          <w:szCs w:val="24"/>
          <w:rtl w:val="0"/>
          <w:lang w:val="es-ES_tradnl"/>
        </w:rPr>
        <w:t xml:space="preserve"> 3(2), 111-115. doi:</w:t>
      </w:r>
      <w:r>
        <w:rPr>
          <w:rFonts w:ascii="Times New Roman" w:hAnsi="Times New Roman"/>
          <w:sz w:val="24"/>
          <w:szCs w:val="24"/>
          <w:shd w:val="clear" w:color="auto" w:fill="ffffff"/>
          <w:rtl w:val="0"/>
          <w:lang w:val="es-ES_tradnl"/>
        </w:rPr>
        <w:t>10.1016/j.eujps.2009.07.007.</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Capilla, R. P., Gonz</w:t>
      </w:r>
      <w:r>
        <w:rPr>
          <w:rFonts w:ascii="Times New Roman" w:hAnsi="Times New Roman" w:hint="default"/>
          <w:sz w:val="24"/>
          <w:szCs w:val="24"/>
          <w:rtl w:val="0"/>
          <w:lang w:val="es-ES_tradnl"/>
        </w:rPr>
        <w:t>á</w:t>
      </w:r>
      <w:r>
        <w:rPr>
          <w:rFonts w:ascii="Times New Roman" w:hAnsi="Times New Roman"/>
          <w:sz w:val="24"/>
          <w:szCs w:val="24"/>
          <w:rtl w:val="0"/>
          <w:lang w:val="es-ES_tradnl"/>
        </w:rPr>
        <w:t>lez, O. H., Casado, M. M. I., Santamar</w:t>
      </w:r>
      <w:r>
        <w:rPr>
          <w:rFonts w:ascii="Times New Roman" w:hAnsi="Times New Roman" w:hint="default"/>
          <w:sz w:val="24"/>
          <w:szCs w:val="24"/>
          <w:rtl w:val="0"/>
          <w:lang w:val="es-ES_tradnl"/>
        </w:rPr>
        <w:t>í</w:t>
      </w:r>
      <w:r>
        <w:rPr>
          <w:rFonts w:ascii="Times New Roman" w:hAnsi="Times New Roman"/>
          <w:sz w:val="24"/>
          <w:szCs w:val="24"/>
          <w:rtl w:val="0"/>
          <w:lang w:val="es-ES_tradnl"/>
        </w:rPr>
        <w:t>a, P. y P</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rez, N. M. A. (2013). Fibromialgia </w:t>
      </w:r>
      <w:r>
        <w:rPr>
          <w:rFonts w:ascii="Times New Roman" w:hAnsi="Times New Roman" w:hint="default"/>
          <w:sz w:val="24"/>
          <w:szCs w:val="24"/>
          <w:rtl w:val="0"/>
          <w:lang w:val="es-ES_tradnl"/>
        </w:rPr>
        <w:t>¿</w:t>
      </w:r>
      <w:r>
        <w:rPr>
          <w:rFonts w:ascii="Times New Roman" w:hAnsi="Times New Roman"/>
          <w:sz w:val="24"/>
          <w:szCs w:val="24"/>
          <w:rtl w:val="0"/>
          <w:lang w:val="es-ES_tradnl"/>
        </w:rPr>
        <w:t>exageraci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o simulaci</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n? </w:t>
      </w:r>
      <w:r>
        <w:rPr>
          <w:rFonts w:ascii="Times New Roman" w:hAnsi="Times New Roman"/>
          <w:i w:val="1"/>
          <w:iCs w:val="1"/>
          <w:sz w:val="24"/>
          <w:szCs w:val="24"/>
          <w:rtl w:val="0"/>
          <w:lang w:val="es-ES_tradnl"/>
        </w:rPr>
        <w:t>Cl</w:t>
      </w:r>
      <w:r>
        <w:rPr>
          <w:rFonts w:ascii="Times New Roman" w:hAnsi="Times New Roman" w:hint="default"/>
          <w:i w:val="1"/>
          <w:iCs w:val="1"/>
          <w:sz w:val="24"/>
          <w:szCs w:val="24"/>
          <w:rtl w:val="0"/>
          <w:lang w:val="es-ES_tradnl"/>
        </w:rPr>
        <w:t>í</w:t>
      </w:r>
      <w:r>
        <w:rPr>
          <w:rFonts w:ascii="Times New Roman" w:hAnsi="Times New Roman"/>
          <w:i w:val="1"/>
          <w:iCs w:val="1"/>
          <w:sz w:val="24"/>
          <w:szCs w:val="24"/>
          <w:rtl w:val="0"/>
          <w:lang w:val="es-ES_tradnl"/>
        </w:rPr>
        <w:t>nica y Salud</w:t>
      </w:r>
      <w:r>
        <w:rPr>
          <w:rFonts w:ascii="Times New Roman" w:hAnsi="Times New Roman"/>
          <w:sz w:val="24"/>
          <w:szCs w:val="24"/>
          <w:rtl w:val="0"/>
          <w:lang w:val="es-ES_tradnl"/>
        </w:rPr>
        <w:t xml:space="preserve">, </w:t>
      </w:r>
      <w:r>
        <w:rPr>
          <w:rFonts w:ascii="Times New Roman" w:hAnsi="Times New Roman"/>
          <w:i w:val="1"/>
          <w:iCs w:val="1"/>
          <w:sz w:val="24"/>
          <w:szCs w:val="24"/>
          <w:rtl w:val="0"/>
          <w:lang w:val="es-ES_tradnl"/>
        </w:rPr>
        <w:t xml:space="preserve">24 </w:t>
      </w:r>
      <w:r>
        <w:rPr>
          <w:rFonts w:ascii="Times New Roman" w:hAnsi="Times New Roman"/>
          <w:sz w:val="24"/>
          <w:szCs w:val="24"/>
          <w:rtl w:val="0"/>
          <w:lang w:val="es-ES_tradnl"/>
        </w:rPr>
        <w:t xml:space="preserve">(3), 185-195. doi: 10.1016/S1130-5274(13)70020-3. </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Carrillo, F., Godoy, A., Gabino, A., Nogueira, R., Quintero, C. y Casado, Y. (2012). </w:t>
      </w:r>
      <w:r>
        <w:rPr>
          <w:rFonts w:ascii="Times New Roman" w:hAnsi="Times New Roman" w:hint="default"/>
          <w:sz w:val="24"/>
          <w:szCs w:val="24"/>
          <w:rtl w:val="0"/>
          <w:lang w:val="es-ES_tradnl"/>
        </w:rPr>
        <w:t>“</w:t>
      </w:r>
      <w:r>
        <w:rPr>
          <w:rFonts w:ascii="Times New Roman" w:hAnsi="Times New Roman"/>
          <w:sz w:val="24"/>
          <w:szCs w:val="24"/>
          <w:rtl w:val="0"/>
          <w:lang w:val="es-ES_tradnl"/>
        </w:rPr>
        <w:t>Escala de ansiedad infantil de Spence</w:t>
      </w:r>
      <w:r>
        <w:rPr>
          <w:rFonts w:ascii="Times New Roman" w:hAnsi="Times New Roman" w:hint="default"/>
          <w:sz w:val="24"/>
          <w:szCs w:val="24"/>
          <w:rtl w:val="0"/>
          <w:lang w:val="es-ES_tradnl"/>
        </w:rPr>
        <w:t xml:space="preserve">” </w:t>
      </w:r>
      <w:r>
        <w:rPr>
          <w:rFonts w:ascii="Times New Roman" w:hAnsi="Times New Roman"/>
          <w:sz w:val="24"/>
          <w:szCs w:val="24"/>
          <w:rtl w:val="0"/>
          <w:lang w:val="es-ES_tradnl"/>
        </w:rPr>
        <w:t>(Spence Children</w:t>
      </w:r>
      <w:r>
        <w:rPr>
          <w:rFonts w:ascii="Times New Roman" w:hAnsi="Times New Roman" w:hint="default"/>
          <w:sz w:val="24"/>
          <w:szCs w:val="24"/>
          <w:rtl w:val="0"/>
          <w:lang w:val="es-ES_tradnl"/>
        </w:rPr>
        <w:t>´</w:t>
      </w:r>
      <w:r>
        <w:rPr>
          <w:rFonts w:ascii="Times New Roman" w:hAnsi="Times New Roman"/>
          <w:sz w:val="24"/>
          <w:szCs w:val="24"/>
          <w:rtl w:val="0"/>
          <w:lang w:val="es-ES_tradnl"/>
        </w:rPr>
        <w:t>s Anxiety Scale: SCAS: Fiabilidad y validez de la versi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espa</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ola. </w:t>
      </w:r>
      <w:r>
        <w:rPr>
          <w:rFonts w:ascii="Times New Roman" w:hAnsi="Times New Roman"/>
          <w:i w:val="1"/>
          <w:iCs w:val="1"/>
          <w:sz w:val="24"/>
          <w:szCs w:val="24"/>
          <w:rtl w:val="0"/>
          <w:lang w:val="en-US"/>
        </w:rPr>
        <w:t>Behavioral Psychology/Psicolog</w:t>
      </w:r>
      <w:r>
        <w:rPr>
          <w:rFonts w:ascii="Times New Roman" w:hAnsi="Times New Roman" w:hint="default"/>
          <w:i w:val="1"/>
          <w:iCs w:val="1"/>
          <w:sz w:val="24"/>
          <w:szCs w:val="24"/>
          <w:rtl w:val="0"/>
          <w:lang w:val="en-US"/>
        </w:rPr>
        <w:t>í</w:t>
      </w:r>
      <w:r>
        <w:rPr>
          <w:rFonts w:ascii="Times New Roman" w:hAnsi="Times New Roman"/>
          <w:i w:val="1"/>
          <w:iCs w:val="1"/>
          <w:sz w:val="24"/>
          <w:szCs w:val="24"/>
          <w:rtl w:val="0"/>
          <w:lang w:val="en-US"/>
        </w:rPr>
        <w:t xml:space="preserve">a Conductual, </w:t>
      </w:r>
      <w:r>
        <w:rPr>
          <w:rFonts w:ascii="Times New Roman" w:hAnsi="Times New Roman"/>
          <w:sz w:val="24"/>
          <w:szCs w:val="24"/>
          <w:rtl w:val="0"/>
          <w:lang w:val="en-US"/>
        </w:rPr>
        <w:t>20(3), 529-545.</w:t>
      </w:r>
    </w:p>
    <w:p>
      <w:pPr>
        <w:pStyle w:val="Normal.0"/>
        <w:spacing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Clauw, D. J. (2014). Fibromyalgia. A clinical review. </w:t>
      </w:r>
      <w:r>
        <w:rPr>
          <w:rFonts w:ascii="Times New Roman" w:hAnsi="Times New Roman"/>
          <w:i w:val="1"/>
          <w:iCs w:val="1"/>
          <w:sz w:val="24"/>
          <w:szCs w:val="24"/>
          <w:rtl w:val="0"/>
          <w:lang w:val="en-US"/>
        </w:rPr>
        <w:t>The</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Journal of the American Medical Association,</w:t>
      </w:r>
      <w:r>
        <w:rPr>
          <w:rFonts w:ascii="Times New Roman" w:hAnsi="Times New Roman"/>
          <w:sz w:val="24"/>
          <w:szCs w:val="24"/>
          <w:rtl w:val="0"/>
          <w:lang w:val="en-US"/>
        </w:rPr>
        <w:t xml:space="preserve"> 311 (15), 1547-1555. doi:10.1001/jama.2014.3266</w:t>
      </w:r>
    </w:p>
    <w:p>
      <w:pPr>
        <w:pStyle w:val="Normal.0"/>
        <w:spacing w:line="240" w:lineRule="auto"/>
        <w:rPr>
          <w:rFonts w:ascii="Times New Roman" w:cs="Times New Roman" w:hAnsi="Times New Roman" w:eastAsia="Times New Roman"/>
          <w:color w:val="000000"/>
          <w:sz w:val="24"/>
          <w:szCs w:val="24"/>
          <w:u w:color="000000"/>
          <w:shd w:val="clear" w:color="auto" w:fill="ffffff"/>
          <w:lang w:val="en-US"/>
        </w:rPr>
      </w:pPr>
      <w:r>
        <w:rPr>
          <w:rFonts w:ascii="Times New Roman" w:hAnsi="Times New Roman"/>
          <w:sz w:val="24"/>
          <w:szCs w:val="24"/>
          <w:rtl w:val="0"/>
          <w:lang w:val="en-US"/>
        </w:rPr>
        <w:t xml:space="preserve">Costers, L., Kendall, S., Gerdle, B., Henriksson, C., Henriksson, K. G. y Bengtsson, A. (2008). Chronic widespread musculoskeletal pain </w:t>
      </w:r>
      <w:r>
        <w:rPr>
          <w:rFonts w:ascii="Times New Roman" w:hAnsi="Times New Roman" w:hint="default"/>
          <w:sz w:val="24"/>
          <w:szCs w:val="24"/>
          <w:rtl w:val="0"/>
          <w:lang w:val="en-US"/>
        </w:rPr>
        <w:t>–</w:t>
      </w:r>
      <w:r>
        <w:rPr>
          <w:rFonts w:ascii="Times New Roman" w:hAnsi="Times New Roman"/>
          <w:sz w:val="24"/>
          <w:szCs w:val="24"/>
          <w:rtl w:val="0"/>
          <w:lang w:val="en-US"/>
        </w:rPr>
        <w:t xml:space="preserve">A comparison of those who meet criteria for fibromyalgia those who do not. </w:t>
      </w:r>
      <w:r>
        <w:rPr>
          <w:rFonts w:ascii="Times New Roman" w:hAnsi="Times New Roman"/>
          <w:i w:val="1"/>
          <w:iCs w:val="1"/>
          <w:sz w:val="24"/>
          <w:szCs w:val="24"/>
          <w:rtl w:val="0"/>
          <w:lang w:val="en-US"/>
        </w:rPr>
        <w:t>European Journal of Pain</w:t>
      </w:r>
      <w:r>
        <w:rPr>
          <w:rFonts w:ascii="Times New Roman" w:hAnsi="Times New Roman"/>
          <w:sz w:val="24"/>
          <w:szCs w:val="24"/>
          <w:rtl w:val="0"/>
          <w:lang w:val="en-US"/>
        </w:rPr>
        <w:t>, 12(5), 600-610. doi:</w:t>
      </w:r>
      <w:r>
        <w:rPr>
          <w:rFonts w:ascii="Arial" w:hAnsi="Arial"/>
          <w:color w:val="000000"/>
          <w:sz w:val="24"/>
          <w:szCs w:val="24"/>
          <w:u w:color="000000"/>
          <w:shd w:val="clear" w:color="auto" w:fill="ffffff"/>
          <w:rtl w:val="0"/>
          <w:lang w:val="en-US"/>
        </w:rPr>
        <w:t xml:space="preserve"> </w:t>
      </w:r>
      <w:r>
        <w:rPr>
          <w:rFonts w:ascii="Times New Roman" w:hAnsi="Times New Roman"/>
          <w:color w:val="000000"/>
          <w:sz w:val="24"/>
          <w:szCs w:val="24"/>
          <w:u w:color="000000"/>
          <w:shd w:val="clear" w:color="auto" w:fill="ffffff"/>
          <w:rtl w:val="0"/>
          <w:lang w:val="en-US"/>
        </w:rPr>
        <w:t>10.1016/j.ejpain.2007.10.001.</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Del Portillo, S. M. (2007). </w:t>
      </w:r>
      <w:r>
        <w:rPr>
          <w:rFonts w:ascii="Times New Roman" w:hAnsi="Times New Roman"/>
          <w:sz w:val="24"/>
          <w:szCs w:val="24"/>
          <w:rtl w:val="0"/>
          <w:lang w:val="es-ES_tradnl"/>
        </w:rPr>
        <w:t xml:space="preserve">Fibromialgia. </w:t>
      </w:r>
      <w:r>
        <w:rPr>
          <w:rFonts w:ascii="Times New Roman" w:hAnsi="Times New Roman"/>
          <w:i w:val="1"/>
          <w:iCs w:val="1"/>
          <w:sz w:val="24"/>
          <w:szCs w:val="24"/>
          <w:rtl w:val="0"/>
          <w:lang w:val="es-ES_tradnl"/>
        </w:rPr>
        <w:t>Revista Mexicana del Dolor (AMETD)</w:t>
      </w:r>
      <w:r>
        <w:rPr>
          <w:rFonts w:ascii="Times New Roman" w:hAnsi="Times New Roman"/>
          <w:sz w:val="24"/>
          <w:szCs w:val="24"/>
          <w:rtl w:val="0"/>
          <w:lang w:val="es-ES_tradnl"/>
        </w:rPr>
        <w:t>. 1 (4), 1-3.</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Diaz-Piedra, C., Catena, A., Mir</w:t>
      </w:r>
      <w:r>
        <w:rPr>
          <w:rFonts w:ascii="Times New Roman" w:hAnsi="Times New Roman" w:hint="default"/>
          <w:sz w:val="24"/>
          <w:szCs w:val="24"/>
          <w:rtl w:val="0"/>
          <w:lang w:val="es-ES_tradnl"/>
        </w:rPr>
        <w:t>ó</w:t>
      </w:r>
      <w:r>
        <w:rPr>
          <w:rFonts w:ascii="Times New Roman" w:hAnsi="Times New Roman"/>
          <w:sz w:val="24"/>
          <w:szCs w:val="24"/>
          <w:rtl w:val="0"/>
          <w:lang w:val="es-ES_tradnl"/>
        </w:rPr>
        <w:t>, E., Mart</w:t>
      </w:r>
      <w:r>
        <w:rPr>
          <w:rFonts w:ascii="Times New Roman" w:hAnsi="Times New Roman" w:hint="default"/>
          <w:sz w:val="24"/>
          <w:szCs w:val="24"/>
          <w:rtl w:val="0"/>
          <w:lang w:val="es-ES_tradnl"/>
        </w:rPr>
        <w:t>í</w:t>
      </w:r>
      <w:r>
        <w:rPr>
          <w:rFonts w:ascii="Times New Roman" w:hAnsi="Times New Roman"/>
          <w:sz w:val="24"/>
          <w:szCs w:val="24"/>
          <w:rtl w:val="0"/>
          <w:lang w:val="es-ES_tradnl"/>
        </w:rPr>
        <w:t>nez, M., S</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nchez, A. y Buela-Casal, G. (2014). </w:t>
      </w:r>
      <w:r>
        <w:rPr>
          <w:rFonts w:ascii="Times New Roman" w:hAnsi="Times New Roman"/>
          <w:sz w:val="24"/>
          <w:szCs w:val="24"/>
          <w:rtl w:val="0"/>
          <w:lang w:val="en-US"/>
        </w:rPr>
        <w:t xml:space="preserve">The impact of pain on anxiety and depression is mediated by objective and subjective sleep characteristics in fibromyalgia patients. </w:t>
      </w:r>
      <w:r>
        <w:rPr>
          <w:rFonts w:ascii="Times New Roman" w:hAnsi="Times New Roman"/>
          <w:i w:val="1"/>
          <w:iCs w:val="1"/>
          <w:sz w:val="24"/>
          <w:szCs w:val="24"/>
          <w:rtl w:val="0"/>
          <w:lang w:val="en-US"/>
        </w:rPr>
        <w:t>The Clinical Journal of Pain,</w:t>
      </w:r>
      <w:r>
        <w:rPr>
          <w:rFonts w:ascii="Times New Roman" w:hAnsi="Times New Roman"/>
          <w:sz w:val="24"/>
          <w:szCs w:val="24"/>
          <w:rtl w:val="0"/>
          <w:lang w:val="en-US"/>
        </w:rPr>
        <w:t xml:space="preserve"> 30(10), 852-859. doi: 10.1097/AJP.000000000000040.</w:t>
      </w:r>
    </w:p>
    <w:p>
      <w:pPr>
        <w:pStyle w:val="Normal.0"/>
        <w:spacing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Diaz-Piedra, C., Catena, A., Mir</w:t>
      </w:r>
      <w:r>
        <w:rPr>
          <w:rFonts w:ascii="Times New Roman" w:hAnsi="Times New Roman" w:hint="default"/>
          <w:sz w:val="24"/>
          <w:szCs w:val="24"/>
          <w:rtl w:val="0"/>
          <w:lang w:val="en-US"/>
        </w:rPr>
        <w:t>ó</w:t>
      </w:r>
      <w:r>
        <w:rPr>
          <w:rFonts w:ascii="Times New Roman" w:hAnsi="Times New Roman"/>
          <w:sz w:val="24"/>
          <w:szCs w:val="24"/>
          <w:rtl w:val="0"/>
          <w:lang w:val="en-US"/>
        </w:rPr>
        <w:t>, E., Mart</w:t>
      </w:r>
      <w:r>
        <w:rPr>
          <w:rFonts w:ascii="Times New Roman" w:hAnsi="Times New Roman" w:hint="default"/>
          <w:sz w:val="24"/>
          <w:szCs w:val="24"/>
          <w:rtl w:val="0"/>
          <w:lang w:val="en-US"/>
        </w:rPr>
        <w:t>í</w:t>
      </w:r>
      <w:r>
        <w:rPr>
          <w:rFonts w:ascii="Times New Roman" w:hAnsi="Times New Roman"/>
          <w:sz w:val="24"/>
          <w:szCs w:val="24"/>
          <w:rtl w:val="0"/>
          <w:lang w:val="en-US"/>
        </w:rPr>
        <w:t>nez, M., S</w:t>
      </w:r>
      <w:r>
        <w:rPr>
          <w:rFonts w:ascii="Times New Roman" w:hAnsi="Times New Roman" w:hint="default"/>
          <w:sz w:val="24"/>
          <w:szCs w:val="24"/>
          <w:rtl w:val="0"/>
          <w:lang w:val="en-US"/>
        </w:rPr>
        <w:t>á</w:t>
      </w:r>
      <w:r>
        <w:rPr>
          <w:rFonts w:ascii="Times New Roman" w:hAnsi="Times New Roman"/>
          <w:sz w:val="24"/>
          <w:szCs w:val="24"/>
          <w:rtl w:val="0"/>
          <w:lang w:val="en-US"/>
        </w:rPr>
        <w:t xml:space="preserve">nchez, A. y Buela-Casal, G. (2015). Sleep disturbaces in fibromyalgia syndrome: the role of clinical and polysomnographic variables explaining poor sleep quality in patients. </w:t>
      </w:r>
      <w:r>
        <w:rPr>
          <w:rFonts w:ascii="Times New Roman" w:hAnsi="Times New Roman"/>
          <w:i w:val="1"/>
          <w:iCs w:val="1"/>
          <w:sz w:val="24"/>
          <w:szCs w:val="24"/>
          <w:rtl w:val="0"/>
          <w:lang w:val="en-US"/>
        </w:rPr>
        <w:t>Sleep Medicine,</w:t>
      </w:r>
      <w:r>
        <w:rPr>
          <w:rFonts w:ascii="Times New Roman" w:hAnsi="Times New Roman"/>
          <w:sz w:val="24"/>
          <w:szCs w:val="24"/>
          <w:rtl w:val="0"/>
          <w:lang w:val="en-US"/>
        </w:rPr>
        <w:t xml:space="preserve"> doi: 10.1016/j.sleep.2015.03.011. (En prensa).</w:t>
      </w:r>
    </w:p>
    <w:p>
      <w:pPr>
        <w:pStyle w:val="Normal.0"/>
        <w:spacing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Goldenberg, D. L. (2009). Diagnosis and differential diagnosis of fibromyalgia. </w:t>
      </w:r>
      <w:r>
        <w:rPr>
          <w:rFonts w:ascii="Times New Roman" w:hAnsi="Times New Roman"/>
          <w:i w:val="1"/>
          <w:iCs w:val="1"/>
          <w:sz w:val="24"/>
          <w:szCs w:val="24"/>
          <w:rtl w:val="0"/>
          <w:lang w:val="en-US"/>
        </w:rPr>
        <w:t>The American Journal of Medicine,</w:t>
      </w:r>
      <w:r>
        <w:rPr>
          <w:rFonts w:ascii="Times New Roman" w:hAnsi="Times New Roman"/>
          <w:sz w:val="24"/>
          <w:szCs w:val="24"/>
          <w:rtl w:val="0"/>
          <w:lang w:val="en-US"/>
        </w:rPr>
        <w:t xml:space="preserve"> 122(12 Supplement), 14-21. doi:</w:t>
      </w:r>
      <w:r>
        <w:rPr>
          <w:rFonts w:ascii="Times New Roman" w:hAnsi="Times New Roman"/>
          <w:sz w:val="24"/>
          <w:szCs w:val="24"/>
          <w:shd w:val="clear" w:color="auto" w:fill="ffffff"/>
          <w:rtl w:val="0"/>
          <w:lang w:val="en-US"/>
        </w:rPr>
        <w:t>10.1016/j.amjmed.2009.09.007.</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G</w:t>
      </w:r>
      <w:r>
        <w:rPr>
          <w:rFonts w:ascii="Times New Roman" w:hAnsi="Times New Roman" w:hint="default"/>
          <w:sz w:val="24"/>
          <w:szCs w:val="24"/>
          <w:rtl w:val="0"/>
          <w:lang w:val="en-US"/>
        </w:rPr>
        <w:t>ó</w:t>
      </w:r>
      <w:r>
        <w:rPr>
          <w:rFonts w:ascii="Times New Roman" w:hAnsi="Times New Roman"/>
          <w:sz w:val="24"/>
          <w:szCs w:val="24"/>
          <w:rtl w:val="0"/>
          <w:lang w:val="en-US"/>
        </w:rPr>
        <w:t xml:space="preserve">ngora, V. C. y Casullo, M. M. (2009). </w:t>
      </w:r>
      <w:r>
        <w:rPr>
          <w:rFonts w:ascii="Times New Roman" w:hAnsi="Times New Roman"/>
          <w:sz w:val="24"/>
          <w:szCs w:val="24"/>
          <w:rtl w:val="0"/>
          <w:lang w:val="es-ES_tradnl"/>
        </w:rPr>
        <w:t>Validaci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de la escala de autoestima de Rosenberg en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general y poblaci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cl</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nica de la ciudad de Buenos Aires. </w:t>
      </w:r>
      <w:r>
        <w:rPr>
          <w:rFonts w:ascii="Times New Roman" w:hAnsi="Times New Roman"/>
          <w:i w:val="1"/>
          <w:iCs w:val="1"/>
          <w:sz w:val="24"/>
          <w:szCs w:val="24"/>
          <w:rtl w:val="0"/>
          <w:lang w:val="es-ES_tradnl"/>
        </w:rPr>
        <w:t>Revista Iberoamericana de Evaluaci</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n Psicol</w:t>
      </w:r>
      <w:r>
        <w:rPr>
          <w:rFonts w:ascii="Times New Roman" w:hAnsi="Times New Roman" w:hint="default"/>
          <w:i w:val="1"/>
          <w:iCs w:val="1"/>
          <w:sz w:val="24"/>
          <w:szCs w:val="24"/>
          <w:rtl w:val="0"/>
          <w:lang w:val="es-ES_tradnl"/>
        </w:rPr>
        <w:t>ó</w:t>
      </w:r>
      <w:r>
        <w:rPr>
          <w:rFonts w:ascii="Times New Roman" w:hAnsi="Times New Roman"/>
          <w:i w:val="1"/>
          <w:iCs w:val="1"/>
          <w:sz w:val="24"/>
          <w:szCs w:val="24"/>
          <w:rtl w:val="0"/>
          <w:lang w:val="es-ES_tradnl"/>
        </w:rPr>
        <w:t>gica,</w:t>
      </w:r>
      <w:r>
        <w:rPr>
          <w:rFonts w:ascii="Times New Roman" w:hAnsi="Times New Roman"/>
          <w:sz w:val="24"/>
          <w:szCs w:val="24"/>
          <w:rtl w:val="0"/>
          <w:lang w:val="es-ES_tradnl"/>
        </w:rPr>
        <w:t xml:space="preserve"> 27(1), 179-194. </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 xml:space="preserve">Gracely, R. H. y Ambrose, K. R. (2011). </w:t>
      </w:r>
      <w:r>
        <w:rPr>
          <w:rFonts w:ascii="Times New Roman" w:hAnsi="Times New Roman"/>
          <w:sz w:val="24"/>
          <w:szCs w:val="24"/>
          <w:rtl w:val="0"/>
          <w:lang w:val="en-US"/>
        </w:rPr>
        <w:t xml:space="preserve">Neuroimaging in fibromyalgia. </w:t>
      </w:r>
      <w:r>
        <w:rPr>
          <w:rFonts w:ascii="Times New Roman" w:hAnsi="Times New Roman"/>
          <w:i w:val="1"/>
          <w:iCs w:val="1"/>
          <w:sz w:val="24"/>
          <w:szCs w:val="24"/>
          <w:rtl w:val="0"/>
          <w:lang w:val="en-US"/>
        </w:rPr>
        <w:t xml:space="preserve">Best practice and Research Clinical Rheumatology, </w:t>
      </w:r>
      <w:r>
        <w:rPr>
          <w:rFonts w:ascii="Times New Roman" w:hAnsi="Times New Roman"/>
          <w:sz w:val="24"/>
          <w:szCs w:val="24"/>
          <w:rtl w:val="0"/>
          <w:lang w:val="en-US"/>
        </w:rPr>
        <w:t>25(2), 271-284. doi:</w:t>
      </w:r>
      <w:r>
        <w:rPr>
          <w:rFonts w:ascii="Times New Roman" w:hAnsi="Times New Roman"/>
          <w:sz w:val="24"/>
          <w:szCs w:val="24"/>
          <w:shd w:val="clear" w:color="auto" w:fill="ffffff"/>
          <w:rtl w:val="0"/>
          <w:lang w:val="en-US"/>
        </w:rPr>
        <w:t>10.1016/j.berh.2011.02.003.</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Hal</w:t>
      </w:r>
      <w:r>
        <w:rPr>
          <w:rFonts w:ascii="Times New Roman" w:hAnsi="Times New Roman" w:hint="default"/>
          <w:sz w:val="24"/>
          <w:szCs w:val="24"/>
          <w:rtl w:val="0"/>
          <w:lang w:val="es-ES_tradnl"/>
        </w:rPr>
        <w:t>á</w:t>
      </w:r>
      <w:r>
        <w:rPr>
          <w:rFonts w:ascii="Times New Roman" w:hAnsi="Times New Roman"/>
          <w:sz w:val="24"/>
          <w:szCs w:val="24"/>
          <w:rtl w:val="0"/>
          <w:lang w:val="es-ES_tradnl"/>
        </w:rPr>
        <w:t>sz, P., Terzano, M., Parrino, L. y B</w:t>
      </w:r>
      <w:r>
        <w:rPr>
          <w:rFonts w:ascii="Times New Roman" w:hAnsi="Times New Roman" w:hint="default"/>
          <w:sz w:val="24"/>
          <w:szCs w:val="24"/>
          <w:rtl w:val="0"/>
          <w:lang w:val="es-ES_tradnl"/>
        </w:rPr>
        <w:t>ó</w:t>
      </w:r>
      <w:r>
        <w:rPr>
          <w:rFonts w:ascii="Times New Roman" w:hAnsi="Times New Roman"/>
          <w:sz w:val="24"/>
          <w:szCs w:val="24"/>
          <w:rtl w:val="0"/>
          <w:lang w:val="es-ES_tradnl"/>
        </w:rPr>
        <w:t xml:space="preserve">diz, R. (2004). </w:t>
      </w:r>
      <w:r>
        <w:rPr>
          <w:rFonts w:ascii="Times New Roman" w:hAnsi="Times New Roman"/>
          <w:sz w:val="24"/>
          <w:szCs w:val="24"/>
          <w:rtl w:val="0"/>
          <w:lang w:val="en-US"/>
        </w:rPr>
        <w:t xml:space="preserve">The nature of arousal in sleep. </w:t>
      </w:r>
      <w:r>
        <w:rPr>
          <w:rFonts w:ascii="Times New Roman" w:hAnsi="Times New Roman"/>
          <w:i w:val="1"/>
          <w:iCs w:val="1"/>
          <w:sz w:val="24"/>
          <w:szCs w:val="24"/>
          <w:rtl w:val="0"/>
          <w:lang w:val="en-US"/>
        </w:rPr>
        <w:t xml:space="preserve"> Journal of Sleep Research</w:t>
      </w:r>
      <w:r>
        <w:rPr>
          <w:rFonts w:ascii="Times New Roman" w:hAnsi="Times New Roman"/>
          <w:sz w:val="24"/>
          <w:szCs w:val="24"/>
          <w:rtl w:val="0"/>
          <w:lang w:val="en-US"/>
        </w:rPr>
        <w:t>, 13 (1), 1-23. doi: 10.1111/j.1365-2869.2004.00388.x</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Hern</w:t>
      </w:r>
      <w:r>
        <w:rPr>
          <w:rFonts w:ascii="Times New Roman" w:hAnsi="Times New Roman" w:hint="default"/>
          <w:sz w:val="24"/>
          <w:szCs w:val="24"/>
          <w:rtl w:val="0"/>
          <w:lang w:val="en-US"/>
        </w:rPr>
        <w:t>á</w:t>
      </w:r>
      <w:r>
        <w:rPr>
          <w:rFonts w:ascii="Times New Roman" w:hAnsi="Times New Roman"/>
          <w:sz w:val="24"/>
          <w:szCs w:val="24"/>
          <w:rtl w:val="0"/>
          <w:lang w:val="en-US"/>
        </w:rPr>
        <w:t xml:space="preserve">ndez, B. M. A. y Ramos, P. J. (2005). </w:t>
      </w:r>
      <w:r>
        <w:rPr>
          <w:rFonts w:ascii="Times New Roman" w:hAnsi="Times New Roman"/>
          <w:sz w:val="24"/>
          <w:szCs w:val="24"/>
          <w:rtl w:val="0"/>
          <w:lang w:val="es-ES_tradnl"/>
        </w:rPr>
        <w:t>Estudio polisomnogr</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fico en pacientes con fibromialgia primaria. </w:t>
      </w:r>
      <w:r>
        <w:rPr>
          <w:rFonts w:ascii="Times New Roman" w:hAnsi="Times New Roman"/>
          <w:i w:val="1"/>
          <w:iCs w:val="1"/>
          <w:sz w:val="24"/>
          <w:szCs w:val="24"/>
          <w:rtl w:val="0"/>
          <w:lang w:val="es-ES_tradnl"/>
        </w:rPr>
        <w:t>Archivo de Neurociencias (M</w:t>
      </w:r>
      <w:r>
        <w:rPr>
          <w:rFonts w:ascii="Times New Roman" w:hAnsi="Times New Roman" w:hint="default"/>
          <w:i w:val="1"/>
          <w:iCs w:val="1"/>
          <w:sz w:val="24"/>
          <w:szCs w:val="24"/>
          <w:rtl w:val="0"/>
          <w:lang w:val="es-ES_tradnl"/>
        </w:rPr>
        <w:t>é</w:t>
      </w:r>
      <w:r>
        <w:rPr>
          <w:rFonts w:ascii="Times New Roman" w:hAnsi="Times New Roman"/>
          <w:i w:val="1"/>
          <w:iCs w:val="1"/>
          <w:sz w:val="24"/>
          <w:szCs w:val="24"/>
          <w:rtl w:val="0"/>
          <w:lang w:val="es-ES_tradnl"/>
        </w:rPr>
        <w:t>xico),</w:t>
      </w:r>
      <w:r>
        <w:rPr>
          <w:rFonts w:ascii="Times New Roman" w:hAnsi="Times New Roman"/>
          <w:sz w:val="24"/>
          <w:szCs w:val="24"/>
          <w:rtl w:val="0"/>
          <w:lang w:val="es-ES_tradnl"/>
        </w:rPr>
        <w:t xml:space="preserve"> 10(1), 9-14.</w:t>
      </w:r>
    </w:p>
    <w:p>
      <w:pPr>
        <w:pStyle w:val="Normal.0"/>
        <w:spacing w:line="240" w:lineRule="auto"/>
        <w:rPr>
          <w:rFonts w:ascii="Times New Roman" w:cs="Times New Roman" w:hAnsi="Times New Roman" w:eastAsia="Times New Roman"/>
          <w:sz w:val="24"/>
          <w:szCs w:val="24"/>
        </w:rPr>
      </w:pPr>
      <w:r>
        <w:rPr>
          <w:rFonts w:ascii="Times" w:hAnsi="Times"/>
          <w:sz w:val="24"/>
          <w:szCs w:val="24"/>
          <w:rtl w:val="0"/>
          <w:lang w:val="es-ES_tradnl"/>
        </w:rPr>
        <w:t xml:space="preserve">Iber, C., Ancoli-Israel, S., Chesson, A. L. y Quan, S. F. (2007). </w:t>
      </w:r>
      <w:r>
        <w:rPr>
          <w:rFonts w:ascii="Times" w:hAnsi="Times"/>
          <w:i w:val="1"/>
          <w:iCs w:val="1"/>
          <w:sz w:val="24"/>
          <w:szCs w:val="24"/>
          <w:rtl w:val="0"/>
          <w:lang w:val="en-US"/>
        </w:rPr>
        <w:t>The AASM Manual for the Scoring of Sleep</w:t>
      </w:r>
      <w:r>
        <w:rPr>
          <w:rFonts w:ascii="Times New Roman" w:hAnsi="Times New Roman"/>
          <w:i w:val="1"/>
          <w:iCs w:val="1"/>
          <w:sz w:val="24"/>
          <w:szCs w:val="24"/>
          <w:rtl w:val="0"/>
          <w:lang w:val="en-US"/>
        </w:rPr>
        <w:t xml:space="preserve"> </w:t>
      </w:r>
      <w:r>
        <w:rPr>
          <w:rFonts w:ascii="Times" w:hAnsi="Times"/>
          <w:i w:val="1"/>
          <w:iCs w:val="1"/>
          <w:sz w:val="24"/>
          <w:szCs w:val="24"/>
          <w:rtl w:val="0"/>
          <w:lang w:val="en-US"/>
        </w:rPr>
        <w:t>and Associated Events American Academy of Sleep Medicine</w:t>
      </w:r>
      <w:r>
        <w:rPr>
          <w:rFonts w:ascii="Times" w:hAnsi="Times"/>
          <w:sz w:val="24"/>
          <w:szCs w:val="24"/>
          <w:rtl w:val="0"/>
          <w:lang w:val="en-US"/>
        </w:rPr>
        <w:t>. Westchester: American</w:t>
      </w:r>
      <w:r>
        <w:rPr>
          <w:rFonts w:ascii="Times New Roman" w:hAnsi="Times New Roman"/>
          <w:sz w:val="24"/>
          <w:szCs w:val="24"/>
          <w:rtl w:val="0"/>
          <w:lang w:val="en-US"/>
        </w:rPr>
        <w:t xml:space="preserve"> </w:t>
      </w:r>
      <w:r>
        <w:rPr>
          <w:rFonts w:ascii="Times" w:hAnsi="Times"/>
          <w:sz w:val="24"/>
          <w:szCs w:val="24"/>
          <w:rtl w:val="0"/>
          <w:lang w:val="en-US"/>
        </w:rPr>
        <w:t>Academy of Sleep Medicine.</w:t>
      </w:r>
    </w:p>
    <w:p>
      <w:pPr>
        <w:pStyle w:val="Normal.0"/>
        <w:spacing w:line="240" w:lineRule="auto"/>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Jensen, K. B.,  Kosek, E., Petzke, F., Carville, S., Fransson, P., Marcus, H., Williams, S. C. R., Choy. (2009). Evidence of dysfunctional pain inhibition in Fibromyalgia reflected in rACC during provoked pain. </w:t>
      </w:r>
      <w:r>
        <w:rPr>
          <w:rFonts w:ascii="Times New Roman" w:hAnsi="Times New Roman"/>
          <w:i w:val="1"/>
          <w:iCs w:val="1"/>
          <w:sz w:val="24"/>
          <w:szCs w:val="24"/>
          <w:rtl w:val="0"/>
          <w:lang w:val="en-US"/>
        </w:rPr>
        <w:t>Pain,</w:t>
      </w:r>
      <w:r>
        <w:rPr>
          <w:rFonts w:ascii="Times New Roman" w:hAnsi="Times New Roman"/>
          <w:sz w:val="24"/>
          <w:szCs w:val="24"/>
          <w:rtl w:val="0"/>
          <w:lang w:val="en-US"/>
        </w:rPr>
        <w:t xml:space="preserve"> 144(1-2), 95-100. </w:t>
      </w:r>
      <w:r>
        <w:rPr>
          <w:rFonts w:ascii="Times New Roman" w:hAnsi="Times New Roman"/>
          <w:sz w:val="24"/>
          <w:szCs w:val="24"/>
          <w:shd w:val="clear" w:color="auto" w:fill="ffffff"/>
          <w:rtl w:val="0"/>
          <w:lang w:val="en-US"/>
        </w:rPr>
        <w:t>doi: 10.1016/j.pain.2009.03.018</w:t>
      </w:r>
      <w:r>
        <w:rPr>
          <w:rFonts w:ascii="Times New Roman" w:hAnsi="Times New Roman"/>
          <w:sz w:val="24"/>
          <w:szCs w:val="24"/>
          <w:rtl w:val="0"/>
          <w:lang w:val="en-US"/>
        </w:rPr>
        <w:t>.</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Landis, C. A., Lentz, M. J., Rothermel, J., Buchwald, D. y Shaver, J. L. F. (2004).</w:t>
      </w:r>
      <w:r>
        <w:rPr>
          <w:rFonts w:ascii="Arial" w:hAnsi="Arial"/>
          <w:sz w:val="24"/>
          <w:szCs w:val="24"/>
          <w:rtl w:val="0"/>
          <w:lang w:val="en-US"/>
        </w:rPr>
        <w:t xml:space="preserve"> </w:t>
      </w:r>
      <w:r>
        <w:rPr>
          <w:rFonts w:ascii="Times New Roman" w:hAnsi="Times New Roman"/>
          <w:sz w:val="24"/>
          <w:szCs w:val="24"/>
          <w:rtl w:val="0"/>
          <w:lang w:val="en-US"/>
        </w:rPr>
        <w:t>Decreased sleep spindles and spindle activity in midlife women with fibromyalgia</w:t>
      </w:r>
      <w:r>
        <w:rPr>
          <w:rFonts w:ascii="Arial" w:hAnsi="Arial"/>
          <w:sz w:val="24"/>
          <w:szCs w:val="24"/>
          <w:rtl w:val="0"/>
          <w:lang w:val="en-US"/>
        </w:rPr>
        <w:t xml:space="preserve"> </w:t>
      </w:r>
      <w:r>
        <w:rPr>
          <w:rFonts w:ascii="Times New Roman" w:hAnsi="Times New Roman"/>
          <w:sz w:val="24"/>
          <w:szCs w:val="24"/>
          <w:rtl w:val="0"/>
          <w:lang w:val="en-US"/>
        </w:rPr>
        <w:t xml:space="preserve">and pain. </w:t>
      </w:r>
      <w:r>
        <w:rPr>
          <w:rFonts w:ascii="Times New Roman" w:hAnsi="Times New Roman"/>
          <w:i w:val="1"/>
          <w:iCs w:val="1"/>
          <w:sz w:val="24"/>
          <w:szCs w:val="24"/>
          <w:rtl w:val="0"/>
          <w:lang w:val="es-ES_tradnl"/>
        </w:rPr>
        <w:t>Sleep</w:t>
      </w:r>
      <w:r>
        <w:rPr>
          <w:rFonts w:ascii="Times New Roman" w:hAnsi="Times New Roman"/>
          <w:sz w:val="24"/>
          <w:szCs w:val="24"/>
          <w:rtl w:val="0"/>
          <w:lang w:val="es-ES_tradnl"/>
        </w:rPr>
        <w:t>, 27 (4), 741-750.</w:t>
      </w:r>
    </w:p>
    <w:p>
      <w:pPr>
        <w:pStyle w:val="Normal.0"/>
        <w:spacing w:line="240" w:lineRule="auto"/>
        <w:rPr>
          <w:rStyle w:val="None"/>
          <w:rFonts w:ascii="Times New Roman" w:cs="Times New Roman" w:hAnsi="Times New Roman" w:eastAsia="Times New Roman"/>
          <w:sz w:val="24"/>
          <w:szCs w:val="24"/>
        </w:rPr>
      </w:pPr>
      <w:r>
        <w:rPr>
          <w:rFonts w:ascii="Times New Roman" w:hAnsi="Times New Roman"/>
          <w:sz w:val="24"/>
          <w:szCs w:val="24"/>
          <w:rtl w:val="0"/>
          <w:lang w:val="es-ES_tradnl"/>
        </w:rPr>
        <w:t>Lerma, C., Mart</w:t>
      </w:r>
      <w:r>
        <w:rPr>
          <w:rFonts w:ascii="Times New Roman" w:hAnsi="Times New Roman" w:hint="default"/>
          <w:sz w:val="24"/>
          <w:szCs w:val="24"/>
          <w:rtl w:val="0"/>
          <w:lang w:val="es-ES_tradnl"/>
        </w:rPr>
        <w:t>í</w:t>
      </w:r>
      <w:r>
        <w:rPr>
          <w:rFonts w:ascii="Times New Roman" w:hAnsi="Times New Roman"/>
          <w:sz w:val="24"/>
          <w:szCs w:val="24"/>
          <w:rtl w:val="0"/>
          <w:lang w:val="es-ES_tradnl"/>
        </w:rPr>
        <w:t>nez, A., Ru</w:t>
      </w:r>
      <w:r>
        <w:rPr>
          <w:rFonts w:ascii="Times New Roman" w:hAnsi="Times New Roman" w:hint="default"/>
          <w:sz w:val="24"/>
          <w:szCs w:val="24"/>
          <w:rtl w:val="0"/>
          <w:lang w:val="es-ES_tradnl"/>
        </w:rPr>
        <w:t>í</w:t>
      </w:r>
      <w:r>
        <w:rPr>
          <w:rFonts w:ascii="Times New Roman" w:hAnsi="Times New Roman"/>
          <w:sz w:val="24"/>
          <w:szCs w:val="24"/>
          <w:rtl w:val="0"/>
          <w:lang w:val="es-ES_tradnl"/>
        </w:rPr>
        <w:t>z, N., Vargas, A., Infante, O. y Mart</w:t>
      </w:r>
      <w:r>
        <w:rPr>
          <w:rFonts w:ascii="Times New Roman" w:hAnsi="Times New Roman" w:hint="default"/>
          <w:sz w:val="24"/>
          <w:szCs w:val="24"/>
          <w:rtl w:val="0"/>
          <w:lang w:val="es-ES_tradnl"/>
        </w:rPr>
        <w:t>í</w:t>
      </w:r>
      <w:r>
        <w:rPr>
          <w:rFonts w:ascii="Times New Roman" w:hAnsi="Times New Roman"/>
          <w:sz w:val="24"/>
          <w:szCs w:val="24"/>
          <w:rtl w:val="0"/>
          <w:lang w:val="es-ES_tradnl"/>
        </w:rPr>
        <w:t>nez-Lav</w:t>
      </w:r>
      <w:r>
        <w:rPr>
          <w:rFonts w:ascii="Times New Roman" w:hAnsi="Times New Roman" w:hint="default"/>
          <w:sz w:val="24"/>
          <w:szCs w:val="24"/>
          <w:rtl w:val="0"/>
          <w:lang w:val="es-ES_tradnl"/>
        </w:rPr>
        <w:t>í</w:t>
      </w:r>
      <w:r>
        <w:rPr>
          <w:rFonts w:ascii="Times New Roman" w:hAnsi="Times New Roman"/>
          <w:sz w:val="24"/>
          <w:szCs w:val="24"/>
          <w:rtl w:val="0"/>
          <w:lang w:val="es-ES_tradnl"/>
        </w:rPr>
        <w:t xml:space="preserve">n, M. (2011). </w:t>
      </w:r>
      <w:r>
        <w:rPr>
          <w:rFonts w:ascii="Times New Roman" w:hAnsi="Times New Roman"/>
          <w:sz w:val="24"/>
          <w:szCs w:val="24"/>
          <w:rtl w:val="0"/>
          <w:lang w:val="en-US"/>
        </w:rPr>
        <w:t xml:space="preserve">Nocturnal heart rate variability parameters as potential fibromyalgia biomarker: correlation with symptoms severity. </w:t>
      </w:r>
      <w:r>
        <w:rPr>
          <w:rFonts w:ascii="Times New Roman" w:hAnsi="Times New Roman"/>
          <w:i w:val="1"/>
          <w:iCs w:val="1"/>
          <w:sz w:val="24"/>
          <w:szCs w:val="24"/>
          <w:rtl w:val="0"/>
          <w:lang w:val="en-US"/>
        </w:rPr>
        <w:t>Arthritis Research and Therapy</w:t>
      </w:r>
      <w:r>
        <w:rPr>
          <w:rFonts w:ascii="Times New Roman" w:hAnsi="Times New Roman"/>
          <w:sz w:val="24"/>
          <w:szCs w:val="24"/>
          <w:rtl w:val="0"/>
          <w:lang w:val="en-US"/>
        </w:rPr>
        <w:t xml:space="preserve">, 13 (R185). Recuperado de </w:t>
      </w:r>
      <w:r>
        <w:rPr>
          <w:rStyle w:val="Hyperlink.0"/>
          <w:rFonts w:ascii="Times New Roman" w:cs="Times New Roman" w:hAnsi="Times New Roman" w:eastAsia="Times New Roman"/>
          <w:color w:val="0000ff"/>
          <w:sz w:val="24"/>
          <w:szCs w:val="24"/>
          <w:u w:val="single" w:color="0000ff"/>
          <w:lang w:val="en-US"/>
        </w:rPr>
        <w:fldChar w:fldCharType="begin" w:fldLock="0"/>
      </w:r>
      <w:r>
        <w:rPr>
          <w:rStyle w:val="Hyperlink.0"/>
          <w:rFonts w:ascii="Times New Roman" w:cs="Times New Roman" w:hAnsi="Times New Roman" w:eastAsia="Times New Roman"/>
          <w:color w:val="0000ff"/>
          <w:sz w:val="24"/>
          <w:szCs w:val="24"/>
          <w:u w:val="single" w:color="0000ff"/>
          <w:lang w:val="en-US"/>
        </w:rPr>
        <w:instrText xml:space="preserve"> HYPERLINK "http://arthritis-research.com/content/13/6/R185"</w:instrText>
      </w:r>
      <w:r>
        <w:rPr>
          <w:rStyle w:val="Hyperlink.0"/>
          <w:rFonts w:ascii="Times New Roman" w:cs="Times New Roman" w:hAnsi="Times New Roman" w:eastAsia="Times New Roman"/>
          <w:color w:val="0000ff"/>
          <w:sz w:val="24"/>
          <w:szCs w:val="24"/>
          <w:u w:val="single" w:color="0000ff"/>
          <w:lang w:val="en-US"/>
        </w:rPr>
        <w:fldChar w:fldCharType="separate" w:fldLock="0"/>
      </w:r>
      <w:r>
        <w:rPr>
          <w:rStyle w:val="Hyperlink.0"/>
          <w:rFonts w:ascii="Times New Roman" w:hAnsi="Times New Roman"/>
          <w:color w:val="0000ff"/>
          <w:sz w:val="24"/>
          <w:szCs w:val="24"/>
          <w:u w:val="single" w:color="0000ff"/>
          <w:rtl w:val="0"/>
          <w:lang w:val="en-US"/>
        </w:rPr>
        <w:t>http://arthritis-research.com/content/13/6/R185</w:t>
      </w:r>
      <w:r>
        <w:rPr/>
        <w:fldChar w:fldCharType="end" w:fldLock="0"/>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Matar</w:t>
      </w:r>
      <w:r>
        <w:rPr>
          <w:rStyle w:val="None"/>
          <w:rFonts w:ascii="Times New Roman" w:hAnsi="Times New Roman" w:hint="default"/>
          <w:sz w:val="24"/>
          <w:szCs w:val="24"/>
          <w:rtl w:val="0"/>
          <w:lang w:val="es-ES_tradnl"/>
        </w:rPr>
        <w:t>á</w:t>
      </w:r>
      <w:r>
        <w:rPr>
          <w:rStyle w:val="None"/>
          <w:rFonts w:ascii="Times New Roman" w:hAnsi="Times New Roman"/>
          <w:sz w:val="24"/>
          <w:szCs w:val="24"/>
          <w:rtl w:val="0"/>
          <w:lang w:val="es-ES_tradnl"/>
        </w:rPr>
        <w:t>n-Pe</w:t>
      </w:r>
      <w:r>
        <w:rPr>
          <w:rStyle w:val="None"/>
          <w:rFonts w:ascii="Times New Roman" w:hAnsi="Times New Roman" w:hint="default"/>
          <w:sz w:val="24"/>
          <w:szCs w:val="24"/>
          <w:rtl w:val="0"/>
          <w:lang w:val="es-ES_tradnl"/>
        </w:rPr>
        <w:t>ñ</w:t>
      </w:r>
      <w:r>
        <w:rPr>
          <w:rStyle w:val="None"/>
          <w:rFonts w:ascii="Times New Roman" w:hAnsi="Times New Roman"/>
          <w:sz w:val="24"/>
          <w:szCs w:val="24"/>
          <w:rtl w:val="0"/>
          <w:lang w:val="es-ES_tradnl"/>
        </w:rPr>
        <w:t>arrocha, G. A, Castro-S</w:t>
      </w:r>
      <w:r>
        <w:rPr>
          <w:rStyle w:val="None"/>
          <w:rFonts w:ascii="Times New Roman" w:hAnsi="Times New Roman" w:hint="default"/>
          <w:sz w:val="24"/>
          <w:szCs w:val="24"/>
          <w:rtl w:val="0"/>
          <w:lang w:val="es-ES_tradnl"/>
        </w:rPr>
        <w:t>á</w:t>
      </w:r>
      <w:r>
        <w:rPr>
          <w:rStyle w:val="None"/>
          <w:rFonts w:ascii="Times New Roman" w:hAnsi="Times New Roman"/>
          <w:sz w:val="24"/>
          <w:szCs w:val="24"/>
          <w:rtl w:val="0"/>
          <w:lang w:val="es-ES_tradnl"/>
        </w:rPr>
        <w:t>nchez, A. M., Carballo, G. G., Moreno-Lorenzo C., Parr</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 xml:space="preserve">n, C. T. y Onieva, Z. M. D. (2011). </w:t>
      </w:r>
      <w:r>
        <w:rPr>
          <w:rStyle w:val="None"/>
          <w:rFonts w:ascii="Times New Roman" w:hAnsi="Times New Roman"/>
          <w:sz w:val="24"/>
          <w:szCs w:val="24"/>
          <w:rtl w:val="0"/>
          <w:lang w:val="en-US"/>
        </w:rPr>
        <w:t>Influence of craniosacral therapy on anxiety, depression and quality of life in patients with fibromialgia.</w:t>
      </w:r>
      <w:r>
        <w:rPr>
          <w:rStyle w:val="None"/>
          <w:rFonts w:ascii="Times New Roman" w:hAnsi="Times New Roman"/>
          <w:i w:val="1"/>
          <w:iCs w:val="1"/>
          <w:sz w:val="24"/>
          <w:szCs w:val="24"/>
          <w:rtl w:val="0"/>
          <w:lang w:val="en-US"/>
        </w:rPr>
        <w:t xml:space="preserve"> </w:t>
      </w:r>
      <w:r>
        <w:rPr>
          <w:rStyle w:val="None"/>
          <w:rFonts w:ascii="Times New Roman" w:hAnsi="Times New Roman"/>
          <w:i w:val="1"/>
          <w:iCs w:val="1"/>
          <w:sz w:val="24"/>
          <w:szCs w:val="24"/>
          <w:rtl w:val="0"/>
          <w:lang w:val="es-ES_tradnl"/>
        </w:rPr>
        <w:t>Hindawi Publishing Corporation,</w:t>
      </w:r>
      <w:r>
        <w:rPr>
          <w:rStyle w:val="None"/>
          <w:rFonts w:ascii="Times New Roman" w:hAnsi="Times New Roman"/>
          <w:sz w:val="24"/>
          <w:szCs w:val="24"/>
          <w:rtl w:val="0"/>
          <w:lang w:val="es-ES_tradnl"/>
        </w:rPr>
        <w:t xml:space="preserve"> 2011, ID178769, 1-9.</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Mateos, S. E. L. (2014). El dolor y su relaci</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n con el sue</w:t>
      </w:r>
      <w:r>
        <w:rPr>
          <w:rStyle w:val="None"/>
          <w:rFonts w:ascii="Times New Roman" w:hAnsi="Times New Roman" w:hint="default"/>
          <w:sz w:val="24"/>
          <w:szCs w:val="24"/>
          <w:rtl w:val="0"/>
          <w:lang w:val="es-ES_tradnl"/>
        </w:rPr>
        <w:t>ñ</w:t>
      </w:r>
      <w:r>
        <w:rPr>
          <w:rStyle w:val="None"/>
          <w:rFonts w:ascii="Times New Roman" w:hAnsi="Times New Roman"/>
          <w:sz w:val="24"/>
          <w:szCs w:val="24"/>
          <w:rtl w:val="0"/>
          <w:lang w:val="es-ES_tradnl"/>
        </w:rPr>
        <w:t xml:space="preserve">o. En Ruvalcaba, P. G. (Ed.) </w:t>
      </w:r>
      <w:r>
        <w:rPr>
          <w:rStyle w:val="None"/>
          <w:rFonts w:ascii="Times New Roman" w:hAnsi="Times New Roman"/>
          <w:i w:val="1"/>
          <w:iCs w:val="1"/>
          <w:sz w:val="24"/>
          <w:szCs w:val="24"/>
          <w:rtl w:val="0"/>
          <w:lang w:val="es-ES_tradnl"/>
        </w:rPr>
        <w:t>Perspectivas Psicol</w:t>
      </w:r>
      <w:r>
        <w:rPr>
          <w:rStyle w:val="None"/>
          <w:rFonts w:ascii="Times New Roman" w:hAnsi="Times New Roman" w:hint="default"/>
          <w:i w:val="1"/>
          <w:iCs w:val="1"/>
          <w:sz w:val="24"/>
          <w:szCs w:val="24"/>
          <w:rtl w:val="0"/>
          <w:lang w:val="es-ES_tradnl"/>
        </w:rPr>
        <w:t>ó</w:t>
      </w:r>
      <w:r>
        <w:rPr>
          <w:rStyle w:val="None"/>
          <w:rFonts w:ascii="Times New Roman" w:hAnsi="Times New Roman"/>
          <w:i w:val="1"/>
          <w:iCs w:val="1"/>
          <w:sz w:val="24"/>
          <w:szCs w:val="24"/>
          <w:rtl w:val="0"/>
          <w:lang w:val="es-ES_tradnl"/>
        </w:rPr>
        <w:t>gicas en el Estudio y Tratamiento del Dolor,</w:t>
      </w:r>
      <w:r>
        <w:rPr>
          <w:rStyle w:val="None"/>
          <w:rFonts w:ascii="Times New Roman" w:hAnsi="Times New Roman"/>
          <w:sz w:val="24"/>
          <w:szCs w:val="24"/>
          <w:rtl w:val="0"/>
          <w:lang w:val="es-ES_tradnl"/>
        </w:rPr>
        <w:t xml:space="preserve"> (pp. 89-105), Guanajuato, M</w:t>
      </w:r>
      <w:r>
        <w:rPr>
          <w:rStyle w:val="None"/>
          <w:rFonts w:ascii="Times New Roman" w:hAnsi="Times New Roman" w:hint="default"/>
          <w:sz w:val="24"/>
          <w:szCs w:val="24"/>
          <w:rtl w:val="0"/>
          <w:lang w:val="es-ES_tradnl"/>
        </w:rPr>
        <w:t>é</w:t>
      </w:r>
      <w:r>
        <w:rPr>
          <w:rStyle w:val="None"/>
          <w:rFonts w:ascii="Times New Roman" w:hAnsi="Times New Roman"/>
          <w:sz w:val="24"/>
          <w:szCs w:val="24"/>
          <w:rtl w:val="0"/>
          <w:lang w:val="es-ES_tradnl"/>
        </w:rPr>
        <w:t>xico: Ediciones Universitarias.</w:t>
      </w:r>
    </w:p>
    <w:p>
      <w:pPr>
        <w:pStyle w:val="Normal.0"/>
        <w:spacing w:line="240" w:lineRule="auto"/>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Merskey, H. y Bogduck, N. (2002). Classification of chronic pain: descriptions of chronic pain syndromes and definition of pain terms</w:t>
      </w:r>
      <w:r>
        <w:rPr>
          <w:rStyle w:val="None"/>
          <w:rFonts w:ascii="Times New Roman" w:hAnsi="Times New Roman"/>
          <w:i w:val="1"/>
          <w:iCs w:val="1"/>
          <w:sz w:val="24"/>
          <w:szCs w:val="24"/>
          <w:rtl w:val="0"/>
          <w:lang w:val="en-US"/>
        </w:rPr>
        <w:t>.</w:t>
      </w:r>
      <w:r>
        <w:rPr>
          <w:rStyle w:val="None"/>
          <w:rFonts w:ascii="Times New Roman" w:hAnsi="Times New Roman"/>
          <w:sz w:val="24"/>
          <w:szCs w:val="24"/>
          <w:rtl w:val="0"/>
          <w:lang w:val="en-US"/>
        </w:rPr>
        <w:t xml:space="preserve"> Seattle: International Association for Study of Pain (IASP Press).</w:t>
      </w:r>
    </w:p>
    <w:p>
      <w:pPr>
        <w:pStyle w:val="Normal.0"/>
        <w:spacing w:line="240" w:lineRule="auto"/>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Moldofsky, H. (2008). The significance of the sleeping-waking brain for the understanding of widespread musculoskeletal pain and fatigue in fibromyalgia syndrome and allied syndromes. </w:t>
      </w:r>
      <w:r>
        <w:rPr>
          <w:rStyle w:val="None"/>
          <w:rFonts w:ascii="Times New Roman" w:hAnsi="Times New Roman"/>
          <w:i w:val="1"/>
          <w:iCs w:val="1"/>
          <w:sz w:val="24"/>
          <w:szCs w:val="24"/>
          <w:rtl w:val="0"/>
          <w:lang w:val="en-US"/>
        </w:rPr>
        <w:t>Joint Bone Spine,</w:t>
      </w:r>
      <w:r>
        <w:rPr>
          <w:rStyle w:val="None"/>
          <w:rFonts w:ascii="Times New Roman" w:hAnsi="Times New Roman"/>
          <w:sz w:val="24"/>
          <w:szCs w:val="24"/>
          <w:rtl w:val="0"/>
          <w:lang w:val="en-US"/>
        </w:rPr>
        <w:t xml:space="preserve"> 75(4), 397-402. doi:</w:t>
      </w:r>
      <w:r>
        <w:rPr>
          <w:rStyle w:val="None"/>
          <w:rFonts w:ascii="Times New Roman" w:hAnsi="Times New Roman"/>
          <w:sz w:val="24"/>
          <w:szCs w:val="24"/>
          <w:shd w:val="clear" w:color="auto" w:fill="ffffff"/>
          <w:rtl w:val="0"/>
          <w:lang w:val="en-US"/>
        </w:rPr>
        <w:t>10.1016/j.jbspin.2008.01.021.</w:t>
      </w:r>
    </w:p>
    <w:p>
      <w:pPr>
        <w:pStyle w:val="Normal.0"/>
        <w:spacing w:line="240" w:lineRule="auto"/>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Moldofsky, H. y Scarisbrick, P. (1976). Induction of neurasthenic musculoskeletal, pain s</w:t>
      </w:r>
      <w:r>
        <w:rPr>
          <w:rStyle w:val="None"/>
          <w:rFonts w:ascii="Times New Roman" w:hAnsi="Times New Roman" w:hint="default"/>
          <w:sz w:val="24"/>
          <w:szCs w:val="24"/>
          <w:rtl w:val="0"/>
          <w:lang w:val="en-US"/>
        </w:rPr>
        <w:t>í</w:t>
      </w:r>
      <w:r>
        <w:rPr>
          <w:rStyle w:val="None"/>
          <w:rFonts w:ascii="Times New Roman" w:hAnsi="Times New Roman"/>
          <w:sz w:val="24"/>
          <w:szCs w:val="24"/>
          <w:rtl w:val="0"/>
          <w:lang w:val="en-US"/>
        </w:rPr>
        <w:t xml:space="preserve">ndrome by selective stages sleeps deprivation. </w:t>
      </w:r>
      <w:r>
        <w:rPr>
          <w:rStyle w:val="None"/>
          <w:rFonts w:ascii="Times New Roman" w:hAnsi="Times New Roman"/>
          <w:i w:val="1"/>
          <w:iCs w:val="1"/>
          <w:sz w:val="24"/>
          <w:szCs w:val="24"/>
          <w:rtl w:val="0"/>
          <w:lang w:val="en-US"/>
        </w:rPr>
        <w:t>Psychosomatic Medicine</w:t>
      </w:r>
      <w:r>
        <w:rPr>
          <w:rStyle w:val="None"/>
          <w:rFonts w:ascii="Times New Roman" w:hAnsi="Times New Roman"/>
          <w:sz w:val="24"/>
          <w:szCs w:val="24"/>
          <w:rtl w:val="0"/>
          <w:lang w:val="en-US"/>
        </w:rPr>
        <w:t>, 38(1), 35-44.</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Moldofsky, H., Scarisbrick, P., England, R. y Smythe, H. A. (1975). Musculoskeletal symptoms and Non-REM sleep disturbance in patients with fibrositis syndrome and healthy subjects. </w:t>
      </w:r>
      <w:r>
        <w:rPr>
          <w:rStyle w:val="None"/>
          <w:rFonts w:ascii="Times New Roman" w:hAnsi="Times New Roman"/>
          <w:i w:val="1"/>
          <w:iCs w:val="1"/>
          <w:sz w:val="24"/>
          <w:szCs w:val="24"/>
          <w:rtl w:val="0"/>
          <w:lang w:val="es-ES_tradnl"/>
        </w:rPr>
        <w:t>Psychosomatic Medicine,</w:t>
      </w:r>
      <w:r>
        <w:rPr>
          <w:rStyle w:val="None"/>
          <w:rFonts w:ascii="Times New Roman" w:hAnsi="Times New Roman"/>
          <w:sz w:val="24"/>
          <w:szCs w:val="24"/>
          <w:rtl w:val="0"/>
          <w:lang w:val="es-ES_tradnl"/>
        </w:rPr>
        <w:t xml:space="preserve"> 37(4), 341-351.</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Montoya, D. (2011). Actualizaci</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n breve sobre fibromialgia: diagn</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 xml:space="preserve">stico diferencial y opciones de  tratamiento disponible. </w:t>
      </w:r>
      <w:r>
        <w:rPr>
          <w:rStyle w:val="None"/>
          <w:rFonts w:ascii="Times New Roman" w:hAnsi="Times New Roman"/>
          <w:i w:val="1"/>
          <w:iCs w:val="1"/>
          <w:sz w:val="24"/>
          <w:szCs w:val="24"/>
          <w:rtl w:val="0"/>
          <w:lang w:val="es-ES_tradnl"/>
        </w:rPr>
        <w:t>Alcmeon, Revista Argentina de Cl</w:t>
      </w:r>
      <w:r>
        <w:rPr>
          <w:rStyle w:val="None"/>
          <w:rFonts w:ascii="Times New Roman" w:hAnsi="Times New Roman" w:hint="default"/>
          <w:i w:val="1"/>
          <w:iCs w:val="1"/>
          <w:sz w:val="24"/>
          <w:szCs w:val="24"/>
          <w:rtl w:val="0"/>
          <w:lang w:val="es-ES_tradnl"/>
        </w:rPr>
        <w:t>í</w:t>
      </w:r>
      <w:r>
        <w:rPr>
          <w:rStyle w:val="None"/>
          <w:rFonts w:ascii="Times New Roman" w:hAnsi="Times New Roman"/>
          <w:i w:val="1"/>
          <w:iCs w:val="1"/>
          <w:sz w:val="24"/>
          <w:szCs w:val="24"/>
          <w:rtl w:val="0"/>
          <w:lang w:val="es-ES_tradnl"/>
        </w:rPr>
        <w:t>nica Neuropsiquiatrica.</w:t>
      </w:r>
      <w:r>
        <w:rPr>
          <w:rStyle w:val="None"/>
          <w:rFonts w:ascii="Times New Roman" w:hAnsi="Times New Roman"/>
          <w:sz w:val="24"/>
          <w:szCs w:val="24"/>
          <w:rtl w:val="0"/>
          <w:lang w:val="es-ES_tradnl"/>
        </w:rPr>
        <w:t xml:space="preserve"> 17(2), 189-198.</w:t>
      </w:r>
      <w:r>
        <w:rPr>
          <w:rStyle w:val="None"/>
          <w:rFonts w:ascii="Times New Roman" w:hAnsi="Times New Roman"/>
          <w:rtl w:val="0"/>
          <w:lang w:val="es-ES_tradnl"/>
        </w:rPr>
        <w:t xml:space="preserve"> </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P</w:t>
      </w:r>
      <w:r>
        <w:rPr>
          <w:rStyle w:val="None"/>
          <w:rFonts w:ascii="Times New Roman" w:hAnsi="Times New Roman" w:hint="default"/>
          <w:sz w:val="24"/>
          <w:szCs w:val="24"/>
          <w:rtl w:val="0"/>
          <w:lang w:val="es-ES_tradnl"/>
        </w:rPr>
        <w:t>é</w:t>
      </w:r>
      <w:r>
        <w:rPr>
          <w:rStyle w:val="None"/>
          <w:rFonts w:ascii="Times New Roman" w:hAnsi="Times New Roman"/>
          <w:sz w:val="24"/>
          <w:szCs w:val="24"/>
          <w:rtl w:val="0"/>
          <w:lang w:val="es-ES_tradnl"/>
        </w:rPr>
        <w:t>rez-Pareja, P. J., Borras, R., Palmer, A., Ses</w:t>
      </w:r>
      <w:r>
        <w:rPr>
          <w:rStyle w:val="None"/>
          <w:rFonts w:ascii="Times New Roman" w:hAnsi="Times New Roman" w:hint="default"/>
          <w:sz w:val="24"/>
          <w:szCs w:val="24"/>
          <w:rtl w:val="0"/>
          <w:lang w:val="es-ES_tradnl"/>
        </w:rPr>
        <w:t>é</w:t>
      </w:r>
      <w:r>
        <w:rPr>
          <w:rStyle w:val="None"/>
          <w:rFonts w:ascii="Times New Roman" w:hAnsi="Times New Roman"/>
          <w:sz w:val="24"/>
          <w:szCs w:val="24"/>
          <w:rtl w:val="0"/>
          <w:lang w:val="es-ES_tradnl"/>
        </w:rPr>
        <w:t xml:space="preserve">, A., Molina, F. y Gonzalvo, J. (2004).  Fibromialgia y emociones negativas. </w:t>
      </w:r>
      <w:r>
        <w:rPr>
          <w:rStyle w:val="None"/>
          <w:rFonts w:ascii="Times New Roman" w:hAnsi="Times New Roman"/>
          <w:i w:val="1"/>
          <w:iCs w:val="1"/>
          <w:sz w:val="24"/>
          <w:szCs w:val="24"/>
          <w:rtl w:val="0"/>
          <w:lang w:val="es-ES_tradnl"/>
        </w:rPr>
        <w:t>Psicothema,</w:t>
      </w:r>
      <w:r>
        <w:rPr>
          <w:rStyle w:val="None"/>
          <w:rFonts w:ascii="Times New Roman" w:hAnsi="Times New Roman"/>
          <w:sz w:val="24"/>
          <w:szCs w:val="24"/>
          <w:rtl w:val="0"/>
          <w:lang w:val="es-ES_tradnl"/>
        </w:rPr>
        <w:t xml:space="preserve"> 16(3),  415-420.</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Prodanov, A. (2011). Fibromialgia: nuevos enfoques. </w:t>
      </w:r>
      <w:r>
        <w:rPr>
          <w:rStyle w:val="None"/>
          <w:rFonts w:ascii="Times New Roman" w:hAnsi="Times New Roman"/>
          <w:i w:val="1"/>
          <w:iCs w:val="1"/>
          <w:sz w:val="24"/>
          <w:szCs w:val="24"/>
          <w:rtl w:val="0"/>
          <w:lang w:val="es-ES_tradnl"/>
        </w:rPr>
        <w:t>Tendencias en medicina</w:t>
      </w:r>
      <w:r>
        <w:rPr>
          <w:rStyle w:val="None"/>
          <w:rFonts w:ascii="Times New Roman" w:hAnsi="Times New Roman"/>
          <w:sz w:val="24"/>
          <w:szCs w:val="24"/>
          <w:rtl w:val="0"/>
          <w:lang w:val="es-ES_tradnl"/>
        </w:rPr>
        <w:t xml:space="preserve">. Recuperado de </w:t>
      </w:r>
      <w:r>
        <w:rPr>
          <w:rStyle w:val="Hyperlink.1"/>
        </w:rPr>
        <w:fldChar w:fldCharType="begin" w:fldLock="0"/>
      </w:r>
      <w:r>
        <w:rPr>
          <w:rStyle w:val="Hyperlink.1"/>
        </w:rPr>
        <w:instrText xml:space="preserve"> HYPERLINK "http://www.tendenciasenmedicina.com/Imagenes/imagenes38/art_08.pdf"</w:instrText>
      </w:r>
      <w:r>
        <w:rPr>
          <w:rStyle w:val="Hyperlink.1"/>
        </w:rPr>
        <w:fldChar w:fldCharType="separate" w:fldLock="0"/>
      </w:r>
      <w:r>
        <w:rPr>
          <w:rStyle w:val="Hyperlink.1"/>
          <w:rtl w:val="0"/>
          <w:lang w:val="es-ES_tradnl"/>
        </w:rPr>
        <w:t>http://www.tendenciasenmedicina.com/Imagenes/imagenes38/art_08.pdf</w:t>
      </w:r>
      <w:r>
        <w:rPr/>
        <w:fldChar w:fldCharType="end" w:fldLock="0"/>
      </w:r>
    </w:p>
    <w:p>
      <w:pPr>
        <w:pStyle w:val="Normal.0"/>
        <w:spacing w:line="240" w:lineRule="auto"/>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Queiroz, L. P. (2013). Worldwide epidemiology of fibromyalgia. </w:t>
      </w:r>
      <w:r>
        <w:rPr>
          <w:rStyle w:val="None"/>
          <w:rFonts w:ascii="Times New Roman" w:hAnsi="Times New Roman"/>
          <w:i w:val="1"/>
          <w:iCs w:val="1"/>
          <w:sz w:val="24"/>
          <w:szCs w:val="24"/>
          <w:rtl w:val="0"/>
          <w:lang w:val="en-US"/>
        </w:rPr>
        <w:t>Current Pain and Headache Reports</w:t>
      </w:r>
      <w:r>
        <w:rPr>
          <w:rStyle w:val="None"/>
          <w:rFonts w:ascii="Times New Roman" w:hAnsi="Times New Roman"/>
          <w:sz w:val="24"/>
          <w:szCs w:val="24"/>
          <w:rtl w:val="0"/>
          <w:lang w:val="en-US"/>
        </w:rPr>
        <w:t>, 17(8), 356-361. doi: 10.1007/s11916-013-0356-5.</w:t>
      </w:r>
    </w:p>
    <w:p>
      <w:pPr>
        <w:pStyle w:val="Normal.0"/>
        <w:spacing w:line="240" w:lineRule="auto"/>
        <w:rPr>
          <w:rStyle w:val="None"/>
          <w:rFonts w:ascii="Times New Roman" w:cs="Times New Roman" w:hAnsi="Times New Roman" w:eastAsia="Times New Roman"/>
          <w:color w:val="000000"/>
          <w:sz w:val="24"/>
          <w:szCs w:val="24"/>
          <w:u w:color="000000"/>
          <w:shd w:val="clear" w:color="auto" w:fill="ffffff"/>
          <w:lang w:val="en-US"/>
        </w:rPr>
      </w:pPr>
      <w:r>
        <w:rPr>
          <w:rStyle w:val="None"/>
          <w:rFonts w:ascii="Times New Roman" w:hAnsi="Times New Roman"/>
          <w:sz w:val="24"/>
          <w:szCs w:val="24"/>
          <w:rtl w:val="0"/>
          <w:lang w:val="en-US"/>
        </w:rPr>
        <w:t xml:space="preserve">Roizenblatt, S., Moldofsky, H., Benedito-Silva, A. A. y Tufik, S. (2001). Alpha sleep characteristics in fibromyalgia. </w:t>
      </w:r>
      <w:r>
        <w:rPr>
          <w:rStyle w:val="None"/>
          <w:rFonts w:ascii="Times New Roman" w:hAnsi="Times New Roman"/>
          <w:i w:val="1"/>
          <w:iCs w:val="1"/>
          <w:sz w:val="24"/>
          <w:szCs w:val="24"/>
          <w:rtl w:val="0"/>
          <w:lang w:val="en-US"/>
        </w:rPr>
        <w:t>Arthritis Rheumatology</w:t>
      </w:r>
      <w:r>
        <w:rPr>
          <w:rStyle w:val="None"/>
          <w:rFonts w:ascii="Times New Roman" w:hAnsi="Times New Roman"/>
          <w:sz w:val="24"/>
          <w:szCs w:val="24"/>
          <w:rtl w:val="0"/>
          <w:lang w:val="en-US"/>
        </w:rPr>
        <w:t>, 44(1), 222-230. doi:</w:t>
      </w:r>
      <w:r>
        <w:rPr>
          <w:rStyle w:val="None"/>
          <w:rFonts w:ascii="Times New Roman" w:hAnsi="Times New Roman"/>
          <w:color w:val="000000"/>
          <w:sz w:val="24"/>
          <w:szCs w:val="24"/>
          <w:u w:color="000000"/>
          <w:shd w:val="clear" w:color="auto" w:fill="ffffff"/>
          <w:rtl w:val="0"/>
          <w:lang w:val="en-US"/>
        </w:rPr>
        <w:t>10.1002/1529-0131(200101)44:1&lt;222::AID-ANR29&gt;3.0.CO;2-K.</w:t>
      </w:r>
    </w:p>
    <w:p>
      <w:pPr>
        <w:pStyle w:val="Normal.0"/>
        <w:spacing w:line="240" w:lineRule="auto"/>
        <w:rPr>
          <w:rStyle w:val="None"/>
          <w:rFonts w:ascii="Times New Roman" w:cs="Times New Roman" w:hAnsi="Times New Roman" w:eastAsia="Times New Roman"/>
          <w:sz w:val="24"/>
          <w:szCs w:val="24"/>
          <w:lang w:val="en-US"/>
        </w:rPr>
      </w:pPr>
      <w:r>
        <w:rPr>
          <w:rStyle w:val="None"/>
          <w:rFonts w:ascii="Times New Roman" w:hAnsi="Times New Roman"/>
          <w:color w:val="000000"/>
          <w:sz w:val="24"/>
          <w:szCs w:val="24"/>
          <w:u w:color="000000"/>
          <w:shd w:val="clear" w:color="auto" w:fill="ffffff"/>
          <w:rtl w:val="0"/>
          <w:lang w:val="en-US"/>
        </w:rPr>
        <w:t>S</w:t>
      </w:r>
      <w:r>
        <w:rPr>
          <w:rStyle w:val="None"/>
          <w:rFonts w:ascii="Times New Roman" w:hAnsi="Times New Roman" w:hint="default"/>
          <w:color w:val="000000"/>
          <w:sz w:val="24"/>
          <w:szCs w:val="24"/>
          <w:u w:color="000000"/>
          <w:shd w:val="clear" w:color="auto" w:fill="ffffff"/>
          <w:rtl w:val="0"/>
          <w:lang w:val="en-US"/>
        </w:rPr>
        <w:t>á</w:t>
      </w:r>
      <w:r>
        <w:rPr>
          <w:rStyle w:val="None"/>
          <w:rFonts w:ascii="Times New Roman" w:hAnsi="Times New Roman"/>
          <w:color w:val="000000"/>
          <w:sz w:val="24"/>
          <w:szCs w:val="24"/>
          <w:u w:color="000000"/>
          <w:shd w:val="clear" w:color="auto" w:fill="ffffff"/>
          <w:rtl w:val="0"/>
          <w:lang w:val="en-US"/>
        </w:rPr>
        <w:t>nchez, A. I., D</w:t>
      </w:r>
      <w:r>
        <w:rPr>
          <w:rStyle w:val="None"/>
          <w:rFonts w:ascii="Times New Roman" w:hAnsi="Times New Roman" w:hint="default"/>
          <w:color w:val="000000"/>
          <w:sz w:val="24"/>
          <w:szCs w:val="24"/>
          <w:u w:color="000000"/>
          <w:shd w:val="clear" w:color="auto" w:fill="ffffff"/>
          <w:rtl w:val="0"/>
          <w:lang w:val="en-US"/>
        </w:rPr>
        <w:t>í</w:t>
      </w:r>
      <w:r>
        <w:rPr>
          <w:rStyle w:val="None"/>
          <w:rFonts w:ascii="Times New Roman" w:hAnsi="Times New Roman"/>
          <w:color w:val="000000"/>
          <w:sz w:val="24"/>
          <w:szCs w:val="24"/>
          <w:u w:color="000000"/>
          <w:shd w:val="clear" w:color="auto" w:fill="ffffff"/>
          <w:rtl w:val="0"/>
          <w:lang w:val="en-US"/>
        </w:rPr>
        <w:t>az-Piedra, C., Mir</w:t>
      </w:r>
      <w:r>
        <w:rPr>
          <w:rStyle w:val="None"/>
          <w:rFonts w:ascii="Times New Roman" w:hAnsi="Times New Roman" w:hint="default"/>
          <w:color w:val="000000"/>
          <w:sz w:val="24"/>
          <w:szCs w:val="24"/>
          <w:u w:color="000000"/>
          <w:shd w:val="clear" w:color="auto" w:fill="ffffff"/>
          <w:rtl w:val="0"/>
          <w:lang w:val="en-US"/>
        </w:rPr>
        <w:t>ó</w:t>
      </w:r>
      <w:r>
        <w:rPr>
          <w:rStyle w:val="None"/>
          <w:rFonts w:ascii="Times New Roman" w:hAnsi="Times New Roman"/>
          <w:color w:val="000000"/>
          <w:sz w:val="24"/>
          <w:szCs w:val="24"/>
          <w:u w:color="000000"/>
          <w:shd w:val="clear" w:color="auto" w:fill="ffffff"/>
          <w:rtl w:val="0"/>
          <w:lang w:val="en-US"/>
        </w:rPr>
        <w:t>, E., Mart</w:t>
      </w:r>
      <w:r>
        <w:rPr>
          <w:rStyle w:val="None"/>
          <w:rFonts w:ascii="Times New Roman" w:hAnsi="Times New Roman" w:hint="default"/>
          <w:color w:val="000000"/>
          <w:sz w:val="24"/>
          <w:szCs w:val="24"/>
          <w:u w:color="000000"/>
          <w:shd w:val="clear" w:color="auto" w:fill="ffffff"/>
          <w:rtl w:val="0"/>
          <w:lang w:val="en-US"/>
        </w:rPr>
        <w:t>í</w:t>
      </w:r>
      <w:r>
        <w:rPr>
          <w:rStyle w:val="None"/>
          <w:rFonts w:ascii="Times New Roman" w:hAnsi="Times New Roman"/>
          <w:color w:val="000000"/>
          <w:sz w:val="24"/>
          <w:szCs w:val="24"/>
          <w:u w:color="000000"/>
          <w:shd w:val="clear" w:color="auto" w:fill="ffffff"/>
          <w:rtl w:val="0"/>
          <w:lang w:val="en-US"/>
        </w:rPr>
        <w:t>nez, M. P., G</w:t>
      </w:r>
      <w:r>
        <w:rPr>
          <w:rStyle w:val="None"/>
          <w:rFonts w:ascii="Times New Roman" w:hAnsi="Times New Roman" w:hint="default"/>
          <w:color w:val="000000"/>
          <w:sz w:val="24"/>
          <w:szCs w:val="24"/>
          <w:u w:color="000000"/>
          <w:shd w:val="clear" w:color="auto" w:fill="ffffff"/>
          <w:rtl w:val="0"/>
          <w:lang w:val="en-US"/>
        </w:rPr>
        <w:t>á</w:t>
      </w:r>
      <w:r>
        <w:rPr>
          <w:rStyle w:val="None"/>
          <w:rFonts w:ascii="Times New Roman" w:hAnsi="Times New Roman"/>
          <w:color w:val="000000"/>
          <w:sz w:val="24"/>
          <w:szCs w:val="24"/>
          <w:u w:color="000000"/>
          <w:shd w:val="clear" w:color="auto" w:fill="ffffff"/>
          <w:rtl w:val="0"/>
          <w:lang w:val="en-US"/>
        </w:rPr>
        <w:t xml:space="preserve">lvez, R. Buela-Casal, g. (2012). Effects of cognitive-behavioral therapy for insomnia on polysomnographic parameters in fibromyalgia patients. </w:t>
      </w:r>
      <w:r>
        <w:rPr>
          <w:rStyle w:val="None"/>
          <w:rFonts w:ascii="Times New Roman" w:hAnsi="Times New Roman"/>
          <w:i w:val="1"/>
          <w:iCs w:val="1"/>
          <w:color w:val="000000"/>
          <w:sz w:val="24"/>
          <w:szCs w:val="24"/>
          <w:u w:color="000000"/>
          <w:shd w:val="clear" w:color="auto" w:fill="ffffff"/>
          <w:rtl w:val="0"/>
          <w:lang w:val="en-US"/>
        </w:rPr>
        <w:t>International Journal of Clinical and Health Psychology,</w:t>
      </w:r>
      <w:r>
        <w:rPr>
          <w:rStyle w:val="None"/>
          <w:rFonts w:ascii="Times New Roman" w:hAnsi="Times New Roman"/>
          <w:color w:val="000000"/>
          <w:sz w:val="24"/>
          <w:szCs w:val="24"/>
          <w:u w:color="000000"/>
          <w:shd w:val="clear" w:color="auto" w:fill="ffffff"/>
          <w:rtl w:val="0"/>
          <w:lang w:val="en-US"/>
        </w:rPr>
        <w:t xml:space="preserve"> 12(1), 39-53.</w:t>
      </w:r>
    </w:p>
    <w:p>
      <w:pPr>
        <w:pStyle w:val="Normal.0"/>
        <w:spacing w:line="240" w:lineRule="auto"/>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rtl w:val="0"/>
          <w:lang w:val="en-US"/>
        </w:rPr>
        <w:t>Sicras-Mainar, A., Blanca-Tamayo, M., Navarro-Artieda, R. y Rejas-Guti</w:t>
      </w:r>
      <w:r>
        <w:rPr>
          <w:rStyle w:val="None"/>
          <w:rFonts w:ascii="Times New Roman" w:hAnsi="Times New Roman" w:hint="default"/>
          <w:sz w:val="24"/>
          <w:szCs w:val="24"/>
          <w:rtl w:val="0"/>
          <w:lang w:val="en-US"/>
        </w:rPr>
        <w:t>é</w:t>
      </w:r>
      <w:r>
        <w:rPr>
          <w:rStyle w:val="None"/>
          <w:rFonts w:ascii="Times New Roman" w:hAnsi="Times New Roman"/>
          <w:sz w:val="24"/>
          <w:szCs w:val="24"/>
          <w:rtl w:val="0"/>
          <w:lang w:val="en-US"/>
        </w:rPr>
        <w:t xml:space="preserve">rrez, J. (2009). </w:t>
      </w:r>
      <w:r>
        <w:rPr>
          <w:rStyle w:val="None"/>
          <w:rFonts w:ascii="Times New Roman" w:hAnsi="Times New Roman"/>
          <w:sz w:val="24"/>
          <w:szCs w:val="24"/>
          <w:rtl w:val="0"/>
          <w:lang w:val="es-ES_tradnl"/>
        </w:rPr>
        <w:t>Perfil de uso de recursos y costes en pacientes que demandan atenci</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 xml:space="preserve">n por fibromialgia o trastorno de ansiedad generalizada en el </w:t>
      </w:r>
      <w:r>
        <w:rPr>
          <w:rStyle w:val="None"/>
          <w:rFonts w:ascii="Times New Roman" w:hAnsi="Times New Roman" w:hint="default"/>
          <w:sz w:val="24"/>
          <w:szCs w:val="24"/>
          <w:rtl w:val="0"/>
          <w:lang w:val="es-ES_tradnl"/>
        </w:rPr>
        <w:t>á</w:t>
      </w:r>
      <w:r>
        <w:rPr>
          <w:rStyle w:val="None"/>
          <w:rFonts w:ascii="Times New Roman" w:hAnsi="Times New Roman"/>
          <w:sz w:val="24"/>
          <w:szCs w:val="24"/>
          <w:rtl w:val="0"/>
          <w:lang w:val="es-ES_tradnl"/>
        </w:rPr>
        <w:t>mbito de la atenci</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 xml:space="preserve">n primaria de salud. </w:t>
      </w:r>
      <w:r>
        <w:rPr>
          <w:rStyle w:val="None"/>
          <w:rFonts w:ascii="Times New Roman" w:hAnsi="Times New Roman"/>
          <w:i w:val="1"/>
          <w:iCs w:val="1"/>
          <w:sz w:val="24"/>
          <w:szCs w:val="24"/>
          <w:rtl w:val="0"/>
          <w:lang w:val="es-ES_tradnl"/>
        </w:rPr>
        <w:t>Atenci</w:t>
      </w:r>
      <w:r>
        <w:rPr>
          <w:rStyle w:val="None"/>
          <w:rFonts w:ascii="Times New Roman" w:hAnsi="Times New Roman" w:hint="default"/>
          <w:i w:val="1"/>
          <w:iCs w:val="1"/>
          <w:sz w:val="24"/>
          <w:szCs w:val="24"/>
          <w:rtl w:val="0"/>
          <w:lang w:val="es-ES_tradnl"/>
        </w:rPr>
        <w:t>ó</w:t>
      </w:r>
      <w:r>
        <w:rPr>
          <w:rStyle w:val="None"/>
          <w:rFonts w:ascii="Times New Roman" w:hAnsi="Times New Roman"/>
          <w:i w:val="1"/>
          <w:iCs w:val="1"/>
          <w:sz w:val="24"/>
          <w:szCs w:val="24"/>
          <w:rtl w:val="0"/>
          <w:lang w:val="es-ES_tradnl"/>
        </w:rPr>
        <w:t>n Primaria,</w:t>
      </w:r>
      <w:r>
        <w:rPr>
          <w:rStyle w:val="None"/>
          <w:rFonts w:ascii="Times New Roman" w:hAnsi="Times New Roman"/>
          <w:sz w:val="24"/>
          <w:szCs w:val="24"/>
          <w:rtl w:val="0"/>
          <w:lang w:val="es-ES_tradnl"/>
        </w:rPr>
        <w:t xml:space="preserve"> 41(2), 77-84. doi:</w:t>
      </w:r>
      <w:r>
        <w:rPr>
          <w:rStyle w:val="None"/>
          <w:rFonts w:ascii="Times New Roman" w:hAnsi="Times New Roman"/>
          <w:sz w:val="24"/>
          <w:szCs w:val="24"/>
          <w:shd w:val="clear" w:color="auto" w:fill="ffffff"/>
          <w:rtl w:val="0"/>
          <w:lang w:val="es-ES_tradnl"/>
        </w:rPr>
        <w:t>10.1016/j.aprim.2008.09.008.</w:t>
      </w:r>
    </w:p>
    <w:p>
      <w:pPr>
        <w:pStyle w:val="Normal.0"/>
        <w:spacing w:line="240" w:lineRule="auto"/>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rtl w:val="0"/>
          <w:lang w:val="es-ES_tradnl"/>
        </w:rPr>
        <w:t xml:space="preserve">Spaeth, M. Rizzi, M. y Sarzi-Puttini (2011). </w:t>
      </w:r>
      <w:r>
        <w:rPr>
          <w:rStyle w:val="None"/>
          <w:rFonts w:ascii="Times New Roman" w:hAnsi="Times New Roman"/>
          <w:sz w:val="24"/>
          <w:szCs w:val="24"/>
          <w:rtl w:val="0"/>
          <w:lang w:val="en-US"/>
        </w:rPr>
        <w:t xml:space="preserve">Fibromyalgia and sleep. </w:t>
      </w:r>
      <w:r>
        <w:rPr>
          <w:rStyle w:val="None"/>
          <w:rFonts w:ascii="Times New Roman" w:hAnsi="Times New Roman"/>
          <w:i w:val="1"/>
          <w:iCs w:val="1"/>
          <w:sz w:val="24"/>
          <w:szCs w:val="24"/>
          <w:rtl w:val="0"/>
          <w:lang w:val="en-US"/>
        </w:rPr>
        <w:t>Best Practice and Research Clinical Rheumatology,</w:t>
      </w:r>
      <w:r>
        <w:rPr>
          <w:rStyle w:val="None"/>
          <w:rFonts w:ascii="Times New Roman" w:hAnsi="Times New Roman"/>
          <w:sz w:val="24"/>
          <w:szCs w:val="24"/>
          <w:rtl w:val="0"/>
          <w:lang w:val="en-US"/>
        </w:rPr>
        <w:t xml:space="preserve"> 25(2), 227-239. doi:10.1016/j.berh.2011.03.004.</w:t>
      </w:r>
    </w:p>
    <w:p>
      <w:pPr>
        <w:pStyle w:val="Normal.0"/>
        <w:spacing w:line="240" w:lineRule="auto"/>
        <w:rPr>
          <w:rStyle w:val="None"/>
          <w:rFonts w:ascii="Times New Roman" w:cs="Times New Roman" w:hAnsi="Times New Roman" w:eastAsia="Times New Roman"/>
          <w:sz w:val="24"/>
          <w:szCs w:val="24"/>
          <w:shd w:val="clear" w:color="auto" w:fill="ffffff"/>
          <w:lang w:val="en-US"/>
        </w:rPr>
      </w:pPr>
      <w:r>
        <w:rPr>
          <w:rStyle w:val="None"/>
          <w:rFonts w:ascii="Times New Roman" w:hAnsi="Times New Roman"/>
          <w:sz w:val="24"/>
          <w:szCs w:val="24"/>
          <w:rtl w:val="0"/>
          <w:lang w:val="en-US"/>
        </w:rPr>
        <w:t xml:space="preserve">Stone, K. C., Taylor, D. J., McCrae, C. S., Kalsekar, A. y Lichstein, K. L. (2008). Nonrestorative sleep. </w:t>
      </w:r>
      <w:r>
        <w:rPr>
          <w:rStyle w:val="None"/>
          <w:rFonts w:ascii="Times New Roman" w:hAnsi="Times New Roman"/>
          <w:i w:val="1"/>
          <w:iCs w:val="1"/>
          <w:sz w:val="24"/>
          <w:szCs w:val="24"/>
          <w:rtl w:val="0"/>
          <w:lang w:val="en-US"/>
        </w:rPr>
        <w:t>Sleep Medicine Reviews,</w:t>
      </w:r>
      <w:r>
        <w:rPr>
          <w:rStyle w:val="None"/>
          <w:rFonts w:ascii="Times New Roman" w:hAnsi="Times New Roman"/>
          <w:sz w:val="24"/>
          <w:szCs w:val="24"/>
          <w:rtl w:val="0"/>
          <w:lang w:val="en-US"/>
        </w:rPr>
        <w:t xml:space="preserve"> 12(4), 275-288. doi:</w:t>
      </w:r>
      <w:r>
        <w:rPr>
          <w:rStyle w:val="None"/>
          <w:rFonts w:ascii="Times New Roman" w:hAnsi="Times New Roman"/>
          <w:sz w:val="24"/>
          <w:szCs w:val="24"/>
          <w:shd w:val="clear" w:color="auto" w:fill="ffffff"/>
          <w:rtl w:val="0"/>
          <w:lang w:val="en-US"/>
        </w:rPr>
        <w:t>10.1016/j.smrv.2007.12.002.</w:t>
      </w:r>
    </w:p>
    <w:p>
      <w:pPr>
        <w:pStyle w:val="Normal.0"/>
        <w:spacing w:line="240" w:lineRule="auto"/>
        <w:rPr>
          <w:rStyle w:val="None"/>
          <w:rFonts w:ascii="Times New Roman" w:cs="Times New Roman" w:hAnsi="Times New Roman" w:eastAsia="Times New Roman"/>
          <w:sz w:val="24"/>
          <w:szCs w:val="24"/>
          <w:shd w:val="clear" w:color="auto" w:fill="ffffff"/>
          <w:lang w:val="en-US"/>
        </w:rPr>
      </w:pPr>
      <w:r>
        <w:rPr>
          <w:rStyle w:val="None"/>
          <w:rFonts w:ascii="Times New Roman" w:hAnsi="Times New Roman"/>
          <w:sz w:val="24"/>
          <w:szCs w:val="24"/>
          <w:rtl w:val="0"/>
          <w:lang w:val="en-US"/>
        </w:rPr>
        <w:t xml:space="preserve">Theadom, A. y Cropley, M. (2008). Dysfunctional beliefs, stress and sleep disturbance in fibromyalgia. </w:t>
      </w:r>
      <w:r>
        <w:rPr>
          <w:rStyle w:val="None"/>
          <w:rFonts w:ascii="Times New Roman" w:hAnsi="Times New Roman"/>
          <w:i w:val="1"/>
          <w:iCs w:val="1"/>
          <w:sz w:val="24"/>
          <w:szCs w:val="24"/>
          <w:rtl w:val="0"/>
          <w:lang w:val="en-US"/>
        </w:rPr>
        <w:t>Sleep Medicine</w:t>
      </w:r>
      <w:r>
        <w:rPr>
          <w:rStyle w:val="None"/>
          <w:rFonts w:ascii="Times New Roman" w:hAnsi="Times New Roman"/>
          <w:sz w:val="24"/>
          <w:szCs w:val="24"/>
          <w:rtl w:val="0"/>
          <w:lang w:val="en-US"/>
        </w:rPr>
        <w:t>, 9(4), 376-381. doi:</w:t>
      </w:r>
      <w:r>
        <w:rPr>
          <w:rStyle w:val="None"/>
          <w:rFonts w:ascii="Times New Roman" w:hAnsi="Times New Roman"/>
          <w:sz w:val="24"/>
          <w:szCs w:val="24"/>
          <w:shd w:val="clear" w:color="auto" w:fill="ffffff"/>
          <w:rtl w:val="0"/>
          <w:lang w:val="en-US"/>
        </w:rPr>
        <w:t>10.1016/j.sleep.2007.06.005.</w:t>
      </w:r>
    </w:p>
    <w:p>
      <w:pPr>
        <w:pStyle w:val="Normal.0"/>
        <w:spacing w:line="240" w:lineRule="auto"/>
        <w:rPr>
          <w:rStyle w:val="None"/>
          <w:rFonts w:ascii="Times New Roman" w:cs="Times New Roman" w:hAnsi="Times New Roman" w:eastAsia="Times New Roman"/>
          <w:sz w:val="24"/>
          <w:szCs w:val="24"/>
          <w:shd w:val="clear" w:color="auto" w:fill="ffffff"/>
          <w:lang w:val="en-US"/>
        </w:rPr>
      </w:pPr>
      <w:r>
        <w:rPr>
          <w:rStyle w:val="None"/>
          <w:rFonts w:ascii="Times New Roman" w:hAnsi="Times New Roman"/>
          <w:sz w:val="24"/>
          <w:szCs w:val="24"/>
          <w:rtl w:val="0"/>
          <w:lang w:val="en-US"/>
        </w:rPr>
        <w:t xml:space="preserve">Theadom, A., Cropley, M. y Humphrey, K. (2007). Exploring the role on sleep and coping in quality of life in fibromyalgia. </w:t>
      </w:r>
      <w:r>
        <w:rPr>
          <w:rStyle w:val="None"/>
          <w:rFonts w:ascii="Times New Roman" w:hAnsi="Times New Roman"/>
          <w:i w:val="1"/>
          <w:iCs w:val="1"/>
          <w:sz w:val="24"/>
          <w:szCs w:val="24"/>
          <w:rtl w:val="0"/>
          <w:lang w:val="en-US"/>
        </w:rPr>
        <w:t>Journal of Psychosomatic Research</w:t>
      </w:r>
      <w:r>
        <w:rPr>
          <w:rStyle w:val="None"/>
          <w:rFonts w:ascii="Times New Roman" w:hAnsi="Times New Roman"/>
          <w:sz w:val="24"/>
          <w:szCs w:val="24"/>
          <w:rtl w:val="0"/>
          <w:lang w:val="en-US"/>
        </w:rPr>
        <w:t>, 62(2), 145-151. doi:</w:t>
      </w:r>
      <w:r>
        <w:rPr>
          <w:rStyle w:val="None"/>
          <w:rFonts w:ascii="Arial Unicode MS" w:hAnsi="Arial Unicode MS"/>
          <w:color w:val="2e2e2e"/>
          <w:sz w:val="24"/>
          <w:szCs w:val="24"/>
          <w:u w:color="2e2e2e"/>
          <w:shd w:val="clear" w:color="auto" w:fill="ffffff"/>
          <w:rtl w:val="0"/>
          <w:lang w:val="en-US"/>
        </w:rPr>
        <w:t xml:space="preserve"> </w:t>
      </w:r>
      <w:r>
        <w:rPr>
          <w:rStyle w:val="None"/>
          <w:rFonts w:ascii="Times New Roman" w:hAnsi="Times New Roman"/>
          <w:sz w:val="24"/>
          <w:szCs w:val="24"/>
          <w:shd w:val="clear" w:color="auto" w:fill="ffffff"/>
          <w:rtl w:val="0"/>
          <w:lang w:val="en-US"/>
        </w:rPr>
        <w:t>10.1016/j.jpsychores.2006.09.013.</w:t>
      </w:r>
    </w:p>
    <w:p>
      <w:pPr>
        <w:pStyle w:val="Normal.0"/>
        <w:spacing w:line="240" w:lineRule="auto"/>
        <w:rPr>
          <w:rStyle w:val="None"/>
          <w:rFonts w:ascii="Times New Roman" w:cs="Times New Roman" w:hAnsi="Times New Roman" w:eastAsia="Times New Roman"/>
          <w:sz w:val="24"/>
          <w:szCs w:val="24"/>
          <w:shd w:val="clear" w:color="auto" w:fill="ffffff"/>
          <w:lang w:val="en-US"/>
        </w:rPr>
      </w:pPr>
      <w:r>
        <w:rPr>
          <w:rStyle w:val="None"/>
          <w:rFonts w:ascii="Times New Roman" w:hAnsi="Times New Roman"/>
          <w:sz w:val="24"/>
          <w:szCs w:val="24"/>
          <w:rtl w:val="0"/>
          <w:lang w:val="en-US"/>
        </w:rPr>
        <w:t xml:space="preserve">Wilkinson, K. y Shapiro, C. (2012). Nonrestorative sleep: Symptom or unique diagnostic entity. </w:t>
      </w:r>
      <w:r>
        <w:rPr>
          <w:rStyle w:val="None"/>
          <w:rFonts w:ascii="Times New Roman" w:hAnsi="Times New Roman"/>
          <w:i w:val="1"/>
          <w:iCs w:val="1"/>
          <w:sz w:val="24"/>
          <w:szCs w:val="24"/>
          <w:rtl w:val="0"/>
          <w:lang w:val="en-US"/>
        </w:rPr>
        <w:t>Sleep Medicine,</w:t>
      </w:r>
      <w:r>
        <w:rPr>
          <w:rStyle w:val="None"/>
          <w:rFonts w:ascii="Times New Roman" w:hAnsi="Times New Roman"/>
          <w:sz w:val="24"/>
          <w:szCs w:val="24"/>
          <w:rtl w:val="0"/>
          <w:lang w:val="en-US"/>
        </w:rPr>
        <w:t xml:space="preserve"> 13(6), 561-569.</w:t>
      </w:r>
      <w:r>
        <w:rPr>
          <w:rStyle w:val="None"/>
          <w:rFonts w:ascii="Arial Unicode MS" w:hAnsi="Arial Unicode MS"/>
          <w:color w:val="2e2e2e"/>
          <w:sz w:val="24"/>
          <w:szCs w:val="24"/>
          <w:u w:color="2e2e2e"/>
          <w:shd w:val="clear" w:color="auto" w:fill="ffffff"/>
          <w:rtl w:val="0"/>
          <w:lang w:val="en-US"/>
        </w:rPr>
        <w:t xml:space="preserve"> </w:t>
      </w:r>
      <w:r>
        <w:rPr>
          <w:rStyle w:val="None"/>
          <w:rFonts w:ascii="Times New Roman" w:hAnsi="Times New Roman"/>
          <w:sz w:val="24"/>
          <w:szCs w:val="24"/>
          <w:shd w:val="clear" w:color="auto" w:fill="ffffff"/>
          <w:rtl w:val="0"/>
          <w:lang w:val="en-US"/>
        </w:rPr>
        <w:t>10.1016/j.sleep.2012.02.002.</w:t>
      </w:r>
    </w:p>
    <w:p>
      <w:pPr>
        <w:pStyle w:val="Normal.0"/>
        <w:spacing w:line="240" w:lineRule="auto"/>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Wolfe, F., Clauw, D. J., Fitzcharles, M. A.,  Goldenberg, D. L., H</w:t>
      </w:r>
      <w:r>
        <w:rPr>
          <w:rStyle w:val="None"/>
          <w:rFonts w:ascii="Times New Roman" w:hAnsi="Times New Roman" w:hint="default"/>
          <w:sz w:val="24"/>
          <w:szCs w:val="24"/>
          <w:rtl w:val="0"/>
          <w:lang w:val="en-US"/>
        </w:rPr>
        <w:t>ä</w:t>
      </w:r>
      <w:r>
        <w:rPr>
          <w:rStyle w:val="None"/>
          <w:rFonts w:ascii="Times New Roman" w:hAnsi="Times New Roman"/>
          <w:sz w:val="24"/>
          <w:szCs w:val="24"/>
          <w:rtl w:val="0"/>
          <w:lang w:val="en-US"/>
        </w:rPr>
        <w:t>user, W. Katz, R. S., Mease, P., Russell,  A. S., Russell, I. J., y Winfield, J. B. (2011). Fibromyalgia criteria and severity scales for clinical and epidemiological studies: a modification of ACR preliminary diagnostic criteria for fibromyalgia.</w:t>
      </w:r>
      <w:r>
        <w:rPr>
          <w:rStyle w:val="None"/>
          <w:rFonts w:ascii="Times New Roman" w:hAnsi="Times New Roman"/>
          <w:i w:val="1"/>
          <w:iCs w:val="1"/>
          <w:sz w:val="24"/>
          <w:szCs w:val="24"/>
          <w:rtl w:val="0"/>
          <w:lang w:val="en-US"/>
        </w:rPr>
        <w:t xml:space="preserve"> Journal of Rheumatology,</w:t>
      </w:r>
      <w:r>
        <w:rPr>
          <w:rStyle w:val="None"/>
          <w:rFonts w:ascii="Times New Roman" w:hAnsi="Times New Roman"/>
          <w:sz w:val="24"/>
          <w:szCs w:val="24"/>
          <w:rtl w:val="0"/>
          <w:lang w:val="en-US"/>
        </w:rPr>
        <w:t xml:space="preserve"> 38(6), 1113-1122. doi:10.3899/jrheum.100594.</w:t>
      </w:r>
    </w:p>
    <w:p>
      <w:pPr>
        <w:pStyle w:val="Normal.0"/>
        <w:spacing w:line="240" w:lineRule="auto"/>
        <w:rPr>
          <w:rStyle w:val="None"/>
          <w:rFonts w:ascii="Times New Roman" w:cs="Times New Roman" w:hAnsi="Times New Roman" w:eastAsia="Times New Roman"/>
          <w:sz w:val="24"/>
          <w:szCs w:val="24"/>
          <w:shd w:val="clear" w:color="auto" w:fill="ffffff"/>
          <w:lang w:val="en-US"/>
        </w:rPr>
      </w:pPr>
      <w:r>
        <w:rPr>
          <w:rStyle w:val="None"/>
          <w:rFonts w:ascii="Times New Roman" w:hAnsi="Times New Roman"/>
          <w:sz w:val="24"/>
          <w:szCs w:val="24"/>
          <w:rtl w:val="0"/>
          <w:lang w:val="en-US"/>
        </w:rPr>
        <w:t xml:space="preserve">Wolfe, F., Clauw, D. J., Fitzcharles, M. A.,  Goldenberg, D. L., Katz, R. S., Mease, P., Russell,  A. S., Russell, I. J., Winfield, J. B. y Yunus, M. B. (2010). The American College of Rheumatology preliminary diagnostic criteria for fibromyalgia and measurement of symptom severity. </w:t>
      </w:r>
      <w:r>
        <w:rPr>
          <w:rStyle w:val="None"/>
          <w:rFonts w:ascii="Times New Roman" w:hAnsi="Times New Roman"/>
          <w:i w:val="1"/>
          <w:iCs w:val="1"/>
          <w:sz w:val="24"/>
          <w:szCs w:val="24"/>
          <w:rtl w:val="0"/>
          <w:lang w:val="en-US"/>
        </w:rPr>
        <w:t>Arthritis Care and Research,</w:t>
      </w:r>
      <w:r>
        <w:rPr>
          <w:rStyle w:val="None"/>
          <w:rFonts w:ascii="Times New Roman" w:hAnsi="Times New Roman"/>
          <w:sz w:val="24"/>
          <w:szCs w:val="24"/>
          <w:rtl w:val="0"/>
          <w:lang w:val="en-US"/>
        </w:rPr>
        <w:t xml:space="preserve"> 2 (5), 600-610. doi: 10.1002/acr20140.</w:t>
      </w:r>
    </w:p>
    <w:p>
      <w:pPr>
        <w:pStyle w:val="Normal.0"/>
        <w:spacing w:line="240" w:lineRule="auto"/>
        <w:rPr>
          <w:rStyle w:val="None"/>
          <w:rFonts w:ascii="Times New Roman" w:cs="Times New Roman" w:hAnsi="Times New Roman" w:eastAsia="Times New Roman"/>
          <w:sz w:val="24"/>
          <w:szCs w:val="24"/>
          <w:shd w:val="clear" w:color="auto" w:fill="ffffff"/>
        </w:rPr>
      </w:pPr>
      <w:r>
        <w:rPr>
          <w:rStyle w:val="None"/>
          <w:rFonts w:ascii="Times New Roman" w:hAnsi="Times New Roman"/>
          <w:sz w:val="24"/>
          <w:szCs w:val="24"/>
          <w:rtl w:val="0"/>
          <w:lang w:val="en-US"/>
        </w:rPr>
        <w:t xml:space="preserve">Wolfe, F. y Hauser, W. (2011). </w:t>
      </w:r>
      <w:r>
        <w:rPr>
          <w:rStyle w:val="None"/>
          <w:rFonts w:ascii="Times New Roman" w:hAnsi="Times New Roman"/>
          <w:sz w:val="24"/>
          <w:szCs w:val="24"/>
          <w:rtl w:val="0"/>
          <w:lang w:val="es-ES_tradnl"/>
        </w:rPr>
        <w:t xml:space="preserve">Fibromyalgia diagnosis and diagnostic criteria. </w:t>
      </w:r>
      <w:r>
        <w:rPr>
          <w:rStyle w:val="None"/>
          <w:rFonts w:ascii="Times New Roman" w:hAnsi="Times New Roman"/>
          <w:i w:val="1"/>
          <w:iCs w:val="1"/>
          <w:sz w:val="24"/>
          <w:szCs w:val="24"/>
          <w:rtl w:val="0"/>
          <w:lang w:val="en-US"/>
        </w:rPr>
        <w:t>Annals of Medicine,</w:t>
      </w:r>
      <w:r>
        <w:rPr>
          <w:rStyle w:val="None"/>
          <w:rFonts w:ascii="Times New Roman" w:hAnsi="Times New Roman"/>
          <w:sz w:val="24"/>
          <w:szCs w:val="24"/>
          <w:rtl w:val="0"/>
          <w:lang w:val="en-US"/>
        </w:rPr>
        <w:t xml:space="preserve"> 43(7), 495-502. </w:t>
      </w:r>
      <w:r>
        <w:rPr>
          <w:rStyle w:val="None"/>
          <w:rFonts w:ascii="Times New Roman" w:hAnsi="Times New Roman"/>
          <w:sz w:val="24"/>
          <w:szCs w:val="24"/>
          <w:shd w:val="clear" w:color="auto" w:fill="ffffff"/>
          <w:rtl w:val="0"/>
          <w:lang w:val="en-US"/>
        </w:rPr>
        <w:t>doi:10.3109/07853890.2011.595734.</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Wolfe, F. W., Smythe, H. A., Yunas, M. B., Bennett, R. M., Bombardier, C. y Goldenberg, D. L. (1990). The American College of Rheumatology 1990 criteria for the classification of fibromyalgia.</w:t>
      </w:r>
      <w:r>
        <w:rPr>
          <w:rStyle w:val="None"/>
          <w:rFonts w:ascii="Times New Roman" w:hAnsi="Times New Roman"/>
          <w:i w:val="1"/>
          <w:iCs w:val="1"/>
          <w:sz w:val="24"/>
          <w:szCs w:val="24"/>
          <w:rtl w:val="0"/>
          <w:lang w:val="en-US"/>
        </w:rPr>
        <w:t xml:space="preserve"> </w:t>
      </w:r>
      <w:r>
        <w:rPr>
          <w:rStyle w:val="None"/>
          <w:rFonts w:ascii="Times New Roman" w:hAnsi="Times New Roman"/>
          <w:i w:val="1"/>
          <w:iCs w:val="1"/>
          <w:sz w:val="24"/>
          <w:szCs w:val="24"/>
          <w:rtl w:val="0"/>
          <w:lang w:val="es-ES_tradnl"/>
        </w:rPr>
        <w:t>Arthritis Rheumatology</w:t>
      </w:r>
      <w:r>
        <w:rPr>
          <w:rStyle w:val="None"/>
          <w:rFonts w:ascii="Times New Roman" w:hAnsi="Times New Roman"/>
          <w:sz w:val="24"/>
          <w:szCs w:val="24"/>
          <w:rtl w:val="0"/>
          <w:lang w:val="es-ES_tradnl"/>
        </w:rPr>
        <w:t>, 33, 160-172. doi:</w:t>
      </w:r>
      <w:r>
        <w:rPr>
          <w:rStyle w:val="None"/>
          <w:rFonts w:ascii="Times New Roman" w:hAnsi="Times New Roman"/>
          <w:color w:val="000000"/>
          <w:sz w:val="24"/>
          <w:szCs w:val="24"/>
          <w:u w:color="000000"/>
          <w:shd w:val="clear" w:color="auto" w:fill="ffffff"/>
          <w:rtl w:val="0"/>
          <w:lang w:val="es-ES_tradnl"/>
        </w:rPr>
        <w:t>10.1002/acr.20140.</w:t>
      </w:r>
    </w:p>
    <w:p>
      <w:pPr>
        <w:pStyle w:val="Normal.0"/>
        <w:spacing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Zafra-Polo, M. T., Pastor-Mira, M. A. y L</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s-ES_tradnl"/>
        </w:rPr>
        <w:t xml:space="preserve">pez-Roig, S. (2014). Autoeficacia, miedo al movimiento y resultados de salud en fibromialgia. </w:t>
      </w:r>
      <w:r>
        <w:rPr>
          <w:rStyle w:val="None"/>
          <w:rFonts w:ascii="Times New Roman" w:hAnsi="Times New Roman"/>
          <w:i w:val="1"/>
          <w:iCs w:val="1"/>
          <w:sz w:val="24"/>
          <w:szCs w:val="24"/>
          <w:rtl w:val="0"/>
          <w:lang w:val="es-ES_tradnl"/>
        </w:rPr>
        <w:t>Anales de Psicolog</w:t>
      </w:r>
      <w:r>
        <w:rPr>
          <w:rStyle w:val="None"/>
          <w:rFonts w:ascii="Times New Roman" w:hAnsi="Times New Roman" w:hint="default"/>
          <w:i w:val="1"/>
          <w:iCs w:val="1"/>
          <w:sz w:val="24"/>
          <w:szCs w:val="24"/>
          <w:rtl w:val="0"/>
          <w:lang w:val="es-ES_tradnl"/>
        </w:rPr>
        <w:t>í</w:t>
      </w:r>
      <w:r>
        <w:rPr>
          <w:rStyle w:val="None"/>
          <w:rFonts w:ascii="Times New Roman" w:hAnsi="Times New Roman"/>
          <w:i w:val="1"/>
          <w:iCs w:val="1"/>
          <w:sz w:val="24"/>
          <w:szCs w:val="24"/>
          <w:rtl w:val="0"/>
          <w:lang w:val="es-ES_tradnl"/>
        </w:rPr>
        <w:t>a,</w:t>
      </w:r>
      <w:r>
        <w:rPr>
          <w:rStyle w:val="None"/>
          <w:rFonts w:ascii="Times New Roman" w:hAnsi="Times New Roman"/>
          <w:sz w:val="24"/>
          <w:szCs w:val="24"/>
          <w:rtl w:val="0"/>
          <w:lang w:val="es-ES_tradnl"/>
        </w:rPr>
        <w:t xml:space="preserve"> 30(1), 104-113. doi: 10.6018/analesps.30.1.151541.</w:t>
      </w:r>
    </w:p>
    <w:p>
      <w:pPr>
        <w:pStyle w:val="Normal.0"/>
        <w:spacing w:line="240" w:lineRule="auto"/>
        <w:rPr>
          <w:rStyle w:val="None"/>
          <w:rFonts w:ascii="Times New Roman" w:cs="Times New Roman" w:hAnsi="Times New Roman" w:eastAsia="Times New Roman"/>
          <w:sz w:val="24"/>
          <w:szCs w:val="24"/>
        </w:rPr>
      </w:pPr>
    </w:p>
    <w:p>
      <w:pPr>
        <w:pStyle w:val="Normal.0"/>
        <w:spacing w:line="240" w:lineRule="auto"/>
        <w:rPr>
          <w:rStyle w:val="None"/>
          <w:rFonts w:ascii="Times New Roman" w:cs="Times New Roman" w:hAnsi="Times New Roman" w:eastAsia="Times New Roman"/>
          <w:sz w:val="24"/>
          <w:szCs w:val="24"/>
        </w:rPr>
      </w:pPr>
    </w:p>
    <w:p>
      <w:pPr>
        <w:pStyle w:val="Normal.0"/>
        <w:spacing w:line="240" w:lineRule="auto"/>
        <w:rPr>
          <w:rStyle w:val="None"/>
          <w:rFonts w:ascii="Times New Roman" w:cs="Times New Roman" w:hAnsi="Times New Roman" w:eastAsia="Times New Roman"/>
          <w:sz w:val="24"/>
          <w:szCs w:val="24"/>
        </w:rPr>
      </w:pPr>
    </w:p>
    <w:p>
      <w:pPr>
        <w:pStyle w:val="Normal.0"/>
        <w:spacing w:line="240" w:lineRule="auto"/>
        <w:jc w:val="both"/>
        <w:rPr>
          <w:rStyle w:val="None"/>
          <w:rFonts w:ascii="Times New Roman" w:cs="Times New Roman" w:hAnsi="Times New Roman" w:eastAsia="Times New Roman"/>
        </w:rPr>
      </w:pPr>
    </w:p>
    <w:p>
      <w:pPr>
        <w:pStyle w:val="Normal.0"/>
        <w:spacing w:line="240" w:lineRule="auto"/>
        <w:ind w:firstLine="851"/>
        <w:jc w:val="both"/>
        <w:rPr>
          <w:rStyle w:val="None"/>
          <w:rFonts w:ascii="Times New Roman" w:cs="Times New Roman" w:hAnsi="Times New Roman" w:eastAsia="Times New Roman"/>
        </w:rPr>
      </w:pPr>
    </w:p>
    <w:p>
      <w:pPr>
        <w:pStyle w:val="Normal.0"/>
        <w:spacing w:line="240" w:lineRule="auto"/>
        <w:ind w:firstLine="851"/>
        <w:jc w:val="both"/>
        <w:rPr>
          <w:rStyle w:val="None"/>
          <w:rFonts w:ascii="Times New Roman" w:cs="Times New Roman" w:hAnsi="Times New Roman" w:eastAsia="Times New Roman"/>
        </w:rPr>
      </w:pPr>
      <w:r>
        <w:rPr>
          <w:rStyle w:val="None"/>
          <w:rFonts w:ascii="Times New Roman" w:hAnsi="Times New Roman"/>
          <w:rtl w:val="0"/>
          <w:lang w:val="es-ES_tradnl"/>
        </w:rPr>
        <w:t xml:space="preserve"> </w:t>
      </w:r>
    </w:p>
    <w:p>
      <w:pPr>
        <w:pStyle w:val="Normal.0"/>
        <w:spacing w:line="240" w:lineRule="auto"/>
        <w:jc w:val="both"/>
        <w:rPr>
          <w:rStyle w:val="None"/>
          <w:rFonts w:ascii="Times New Roman" w:cs="Times New Roman" w:hAnsi="Times New Roman" w:eastAsia="Times New Roman"/>
        </w:rPr>
      </w:pPr>
    </w:p>
    <w:p>
      <w:pPr>
        <w:pStyle w:val="Normal.0"/>
        <w:spacing w:line="240" w:lineRule="auto"/>
      </w:pPr>
      <w:r>
        <w:rPr>
          <w:rStyle w:val="None"/>
          <w:rFonts w:ascii="Times New Roman" w:cs="Times New Roman" w:hAnsi="Times New Roman" w:eastAsia="Times New Roman"/>
          <w:sz w:val="24"/>
          <w:szCs w:val="24"/>
        </w:rPr>
      </w:r>
    </w:p>
    <w:sectPr>
      <w:headerReference w:type="default" r:id="rId6"/>
      <w:footerReference w:type="default" r:id="rId7"/>
      <w:pgSz w:w="11900" w:h="16840" w:orient="portrait"/>
      <w:pgMar w:top="1418" w:right="1418" w:bottom="1418" w:left="1418"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Arial Narrow">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Pie de página"/>
        <w:rPr>
          <w:rFonts w:ascii="Times New Roman" w:cs="Times New Roman" w:hAnsi="Times New Roman" w:eastAsia="Times New Roman"/>
          <w:sz w:val="20"/>
          <w:szCs w:val="20"/>
        </w:rPr>
      </w:pPr>
      <w:r>
        <w:rPr>
          <w:rFonts w:ascii="Times New Roman" w:cs="Times New Roman" w:hAnsi="Times New Roman" w:eastAsia="Times New Roman"/>
          <w:sz w:val="24"/>
          <w:szCs w:val="24"/>
          <w:vertAlign w:val="superscript"/>
        </w:rPr>
        <w:footnoteRef/>
      </w:r>
      <w:r>
        <w:rPr>
          <w:rtl w:val="0"/>
        </w:rPr>
        <w:t xml:space="preserve"> </w:t>
      </w:r>
      <w:r>
        <w:rPr>
          <w:rFonts w:ascii="Times New Roman" w:hAnsi="Times New Roman"/>
          <w:sz w:val="20"/>
          <w:szCs w:val="20"/>
          <w:rtl w:val="0"/>
          <w:lang w:val="es-ES_tradnl"/>
        </w:rPr>
        <w:t>La correspondencia sobre este art</w:t>
      </w:r>
      <w:r>
        <w:rPr>
          <w:rFonts w:ascii="Times New Roman" w:hAnsi="Times New Roman" w:hint="default"/>
          <w:sz w:val="20"/>
          <w:szCs w:val="20"/>
          <w:rtl w:val="0"/>
          <w:lang w:val="es-ES_tradnl"/>
        </w:rPr>
        <w:t>í</w:t>
      </w:r>
      <w:r>
        <w:rPr>
          <w:rFonts w:ascii="Times New Roman" w:hAnsi="Times New Roman"/>
          <w:sz w:val="20"/>
          <w:szCs w:val="20"/>
          <w:rtl w:val="0"/>
          <w:lang w:val="es-ES_tradnl"/>
        </w:rPr>
        <w:t>culo debe enviarse a J. Esael Pineda-S</w:t>
      </w:r>
      <w:r>
        <w:rPr>
          <w:rFonts w:ascii="Times New Roman" w:hAnsi="Times New Roman" w:hint="default"/>
          <w:sz w:val="20"/>
          <w:szCs w:val="20"/>
          <w:rtl w:val="0"/>
          <w:lang w:val="es-ES_tradnl"/>
        </w:rPr>
        <w:t>á</w:t>
      </w:r>
      <w:r>
        <w:rPr>
          <w:rFonts w:ascii="Times New Roman" w:hAnsi="Times New Roman"/>
          <w:sz w:val="20"/>
          <w:szCs w:val="20"/>
          <w:rtl w:val="0"/>
          <w:lang w:val="es-ES_tradnl"/>
        </w:rPr>
        <w:t>nchez, Instituto de Ciencias de la Salud, UAEH. Circuito Ex Hacienda La Concepci</w:t>
      </w:r>
      <w:r>
        <w:rPr>
          <w:rFonts w:ascii="Times New Roman" w:hAnsi="Times New Roman" w:hint="default"/>
          <w:sz w:val="20"/>
          <w:szCs w:val="20"/>
          <w:rtl w:val="0"/>
          <w:lang w:val="es-ES_tradnl"/>
        </w:rPr>
        <w:t>ó</w:t>
      </w:r>
      <w:r>
        <w:rPr>
          <w:rFonts w:ascii="Times New Roman" w:hAnsi="Times New Roman"/>
          <w:sz w:val="20"/>
          <w:szCs w:val="20"/>
          <w:rtl w:val="0"/>
          <w:lang w:val="es-ES_tradnl"/>
        </w:rPr>
        <w:t>n, Carretera Pachuca Actopan, San Agust</w:t>
      </w:r>
      <w:r>
        <w:rPr>
          <w:rFonts w:ascii="Times New Roman" w:hAnsi="Times New Roman" w:hint="default"/>
          <w:sz w:val="20"/>
          <w:szCs w:val="20"/>
          <w:rtl w:val="0"/>
          <w:lang w:val="es-ES_tradnl"/>
        </w:rPr>
        <w:t>í</w:t>
      </w:r>
      <w:r>
        <w:rPr>
          <w:rFonts w:ascii="Times New Roman" w:hAnsi="Times New Roman"/>
          <w:sz w:val="20"/>
          <w:szCs w:val="20"/>
          <w:rtl w:val="0"/>
          <w:lang w:val="es-ES_tradnl"/>
        </w:rPr>
        <w:t>n Tlaxiaca, Hidalgo, M</w:t>
      </w:r>
      <w:r>
        <w:rPr>
          <w:rFonts w:ascii="Times New Roman" w:hAnsi="Times New Roman" w:hint="default"/>
          <w:sz w:val="20"/>
          <w:szCs w:val="20"/>
          <w:rtl w:val="0"/>
          <w:lang w:val="es-ES_tradnl"/>
        </w:rPr>
        <w:t>é</w:t>
      </w:r>
      <w:r>
        <w:rPr>
          <w:rFonts w:ascii="Times New Roman" w:hAnsi="Times New Roman"/>
          <w:sz w:val="20"/>
          <w:szCs w:val="20"/>
          <w:rtl w:val="0"/>
          <w:lang w:val="es-ES_tradnl"/>
        </w:rPr>
        <w:t>xico. C. P. 42160.</w:t>
      </w:r>
    </w:p>
    <w:p>
      <w:pPr>
        <w:pStyle w:val="Pie de página"/>
      </w:pPr>
      <w:r>
        <w:rPr>
          <w:rFonts w:ascii="Times New Roman" w:hAnsi="Times New Roman"/>
          <w:sz w:val="20"/>
          <w:szCs w:val="20"/>
          <w:rtl w:val="0"/>
          <w:lang w:val="es-ES_tradnl"/>
        </w:rPr>
        <w:t>e-mail: jose_pineda@uaeh.edu.mx</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English" w:val="‘“(〔[{〈《「『【⦅〘〖«〝︵︷︹︻︽︿﹁﹃﹇﹙﹛﹝｢"/>
  <w:noLineBreaksBefore w:lang="English" w:val="’”)〕]}〉"/>
  <w:footnotePr>
    <w:numFmt w:val="chicago"/>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Pie de página">
    <w:name w:val="Pie de página"/>
    <w:next w:val="Pie de página"/>
    <w:pPr>
      <w:keepNext w:val="0"/>
      <w:keepLines w:val="0"/>
      <w:pageBreakBefore w:val="0"/>
      <w:widowControl w:val="1"/>
      <w:shd w:val="clear" w:color="auto" w:fill="auto"/>
      <w:tabs>
        <w:tab w:val="center" w:pos="4419"/>
        <w:tab w:val="right" w:pos="8838"/>
      </w:tabs>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Párrafo de lista">
    <w:name w:val="Párrafo de lista"/>
    <w:next w:val="Párrafo de lista"/>
    <w:pPr>
      <w:keepNext w:val="0"/>
      <w:keepLines w:val="0"/>
      <w:pageBreakBefore w:val="0"/>
      <w:widowControl w:val="1"/>
      <w:shd w:val="clear" w:color="auto" w:fill="auto"/>
      <w:suppressAutoHyphens w:val="0"/>
      <w:bidi w:val="0"/>
      <w:spacing w:before="0" w:after="0" w:line="240" w:lineRule="auto"/>
      <w:ind w:left="708"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paragraph" w:styleId="Texto independiente">
    <w:name w:val="Texto independiente"/>
    <w:next w:val="Texto independient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Narrow" w:cs="Arial Unicode MS" w:hAnsi="Arial Narrow"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ff"/>
      <w:sz w:val="24"/>
      <w:szCs w:val="24"/>
      <w:u w:val="single" w:color="0000ff"/>
      <w:lang w:val="en-US"/>
    </w:rPr>
  </w:style>
  <w:style w:type="character" w:styleId="Hyperlink.1">
    <w:name w:val="Hyperlink.1"/>
    <w:basedOn w:val="None"/>
    <w:next w:val="Hyperlink.1"/>
    <w:rPr>
      <w:rFonts w:ascii="Times New Roman" w:cs="Times New Roman" w:hAnsi="Times New Roman" w:eastAsia="Times New Roman"/>
      <w:color w:val="0000ff"/>
      <w:sz w:val="24"/>
      <w:szCs w:val="24"/>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