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398" w:rsidRPr="00F66398" w:rsidRDefault="00F66398" w:rsidP="00F66398">
      <w:pPr>
        <w:spacing w:after="0" w:line="240" w:lineRule="auto"/>
        <w:jc w:val="center"/>
        <w:rPr>
          <w:rStyle w:val="hps"/>
          <w:rFonts w:ascii="Times New Roman" w:hAnsi="Times New Roman" w:cs="B Mitra"/>
          <w:b/>
          <w:bCs/>
          <w:color w:val="000000" w:themeColor="text1"/>
          <w:sz w:val="24"/>
          <w:szCs w:val="24"/>
        </w:rPr>
      </w:pPr>
      <w:r w:rsidRPr="00F66398">
        <w:rPr>
          <w:rFonts w:ascii="Times New Roman" w:hAnsi="Times New Roman" w:cs="B Mitra"/>
          <w:b/>
          <w:bCs/>
          <w:color w:val="000000" w:themeColor="text1"/>
          <w:sz w:val="24"/>
          <w:szCs w:val="24"/>
        </w:rPr>
        <w:t xml:space="preserve">A comparison of personality characteristics and copping styles in self-immolation patients and normal in </w:t>
      </w:r>
      <w:r w:rsidRPr="00F66398">
        <w:rPr>
          <w:rStyle w:val="hps"/>
          <w:rFonts w:ascii="Times New Roman" w:hAnsi="Times New Roman" w:cs="B Mitra"/>
          <w:b/>
          <w:bCs/>
          <w:color w:val="000000" w:themeColor="text1"/>
          <w:sz w:val="24"/>
          <w:szCs w:val="24"/>
        </w:rPr>
        <w:t>Imam Khomeini hospital</w:t>
      </w:r>
      <w:r w:rsidRPr="00F66398">
        <w:rPr>
          <w:rFonts w:ascii="Times New Roman" w:hAnsi="Times New Roman" w:cs="B Mitra"/>
          <w:b/>
          <w:bCs/>
          <w:color w:val="000000" w:themeColor="text1"/>
          <w:sz w:val="24"/>
          <w:szCs w:val="24"/>
        </w:rPr>
        <w:t xml:space="preserve"> </w:t>
      </w:r>
      <w:r w:rsidRPr="00F66398">
        <w:rPr>
          <w:rStyle w:val="hps"/>
          <w:rFonts w:ascii="Times New Roman" w:hAnsi="Times New Roman" w:cs="B Mitra"/>
          <w:b/>
          <w:bCs/>
          <w:color w:val="000000" w:themeColor="text1"/>
          <w:sz w:val="24"/>
          <w:szCs w:val="24"/>
        </w:rPr>
        <w:t>in</w:t>
      </w:r>
      <w:r w:rsidRPr="00F66398">
        <w:rPr>
          <w:rFonts w:ascii="Times New Roman" w:hAnsi="Times New Roman" w:cs="B Mitra"/>
          <w:b/>
          <w:bCs/>
          <w:color w:val="000000" w:themeColor="text1"/>
          <w:sz w:val="24"/>
          <w:szCs w:val="24"/>
        </w:rPr>
        <w:t xml:space="preserve"> </w:t>
      </w:r>
      <w:r w:rsidRPr="00F66398">
        <w:rPr>
          <w:rStyle w:val="hps"/>
          <w:rFonts w:ascii="Times New Roman" w:hAnsi="Times New Roman" w:cs="B Mitra"/>
          <w:b/>
          <w:bCs/>
          <w:color w:val="000000" w:themeColor="text1"/>
          <w:sz w:val="24"/>
          <w:szCs w:val="24"/>
        </w:rPr>
        <w:t>Kermanshah</w:t>
      </w:r>
    </w:p>
    <w:p w:rsidR="00F66398" w:rsidRPr="00F66398" w:rsidRDefault="00F66398" w:rsidP="00F66398">
      <w:pPr>
        <w:spacing w:after="0" w:line="240" w:lineRule="auto"/>
        <w:jc w:val="center"/>
        <w:rPr>
          <w:rFonts w:ascii="Times New Roman" w:hAnsi="Times New Roman" w:cs="B Mitra"/>
          <w:b/>
          <w:bCs/>
          <w:color w:val="000000" w:themeColor="text1"/>
          <w:sz w:val="20"/>
          <w:szCs w:val="20"/>
        </w:rPr>
      </w:pPr>
    </w:p>
    <w:p w:rsidR="00F66398" w:rsidRPr="00F66398" w:rsidRDefault="009B286E" w:rsidP="009B286E">
      <w:pPr>
        <w:spacing w:after="0" w:line="240" w:lineRule="auto"/>
        <w:jc w:val="center"/>
        <w:rPr>
          <w:rFonts w:ascii="Times New Roman" w:hAnsi="Times New Roman" w:cs="B Mitra"/>
          <w:b/>
          <w:bCs/>
          <w:i/>
          <w:iCs/>
          <w:sz w:val="20"/>
          <w:szCs w:val="20"/>
          <w:vertAlign w:val="superscript"/>
        </w:rPr>
      </w:pPr>
      <w:proofErr w:type="spellStart"/>
      <w:r>
        <w:rPr>
          <w:rFonts w:ascii="Times New Roman" w:hAnsi="Times New Roman" w:cs="B Mitra"/>
          <w:b/>
          <w:bCs/>
          <w:i/>
          <w:iCs/>
          <w:sz w:val="20"/>
          <w:szCs w:val="20"/>
        </w:rPr>
        <w:t>Pegah</w:t>
      </w:r>
      <w:proofErr w:type="spellEnd"/>
      <w:r>
        <w:rPr>
          <w:rFonts w:ascii="Times New Roman" w:hAnsi="Times New Roman" w:cs="B Mitra"/>
          <w:b/>
          <w:bCs/>
          <w:i/>
          <w:iCs/>
          <w:sz w:val="20"/>
          <w:szCs w:val="20"/>
        </w:rPr>
        <w:t xml:space="preserve"> </w:t>
      </w:r>
      <w:proofErr w:type="spellStart"/>
      <w:r>
        <w:rPr>
          <w:rFonts w:ascii="Times New Roman" w:hAnsi="Times New Roman" w:cs="B Mitra"/>
          <w:b/>
          <w:bCs/>
          <w:i/>
          <w:iCs/>
          <w:sz w:val="20"/>
          <w:szCs w:val="20"/>
        </w:rPr>
        <w:t>Bahramian</w:t>
      </w:r>
      <w:proofErr w:type="spellEnd"/>
      <w:r w:rsidR="00F66398" w:rsidRPr="00F66398">
        <w:rPr>
          <w:rFonts w:ascii="Times New Roman" w:hAnsi="Times New Roman" w:cs="Times New Roman"/>
          <w:b/>
          <w:bCs/>
          <w:color w:val="000000"/>
          <w:sz w:val="20"/>
          <w:szCs w:val="20"/>
          <w:vertAlign w:val="superscript"/>
          <w:rtl/>
        </w:rPr>
        <w:t>٭</w:t>
      </w:r>
      <w:r w:rsidR="00F66398" w:rsidRPr="00F66398">
        <w:rPr>
          <w:rFonts w:ascii="Times New Roman" w:hAnsi="Times New Roman" w:cs="B Mitra"/>
          <w:b/>
          <w:bCs/>
          <w:i/>
          <w:iCs/>
          <w:sz w:val="20"/>
          <w:szCs w:val="20"/>
        </w:rPr>
        <w:t xml:space="preserve">, </w:t>
      </w:r>
    </w:p>
    <w:p w:rsidR="00F66398" w:rsidRPr="00F66398" w:rsidRDefault="00F66398" w:rsidP="00F66398">
      <w:pPr>
        <w:autoSpaceDE w:val="0"/>
        <w:autoSpaceDN w:val="0"/>
        <w:adjustRightInd w:val="0"/>
        <w:spacing w:after="0" w:line="240" w:lineRule="auto"/>
        <w:jc w:val="center"/>
        <w:rPr>
          <w:rFonts w:ascii="Times New Roman" w:hAnsi="Times New Roman" w:cs="Times New Roman"/>
          <w:i/>
          <w:iCs/>
          <w:sz w:val="20"/>
          <w:szCs w:val="20"/>
        </w:rPr>
      </w:pPr>
      <w:r w:rsidRPr="00F66398">
        <w:rPr>
          <w:rFonts w:ascii="Times New Roman" w:hAnsi="Times New Roman" w:cs="B Mitra"/>
          <w:color w:val="000000"/>
          <w:sz w:val="20"/>
          <w:szCs w:val="20"/>
        </w:rPr>
        <w:t>1.</w:t>
      </w:r>
      <w:r w:rsidRPr="00F66398">
        <w:rPr>
          <w:rFonts w:ascii="Times New Roman" w:hAnsi="Times New Roman" w:cs="Times New Roman"/>
          <w:i/>
          <w:iCs/>
          <w:sz w:val="20"/>
          <w:szCs w:val="20"/>
        </w:rPr>
        <w:t xml:space="preserve"> Dept of Psychology, faculty of Psychology, Islamic Azad University Branch Kermanshah, Kermanshah, Iran.</w:t>
      </w:r>
    </w:p>
    <w:p w:rsidR="00F66398" w:rsidRPr="00F66398" w:rsidRDefault="00F66398" w:rsidP="00F66398">
      <w:pPr>
        <w:spacing w:after="0" w:line="240" w:lineRule="auto"/>
        <w:jc w:val="right"/>
        <w:rPr>
          <w:rFonts w:ascii="Times New Roman" w:hAnsi="Times New Roman" w:cs="Times New Roman"/>
          <w:i/>
          <w:iCs/>
          <w:sz w:val="20"/>
          <w:szCs w:val="20"/>
          <w:rtl/>
        </w:rPr>
      </w:pPr>
    </w:p>
    <w:p w:rsidR="00F66398" w:rsidRPr="00F66398" w:rsidRDefault="00F66398" w:rsidP="00F66398">
      <w:pPr>
        <w:spacing w:after="0" w:line="240" w:lineRule="auto"/>
        <w:jc w:val="center"/>
        <w:rPr>
          <w:rFonts w:asciiTheme="majorBidi" w:hAnsiTheme="majorBidi" w:cstheme="majorBidi"/>
          <w:b/>
          <w:bCs/>
          <w:sz w:val="20"/>
          <w:szCs w:val="20"/>
        </w:rPr>
      </w:pPr>
      <w:r w:rsidRPr="00F66398">
        <w:rPr>
          <w:rFonts w:ascii="Times New Roman" w:hAnsi="Times New Roman" w:cs="Times New Roman"/>
          <w:i/>
          <w:iCs/>
          <w:sz w:val="20"/>
          <w:szCs w:val="20"/>
        </w:rPr>
        <w:t xml:space="preserve">* </w:t>
      </w:r>
      <w:proofErr w:type="spellStart"/>
      <w:r w:rsidRPr="00F66398">
        <w:rPr>
          <w:rFonts w:ascii="Times New Roman" w:hAnsi="Times New Roman" w:cs="Times New Roman"/>
          <w:i/>
          <w:iCs/>
          <w:sz w:val="20"/>
          <w:szCs w:val="20"/>
        </w:rPr>
        <w:t>Correspondin</w:t>
      </w:r>
      <w:proofErr w:type="spellEnd"/>
      <w:r w:rsidRPr="00F66398">
        <w:rPr>
          <w:rFonts w:ascii="Times New Roman" w:hAnsi="Times New Roman" w:cs="Times New Roman"/>
          <w:i/>
          <w:iCs/>
          <w:sz w:val="20"/>
          <w:szCs w:val="20"/>
        </w:rPr>
        <w:t xml:space="preserve"> author </w:t>
      </w:r>
      <w:r w:rsidR="00522BD0">
        <w:rPr>
          <w:rFonts w:ascii="Times New Roman" w:hAnsi="Times New Roman" w:cs="B Mitra"/>
          <w:i/>
          <w:iCs/>
          <w:color w:val="000000"/>
          <w:sz w:val="20"/>
          <w:szCs w:val="20"/>
        </w:rPr>
        <w:t>Email: P.</w:t>
      </w:r>
      <w:r w:rsidRPr="00F66398">
        <w:rPr>
          <w:rFonts w:ascii="Times New Roman" w:hAnsi="Times New Roman" w:cs="B Mitra"/>
          <w:i/>
          <w:iCs/>
          <w:color w:val="000000"/>
          <w:sz w:val="20"/>
          <w:szCs w:val="20"/>
        </w:rPr>
        <w:t>bahramian</w:t>
      </w:r>
      <w:r w:rsidR="00522BD0">
        <w:rPr>
          <w:rFonts w:ascii="Times New Roman" w:hAnsi="Times New Roman" w:cs="B Mitra"/>
          <w:i/>
          <w:iCs/>
          <w:color w:val="000000"/>
          <w:sz w:val="20"/>
          <w:szCs w:val="20"/>
        </w:rPr>
        <w:t>12@gmail</w:t>
      </w:r>
      <w:r w:rsidRPr="00F66398">
        <w:rPr>
          <w:rFonts w:ascii="Times New Roman" w:hAnsi="Times New Roman" w:cs="B Mitra"/>
          <w:i/>
          <w:iCs/>
          <w:color w:val="000000"/>
          <w:sz w:val="20"/>
          <w:szCs w:val="20"/>
        </w:rPr>
        <w:t>.com</w:t>
      </w:r>
    </w:p>
    <w:p w:rsidR="00F66398" w:rsidRPr="00F66398" w:rsidRDefault="00F66398" w:rsidP="00F66398">
      <w:pPr>
        <w:spacing w:after="0" w:line="240" w:lineRule="auto"/>
        <w:jc w:val="center"/>
        <w:rPr>
          <w:rFonts w:ascii="Times New Roman" w:hAnsi="Times New Roman" w:cs="B Mitra"/>
          <w:i/>
          <w:iCs/>
          <w:sz w:val="20"/>
          <w:szCs w:val="20"/>
          <w:vertAlign w:val="superscript"/>
        </w:rPr>
      </w:pPr>
    </w:p>
    <w:p w:rsidR="00F66398" w:rsidRPr="00F66398" w:rsidRDefault="00F66398" w:rsidP="00F66398">
      <w:pPr>
        <w:spacing w:after="0" w:line="240" w:lineRule="auto"/>
        <w:jc w:val="both"/>
        <w:rPr>
          <w:rFonts w:ascii="Times New Roman" w:hAnsi="Times New Roman" w:cs="B Mitra"/>
          <w:i/>
          <w:iCs/>
          <w:sz w:val="20"/>
          <w:szCs w:val="20"/>
        </w:rPr>
      </w:pPr>
      <w:r w:rsidRPr="00F66398">
        <w:rPr>
          <w:rFonts w:ascii="Times New Roman" w:hAnsi="Times New Roman" w:cs="Times New Roman"/>
          <w:b/>
          <w:bCs/>
          <w:sz w:val="20"/>
          <w:szCs w:val="20"/>
        </w:rPr>
        <w:t>Abstract</w:t>
      </w:r>
    </w:p>
    <w:p w:rsidR="00F66398" w:rsidRPr="00F66398" w:rsidRDefault="00F66398" w:rsidP="00F66398">
      <w:pPr>
        <w:spacing w:after="0" w:line="240" w:lineRule="auto"/>
        <w:jc w:val="both"/>
        <w:rPr>
          <w:rFonts w:ascii="Times New Roman" w:hAnsi="Times New Roman" w:cs="B Mitra"/>
          <w:i/>
          <w:iCs/>
          <w:sz w:val="20"/>
          <w:szCs w:val="20"/>
        </w:rPr>
      </w:pPr>
      <w:r w:rsidRPr="00F66398">
        <w:rPr>
          <w:rFonts w:ascii="Times New Roman" w:hAnsi="Times New Roman" w:cs="Times New Roman"/>
          <w:i/>
          <w:iCs/>
          <w:sz w:val="20"/>
          <w:szCs w:val="20"/>
        </w:rPr>
        <w:t>Introduction</w:t>
      </w:r>
      <w:r w:rsidRPr="00F66398">
        <w:rPr>
          <w:rFonts w:ascii="Times New Roman" w:hAnsi="Times New Roman" w:cs="B Mitra"/>
          <w:sz w:val="20"/>
          <w:szCs w:val="20"/>
        </w:rPr>
        <w:t xml:space="preserve">: This Study aimed to compare between personality traits and coping strategies in self-immolation patients and non- self-immolation group in </w:t>
      </w:r>
      <w:proofErr w:type="spellStart"/>
      <w:r w:rsidRPr="00F66398">
        <w:rPr>
          <w:rFonts w:ascii="Times New Roman" w:hAnsi="Times New Roman" w:cs="B Mitra"/>
          <w:sz w:val="20"/>
          <w:szCs w:val="20"/>
        </w:rPr>
        <w:t>emam</w:t>
      </w:r>
      <w:proofErr w:type="spellEnd"/>
      <w:r w:rsidRPr="00F66398">
        <w:rPr>
          <w:rFonts w:ascii="Times New Roman" w:hAnsi="Times New Roman" w:cs="B Mitra"/>
          <w:sz w:val="20"/>
          <w:szCs w:val="20"/>
        </w:rPr>
        <w:t xml:space="preserve"> Khomeini Hospital of Kermanshah.</w:t>
      </w:r>
    </w:p>
    <w:p w:rsidR="00F66398" w:rsidRPr="00F66398" w:rsidRDefault="00F66398" w:rsidP="00F66398">
      <w:pPr>
        <w:spacing w:after="0" w:line="240" w:lineRule="auto"/>
        <w:jc w:val="both"/>
        <w:rPr>
          <w:rFonts w:ascii="Times New Roman" w:hAnsi="Times New Roman" w:cs="B Mitra"/>
          <w:sz w:val="20"/>
          <w:szCs w:val="20"/>
        </w:rPr>
      </w:pPr>
      <w:r w:rsidRPr="00F66398">
        <w:rPr>
          <w:rFonts w:ascii="Times New Roman" w:hAnsi="Times New Roman" w:cs="Times New Roman"/>
          <w:i/>
          <w:iCs/>
          <w:sz w:val="20"/>
          <w:szCs w:val="20"/>
        </w:rPr>
        <w:t>Materials &amp; Methods</w:t>
      </w:r>
      <w:r w:rsidRPr="00F66398">
        <w:rPr>
          <w:rFonts w:ascii="Times New Roman" w:hAnsi="Times New Roman" w:cs="B Mitra"/>
          <w:sz w:val="20"/>
          <w:szCs w:val="20"/>
        </w:rPr>
        <w:t xml:space="preserve">: This research was a causal-comparative (post facto) study. In which 200 patients were hospitalized (n= 100 self-immolation and 100 non self-immolation) the research sample was selected by in-reach sampling method. Evaluation tools included The NEO-PTR Questionnaire and Lazarus and </w:t>
      </w:r>
      <w:proofErr w:type="spellStart"/>
      <w:r w:rsidRPr="00F66398">
        <w:rPr>
          <w:rFonts w:ascii="Times New Roman" w:hAnsi="Times New Roman" w:cs="B Mitra"/>
          <w:sz w:val="20"/>
          <w:szCs w:val="20"/>
        </w:rPr>
        <w:t>Folkman</w:t>
      </w:r>
      <w:proofErr w:type="spellEnd"/>
      <w:r w:rsidRPr="00F66398">
        <w:rPr>
          <w:rFonts w:ascii="Times New Roman" w:hAnsi="Times New Roman" w:cs="B Mitra"/>
          <w:sz w:val="20"/>
          <w:szCs w:val="20"/>
        </w:rPr>
        <w:t xml:space="preserve"> coping strategies questionnaire. For data analysis, multivariate analysis of variance (MANOVA) was used. </w:t>
      </w:r>
    </w:p>
    <w:p w:rsidR="00F66398" w:rsidRPr="00F66398" w:rsidRDefault="00F66398" w:rsidP="00F66398">
      <w:pPr>
        <w:spacing w:after="0" w:line="240" w:lineRule="auto"/>
        <w:jc w:val="both"/>
        <w:rPr>
          <w:rFonts w:ascii="Times New Roman" w:hAnsi="Times New Roman" w:cs="B Mitra"/>
          <w:color w:val="000000"/>
          <w:sz w:val="20"/>
          <w:szCs w:val="20"/>
        </w:rPr>
      </w:pPr>
      <w:r w:rsidRPr="00F66398">
        <w:rPr>
          <w:rFonts w:ascii="Times New Roman" w:hAnsi="Times New Roman" w:cs="Times New Roman"/>
          <w:i/>
          <w:iCs/>
          <w:sz w:val="20"/>
          <w:szCs w:val="20"/>
        </w:rPr>
        <w:t>Finding</w:t>
      </w:r>
      <w:r w:rsidRPr="00F66398">
        <w:rPr>
          <w:rFonts w:cs="Calibri"/>
          <w:sz w:val="20"/>
          <w:szCs w:val="20"/>
        </w:rPr>
        <w:t>s</w:t>
      </w:r>
      <w:r w:rsidRPr="00F66398">
        <w:rPr>
          <w:rFonts w:ascii="Times New Roman" w:hAnsi="Times New Roman" w:cs="B Mitra"/>
          <w:sz w:val="20"/>
          <w:szCs w:val="20"/>
        </w:rPr>
        <w:t xml:space="preserve">: Patients with self-immolation showed significant higher personality traits in comparison with control group (P &lt;0.001). Also Patients with self-immolation showed higher use emotion-focused coping strategies and lower use problem-focused coping strategies in comparison with control group. </w:t>
      </w:r>
      <w:r w:rsidRPr="00F66398">
        <w:rPr>
          <w:rFonts w:ascii="Times New Roman" w:hAnsi="Times New Roman" w:cs="Times New Roman"/>
          <w:i/>
          <w:iCs/>
          <w:sz w:val="20"/>
          <w:szCs w:val="20"/>
        </w:rPr>
        <w:t>Discussion &amp; Conclusion</w:t>
      </w:r>
      <w:r w:rsidRPr="00F66398">
        <w:rPr>
          <w:rFonts w:ascii="Times New Roman" w:hAnsi="Times New Roman" w:cs="B Mitra"/>
          <w:sz w:val="20"/>
          <w:szCs w:val="20"/>
        </w:rPr>
        <w:t>: Although patients with self-immolation have different personality characteristics compared with non-self-immolation group and these properties have a significant effect on their copying strategies, but copying strategies could change and improve by training and need to special consideration in treatment programs</w:t>
      </w:r>
      <w:r w:rsidRPr="00F66398">
        <w:rPr>
          <w:rFonts w:ascii="Times New Roman" w:hAnsi="Times New Roman" w:cs="B Mitra"/>
          <w:color w:val="000000"/>
          <w:sz w:val="20"/>
          <w:szCs w:val="20"/>
        </w:rPr>
        <w:t>.</w:t>
      </w:r>
    </w:p>
    <w:p w:rsidR="00F66398" w:rsidRPr="00F66398" w:rsidRDefault="00F66398" w:rsidP="00F66398">
      <w:pPr>
        <w:spacing w:after="0" w:line="240" w:lineRule="auto"/>
        <w:jc w:val="both"/>
        <w:rPr>
          <w:rFonts w:ascii="Times New Roman" w:hAnsi="Times New Roman" w:cs="B Mitra"/>
          <w:color w:val="000000"/>
          <w:sz w:val="20"/>
          <w:szCs w:val="20"/>
        </w:rPr>
      </w:pPr>
    </w:p>
    <w:p w:rsidR="00F66398" w:rsidRPr="00F66398" w:rsidRDefault="00F66398" w:rsidP="00F66398">
      <w:pPr>
        <w:spacing w:after="0" w:line="240" w:lineRule="auto"/>
        <w:jc w:val="both"/>
        <w:rPr>
          <w:rFonts w:ascii="Times New Roman" w:hAnsi="Times New Roman" w:cs="B Mitra"/>
          <w:sz w:val="20"/>
          <w:szCs w:val="20"/>
        </w:rPr>
      </w:pPr>
      <w:r w:rsidRPr="00F66398">
        <w:rPr>
          <w:rFonts w:ascii="Times New Roman" w:hAnsi="Times New Roman" w:cs="B Mitra"/>
          <w:b/>
          <w:bCs/>
          <w:sz w:val="20"/>
          <w:szCs w:val="20"/>
        </w:rPr>
        <w:t>Keywords</w:t>
      </w:r>
      <w:r w:rsidRPr="00F66398">
        <w:rPr>
          <w:rFonts w:ascii="Times New Roman" w:hAnsi="Times New Roman" w:cs="B Mitra"/>
          <w:sz w:val="20"/>
          <w:szCs w:val="20"/>
        </w:rPr>
        <w:t>: Suicide, Personality traits, coping styles</w:t>
      </w:r>
    </w:p>
    <w:p w:rsidR="00F66398" w:rsidRPr="00F66398" w:rsidRDefault="00F66398" w:rsidP="00F66398">
      <w:pPr>
        <w:spacing w:after="0" w:line="240" w:lineRule="auto"/>
        <w:jc w:val="both"/>
        <w:rPr>
          <w:rFonts w:ascii="Times New Roman" w:hAnsi="Times New Roman" w:cs="B Mitra"/>
          <w:sz w:val="20"/>
          <w:szCs w:val="20"/>
        </w:rPr>
      </w:pPr>
    </w:p>
    <w:p w:rsidR="00F97147" w:rsidRPr="00F66398" w:rsidRDefault="008924E9" w:rsidP="00F66398">
      <w:pPr>
        <w:spacing w:after="0" w:line="240" w:lineRule="auto"/>
        <w:jc w:val="both"/>
        <w:rPr>
          <w:rFonts w:asciiTheme="majorBidi" w:hAnsiTheme="majorBidi" w:cstheme="majorBidi"/>
          <w:b/>
          <w:bCs/>
          <w:sz w:val="20"/>
          <w:szCs w:val="20"/>
        </w:rPr>
      </w:pPr>
      <w:r w:rsidRPr="00F66398">
        <w:rPr>
          <w:rFonts w:asciiTheme="majorBidi" w:hAnsiTheme="majorBidi" w:cstheme="majorBidi"/>
          <w:b/>
          <w:bCs/>
          <w:sz w:val="20"/>
          <w:szCs w:val="20"/>
        </w:rPr>
        <w:t>Introduction</w:t>
      </w:r>
    </w:p>
    <w:p w:rsidR="000A6782" w:rsidRDefault="008924E9" w:rsidP="009603FF">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Suicide is a major health related issue </w:t>
      </w:r>
      <w:r w:rsidR="00A459CE">
        <w:rPr>
          <w:rFonts w:asciiTheme="majorBidi" w:hAnsiTheme="majorBidi" w:cstheme="majorBidi"/>
          <w:sz w:val="20"/>
          <w:szCs w:val="20"/>
        </w:rPr>
        <w:t>(</w:t>
      </w:r>
      <w:r w:rsidR="00A459CE" w:rsidRPr="00F66398">
        <w:rPr>
          <w:rFonts w:cs="B Mitra"/>
          <w:sz w:val="20"/>
          <w:szCs w:val="24"/>
        </w:rPr>
        <w:t>Nock</w:t>
      </w:r>
      <w:r w:rsidR="00A459CE" w:rsidRPr="00F66398">
        <w:rPr>
          <w:rFonts w:asciiTheme="majorBidi" w:hAnsiTheme="majorBidi" w:cstheme="majorBidi"/>
          <w:sz w:val="20"/>
          <w:szCs w:val="20"/>
        </w:rPr>
        <w:t xml:space="preserve"> </w:t>
      </w:r>
      <w:r w:rsidR="00094425">
        <w:rPr>
          <w:rFonts w:asciiTheme="majorBidi" w:hAnsiTheme="majorBidi" w:cstheme="majorBidi"/>
          <w:sz w:val="20"/>
          <w:szCs w:val="20"/>
        </w:rPr>
        <w:t>2011</w:t>
      </w:r>
      <w:r w:rsidR="00A459CE">
        <w:rPr>
          <w:rFonts w:asciiTheme="majorBidi" w:hAnsiTheme="majorBidi" w:cstheme="majorBidi"/>
          <w:sz w:val="20"/>
          <w:szCs w:val="20"/>
        </w:rPr>
        <w:t>)</w:t>
      </w:r>
      <w:r w:rsidRPr="00F66398">
        <w:rPr>
          <w:rFonts w:asciiTheme="majorBidi" w:hAnsiTheme="majorBidi" w:cstheme="majorBidi"/>
          <w:sz w:val="20"/>
          <w:szCs w:val="20"/>
        </w:rPr>
        <w:t xml:space="preserve">. Every year, one million people lose their lives as a result of committing suicide </w:t>
      </w:r>
      <w:r w:rsidR="00A459CE">
        <w:rPr>
          <w:rFonts w:asciiTheme="majorBidi" w:hAnsiTheme="majorBidi" w:cstheme="majorBidi"/>
          <w:sz w:val="20"/>
          <w:szCs w:val="20"/>
        </w:rPr>
        <w:t>(</w:t>
      </w:r>
      <w:proofErr w:type="spellStart"/>
      <w:r w:rsidR="00A459CE" w:rsidRPr="00F66398">
        <w:rPr>
          <w:rFonts w:cs="B Mitra"/>
          <w:sz w:val="20"/>
          <w:szCs w:val="24"/>
        </w:rPr>
        <w:t>Grzywa</w:t>
      </w:r>
      <w:proofErr w:type="spellEnd"/>
      <w:r w:rsidR="00A459CE" w:rsidRPr="00F66398">
        <w:rPr>
          <w:rFonts w:asciiTheme="majorBidi" w:hAnsiTheme="majorBidi" w:cstheme="majorBidi"/>
          <w:sz w:val="20"/>
          <w:szCs w:val="20"/>
        </w:rPr>
        <w:t xml:space="preserve"> </w:t>
      </w:r>
      <w:r w:rsidR="00A459CE">
        <w:rPr>
          <w:rFonts w:asciiTheme="majorBidi" w:hAnsiTheme="majorBidi" w:cstheme="majorBidi"/>
          <w:sz w:val="20"/>
          <w:szCs w:val="20"/>
        </w:rPr>
        <w:t>et al 2009)</w:t>
      </w:r>
      <w:r w:rsidRPr="00F66398">
        <w:rPr>
          <w:rFonts w:asciiTheme="majorBidi" w:hAnsiTheme="majorBidi" w:cstheme="majorBidi"/>
          <w:sz w:val="20"/>
          <w:szCs w:val="20"/>
        </w:rPr>
        <w:t>. The spectrum of suicidal behaviors includes a range of suicidal thoughts, suicide threat, attempting suicide and complete suicide</w:t>
      </w:r>
      <w:r w:rsidR="00094425">
        <w:rPr>
          <w:rFonts w:asciiTheme="majorBidi" w:hAnsiTheme="majorBidi" w:cstheme="majorBidi"/>
          <w:sz w:val="20"/>
          <w:szCs w:val="20"/>
        </w:rPr>
        <w:t xml:space="preserve"> (</w:t>
      </w:r>
      <w:r w:rsidR="00094425">
        <w:rPr>
          <w:rFonts w:cs="B Mitra"/>
          <w:sz w:val="20"/>
          <w:szCs w:val="24"/>
        </w:rPr>
        <w:t xml:space="preserve">Shaffer and </w:t>
      </w:r>
      <w:proofErr w:type="spellStart"/>
      <w:r w:rsidR="00094425" w:rsidRPr="00F66398">
        <w:rPr>
          <w:rFonts w:cs="B Mitra"/>
          <w:sz w:val="20"/>
          <w:szCs w:val="24"/>
        </w:rPr>
        <w:t>Pfeffer</w:t>
      </w:r>
      <w:proofErr w:type="spellEnd"/>
      <w:r w:rsidR="00533D5D">
        <w:rPr>
          <w:rFonts w:cs="B Mitra"/>
          <w:sz w:val="20"/>
          <w:szCs w:val="24"/>
        </w:rPr>
        <w:t xml:space="preserve"> 2010)</w:t>
      </w:r>
      <w:r w:rsidRPr="00F66398">
        <w:rPr>
          <w:rFonts w:asciiTheme="majorBidi" w:hAnsiTheme="majorBidi" w:cstheme="majorBidi"/>
          <w:sz w:val="20"/>
          <w:szCs w:val="20"/>
        </w:rPr>
        <w:t>.  Burning has a very deep impact on the lives of patients and interrupts their physical, mental, social and moral welfare</w:t>
      </w:r>
      <w:r w:rsidR="00533D5D">
        <w:rPr>
          <w:rFonts w:asciiTheme="majorBidi" w:hAnsiTheme="majorBidi" w:cstheme="majorBidi"/>
          <w:sz w:val="20"/>
          <w:szCs w:val="20"/>
        </w:rPr>
        <w:t xml:space="preserve"> (</w:t>
      </w:r>
      <w:proofErr w:type="spellStart"/>
      <w:r w:rsidR="00533D5D" w:rsidRPr="00F66398">
        <w:rPr>
          <w:rFonts w:eastAsia="TimesNewRomanPSMT" w:cs="B Mitra"/>
          <w:sz w:val="20"/>
          <w:szCs w:val="24"/>
        </w:rPr>
        <w:t>Thombs</w:t>
      </w:r>
      <w:proofErr w:type="spellEnd"/>
      <w:r w:rsidR="00533D5D">
        <w:rPr>
          <w:rFonts w:eastAsia="TimesNewRomanPSMT" w:cs="B Mitra"/>
          <w:sz w:val="20"/>
          <w:szCs w:val="24"/>
        </w:rPr>
        <w:t xml:space="preserve"> et al 2008)</w:t>
      </w:r>
      <w:r w:rsidRPr="00F66398">
        <w:rPr>
          <w:rFonts w:asciiTheme="majorBidi" w:hAnsiTheme="majorBidi" w:cstheme="majorBidi"/>
          <w:sz w:val="20"/>
          <w:szCs w:val="20"/>
        </w:rPr>
        <w:t>. A major portion of people who commit suicide suffer from personality disorders. In this regard, personality can be considered as the most important subject in the field of psychology. Psychologists have introduced several ways for comprehension of complexity of human personality. The five-factor model implies that human personality is consisted of five main features which include neuroticism, extr</w:t>
      </w:r>
      <w:r w:rsidR="00BB63E6" w:rsidRPr="00F66398">
        <w:rPr>
          <w:rFonts w:asciiTheme="majorBidi" w:hAnsiTheme="majorBidi" w:cstheme="majorBidi"/>
          <w:sz w:val="20"/>
          <w:szCs w:val="20"/>
        </w:rPr>
        <w:t>o</w:t>
      </w:r>
      <w:r w:rsidRPr="00F66398">
        <w:rPr>
          <w:rFonts w:asciiTheme="majorBidi" w:hAnsiTheme="majorBidi" w:cstheme="majorBidi"/>
          <w:sz w:val="20"/>
          <w:szCs w:val="20"/>
        </w:rPr>
        <w:t xml:space="preserve">version, acceptance, agreement and </w:t>
      </w:r>
      <w:r w:rsidR="00BB63E6" w:rsidRPr="00F66398">
        <w:rPr>
          <w:rFonts w:asciiTheme="majorBidi" w:hAnsiTheme="majorBidi" w:cstheme="majorBidi"/>
          <w:sz w:val="20"/>
          <w:szCs w:val="20"/>
        </w:rPr>
        <w:t>dutifulness</w:t>
      </w:r>
      <w:r w:rsidR="009603FF">
        <w:rPr>
          <w:rFonts w:asciiTheme="majorBidi" w:hAnsiTheme="majorBidi" w:cstheme="majorBidi"/>
          <w:sz w:val="20"/>
          <w:szCs w:val="20"/>
        </w:rPr>
        <w:t xml:space="preserve"> </w:t>
      </w:r>
      <w:r w:rsidR="00000816">
        <w:rPr>
          <w:rFonts w:asciiTheme="majorBidi" w:hAnsiTheme="majorBidi" w:cstheme="majorBidi"/>
          <w:sz w:val="20"/>
          <w:szCs w:val="20"/>
        </w:rPr>
        <w:t>(</w:t>
      </w:r>
      <w:proofErr w:type="spellStart"/>
      <w:r w:rsidR="009603FF" w:rsidRPr="009603FF">
        <w:rPr>
          <w:rFonts w:cs="B Mitra"/>
          <w:sz w:val="20"/>
          <w:szCs w:val="24"/>
        </w:rPr>
        <w:t>Mccrae</w:t>
      </w:r>
      <w:proofErr w:type="spellEnd"/>
      <w:r w:rsidR="009603FF" w:rsidRPr="009603FF">
        <w:rPr>
          <w:rFonts w:cs="B Mitra"/>
          <w:sz w:val="20"/>
          <w:szCs w:val="24"/>
        </w:rPr>
        <w:t xml:space="preserve"> and Costa </w:t>
      </w:r>
      <w:r w:rsidR="00000816" w:rsidRPr="009603FF">
        <w:rPr>
          <w:rFonts w:cs="B Mitra"/>
          <w:sz w:val="20"/>
          <w:szCs w:val="24"/>
        </w:rPr>
        <w:t>2004</w:t>
      </w:r>
      <w:r w:rsidR="00000816">
        <w:rPr>
          <w:rFonts w:cs="B Mitra"/>
          <w:sz w:val="20"/>
          <w:szCs w:val="24"/>
        </w:rPr>
        <w:t>)</w:t>
      </w:r>
      <w:r w:rsidR="009603FF">
        <w:rPr>
          <w:rFonts w:cs="B Mitra"/>
          <w:sz w:val="20"/>
          <w:szCs w:val="24"/>
        </w:rPr>
        <w:t>.</w:t>
      </w:r>
      <w:r w:rsidR="00BB63E6" w:rsidRPr="00F66398">
        <w:rPr>
          <w:rFonts w:asciiTheme="majorBidi" w:hAnsiTheme="majorBidi" w:cstheme="majorBidi"/>
          <w:sz w:val="20"/>
          <w:szCs w:val="20"/>
        </w:rPr>
        <w:t xml:space="preserve"> There exists a positive correlation between the psychological factor of extroversion and avoidance and seeking for social support. There also exists a negative correlation between the former and responsibility. In addition, there lies a positive correlation between personality factors of adaptability and contrastive strategies of continence and seeking social support</w:t>
      </w:r>
      <w:r w:rsidR="00904406">
        <w:rPr>
          <w:rFonts w:asciiTheme="majorBidi" w:hAnsiTheme="majorBidi" w:cstheme="majorBidi"/>
          <w:sz w:val="20"/>
          <w:szCs w:val="20"/>
        </w:rPr>
        <w:t xml:space="preserve"> (</w:t>
      </w:r>
      <w:proofErr w:type="spellStart"/>
      <w:r w:rsidR="00904406" w:rsidRPr="00F66398">
        <w:rPr>
          <w:rFonts w:cs="Times New Roman"/>
          <w:sz w:val="20"/>
          <w:szCs w:val="20"/>
        </w:rPr>
        <w:t>Rostami</w:t>
      </w:r>
      <w:proofErr w:type="spellEnd"/>
      <w:r w:rsidR="009A0A7B">
        <w:rPr>
          <w:rFonts w:cs="Times New Roman"/>
          <w:sz w:val="20"/>
          <w:szCs w:val="20"/>
        </w:rPr>
        <w:t xml:space="preserve"> et al 2014)</w:t>
      </w:r>
      <w:r w:rsidR="00BB63E6" w:rsidRPr="00F66398">
        <w:rPr>
          <w:rFonts w:asciiTheme="majorBidi" w:hAnsiTheme="majorBidi" w:cstheme="majorBidi"/>
          <w:sz w:val="20"/>
          <w:szCs w:val="20"/>
        </w:rPr>
        <w:t xml:space="preserve">. With respect to the fact that this sheds light on existence of relation and difference in personality features and coping styles, it should be considered that different humans have different evaluations of stressful situations and their manners of coping with psychological stresses differ. In fact, different humans’ behaviors and responses in these situations depend on their existing coping skills and social support </w:t>
      </w:r>
      <w:r w:rsidR="0091544D">
        <w:rPr>
          <w:rFonts w:asciiTheme="majorBidi" w:hAnsiTheme="majorBidi" w:cstheme="majorBidi"/>
          <w:sz w:val="20"/>
          <w:szCs w:val="20"/>
        </w:rPr>
        <w:t>(</w:t>
      </w:r>
      <w:proofErr w:type="spellStart"/>
      <w:r w:rsidR="0091544D">
        <w:rPr>
          <w:rFonts w:cs="B Mitra"/>
          <w:sz w:val="20"/>
          <w:szCs w:val="24"/>
        </w:rPr>
        <w:t>Frydenberg</w:t>
      </w:r>
      <w:proofErr w:type="spellEnd"/>
      <w:r w:rsidR="0091544D">
        <w:rPr>
          <w:rFonts w:cs="B Mitra"/>
          <w:sz w:val="20"/>
          <w:szCs w:val="24"/>
        </w:rPr>
        <w:t xml:space="preserve"> </w:t>
      </w:r>
      <w:r w:rsidR="009A0A7B" w:rsidRPr="00F66398">
        <w:rPr>
          <w:rFonts w:cs="B Mitra"/>
          <w:sz w:val="20"/>
          <w:szCs w:val="24"/>
        </w:rPr>
        <w:t>2008</w:t>
      </w:r>
      <w:r w:rsidR="0091544D">
        <w:rPr>
          <w:rFonts w:cs="B Mitra"/>
          <w:sz w:val="20"/>
          <w:szCs w:val="24"/>
        </w:rPr>
        <w:t>)</w:t>
      </w:r>
      <w:r w:rsidR="00BB63E6" w:rsidRPr="00F66398">
        <w:rPr>
          <w:rFonts w:asciiTheme="majorBidi" w:hAnsiTheme="majorBidi" w:cstheme="majorBidi"/>
          <w:sz w:val="20"/>
          <w:szCs w:val="20"/>
        </w:rPr>
        <w:t>. Rezaei and Fadaei carried out a research on 220 male and females and their obtained results indicated that there existed a significant relation between personality features and problem-focused and emotion-focused coping styles</w:t>
      </w:r>
      <w:r w:rsidR="0091544D">
        <w:rPr>
          <w:rFonts w:asciiTheme="majorBidi" w:hAnsiTheme="majorBidi" w:cstheme="majorBidi"/>
          <w:sz w:val="20"/>
          <w:szCs w:val="20"/>
        </w:rPr>
        <w:t xml:space="preserve"> (</w:t>
      </w:r>
      <w:proofErr w:type="spellStart"/>
      <w:r w:rsidR="0091544D" w:rsidRPr="00F66398">
        <w:rPr>
          <w:rFonts w:cs="Times New Roman"/>
          <w:sz w:val="20"/>
          <w:szCs w:val="20"/>
        </w:rPr>
        <w:t>Saroghad</w:t>
      </w:r>
      <w:proofErr w:type="spellEnd"/>
      <w:r w:rsidR="00BB63E6" w:rsidRPr="00F66398">
        <w:rPr>
          <w:rFonts w:asciiTheme="majorBidi" w:hAnsiTheme="majorBidi" w:cstheme="majorBidi"/>
          <w:sz w:val="20"/>
          <w:szCs w:val="20"/>
        </w:rPr>
        <w:t xml:space="preserve"> </w:t>
      </w:r>
      <w:r w:rsidR="005B0E90">
        <w:rPr>
          <w:rFonts w:asciiTheme="majorBidi" w:hAnsiTheme="majorBidi" w:cstheme="majorBidi"/>
          <w:sz w:val="20"/>
          <w:szCs w:val="20"/>
        </w:rPr>
        <w:t xml:space="preserve">et al </w:t>
      </w:r>
      <w:r w:rsidR="0091544D">
        <w:rPr>
          <w:rFonts w:asciiTheme="majorBidi" w:hAnsiTheme="majorBidi" w:cstheme="majorBidi"/>
          <w:sz w:val="20"/>
          <w:szCs w:val="20"/>
        </w:rPr>
        <w:t>2012</w:t>
      </w:r>
      <w:r w:rsidR="005B0E90">
        <w:rPr>
          <w:rFonts w:asciiTheme="majorBidi" w:hAnsiTheme="majorBidi" w:cstheme="majorBidi"/>
          <w:sz w:val="20"/>
          <w:szCs w:val="20"/>
        </w:rPr>
        <w:t>)</w:t>
      </w:r>
      <w:r w:rsidR="00BB63E6" w:rsidRPr="00F66398">
        <w:rPr>
          <w:rFonts w:asciiTheme="majorBidi" w:hAnsiTheme="majorBidi" w:cstheme="majorBidi"/>
          <w:sz w:val="20"/>
          <w:szCs w:val="20"/>
        </w:rPr>
        <w:t xml:space="preserve">. On the other hand, the results of research carried out by Enayati et al. indicated that there exists a significant difference between self-immolation patients and normal patients in terms of general health, social support and their related </w:t>
      </w:r>
      <w:r w:rsidR="00E96388" w:rsidRPr="00F66398">
        <w:rPr>
          <w:rFonts w:asciiTheme="majorBidi" w:hAnsiTheme="majorBidi" w:cstheme="majorBidi"/>
          <w:sz w:val="20"/>
          <w:szCs w:val="20"/>
        </w:rPr>
        <w:t>components</w:t>
      </w:r>
      <w:r w:rsidR="00E96388">
        <w:rPr>
          <w:rFonts w:asciiTheme="majorBidi" w:hAnsiTheme="majorBidi" w:cstheme="majorBidi"/>
          <w:sz w:val="20"/>
          <w:szCs w:val="20"/>
        </w:rPr>
        <w:t xml:space="preserve"> (</w:t>
      </w:r>
      <w:proofErr w:type="spellStart"/>
      <w:r w:rsidR="005B0E90" w:rsidRPr="00F66398">
        <w:rPr>
          <w:rFonts w:cs="Times New Roman"/>
          <w:sz w:val="20"/>
          <w:szCs w:val="20"/>
        </w:rPr>
        <w:t>Enayati</w:t>
      </w:r>
      <w:proofErr w:type="spellEnd"/>
      <w:r w:rsidR="005B0E90">
        <w:rPr>
          <w:rFonts w:cs="Times New Roman"/>
          <w:sz w:val="20"/>
          <w:szCs w:val="20"/>
        </w:rPr>
        <w:t xml:space="preserve"> et al 2007)</w:t>
      </w:r>
      <w:r w:rsidR="00BB63E6" w:rsidRPr="00F66398">
        <w:rPr>
          <w:rFonts w:asciiTheme="majorBidi" w:hAnsiTheme="majorBidi" w:cstheme="majorBidi"/>
          <w:sz w:val="20"/>
          <w:szCs w:val="20"/>
        </w:rPr>
        <w:t>.</w:t>
      </w:r>
      <w:r w:rsidR="00A40B72" w:rsidRPr="00F66398">
        <w:rPr>
          <w:rFonts w:asciiTheme="majorBidi" w:hAnsiTheme="majorBidi" w:cstheme="majorBidi"/>
          <w:sz w:val="20"/>
          <w:szCs w:val="20"/>
        </w:rPr>
        <w:t xml:space="preserve"> In a study performed by Liber et al. it was turned out that </w:t>
      </w:r>
      <w:r w:rsidR="00F176A6" w:rsidRPr="00F66398">
        <w:rPr>
          <w:rFonts w:asciiTheme="majorBidi" w:hAnsiTheme="majorBidi" w:cstheme="majorBidi"/>
          <w:sz w:val="20"/>
          <w:szCs w:val="20"/>
        </w:rPr>
        <w:t>patients with burns had majorly made use of their emotion-focused coping style. The point that should be taken into account here is that, coping styles are considered as self-immolation predisposing factors. When people don’t have efficient strategies for coping with different situations, they commit self-immolation</w:t>
      </w:r>
      <w:r w:rsidR="00F67EF9">
        <w:rPr>
          <w:rFonts w:asciiTheme="majorBidi" w:hAnsiTheme="majorBidi" w:cstheme="majorBidi"/>
          <w:sz w:val="20"/>
          <w:szCs w:val="20"/>
        </w:rPr>
        <w:t xml:space="preserve"> (</w:t>
      </w:r>
      <w:proofErr w:type="spellStart"/>
      <w:r w:rsidR="00F67EF9" w:rsidRPr="00F66398">
        <w:rPr>
          <w:rFonts w:cs="B Mitra"/>
          <w:sz w:val="20"/>
          <w:szCs w:val="24"/>
        </w:rPr>
        <w:t>Liber</w:t>
      </w:r>
      <w:proofErr w:type="spellEnd"/>
      <w:r w:rsidR="00F67EF9">
        <w:rPr>
          <w:rFonts w:cs="B Mitra"/>
          <w:sz w:val="20"/>
          <w:szCs w:val="24"/>
        </w:rPr>
        <w:t xml:space="preserve"> et al 2008)</w:t>
      </w:r>
      <w:r w:rsidR="00F176A6" w:rsidRPr="00F66398">
        <w:rPr>
          <w:rFonts w:asciiTheme="majorBidi" w:hAnsiTheme="majorBidi" w:cstheme="majorBidi"/>
          <w:sz w:val="20"/>
          <w:szCs w:val="20"/>
        </w:rPr>
        <w:t>.</w:t>
      </w:r>
      <w:r w:rsidR="000303B8" w:rsidRPr="00F66398">
        <w:rPr>
          <w:rFonts w:asciiTheme="majorBidi" w:hAnsiTheme="majorBidi" w:cstheme="majorBidi"/>
          <w:sz w:val="20"/>
          <w:szCs w:val="20"/>
        </w:rPr>
        <w:t xml:space="preserve"> Shakeri et al. have stated that people who commit suicide compared to control group, are more</w:t>
      </w:r>
      <w:r w:rsidR="00BB63E6" w:rsidRPr="00F66398">
        <w:rPr>
          <w:rFonts w:asciiTheme="majorBidi" w:hAnsiTheme="majorBidi" w:cstheme="majorBidi"/>
          <w:sz w:val="20"/>
          <w:szCs w:val="20"/>
        </w:rPr>
        <w:t xml:space="preserve"> </w:t>
      </w:r>
      <w:r w:rsidR="000303B8" w:rsidRPr="00F66398">
        <w:rPr>
          <w:rFonts w:asciiTheme="majorBidi" w:hAnsiTheme="majorBidi" w:cstheme="majorBidi"/>
          <w:sz w:val="20"/>
          <w:szCs w:val="20"/>
        </w:rPr>
        <w:t xml:space="preserve">introverted, neuroticism and psychosis. Also before committing suicide, they had been through more stressful situations and also they have made less frequent uses of their problem solving-focused coping style </w:t>
      </w:r>
      <w:r w:rsidR="001F43AD">
        <w:rPr>
          <w:rFonts w:asciiTheme="majorBidi" w:hAnsiTheme="majorBidi" w:cstheme="majorBidi"/>
          <w:sz w:val="20"/>
          <w:szCs w:val="20"/>
        </w:rPr>
        <w:t>(</w:t>
      </w:r>
      <w:proofErr w:type="spellStart"/>
      <w:proofErr w:type="gramStart"/>
      <w:r w:rsidR="001F43AD" w:rsidRPr="00F66398">
        <w:rPr>
          <w:rFonts w:cs="Times New Roman"/>
          <w:sz w:val="20"/>
          <w:szCs w:val="20"/>
        </w:rPr>
        <w:t>Shakeri</w:t>
      </w:r>
      <w:proofErr w:type="spellEnd"/>
      <w:r w:rsidR="001F43AD" w:rsidRPr="00F66398">
        <w:rPr>
          <w:rFonts w:asciiTheme="majorBidi" w:hAnsiTheme="majorBidi" w:cstheme="majorBidi"/>
          <w:sz w:val="20"/>
          <w:szCs w:val="20"/>
        </w:rPr>
        <w:t xml:space="preserve"> </w:t>
      </w:r>
      <w:r w:rsidR="001F43AD">
        <w:rPr>
          <w:rFonts w:asciiTheme="majorBidi" w:hAnsiTheme="majorBidi" w:cstheme="majorBidi"/>
          <w:sz w:val="20"/>
          <w:szCs w:val="20"/>
        </w:rPr>
        <w:t xml:space="preserve"> et</w:t>
      </w:r>
      <w:proofErr w:type="gramEnd"/>
      <w:r w:rsidR="001F43AD">
        <w:rPr>
          <w:rFonts w:asciiTheme="majorBidi" w:hAnsiTheme="majorBidi" w:cstheme="majorBidi"/>
          <w:sz w:val="20"/>
          <w:szCs w:val="20"/>
        </w:rPr>
        <w:t xml:space="preserve"> al 2006)</w:t>
      </w:r>
      <w:r w:rsidR="000303B8" w:rsidRPr="00F66398">
        <w:rPr>
          <w:rFonts w:asciiTheme="majorBidi" w:hAnsiTheme="majorBidi" w:cstheme="majorBidi"/>
          <w:sz w:val="20"/>
          <w:szCs w:val="20"/>
        </w:rPr>
        <w:t xml:space="preserve">. Dolan et al. revealed that neuroticism has appositive correlation with negative interactions and that agreeableness and experiencing have a negative correlation with negative interactions. In addition, Amir-Kahn, Reisinger and Sovikert performed a study and concluded that people who possessed high levels of extroversion were able to cope against the challenges of everyday life better than people who possessed </w:t>
      </w:r>
      <w:r w:rsidR="000303B8" w:rsidRPr="00F66398">
        <w:rPr>
          <w:rFonts w:asciiTheme="majorBidi" w:hAnsiTheme="majorBidi" w:cstheme="majorBidi"/>
          <w:sz w:val="20"/>
          <w:szCs w:val="20"/>
        </w:rPr>
        <w:lastRenderedPageBreak/>
        <w:t xml:space="preserve">lower levels of extroversion. Also extrovert people were more susceptible </w:t>
      </w:r>
      <w:r w:rsidR="007E2CF3" w:rsidRPr="00F66398">
        <w:rPr>
          <w:rFonts w:asciiTheme="majorBidi" w:hAnsiTheme="majorBidi" w:cstheme="majorBidi"/>
          <w:sz w:val="20"/>
          <w:szCs w:val="20"/>
        </w:rPr>
        <w:t>for social support which would help them in terms of coping with so-called challenges</w:t>
      </w:r>
      <w:r w:rsidR="00114358">
        <w:rPr>
          <w:rFonts w:asciiTheme="majorBidi" w:hAnsiTheme="majorBidi" w:cstheme="majorBidi"/>
          <w:sz w:val="20"/>
          <w:szCs w:val="20"/>
        </w:rPr>
        <w:t xml:space="preserve"> (</w:t>
      </w:r>
      <w:proofErr w:type="spellStart"/>
      <w:r w:rsidR="00114358" w:rsidRPr="00F66398">
        <w:rPr>
          <w:rFonts w:cs="Times New Roman"/>
          <w:sz w:val="20"/>
          <w:szCs w:val="20"/>
        </w:rPr>
        <w:t>Hoseini</w:t>
      </w:r>
      <w:proofErr w:type="spellEnd"/>
      <w:r w:rsidR="00114358">
        <w:rPr>
          <w:rFonts w:cs="Times New Roman"/>
          <w:sz w:val="20"/>
          <w:szCs w:val="20"/>
        </w:rPr>
        <w:t xml:space="preserve"> et al 2014)</w:t>
      </w:r>
      <w:r w:rsidR="007E2CF3" w:rsidRPr="00F66398">
        <w:rPr>
          <w:rFonts w:asciiTheme="majorBidi" w:hAnsiTheme="majorBidi" w:cstheme="majorBidi"/>
          <w:sz w:val="20"/>
          <w:szCs w:val="20"/>
        </w:rPr>
        <w:t>.</w:t>
      </w:r>
      <w:r w:rsidR="00B40DEF" w:rsidRPr="00F66398">
        <w:rPr>
          <w:rFonts w:asciiTheme="majorBidi" w:hAnsiTheme="majorBidi" w:cstheme="majorBidi"/>
          <w:sz w:val="20"/>
          <w:szCs w:val="20"/>
        </w:rPr>
        <w:t xml:space="preserve"> Patients who commit self-immolation suffer from several physical damages and also the consequences of this action are long-lasting and require a lot of effort in order to be prepared. Many people and patients may feel a lack of efficiency as a result of being mandated to use </w:t>
      </w:r>
      <w:r w:rsidR="00CE22A0" w:rsidRPr="00F66398">
        <w:rPr>
          <w:rFonts w:asciiTheme="majorBidi" w:hAnsiTheme="majorBidi" w:cstheme="majorBidi"/>
          <w:sz w:val="20"/>
          <w:szCs w:val="20"/>
        </w:rPr>
        <w:t>medical prescriptions. This issue has negative effects on their personality and their psychological features</w:t>
      </w:r>
      <w:r w:rsidR="00114358">
        <w:rPr>
          <w:rFonts w:asciiTheme="majorBidi" w:hAnsiTheme="majorBidi" w:cstheme="majorBidi"/>
          <w:sz w:val="20"/>
          <w:szCs w:val="20"/>
        </w:rPr>
        <w:t xml:space="preserve"> (</w:t>
      </w:r>
      <w:proofErr w:type="spellStart"/>
      <w:r w:rsidR="00114358" w:rsidRPr="00F66398">
        <w:rPr>
          <w:rFonts w:cs="B Mitra"/>
          <w:sz w:val="20"/>
          <w:szCs w:val="24"/>
        </w:rPr>
        <w:t>Wildermuth</w:t>
      </w:r>
      <w:proofErr w:type="spellEnd"/>
      <w:r w:rsidR="00114358">
        <w:rPr>
          <w:rFonts w:cs="B Mitra"/>
          <w:sz w:val="20"/>
          <w:szCs w:val="24"/>
        </w:rPr>
        <w:t xml:space="preserve"> 2008)</w:t>
      </w:r>
      <w:r w:rsidR="00CE22A0" w:rsidRPr="00F66398">
        <w:rPr>
          <w:rFonts w:asciiTheme="majorBidi" w:hAnsiTheme="majorBidi" w:cstheme="majorBidi"/>
          <w:sz w:val="20"/>
          <w:szCs w:val="20"/>
        </w:rPr>
        <w:t>.</w:t>
      </w:r>
      <w:r w:rsidR="000303B8" w:rsidRPr="00F66398">
        <w:rPr>
          <w:rFonts w:asciiTheme="majorBidi" w:hAnsiTheme="majorBidi" w:cstheme="majorBidi"/>
          <w:sz w:val="20"/>
          <w:szCs w:val="20"/>
        </w:rPr>
        <w:t xml:space="preserve"> </w:t>
      </w:r>
      <w:r w:rsidR="00CE22A0" w:rsidRPr="00F66398">
        <w:rPr>
          <w:rFonts w:asciiTheme="majorBidi" w:hAnsiTheme="majorBidi" w:cstheme="majorBidi"/>
          <w:sz w:val="20"/>
          <w:szCs w:val="20"/>
        </w:rPr>
        <w:t>Strict medicinal diets increase the risks of psychological illnesses such as reduced self-esteem, personality weakness and inefficient use of coping styles</w:t>
      </w:r>
      <w:r w:rsidR="006B04CC">
        <w:rPr>
          <w:rFonts w:asciiTheme="majorBidi" w:hAnsiTheme="majorBidi" w:cstheme="majorBidi"/>
          <w:sz w:val="20"/>
          <w:szCs w:val="20"/>
        </w:rPr>
        <w:t xml:space="preserve"> (</w:t>
      </w:r>
      <w:proofErr w:type="spellStart"/>
      <w:r w:rsidR="006B04CC" w:rsidRPr="00F66398">
        <w:rPr>
          <w:rFonts w:cs="B Mitra"/>
          <w:color w:val="000000"/>
          <w:sz w:val="20"/>
          <w:szCs w:val="24"/>
        </w:rPr>
        <w:t>Frese</w:t>
      </w:r>
      <w:proofErr w:type="spellEnd"/>
      <w:r w:rsidR="006B04CC">
        <w:rPr>
          <w:rFonts w:cs="B Mitra"/>
          <w:color w:val="000000"/>
          <w:sz w:val="20"/>
          <w:szCs w:val="24"/>
        </w:rPr>
        <w:t xml:space="preserve"> 2013)</w:t>
      </w:r>
      <w:r w:rsidR="00CE22A0" w:rsidRPr="00F66398">
        <w:rPr>
          <w:rFonts w:asciiTheme="majorBidi" w:hAnsiTheme="majorBidi" w:cstheme="majorBidi"/>
          <w:sz w:val="20"/>
          <w:szCs w:val="20"/>
        </w:rPr>
        <w:t>. Mental, social, personal and economic consequences of self-immolation can help us recognize factors which are beneficial in terms of avoiding this action. It is worth mentioning that with respect to investigations of the researcher, there are a few other domestic or international researches which have addressed the same issue and most of existing researches in this context are limited to descriptive and sociological features. In addition, in these papers, people who commit self-immolation and normal people are less frequently compared in terms of personality features and coping styles. On this basis, the present research is totally new in this aspect. In addition, the purpose of the current research is to investigate the components of personality and coping styles among people who commit self-immolation and normal people.</w:t>
      </w:r>
    </w:p>
    <w:p w:rsidR="00F66398" w:rsidRPr="00F66398" w:rsidRDefault="00F66398" w:rsidP="00F66398">
      <w:pPr>
        <w:spacing w:after="0" w:line="240" w:lineRule="auto"/>
        <w:jc w:val="both"/>
        <w:rPr>
          <w:rFonts w:asciiTheme="majorBidi" w:hAnsiTheme="majorBidi" w:cstheme="majorBidi"/>
          <w:sz w:val="20"/>
          <w:szCs w:val="20"/>
        </w:rPr>
      </w:pPr>
    </w:p>
    <w:p w:rsidR="000A6782" w:rsidRPr="00F66398" w:rsidRDefault="000A6782" w:rsidP="00F66398">
      <w:pPr>
        <w:spacing w:after="0" w:line="240" w:lineRule="auto"/>
        <w:jc w:val="both"/>
        <w:rPr>
          <w:rFonts w:asciiTheme="majorBidi" w:hAnsiTheme="majorBidi" w:cstheme="majorBidi"/>
          <w:b/>
          <w:bCs/>
          <w:sz w:val="20"/>
          <w:szCs w:val="20"/>
        </w:rPr>
      </w:pPr>
      <w:r w:rsidRPr="00F66398">
        <w:rPr>
          <w:rFonts w:asciiTheme="majorBidi" w:hAnsiTheme="majorBidi" w:cstheme="majorBidi"/>
          <w:b/>
          <w:bCs/>
          <w:sz w:val="20"/>
          <w:szCs w:val="20"/>
        </w:rPr>
        <w:t>Materials and methods</w:t>
      </w:r>
    </w:p>
    <w:p w:rsidR="00824726" w:rsidRPr="00F66398" w:rsidRDefault="000A6782" w:rsidP="00F66398">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Considering the goal of the research, this study is an applied study and it is also performed in a comparative fashion. The population of this study includes the entire patients with burns (self-immolation and normal) who had committed self-immolation during 2014-15. Among the population, 200 patients hospitalized in </w:t>
      </w:r>
      <w:r w:rsidR="00446A0A" w:rsidRPr="00F66398">
        <w:rPr>
          <w:rFonts w:asciiTheme="majorBidi" w:hAnsiTheme="majorBidi" w:cstheme="majorBidi"/>
          <w:sz w:val="20"/>
          <w:szCs w:val="20"/>
        </w:rPr>
        <w:t>burn unit of Imam Khomeini hospital (100 self-immolation patients and 100 normal patients) were selected as the sample of research. For carrying out this study, first the necessary authorizations were granted from related authorities. Afterwards, the approximate number of normal burned patients and self-immolating burned patients of Imam Khomeini hospital was recorded for a 6 month period. In the next step, for selecting the patients the researcher has made presence in the hospital</w:t>
      </w:r>
      <w:r w:rsidR="00B12AF2" w:rsidRPr="00F66398">
        <w:rPr>
          <w:rFonts w:asciiTheme="majorBidi" w:hAnsiTheme="majorBidi" w:cstheme="majorBidi"/>
          <w:sz w:val="20"/>
          <w:szCs w:val="20"/>
        </w:rPr>
        <w:t>. In order to collect the required information, the researcher has first made contact with subjects and given them the necessary explanations regarding the questionnaires and the reason for selecting a specific subject. Afterwards, subjects filled out the questionnaires related to personality components and coping styles.</w:t>
      </w:r>
      <w:r w:rsidR="00446A0A" w:rsidRPr="00F66398">
        <w:rPr>
          <w:rFonts w:asciiTheme="majorBidi" w:hAnsiTheme="majorBidi" w:cstheme="majorBidi"/>
          <w:sz w:val="20"/>
          <w:szCs w:val="20"/>
        </w:rPr>
        <w:t xml:space="preserve"> </w:t>
      </w:r>
      <w:r w:rsidR="00B12AF2" w:rsidRPr="00F66398">
        <w:rPr>
          <w:rFonts w:asciiTheme="majorBidi" w:hAnsiTheme="majorBidi" w:cstheme="majorBidi"/>
          <w:sz w:val="20"/>
          <w:szCs w:val="20"/>
        </w:rPr>
        <w:t xml:space="preserve">After this, goals of the research were explained for the subjects and after that the subjects were agreed to participate considering the confidentiality of their information; the subjects were asked to ask the researcher for more information in case of any ambiguity regarding questionnaires. It is noteworthy that considering the physical status of patients, no time limits were applied for completing the questionnaires. For people who were under-literate or illiterate and people with unsuitable physical statuses, questionnaires were read aloud. Ultimately, after collection of required data, the data were analyzed by making use of descriptive statistical methods including mean, standard deviation and </w:t>
      </w:r>
      <w:r w:rsidR="005661DC" w:rsidRPr="00F66398">
        <w:rPr>
          <w:rFonts w:asciiTheme="majorBidi" w:hAnsiTheme="majorBidi" w:cstheme="majorBidi"/>
          <w:sz w:val="20"/>
          <w:szCs w:val="20"/>
        </w:rPr>
        <w:t xml:space="preserve">inferential statistics such as MANOVA. Measurement instruments included the following tests: 1- the short version of NEO personality questionnaire: the personality questionnaire developed by Costa Mc. Kerry (1985) was normalized by Kiamehr in 2003. This 60 questions questionnaire is used for evaluation of five factors of personality including neuroticism, extroversion, openness, adaptability and responsibility. In this form, there are 12 questions for each factor. Also in terms of reliability of this questionnaire, it should be stated that creators of this questionnaire performed their study (2006) on a 1000 individual sample and calculated the following coefficients of Cronbach’s alpha for each factor: 0.92 for neuroticism; 0.89 for extroversion; 0.87 for openness; 0.86 for adaptability and 0.90 for responsibility. For evaluation of the Persian version of this questionnaire, the test was </w:t>
      </w:r>
      <w:r w:rsidR="00E44260" w:rsidRPr="00F66398">
        <w:rPr>
          <w:rFonts w:asciiTheme="majorBidi" w:hAnsiTheme="majorBidi" w:cstheme="majorBidi"/>
          <w:sz w:val="20"/>
          <w:szCs w:val="20"/>
        </w:rPr>
        <w:t>run</w:t>
      </w:r>
      <w:r w:rsidR="005661DC" w:rsidRPr="00F66398">
        <w:rPr>
          <w:rFonts w:asciiTheme="majorBidi" w:hAnsiTheme="majorBidi" w:cstheme="majorBidi"/>
          <w:sz w:val="20"/>
          <w:szCs w:val="20"/>
        </w:rPr>
        <w:t xml:space="preserve"> on subjects 7 months after the first test. Results revealed a range of correlation coefficient </w:t>
      </w:r>
      <w:r w:rsidR="00E44260" w:rsidRPr="00F66398">
        <w:rPr>
          <w:rFonts w:asciiTheme="majorBidi" w:hAnsiTheme="majorBidi" w:cstheme="majorBidi"/>
          <w:sz w:val="20"/>
          <w:szCs w:val="20"/>
        </w:rPr>
        <w:t xml:space="preserve">of </w:t>
      </w:r>
      <w:r w:rsidR="005661DC" w:rsidRPr="00F66398">
        <w:rPr>
          <w:rFonts w:asciiTheme="majorBidi" w:hAnsiTheme="majorBidi" w:cstheme="majorBidi"/>
          <w:sz w:val="20"/>
          <w:szCs w:val="20"/>
        </w:rPr>
        <w:t xml:space="preserve">0.76 to 0.83 (Hagh Shenas, 2007).  </w:t>
      </w:r>
      <w:r w:rsidR="00E44260" w:rsidRPr="00F66398">
        <w:rPr>
          <w:rFonts w:asciiTheme="majorBidi" w:hAnsiTheme="majorBidi" w:cstheme="majorBidi"/>
          <w:sz w:val="20"/>
          <w:szCs w:val="20"/>
        </w:rPr>
        <w:t xml:space="preserve">In addition, the long-term reliability of the NEO-PIR test was measured. A 6 year longitudinal study on factors of openness, extroversion and neuroticism has shown a reliability range of 0.68 to 0.83 for both personal and couple reports. This questionnaire includes 6 questions arranged based one five degrees Likert scale and is scored as follows: 0 for completely disagree, 1 for disagree, 2 for neutral, 3 for agree and 4 for completely agree. The </w:t>
      </w:r>
      <w:r w:rsidR="003A562B" w:rsidRPr="00F66398">
        <w:rPr>
          <w:rFonts w:asciiTheme="majorBidi" w:hAnsiTheme="majorBidi" w:cstheme="majorBidi"/>
          <w:sz w:val="20"/>
          <w:szCs w:val="20"/>
        </w:rPr>
        <w:t>reliability of this questionnaire for the mentioned research was calculated as 0.82.</w:t>
      </w:r>
    </w:p>
    <w:p w:rsidR="00FC2468" w:rsidRDefault="00824726" w:rsidP="00F66398">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2- Questionnaire of coping with stressful (challenging) situations: in order to investigate coping styles, the questionnaire of coping styles developed by </w:t>
      </w:r>
      <w:r w:rsidR="00451D1C" w:rsidRPr="00F66398">
        <w:rPr>
          <w:rFonts w:asciiTheme="majorBidi" w:hAnsiTheme="majorBidi" w:cstheme="majorBidi"/>
          <w:sz w:val="20"/>
          <w:szCs w:val="20"/>
        </w:rPr>
        <w:t>Lazarus</w:t>
      </w:r>
      <w:r w:rsidRPr="00F66398">
        <w:rPr>
          <w:rFonts w:asciiTheme="majorBidi" w:hAnsiTheme="majorBidi" w:cstheme="majorBidi"/>
          <w:sz w:val="20"/>
          <w:szCs w:val="20"/>
        </w:rPr>
        <w:t xml:space="preserve"> and </w:t>
      </w:r>
      <w:r w:rsidR="00451D1C" w:rsidRPr="00F66398">
        <w:rPr>
          <w:rFonts w:asciiTheme="majorBidi" w:hAnsiTheme="majorBidi" w:cstheme="majorBidi"/>
          <w:sz w:val="20"/>
          <w:szCs w:val="20"/>
        </w:rPr>
        <w:t>Folk man</w:t>
      </w:r>
      <w:r w:rsidRPr="00F66398">
        <w:rPr>
          <w:rFonts w:asciiTheme="majorBidi" w:hAnsiTheme="majorBidi" w:cstheme="majorBidi"/>
          <w:sz w:val="20"/>
          <w:szCs w:val="20"/>
        </w:rPr>
        <w:t xml:space="preserve"> (1988) was implemented which included 66 questions.</w:t>
      </w:r>
      <w:r w:rsidR="00451D1C" w:rsidRPr="00F66398">
        <w:rPr>
          <w:rFonts w:asciiTheme="majorBidi" w:hAnsiTheme="majorBidi" w:cstheme="majorBidi"/>
          <w:sz w:val="20"/>
          <w:szCs w:val="20"/>
        </w:rPr>
        <w:t xml:space="preserve"> This questionnaire evaluates 8 coping styles. These eight-fold models are divided into two categories of problem-focused methods (seeking social support</w:t>
      </w:r>
      <w:r w:rsidR="005A392D" w:rsidRPr="00F66398">
        <w:rPr>
          <w:rFonts w:asciiTheme="majorBidi" w:hAnsiTheme="majorBidi" w:cstheme="majorBidi"/>
          <w:sz w:val="20"/>
          <w:szCs w:val="20"/>
        </w:rPr>
        <w:t xml:space="preserve">, responsibility, thoughtful solvation of problems and positive re-evaluation) and emotion-focused methods (confronting coping, avoidance, continence and escaping). Scores of this questionnaire are given in two methods of raw and relative. Raw scores describe the contrastive effort for each of the mentioned eight types of coping. In this case, the sum of answers of the subject to materials is considered as the index. Relative scores however, indicate the ratio of the effort in each type of coping. Folk man and Lazarus have carried out a study </w:t>
      </w:r>
      <w:r w:rsidR="008B07DB" w:rsidRPr="00F66398">
        <w:rPr>
          <w:rFonts w:asciiTheme="majorBidi" w:hAnsiTheme="majorBidi" w:cstheme="majorBidi"/>
          <w:sz w:val="20"/>
          <w:szCs w:val="20"/>
        </w:rPr>
        <w:t xml:space="preserve">and reported the following values: reliability (internal consistency):0.75; reliability of the related </w:t>
      </w:r>
      <w:r w:rsidR="008B07DB" w:rsidRPr="00F66398">
        <w:rPr>
          <w:rFonts w:asciiTheme="majorBidi" w:hAnsiTheme="majorBidi" w:cstheme="majorBidi"/>
          <w:sz w:val="20"/>
          <w:szCs w:val="20"/>
        </w:rPr>
        <w:lastRenderedPageBreak/>
        <w:t xml:space="preserve">sub-scales: 0.61 and positive re-assessment: 0.76 </w:t>
      </w:r>
      <w:r w:rsidR="00BD1838">
        <w:rPr>
          <w:rFonts w:asciiTheme="majorBidi" w:hAnsiTheme="majorBidi" w:cstheme="majorBidi"/>
          <w:sz w:val="20"/>
          <w:szCs w:val="20"/>
        </w:rPr>
        <w:t>(</w:t>
      </w:r>
      <w:r w:rsidR="00BD1838">
        <w:rPr>
          <w:rFonts w:cs="B Mitra"/>
          <w:sz w:val="20"/>
          <w:szCs w:val="24"/>
        </w:rPr>
        <w:t xml:space="preserve">Lazarus </w:t>
      </w:r>
      <w:r w:rsidR="00E611EA">
        <w:rPr>
          <w:rFonts w:cs="B Mitra"/>
          <w:sz w:val="20"/>
          <w:szCs w:val="24"/>
        </w:rPr>
        <w:t xml:space="preserve">and </w:t>
      </w:r>
      <w:proofErr w:type="spellStart"/>
      <w:r w:rsidR="00BD1838">
        <w:rPr>
          <w:rFonts w:cs="B Mitra"/>
          <w:sz w:val="20"/>
          <w:szCs w:val="24"/>
        </w:rPr>
        <w:t>Folkman</w:t>
      </w:r>
      <w:proofErr w:type="spellEnd"/>
      <w:r w:rsidR="00BD1838">
        <w:rPr>
          <w:rFonts w:cs="B Mitra"/>
          <w:sz w:val="20"/>
          <w:szCs w:val="24"/>
        </w:rPr>
        <w:t xml:space="preserve"> </w:t>
      </w:r>
      <w:r w:rsidR="00BD1838" w:rsidRPr="00F66398">
        <w:rPr>
          <w:rFonts w:cs="B Mitra"/>
          <w:sz w:val="20"/>
          <w:szCs w:val="24"/>
        </w:rPr>
        <w:t>1988</w:t>
      </w:r>
      <w:r w:rsidR="00BD1838">
        <w:rPr>
          <w:rFonts w:asciiTheme="majorBidi" w:hAnsiTheme="majorBidi" w:cstheme="majorBidi"/>
          <w:sz w:val="20"/>
          <w:szCs w:val="20"/>
        </w:rPr>
        <w:t>)</w:t>
      </w:r>
      <w:r w:rsidR="008B07DB" w:rsidRPr="00F66398">
        <w:rPr>
          <w:rFonts w:asciiTheme="majorBidi" w:hAnsiTheme="majorBidi" w:cstheme="majorBidi"/>
          <w:sz w:val="20"/>
          <w:szCs w:val="20"/>
        </w:rPr>
        <w:t>. The reliability of this questionnaire in the mentioned research was calculated as 0.79.</w:t>
      </w:r>
    </w:p>
    <w:p w:rsidR="00F66398" w:rsidRPr="00F66398" w:rsidRDefault="00F66398" w:rsidP="00F66398">
      <w:pPr>
        <w:spacing w:after="0" w:line="240" w:lineRule="auto"/>
        <w:jc w:val="both"/>
        <w:rPr>
          <w:rFonts w:asciiTheme="majorBidi" w:hAnsiTheme="majorBidi" w:cstheme="majorBidi"/>
          <w:sz w:val="20"/>
          <w:szCs w:val="20"/>
        </w:rPr>
      </w:pPr>
    </w:p>
    <w:p w:rsidR="00FC2468" w:rsidRPr="00F66398" w:rsidRDefault="00FC2468" w:rsidP="00F66398">
      <w:pPr>
        <w:spacing w:after="0" w:line="240" w:lineRule="auto"/>
        <w:jc w:val="both"/>
        <w:rPr>
          <w:rFonts w:asciiTheme="majorBidi" w:hAnsiTheme="majorBidi" w:cstheme="majorBidi"/>
          <w:b/>
          <w:bCs/>
          <w:sz w:val="20"/>
          <w:szCs w:val="20"/>
        </w:rPr>
      </w:pPr>
      <w:r w:rsidRPr="00F66398">
        <w:rPr>
          <w:rFonts w:asciiTheme="majorBidi" w:hAnsiTheme="majorBidi" w:cstheme="majorBidi"/>
          <w:b/>
          <w:bCs/>
          <w:sz w:val="20"/>
          <w:szCs w:val="20"/>
        </w:rPr>
        <w:t>Findings</w:t>
      </w:r>
    </w:p>
    <w:p w:rsidR="00873984" w:rsidRDefault="00FC2468" w:rsidP="00F66398">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The participants of this research included 200 individuals (100 self-immolating patients and 100 normal burned </w:t>
      </w:r>
      <w:r w:rsidR="006C72CF" w:rsidRPr="00F66398">
        <w:rPr>
          <w:rFonts w:asciiTheme="majorBidi" w:hAnsiTheme="majorBidi" w:cstheme="majorBidi"/>
          <w:sz w:val="20"/>
          <w:szCs w:val="20"/>
        </w:rPr>
        <w:t>patients</w:t>
      </w:r>
      <w:r w:rsidRPr="00F66398">
        <w:rPr>
          <w:rFonts w:asciiTheme="majorBidi" w:hAnsiTheme="majorBidi" w:cstheme="majorBidi"/>
          <w:sz w:val="20"/>
          <w:szCs w:val="20"/>
        </w:rPr>
        <w:t>)</w:t>
      </w:r>
      <w:r w:rsidR="006C72CF" w:rsidRPr="00F66398">
        <w:rPr>
          <w:rFonts w:asciiTheme="majorBidi" w:hAnsiTheme="majorBidi" w:cstheme="majorBidi"/>
          <w:sz w:val="20"/>
          <w:szCs w:val="20"/>
        </w:rPr>
        <w:t>. This research has shown that the families of self-immolating patients are more populated and they usually have more than four children. This research has also shown that 92% of self-immolating patients have committed self-immolation in their homes. However, among normal patients, only 66 percent of the accidents were happened in their homes. In addition, findings have shown that people who commit self-immolation mostly use oil for doing so. Reviewing the information cited on table 1 reveals that 63 of the normal patients were males and 37 of them were females. However, in terms of the self-immolating group, 78 of the patients were females and 22 of them were males. Most of the patients of the self-immolating group were females (78%). But for the normal patients, the number of male patients was 63. 85% of the self-immolating group were married, 15% were single. This is while 60% of the normal patients were married and 40 percent were single. In addition, 26% of the normal patients were under 10 year old children. The most frequent age group was related to 21-30 and 41-50 years with 30%. In terms of the self-immolating group, the highest frequency was attributable to the age group of 21-30 years with 50%. As you can see in table 2, in terms of education, the most frequency among the normal patients was attributable to illiterate people with 30%. However, in terms of the self-immolating group, the most frequency was attributable to patients with high-school education with 39%. Findings cited on table 3, indicate that 62 percent of the normal patients were in suitable economic situations (having an income between 0.5 and 1.2 million tomans)</w:t>
      </w:r>
      <w:r w:rsidR="00B8701C" w:rsidRPr="00F66398">
        <w:rPr>
          <w:rFonts w:asciiTheme="majorBidi" w:hAnsiTheme="majorBidi" w:cstheme="majorBidi"/>
          <w:sz w:val="20"/>
          <w:szCs w:val="20"/>
        </w:rPr>
        <w:t>. This was while 65 percent of the self-immolating patients were in weak economic statuses (</w:t>
      </w:r>
      <w:r w:rsidR="00873984" w:rsidRPr="00F66398">
        <w:rPr>
          <w:rFonts w:asciiTheme="majorBidi" w:hAnsiTheme="majorBidi" w:cstheme="majorBidi"/>
          <w:sz w:val="20"/>
          <w:szCs w:val="20"/>
        </w:rPr>
        <w:t xml:space="preserve">having an income </w:t>
      </w:r>
      <w:r w:rsidR="00B8701C" w:rsidRPr="00F66398">
        <w:rPr>
          <w:rFonts w:asciiTheme="majorBidi" w:hAnsiTheme="majorBidi" w:cstheme="majorBidi"/>
          <w:sz w:val="20"/>
          <w:szCs w:val="20"/>
        </w:rPr>
        <w:t>less than 0.5 million tomans).</w:t>
      </w:r>
      <w:r w:rsidR="00CE22A0" w:rsidRPr="00F66398">
        <w:rPr>
          <w:rFonts w:asciiTheme="majorBidi" w:hAnsiTheme="majorBidi" w:cstheme="majorBidi"/>
          <w:sz w:val="20"/>
          <w:szCs w:val="20"/>
        </w:rPr>
        <w:t xml:space="preserve"> </w:t>
      </w:r>
    </w:p>
    <w:p w:rsidR="00F66398" w:rsidRPr="00F66398" w:rsidRDefault="00F66398" w:rsidP="00F66398">
      <w:pPr>
        <w:spacing w:after="0" w:line="240" w:lineRule="auto"/>
        <w:jc w:val="both"/>
        <w:rPr>
          <w:rFonts w:asciiTheme="majorBidi" w:hAnsiTheme="majorBidi" w:cstheme="majorBidi"/>
          <w:sz w:val="20"/>
          <w:szCs w:val="20"/>
        </w:rPr>
      </w:pPr>
    </w:p>
    <w:p w:rsidR="00873984" w:rsidRPr="00F66398" w:rsidRDefault="00873984" w:rsidP="00F66398">
      <w:pPr>
        <w:spacing w:after="0" w:line="240" w:lineRule="auto"/>
        <w:jc w:val="center"/>
        <w:rPr>
          <w:rFonts w:asciiTheme="majorBidi" w:hAnsiTheme="majorBidi" w:cstheme="majorBidi"/>
          <w:sz w:val="20"/>
          <w:szCs w:val="20"/>
        </w:rPr>
      </w:pPr>
      <w:r w:rsidRPr="00F66398">
        <w:rPr>
          <w:rFonts w:asciiTheme="majorBidi" w:hAnsiTheme="majorBidi" w:cstheme="majorBidi"/>
          <w:sz w:val="20"/>
          <w:szCs w:val="20"/>
        </w:rPr>
        <w:t>Table1, abundance distribution of gender and marriage status among self-immolating and normal patients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3"/>
        <w:gridCol w:w="1846"/>
        <w:gridCol w:w="1596"/>
        <w:gridCol w:w="1607"/>
      </w:tblGrid>
      <w:tr w:rsidR="00873984" w:rsidRPr="00F66398" w:rsidTr="00F97147">
        <w:trPr>
          <w:jc w:val="center"/>
        </w:trPr>
        <w:tc>
          <w:tcPr>
            <w:tcW w:w="1813" w:type="dxa"/>
          </w:tcPr>
          <w:p w:rsidR="00873984" w:rsidRPr="00F66398" w:rsidRDefault="00873984" w:rsidP="00F66398">
            <w:pPr>
              <w:spacing w:after="0" w:line="240" w:lineRule="auto"/>
              <w:rPr>
                <w:rFonts w:asciiTheme="majorBidi" w:hAnsiTheme="majorBidi" w:cstheme="majorBidi"/>
                <w:color w:val="000000"/>
                <w:sz w:val="20"/>
                <w:szCs w:val="20"/>
                <w:rtl/>
              </w:rPr>
            </w:pPr>
            <w:r w:rsidRPr="00F66398">
              <w:rPr>
                <w:rFonts w:asciiTheme="majorBidi" w:hAnsiTheme="majorBidi" w:cstheme="majorBidi"/>
                <w:color w:val="000000"/>
                <w:sz w:val="20"/>
                <w:szCs w:val="20"/>
              </w:rPr>
              <w:t>Personal features</w:t>
            </w:r>
          </w:p>
        </w:tc>
        <w:tc>
          <w:tcPr>
            <w:tcW w:w="1846"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group</w:t>
            </w:r>
          </w:p>
        </w:tc>
        <w:tc>
          <w:tcPr>
            <w:tcW w:w="1301"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abundance</w:t>
            </w:r>
          </w:p>
        </w:tc>
        <w:tc>
          <w:tcPr>
            <w:tcW w:w="1218"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percentage</w:t>
            </w:r>
          </w:p>
        </w:tc>
      </w:tr>
      <w:tr w:rsidR="00873984" w:rsidRPr="00F66398" w:rsidTr="00F97147">
        <w:trPr>
          <w:jc w:val="center"/>
        </w:trPr>
        <w:tc>
          <w:tcPr>
            <w:tcW w:w="1813" w:type="dxa"/>
          </w:tcPr>
          <w:p w:rsidR="00873984" w:rsidRPr="00F66398" w:rsidRDefault="00873984" w:rsidP="00F66398">
            <w:pPr>
              <w:spacing w:after="0" w:line="240" w:lineRule="auto"/>
              <w:rPr>
                <w:rFonts w:asciiTheme="majorBidi" w:hAnsiTheme="majorBidi" w:cstheme="majorBidi"/>
                <w:color w:val="000000"/>
                <w:sz w:val="20"/>
                <w:szCs w:val="20"/>
                <w:rtl/>
              </w:rPr>
            </w:pPr>
            <w:r w:rsidRPr="00F66398">
              <w:rPr>
                <w:rFonts w:asciiTheme="majorBidi" w:hAnsiTheme="majorBidi" w:cstheme="majorBidi"/>
                <w:color w:val="000000"/>
                <w:sz w:val="20"/>
                <w:szCs w:val="20"/>
              </w:rPr>
              <w:t>gender</w:t>
            </w:r>
          </w:p>
        </w:tc>
        <w:tc>
          <w:tcPr>
            <w:tcW w:w="1846" w:type="dxa"/>
          </w:tcPr>
          <w:p w:rsidR="00873984" w:rsidRPr="00F66398" w:rsidRDefault="00873984" w:rsidP="00F66398">
            <w:pPr>
              <w:spacing w:after="0" w:line="240" w:lineRule="auto"/>
              <w:ind w:left="524"/>
              <w:rPr>
                <w:rFonts w:asciiTheme="majorBidi" w:hAnsiTheme="majorBidi" w:cstheme="majorBidi"/>
                <w:color w:val="000000"/>
                <w:sz w:val="20"/>
                <w:szCs w:val="20"/>
              </w:rPr>
            </w:pPr>
            <w:r w:rsidRPr="00F66398">
              <w:rPr>
                <w:rFonts w:asciiTheme="majorBidi" w:hAnsiTheme="majorBidi" w:cstheme="majorBidi"/>
                <w:color w:val="000000"/>
                <w:sz w:val="20"/>
                <w:szCs w:val="20"/>
              </w:rPr>
              <w:t>Self-immolating: male and female.</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 male and female</w:t>
            </w:r>
          </w:p>
        </w:tc>
        <w:tc>
          <w:tcPr>
            <w:tcW w:w="1301"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78</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22</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37</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63</w:t>
            </w:r>
          </w:p>
        </w:tc>
        <w:tc>
          <w:tcPr>
            <w:tcW w:w="1218"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78/0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22/0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37/0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63/0</w:t>
            </w:r>
          </w:p>
        </w:tc>
      </w:tr>
      <w:tr w:rsidR="00873984" w:rsidRPr="00F66398" w:rsidTr="00F97147">
        <w:trPr>
          <w:trHeight w:val="1988"/>
          <w:jc w:val="center"/>
        </w:trPr>
        <w:tc>
          <w:tcPr>
            <w:tcW w:w="1813" w:type="dxa"/>
          </w:tcPr>
          <w:p w:rsidR="00873984" w:rsidRPr="00F66398" w:rsidRDefault="00873984" w:rsidP="00F66398">
            <w:pPr>
              <w:spacing w:after="0" w:line="240" w:lineRule="auto"/>
              <w:rPr>
                <w:rFonts w:asciiTheme="majorBidi" w:hAnsiTheme="majorBidi" w:cstheme="majorBidi"/>
                <w:color w:val="000000"/>
                <w:sz w:val="20"/>
                <w:szCs w:val="20"/>
                <w:rtl/>
              </w:rPr>
            </w:pPr>
            <w:r w:rsidRPr="00F66398">
              <w:rPr>
                <w:rFonts w:asciiTheme="majorBidi" w:hAnsiTheme="majorBidi" w:cstheme="majorBidi"/>
                <w:color w:val="000000"/>
                <w:sz w:val="20"/>
                <w:szCs w:val="20"/>
              </w:rPr>
              <w:t>Marriage status</w:t>
            </w:r>
          </w:p>
        </w:tc>
        <w:tc>
          <w:tcPr>
            <w:tcW w:w="1846" w:type="dxa"/>
          </w:tcPr>
          <w:p w:rsidR="00873984" w:rsidRPr="00F66398" w:rsidRDefault="00873984" w:rsidP="00F66398">
            <w:pPr>
              <w:spacing w:after="0" w:line="240" w:lineRule="auto"/>
              <w:ind w:left="524"/>
              <w:rPr>
                <w:rFonts w:asciiTheme="majorBidi" w:hAnsiTheme="majorBidi" w:cstheme="majorBidi"/>
                <w:color w:val="000000"/>
                <w:sz w:val="20"/>
                <w:szCs w:val="20"/>
              </w:rPr>
            </w:pPr>
            <w:r w:rsidRPr="00F66398">
              <w:rPr>
                <w:rFonts w:asciiTheme="majorBidi" w:hAnsiTheme="majorBidi" w:cstheme="majorBidi"/>
                <w:color w:val="000000"/>
                <w:sz w:val="20"/>
                <w:szCs w:val="20"/>
              </w:rPr>
              <w:t>Self-immolating: single married.</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 single married</w:t>
            </w:r>
          </w:p>
        </w:tc>
        <w:tc>
          <w:tcPr>
            <w:tcW w:w="1301"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15</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85</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60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40</w:t>
            </w:r>
          </w:p>
        </w:tc>
        <w:tc>
          <w:tcPr>
            <w:tcW w:w="1218"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15/0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85/0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60/0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40/0</w:t>
            </w:r>
          </w:p>
        </w:tc>
      </w:tr>
    </w:tbl>
    <w:p w:rsidR="008924E9" w:rsidRPr="00F66398" w:rsidRDefault="00CE22A0" w:rsidP="00F66398">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 </w:t>
      </w:r>
      <w:r w:rsidR="000303B8" w:rsidRPr="00F66398">
        <w:rPr>
          <w:rFonts w:asciiTheme="majorBidi" w:hAnsiTheme="majorBidi" w:cstheme="majorBidi"/>
          <w:sz w:val="20"/>
          <w:szCs w:val="20"/>
        </w:rPr>
        <w:t xml:space="preserve">  </w:t>
      </w:r>
      <w:r w:rsidR="00BB63E6" w:rsidRPr="00F66398">
        <w:rPr>
          <w:rFonts w:asciiTheme="majorBidi" w:hAnsiTheme="majorBidi" w:cstheme="majorBidi"/>
          <w:sz w:val="20"/>
          <w:szCs w:val="20"/>
        </w:rPr>
        <w:t xml:space="preserve">    </w:t>
      </w:r>
    </w:p>
    <w:p w:rsidR="008924E9" w:rsidRPr="00F66398" w:rsidRDefault="00873984" w:rsidP="00F66398">
      <w:pPr>
        <w:spacing w:after="0" w:line="240" w:lineRule="auto"/>
        <w:jc w:val="center"/>
        <w:rPr>
          <w:rFonts w:asciiTheme="majorBidi" w:hAnsiTheme="majorBidi" w:cstheme="majorBidi"/>
          <w:sz w:val="20"/>
          <w:szCs w:val="20"/>
        </w:rPr>
      </w:pPr>
      <w:r w:rsidRPr="00F66398">
        <w:rPr>
          <w:rFonts w:asciiTheme="majorBidi" w:hAnsiTheme="majorBidi" w:cstheme="majorBidi"/>
          <w:sz w:val="20"/>
          <w:szCs w:val="20"/>
        </w:rPr>
        <w:t>Table 2, abundance distribution of education level among self-immolating and normal patients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13"/>
        <w:gridCol w:w="1985"/>
        <w:gridCol w:w="1596"/>
        <w:gridCol w:w="1607"/>
      </w:tblGrid>
      <w:tr w:rsidR="00873984" w:rsidRPr="00F66398" w:rsidTr="00F97147">
        <w:trPr>
          <w:jc w:val="center"/>
        </w:trPr>
        <w:tc>
          <w:tcPr>
            <w:tcW w:w="1813" w:type="dxa"/>
          </w:tcPr>
          <w:p w:rsidR="00873984" w:rsidRPr="00F66398" w:rsidRDefault="00873984" w:rsidP="00F66398">
            <w:pPr>
              <w:spacing w:after="0" w:line="240" w:lineRule="auto"/>
              <w:rPr>
                <w:rFonts w:asciiTheme="majorBidi" w:hAnsiTheme="majorBidi" w:cstheme="majorBidi"/>
                <w:color w:val="000000"/>
                <w:sz w:val="20"/>
                <w:szCs w:val="20"/>
                <w:rtl/>
              </w:rPr>
            </w:pPr>
            <w:r w:rsidRPr="00F66398">
              <w:rPr>
                <w:rFonts w:asciiTheme="majorBidi" w:hAnsiTheme="majorBidi" w:cstheme="majorBidi"/>
                <w:color w:val="000000"/>
                <w:sz w:val="20"/>
                <w:szCs w:val="20"/>
              </w:rPr>
              <w:t>education</w:t>
            </w:r>
          </w:p>
        </w:tc>
        <w:tc>
          <w:tcPr>
            <w:tcW w:w="1985"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group</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abundance</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percentage</w:t>
            </w:r>
          </w:p>
        </w:tc>
      </w:tr>
      <w:tr w:rsidR="00873984" w:rsidRPr="00F66398" w:rsidTr="00F97147">
        <w:trPr>
          <w:jc w:val="center"/>
        </w:trPr>
        <w:tc>
          <w:tcPr>
            <w:tcW w:w="1813"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illiterate</w:t>
            </w:r>
          </w:p>
        </w:tc>
        <w:tc>
          <w:tcPr>
            <w:tcW w:w="1985"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Self-immolating</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26</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30</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26/0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30/0</w:t>
            </w:r>
          </w:p>
        </w:tc>
      </w:tr>
      <w:tr w:rsidR="00873984" w:rsidRPr="00F66398" w:rsidTr="00F97147">
        <w:trPr>
          <w:jc w:val="center"/>
        </w:trPr>
        <w:tc>
          <w:tcPr>
            <w:tcW w:w="1813"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Elementary school</w:t>
            </w:r>
          </w:p>
        </w:tc>
        <w:tc>
          <w:tcPr>
            <w:tcW w:w="1985"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Self-immolating</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28</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24</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28/0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24/0</w:t>
            </w:r>
          </w:p>
        </w:tc>
      </w:tr>
      <w:tr w:rsidR="00873984" w:rsidRPr="00F66398" w:rsidTr="00F97147">
        <w:trPr>
          <w:jc w:val="center"/>
        </w:trPr>
        <w:tc>
          <w:tcPr>
            <w:tcW w:w="1813"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Guidance school</w:t>
            </w:r>
          </w:p>
        </w:tc>
        <w:tc>
          <w:tcPr>
            <w:tcW w:w="1985"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Self-immolating</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17</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17/0</w:t>
            </w:r>
          </w:p>
        </w:tc>
      </w:tr>
      <w:tr w:rsidR="00873984" w:rsidRPr="00F66398" w:rsidTr="00F97147">
        <w:trPr>
          <w:jc w:val="center"/>
        </w:trPr>
        <w:tc>
          <w:tcPr>
            <w:tcW w:w="1813"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High-school</w:t>
            </w:r>
          </w:p>
        </w:tc>
        <w:tc>
          <w:tcPr>
            <w:tcW w:w="1985"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Self-immolating</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39</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19</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39/0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19/0</w:t>
            </w:r>
          </w:p>
        </w:tc>
      </w:tr>
      <w:tr w:rsidR="00873984" w:rsidRPr="00F66398" w:rsidTr="00F97147">
        <w:trPr>
          <w:jc w:val="center"/>
        </w:trPr>
        <w:tc>
          <w:tcPr>
            <w:tcW w:w="1813"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Semi B.A</w:t>
            </w:r>
          </w:p>
        </w:tc>
        <w:tc>
          <w:tcPr>
            <w:tcW w:w="1985"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Self-immolating</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lastRenderedPageBreak/>
              <w:t>normal</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lastRenderedPageBreak/>
              <w:t>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5</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0/0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5/0</w:t>
            </w:r>
          </w:p>
        </w:tc>
      </w:tr>
      <w:tr w:rsidR="00873984" w:rsidRPr="00F66398" w:rsidTr="00F97147">
        <w:trPr>
          <w:jc w:val="center"/>
        </w:trPr>
        <w:tc>
          <w:tcPr>
            <w:tcW w:w="1813"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lastRenderedPageBreak/>
              <w:t>B.A</w:t>
            </w:r>
          </w:p>
        </w:tc>
        <w:tc>
          <w:tcPr>
            <w:tcW w:w="1985"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Self-immolating</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1</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w:t>
            </w:r>
          </w:p>
        </w:tc>
        <w:tc>
          <w:tcPr>
            <w:tcW w:w="1559"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1/0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3/0</w:t>
            </w:r>
          </w:p>
        </w:tc>
      </w:tr>
    </w:tbl>
    <w:p w:rsidR="00873984" w:rsidRPr="00F66398" w:rsidRDefault="00873984" w:rsidP="00F66398">
      <w:pPr>
        <w:spacing w:after="0" w:line="240" w:lineRule="auto"/>
        <w:jc w:val="both"/>
        <w:rPr>
          <w:rFonts w:asciiTheme="majorBidi" w:hAnsiTheme="majorBidi" w:cstheme="majorBidi"/>
          <w:sz w:val="20"/>
          <w:szCs w:val="20"/>
        </w:rPr>
      </w:pPr>
    </w:p>
    <w:p w:rsidR="008924E9" w:rsidRPr="00F66398" w:rsidRDefault="00873984" w:rsidP="00F66398">
      <w:pPr>
        <w:spacing w:after="0" w:line="240" w:lineRule="auto"/>
        <w:jc w:val="center"/>
        <w:rPr>
          <w:rFonts w:asciiTheme="majorBidi" w:hAnsiTheme="majorBidi" w:cstheme="majorBidi"/>
          <w:sz w:val="20"/>
          <w:szCs w:val="20"/>
        </w:rPr>
      </w:pPr>
      <w:r w:rsidRPr="00F66398">
        <w:rPr>
          <w:rFonts w:asciiTheme="majorBidi" w:hAnsiTheme="majorBidi" w:cstheme="majorBidi"/>
          <w:sz w:val="20"/>
          <w:szCs w:val="20"/>
        </w:rPr>
        <w:t>Table 3, economic status among normal and self-immolating patients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2097"/>
        <w:gridCol w:w="1842"/>
        <w:gridCol w:w="1843"/>
        <w:gridCol w:w="1607"/>
      </w:tblGrid>
      <w:tr w:rsidR="00873984" w:rsidRPr="00F66398" w:rsidTr="00F97147">
        <w:trPr>
          <w:jc w:val="center"/>
        </w:trPr>
        <w:tc>
          <w:tcPr>
            <w:tcW w:w="2097"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Economic status</w:t>
            </w:r>
          </w:p>
        </w:tc>
        <w:tc>
          <w:tcPr>
            <w:tcW w:w="1842"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group</w:t>
            </w:r>
          </w:p>
        </w:tc>
        <w:tc>
          <w:tcPr>
            <w:tcW w:w="1843"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number</w:t>
            </w:r>
          </w:p>
        </w:tc>
        <w:tc>
          <w:tcPr>
            <w:tcW w:w="1276"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percentage</w:t>
            </w:r>
          </w:p>
        </w:tc>
      </w:tr>
      <w:tr w:rsidR="00873984" w:rsidRPr="00F66398" w:rsidTr="00F97147">
        <w:trPr>
          <w:jc w:val="center"/>
        </w:trPr>
        <w:tc>
          <w:tcPr>
            <w:tcW w:w="2097"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weak</w:t>
            </w:r>
          </w:p>
        </w:tc>
        <w:tc>
          <w:tcPr>
            <w:tcW w:w="1842"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Self-immolating</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w:t>
            </w:r>
          </w:p>
        </w:tc>
        <w:tc>
          <w:tcPr>
            <w:tcW w:w="1843"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65</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34</w:t>
            </w:r>
          </w:p>
        </w:tc>
        <w:tc>
          <w:tcPr>
            <w:tcW w:w="1276"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65/0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34/0</w:t>
            </w:r>
          </w:p>
        </w:tc>
      </w:tr>
      <w:tr w:rsidR="00873984" w:rsidRPr="00F66398" w:rsidTr="00F97147">
        <w:trPr>
          <w:jc w:val="center"/>
        </w:trPr>
        <w:tc>
          <w:tcPr>
            <w:tcW w:w="2097"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w:t>
            </w:r>
          </w:p>
        </w:tc>
        <w:tc>
          <w:tcPr>
            <w:tcW w:w="1842"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Self-immolating</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w:t>
            </w:r>
          </w:p>
        </w:tc>
        <w:tc>
          <w:tcPr>
            <w:tcW w:w="1843"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33</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62</w:t>
            </w:r>
          </w:p>
        </w:tc>
        <w:tc>
          <w:tcPr>
            <w:tcW w:w="1276"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33/0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62/0</w:t>
            </w:r>
          </w:p>
        </w:tc>
      </w:tr>
      <w:tr w:rsidR="00873984" w:rsidRPr="00F66398" w:rsidTr="00F97147">
        <w:trPr>
          <w:jc w:val="center"/>
        </w:trPr>
        <w:tc>
          <w:tcPr>
            <w:tcW w:w="2097"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good</w:t>
            </w:r>
          </w:p>
        </w:tc>
        <w:tc>
          <w:tcPr>
            <w:tcW w:w="1842"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Self-immolating</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w:t>
            </w:r>
          </w:p>
        </w:tc>
        <w:tc>
          <w:tcPr>
            <w:tcW w:w="1843"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2</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w:t>
            </w:r>
          </w:p>
        </w:tc>
        <w:tc>
          <w:tcPr>
            <w:tcW w:w="1276"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2/0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3/0</w:t>
            </w:r>
          </w:p>
        </w:tc>
      </w:tr>
      <w:tr w:rsidR="00873984" w:rsidRPr="00F66398" w:rsidTr="00F97147">
        <w:trPr>
          <w:jc w:val="center"/>
        </w:trPr>
        <w:tc>
          <w:tcPr>
            <w:tcW w:w="2097"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excellent</w:t>
            </w:r>
          </w:p>
        </w:tc>
        <w:tc>
          <w:tcPr>
            <w:tcW w:w="1842"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Self-immolating</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Pr>
              <w:t>normal</w:t>
            </w:r>
          </w:p>
        </w:tc>
        <w:tc>
          <w:tcPr>
            <w:tcW w:w="1843"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1</w:t>
            </w:r>
          </w:p>
        </w:tc>
        <w:tc>
          <w:tcPr>
            <w:tcW w:w="1276" w:type="dxa"/>
          </w:tcPr>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0/0</w:t>
            </w:r>
          </w:p>
          <w:p w:rsidR="00873984" w:rsidRPr="00F66398" w:rsidRDefault="00873984" w:rsidP="00F66398">
            <w:pPr>
              <w:spacing w:after="0" w:line="240" w:lineRule="auto"/>
              <w:ind w:left="524"/>
              <w:rPr>
                <w:rFonts w:asciiTheme="majorBidi" w:hAnsiTheme="majorBidi" w:cstheme="majorBidi"/>
                <w:color w:val="000000"/>
                <w:sz w:val="20"/>
                <w:szCs w:val="20"/>
                <w:rtl/>
              </w:rPr>
            </w:pPr>
            <w:r w:rsidRPr="00F66398">
              <w:rPr>
                <w:rFonts w:asciiTheme="majorBidi" w:hAnsiTheme="majorBidi" w:cstheme="majorBidi"/>
                <w:color w:val="000000"/>
                <w:sz w:val="20"/>
                <w:szCs w:val="20"/>
                <w:rtl/>
              </w:rPr>
              <w:t>1/0</w:t>
            </w:r>
          </w:p>
        </w:tc>
      </w:tr>
    </w:tbl>
    <w:p w:rsidR="00873984" w:rsidRPr="00F66398" w:rsidRDefault="00873984" w:rsidP="00F66398">
      <w:pPr>
        <w:spacing w:after="0" w:line="240" w:lineRule="auto"/>
        <w:jc w:val="both"/>
        <w:rPr>
          <w:rFonts w:asciiTheme="majorBidi" w:hAnsiTheme="majorBidi" w:cstheme="majorBidi"/>
          <w:sz w:val="20"/>
          <w:szCs w:val="20"/>
        </w:rPr>
      </w:pPr>
    </w:p>
    <w:p w:rsidR="00A3360C" w:rsidRDefault="00873984" w:rsidP="00F66398">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As you can see in table 4, the average and standard deviation of the score of five-fold factors of personality is different among normal and self-immolating patients. This shows that in terms of neuroticism, elf-immolating patients have obtained a higher score compared to normal patients. The self-immolating group had lower levels of extroversion (mean: 29.47) and they had less compatibility and adaptability with external situations (mean: 23.76). </w:t>
      </w:r>
      <w:proofErr w:type="gramStart"/>
      <w:r w:rsidRPr="00F66398">
        <w:rPr>
          <w:rFonts w:asciiTheme="majorBidi" w:hAnsiTheme="majorBidi" w:cstheme="majorBidi"/>
          <w:sz w:val="20"/>
          <w:szCs w:val="20"/>
        </w:rPr>
        <w:t>also</w:t>
      </w:r>
      <w:proofErr w:type="gramEnd"/>
      <w:r w:rsidRPr="00F66398">
        <w:rPr>
          <w:rFonts w:asciiTheme="majorBidi" w:hAnsiTheme="majorBidi" w:cstheme="majorBidi"/>
          <w:sz w:val="20"/>
          <w:szCs w:val="20"/>
        </w:rPr>
        <w:t xml:space="preserve"> in terms of the components of openness and responsibility, the self-immolating group has obtained a lower score compared to the control group (table 4). As it is evident in table 4, the average and standard deviation of the score of problem-focused style</w:t>
      </w:r>
      <w:r w:rsidR="00A3360C" w:rsidRPr="00F66398">
        <w:rPr>
          <w:rFonts w:asciiTheme="majorBidi" w:hAnsiTheme="majorBidi" w:cstheme="majorBidi"/>
          <w:sz w:val="20"/>
          <w:szCs w:val="20"/>
        </w:rPr>
        <w:t xml:space="preserve"> is respectively equal to 38.81 and 11.56 for the self-immolating group. This is while for normal patients, these values are respectively 48.26 and 14.81. Ultimately, the mean and standard deviation of the score of emotion-focused style for the self-immolating group are respectively 79.47 and 16.05. This is while for the normal patients these values are respectively51.64 and 13.05. </w:t>
      </w:r>
      <w:r w:rsidR="00F66398" w:rsidRPr="00F66398">
        <w:rPr>
          <w:rFonts w:asciiTheme="majorBidi" w:hAnsiTheme="majorBidi" w:cstheme="majorBidi"/>
          <w:sz w:val="20"/>
          <w:szCs w:val="20"/>
        </w:rPr>
        <w:t>This</w:t>
      </w:r>
      <w:r w:rsidR="00A3360C" w:rsidRPr="00F66398">
        <w:rPr>
          <w:rFonts w:asciiTheme="majorBidi" w:hAnsiTheme="majorBidi" w:cstheme="majorBidi"/>
          <w:sz w:val="20"/>
          <w:szCs w:val="20"/>
        </w:rPr>
        <w:t xml:space="preserve"> shows that self-immolating people mostly use emotion-focused coping style in case of confronting problems.</w:t>
      </w:r>
    </w:p>
    <w:p w:rsidR="00F66398" w:rsidRPr="00F66398" w:rsidRDefault="00F66398" w:rsidP="00F66398">
      <w:pPr>
        <w:spacing w:after="0" w:line="240" w:lineRule="auto"/>
        <w:jc w:val="both"/>
        <w:rPr>
          <w:rFonts w:asciiTheme="majorBidi" w:hAnsiTheme="majorBidi" w:cstheme="majorBidi"/>
          <w:sz w:val="20"/>
          <w:szCs w:val="20"/>
        </w:rPr>
      </w:pPr>
    </w:p>
    <w:p w:rsidR="00A3360C" w:rsidRPr="00F66398" w:rsidRDefault="00A3360C" w:rsidP="00F66398">
      <w:pPr>
        <w:spacing w:after="0" w:line="240" w:lineRule="auto"/>
        <w:jc w:val="center"/>
        <w:rPr>
          <w:rFonts w:asciiTheme="majorBidi" w:hAnsiTheme="majorBidi" w:cstheme="majorBidi"/>
          <w:sz w:val="20"/>
          <w:szCs w:val="20"/>
        </w:rPr>
      </w:pPr>
      <w:r w:rsidRPr="00F66398">
        <w:rPr>
          <w:rFonts w:asciiTheme="majorBidi" w:hAnsiTheme="majorBidi" w:cstheme="majorBidi"/>
          <w:sz w:val="20"/>
          <w:szCs w:val="20"/>
        </w:rPr>
        <w:t>Table 4, average and standard deviations of scores of components of personality and coping styles among the studies groups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1953"/>
        <w:gridCol w:w="1692"/>
        <w:gridCol w:w="1776"/>
      </w:tblGrid>
      <w:tr w:rsidR="00A3360C" w:rsidRPr="00F66398" w:rsidTr="00F97147">
        <w:trPr>
          <w:trHeight w:val="341"/>
          <w:jc w:val="center"/>
        </w:trPr>
        <w:tc>
          <w:tcPr>
            <w:tcW w:w="206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variables</w:t>
            </w: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Statistical indices</w:t>
            </w:r>
          </w:p>
        </w:tc>
        <w:tc>
          <w:tcPr>
            <w:tcW w:w="3468" w:type="dxa"/>
            <w:gridSpan w:val="2"/>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group</w:t>
            </w:r>
          </w:p>
        </w:tc>
      </w:tr>
      <w:tr w:rsidR="00A3360C" w:rsidRPr="00F66398" w:rsidTr="00F97147">
        <w:trPr>
          <w:jc w:val="center"/>
        </w:trPr>
        <w:tc>
          <w:tcPr>
            <w:tcW w:w="206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Self-immolating</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normal</w:t>
            </w:r>
          </w:p>
        </w:tc>
      </w:tr>
      <w:tr w:rsidR="00A3360C" w:rsidRPr="00F66398" w:rsidTr="00F97147">
        <w:trPr>
          <w:trHeight w:val="509"/>
          <w:jc w:val="center"/>
        </w:trPr>
        <w:tc>
          <w:tcPr>
            <w:tcW w:w="2065" w:type="dxa"/>
            <w:vMerge w:val="restart"/>
          </w:tcPr>
          <w:p w:rsidR="00A3360C" w:rsidRPr="00F66398" w:rsidRDefault="00A3360C" w:rsidP="00F66398">
            <w:pPr>
              <w:spacing w:after="0" w:line="240" w:lineRule="auto"/>
              <w:rPr>
                <w:rFonts w:asciiTheme="majorBidi" w:hAnsiTheme="majorBidi" w:cstheme="majorBidi"/>
                <w:color w:val="000000"/>
                <w:sz w:val="20"/>
                <w:szCs w:val="20"/>
                <w:rtl/>
              </w:rPr>
            </w:pPr>
            <w:r w:rsidRPr="00F66398">
              <w:rPr>
                <w:rFonts w:asciiTheme="majorBidi" w:hAnsiTheme="majorBidi" w:cstheme="majorBidi"/>
                <w:color w:val="000000"/>
                <w:sz w:val="20"/>
                <w:szCs w:val="20"/>
              </w:rPr>
              <w:t>neuroticism</w:t>
            </w: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average</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85/41</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25/28</w:t>
            </w:r>
          </w:p>
        </w:tc>
      </w:tr>
      <w:tr w:rsidR="00A3360C" w:rsidRPr="00F66398" w:rsidTr="00F97147">
        <w:trPr>
          <w:trHeight w:val="533"/>
          <w:jc w:val="center"/>
        </w:trPr>
        <w:tc>
          <w:tcPr>
            <w:tcW w:w="2065" w:type="dxa"/>
            <w:vMerge/>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S.D</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56/10</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41/7</w:t>
            </w:r>
          </w:p>
        </w:tc>
      </w:tr>
      <w:tr w:rsidR="00A3360C" w:rsidRPr="00F66398" w:rsidTr="00F97147">
        <w:trPr>
          <w:trHeight w:val="557"/>
          <w:jc w:val="center"/>
        </w:trPr>
        <w:tc>
          <w:tcPr>
            <w:tcW w:w="2065" w:type="dxa"/>
            <w:vMerge w:val="restart"/>
          </w:tcPr>
          <w:p w:rsidR="00A3360C" w:rsidRPr="00F66398" w:rsidRDefault="00A3360C" w:rsidP="00F66398">
            <w:pPr>
              <w:spacing w:after="0" w:line="240" w:lineRule="auto"/>
              <w:rPr>
                <w:rFonts w:asciiTheme="majorBidi" w:hAnsiTheme="majorBidi" w:cstheme="majorBidi"/>
                <w:color w:val="000000"/>
                <w:sz w:val="20"/>
                <w:szCs w:val="20"/>
              </w:rPr>
            </w:pPr>
            <w:r w:rsidRPr="00F66398">
              <w:rPr>
                <w:rFonts w:asciiTheme="majorBidi" w:hAnsiTheme="majorBidi" w:cstheme="majorBidi"/>
                <w:color w:val="000000"/>
                <w:sz w:val="20"/>
                <w:szCs w:val="20"/>
              </w:rPr>
              <w:t>extroversion</w:t>
            </w:r>
          </w:p>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average</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47/29</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64/38</w:t>
            </w:r>
          </w:p>
        </w:tc>
      </w:tr>
      <w:tr w:rsidR="00A3360C" w:rsidRPr="00F66398" w:rsidTr="00F97147">
        <w:trPr>
          <w:trHeight w:val="709"/>
          <w:jc w:val="center"/>
        </w:trPr>
        <w:tc>
          <w:tcPr>
            <w:tcW w:w="2065" w:type="dxa"/>
            <w:vMerge/>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S.D</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05/11</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25/13</w:t>
            </w:r>
          </w:p>
        </w:tc>
      </w:tr>
      <w:tr w:rsidR="00A3360C" w:rsidRPr="00F66398" w:rsidTr="00F97147">
        <w:trPr>
          <w:trHeight w:val="523"/>
          <w:jc w:val="center"/>
        </w:trPr>
        <w:tc>
          <w:tcPr>
            <w:tcW w:w="2065" w:type="dxa"/>
            <w:vMerge w:val="restart"/>
          </w:tcPr>
          <w:p w:rsidR="00A3360C" w:rsidRPr="00F66398" w:rsidRDefault="00A3360C" w:rsidP="00F66398">
            <w:pPr>
              <w:spacing w:after="0" w:line="240" w:lineRule="auto"/>
              <w:jc w:val="center"/>
              <w:rPr>
                <w:rFonts w:asciiTheme="majorBidi" w:hAnsiTheme="majorBidi" w:cstheme="majorBidi"/>
                <w:color w:val="000000"/>
                <w:sz w:val="20"/>
                <w:szCs w:val="20"/>
              </w:rPr>
            </w:pPr>
            <w:r w:rsidRPr="00F66398">
              <w:rPr>
                <w:rFonts w:asciiTheme="majorBidi" w:hAnsiTheme="majorBidi" w:cstheme="majorBidi"/>
                <w:color w:val="000000"/>
                <w:sz w:val="20"/>
                <w:szCs w:val="20"/>
              </w:rPr>
              <w:t>adaptability</w:t>
            </w:r>
          </w:p>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average</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76/23</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78/37</w:t>
            </w:r>
          </w:p>
        </w:tc>
      </w:tr>
      <w:tr w:rsidR="00A3360C" w:rsidRPr="00F66398" w:rsidTr="00F97147">
        <w:trPr>
          <w:trHeight w:val="534"/>
          <w:jc w:val="center"/>
        </w:trPr>
        <w:tc>
          <w:tcPr>
            <w:tcW w:w="2065" w:type="dxa"/>
            <w:vMerge/>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S.D</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56/8</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91/13</w:t>
            </w:r>
          </w:p>
        </w:tc>
      </w:tr>
      <w:tr w:rsidR="00A3360C" w:rsidRPr="00F66398" w:rsidTr="00F97147">
        <w:trPr>
          <w:jc w:val="center"/>
        </w:trPr>
        <w:tc>
          <w:tcPr>
            <w:tcW w:w="2065" w:type="dxa"/>
            <w:vMerge w:val="restart"/>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openness</w:t>
            </w: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average</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22/27</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93/33</w:t>
            </w:r>
          </w:p>
        </w:tc>
      </w:tr>
      <w:tr w:rsidR="00A3360C" w:rsidRPr="00F66398" w:rsidTr="00F97147">
        <w:trPr>
          <w:jc w:val="center"/>
        </w:trPr>
        <w:tc>
          <w:tcPr>
            <w:tcW w:w="2065" w:type="dxa"/>
            <w:vMerge/>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S.D</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73/6</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02/12</w:t>
            </w:r>
          </w:p>
        </w:tc>
      </w:tr>
      <w:tr w:rsidR="00A3360C" w:rsidRPr="00F66398" w:rsidTr="00F97147">
        <w:trPr>
          <w:jc w:val="center"/>
        </w:trPr>
        <w:tc>
          <w:tcPr>
            <w:tcW w:w="2065" w:type="dxa"/>
            <w:vMerge w:val="restart"/>
          </w:tcPr>
          <w:p w:rsidR="00A3360C" w:rsidRPr="00F66398" w:rsidRDefault="00A3360C" w:rsidP="00F66398">
            <w:pPr>
              <w:spacing w:after="0" w:line="240" w:lineRule="auto"/>
              <w:rPr>
                <w:rFonts w:asciiTheme="majorBidi" w:hAnsiTheme="majorBidi" w:cstheme="majorBidi"/>
                <w:color w:val="000000"/>
                <w:sz w:val="20"/>
                <w:szCs w:val="20"/>
                <w:rtl/>
              </w:rPr>
            </w:pPr>
            <w:r w:rsidRPr="00F66398">
              <w:rPr>
                <w:rFonts w:asciiTheme="majorBidi" w:hAnsiTheme="majorBidi" w:cstheme="majorBidi"/>
                <w:color w:val="000000"/>
                <w:sz w:val="20"/>
                <w:szCs w:val="20"/>
              </w:rPr>
              <w:t>responsibility</w:t>
            </w: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average</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65/30</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48/35</w:t>
            </w:r>
          </w:p>
        </w:tc>
      </w:tr>
      <w:tr w:rsidR="00A3360C" w:rsidRPr="00F66398" w:rsidTr="00F97147">
        <w:trPr>
          <w:jc w:val="center"/>
        </w:trPr>
        <w:tc>
          <w:tcPr>
            <w:tcW w:w="2065" w:type="dxa"/>
            <w:vMerge/>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S.D</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11/10</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39/11</w:t>
            </w:r>
          </w:p>
        </w:tc>
      </w:tr>
      <w:tr w:rsidR="00A3360C" w:rsidRPr="00F66398" w:rsidTr="00F97147">
        <w:trPr>
          <w:jc w:val="center"/>
        </w:trPr>
        <w:tc>
          <w:tcPr>
            <w:tcW w:w="206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lastRenderedPageBreak/>
              <w:t>Problem-focused style</w:t>
            </w: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average</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81/38</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26/48</w:t>
            </w:r>
          </w:p>
        </w:tc>
      </w:tr>
      <w:tr w:rsidR="00A3360C" w:rsidRPr="00F66398" w:rsidTr="00F97147">
        <w:trPr>
          <w:jc w:val="center"/>
        </w:trPr>
        <w:tc>
          <w:tcPr>
            <w:tcW w:w="206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S.D</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56/11</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81/14</w:t>
            </w:r>
          </w:p>
        </w:tc>
      </w:tr>
      <w:tr w:rsidR="00A3360C" w:rsidRPr="00F66398" w:rsidTr="00F97147">
        <w:trPr>
          <w:jc w:val="center"/>
        </w:trPr>
        <w:tc>
          <w:tcPr>
            <w:tcW w:w="2065" w:type="dxa"/>
          </w:tcPr>
          <w:p w:rsidR="00A3360C" w:rsidRPr="00F66398" w:rsidRDefault="00A3360C" w:rsidP="00F66398">
            <w:pPr>
              <w:spacing w:after="0" w:line="240" w:lineRule="auto"/>
              <w:rPr>
                <w:rFonts w:asciiTheme="majorBidi" w:hAnsiTheme="majorBidi" w:cstheme="majorBidi"/>
                <w:color w:val="000000"/>
                <w:sz w:val="20"/>
                <w:szCs w:val="20"/>
                <w:rtl/>
              </w:rPr>
            </w:pPr>
            <w:r w:rsidRPr="00F66398">
              <w:rPr>
                <w:rFonts w:asciiTheme="majorBidi" w:hAnsiTheme="majorBidi" w:cstheme="majorBidi"/>
                <w:color w:val="000000"/>
                <w:sz w:val="20"/>
                <w:szCs w:val="20"/>
              </w:rPr>
              <w:t>Emotion-based style</w:t>
            </w: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average</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47/79</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64/51</w:t>
            </w:r>
          </w:p>
        </w:tc>
      </w:tr>
      <w:tr w:rsidR="00A3360C" w:rsidRPr="00F66398" w:rsidTr="00F97147">
        <w:trPr>
          <w:jc w:val="center"/>
        </w:trPr>
        <w:tc>
          <w:tcPr>
            <w:tcW w:w="206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953"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S.D</w:t>
            </w:r>
          </w:p>
        </w:tc>
        <w:tc>
          <w:tcPr>
            <w:tcW w:w="169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05/16</w:t>
            </w:r>
          </w:p>
        </w:tc>
        <w:tc>
          <w:tcPr>
            <w:tcW w:w="177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05/13</w:t>
            </w:r>
          </w:p>
        </w:tc>
      </w:tr>
    </w:tbl>
    <w:p w:rsidR="00873984" w:rsidRPr="00F66398" w:rsidRDefault="00A3360C" w:rsidP="00F66398">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 </w:t>
      </w:r>
      <w:r w:rsidR="00873984" w:rsidRPr="00F66398">
        <w:rPr>
          <w:rFonts w:asciiTheme="majorBidi" w:hAnsiTheme="majorBidi" w:cstheme="majorBidi"/>
          <w:sz w:val="20"/>
          <w:szCs w:val="20"/>
        </w:rPr>
        <w:t xml:space="preserve"> </w:t>
      </w:r>
    </w:p>
    <w:p w:rsidR="00A3360C" w:rsidRPr="00F66398" w:rsidRDefault="00A3360C" w:rsidP="00F66398">
      <w:pPr>
        <w:spacing w:after="0" w:line="240" w:lineRule="auto"/>
        <w:jc w:val="center"/>
        <w:rPr>
          <w:rFonts w:asciiTheme="majorBidi" w:hAnsiTheme="majorBidi" w:cstheme="majorBidi"/>
          <w:sz w:val="20"/>
          <w:szCs w:val="20"/>
        </w:rPr>
      </w:pPr>
      <w:r w:rsidRPr="00F66398">
        <w:rPr>
          <w:rFonts w:asciiTheme="majorBidi" w:hAnsiTheme="majorBidi" w:cstheme="majorBidi"/>
          <w:sz w:val="20"/>
          <w:szCs w:val="20"/>
        </w:rPr>
        <w:t>Table 5, results of MANOVA on average scores of subjects in terms of variables of components of personality and coping styles</w:t>
      </w:r>
    </w:p>
    <w:tbl>
      <w:tblPr>
        <w:bidiVisual/>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1890"/>
        <w:gridCol w:w="811"/>
        <w:gridCol w:w="990"/>
        <w:gridCol w:w="1095"/>
        <w:gridCol w:w="885"/>
        <w:gridCol w:w="1546"/>
      </w:tblGrid>
      <w:tr w:rsidR="00A3360C" w:rsidRPr="00F66398" w:rsidTr="00F97147">
        <w:trPr>
          <w:jc w:val="center"/>
        </w:trPr>
        <w:tc>
          <w:tcPr>
            <w:tcW w:w="602" w:type="dxa"/>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890"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Test name</w:t>
            </w:r>
          </w:p>
        </w:tc>
        <w:tc>
          <w:tcPr>
            <w:tcW w:w="811"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value</w:t>
            </w:r>
          </w:p>
        </w:tc>
        <w:tc>
          <w:tcPr>
            <w:tcW w:w="990" w:type="dxa"/>
          </w:tcPr>
          <w:p w:rsidR="00A3360C" w:rsidRPr="00F66398" w:rsidRDefault="00A3360C" w:rsidP="00F66398">
            <w:pPr>
              <w:spacing w:after="0" w:line="240" w:lineRule="auto"/>
              <w:jc w:val="center"/>
              <w:rPr>
                <w:rFonts w:asciiTheme="majorBidi" w:hAnsiTheme="majorBidi" w:cstheme="majorBidi"/>
                <w:color w:val="000000"/>
                <w:sz w:val="20"/>
                <w:szCs w:val="20"/>
              </w:rPr>
            </w:pPr>
            <w:r w:rsidRPr="00F66398">
              <w:rPr>
                <w:rFonts w:asciiTheme="majorBidi" w:hAnsiTheme="majorBidi" w:cstheme="majorBidi"/>
                <w:color w:val="000000"/>
                <w:sz w:val="20"/>
                <w:szCs w:val="20"/>
              </w:rPr>
              <w:t>F</w:t>
            </w:r>
          </w:p>
        </w:tc>
        <w:tc>
          <w:tcPr>
            <w:tcW w:w="109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Df hypothesis</w:t>
            </w:r>
          </w:p>
        </w:tc>
        <w:tc>
          <w:tcPr>
            <w:tcW w:w="88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Df error</w:t>
            </w:r>
          </w:p>
        </w:tc>
        <w:tc>
          <w:tcPr>
            <w:tcW w:w="1546"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Sig.</w:t>
            </w:r>
          </w:p>
        </w:tc>
      </w:tr>
      <w:tr w:rsidR="00A3360C" w:rsidRPr="00F66398" w:rsidTr="00F97147">
        <w:trPr>
          <w:jc w:val="center"/>
        </w:trPr>
        <w:tc>
          <w:tcPr>
            <w:tcW w:w="602" w:type="dxa"/>
            <w:vMerge w:val="restart"/>
          </w:tcPr>
          <w:p w:rsidR="00A3360C" w:rsidRPr="00F66398" w:rsidRDefault="00A3360C" w:rsidP="00F66398">
            <w:pPr>
              <w:spacing w:after="0" w:line="240" w:lineRule="auto"/>
              <w:rPr>
                <w:rFonts w:asciiTheme="majorBidi" w:hAnsiTheme="majorBidi" w:cstheme="majorBidi"/>
                <w:color w:val="000000"/>
                <w:sz w:val="20"/>
                <w:szCs w:val="20"/>
                <w:rtl/>
              </w:rPr>
            </w:pPr>
            <w:r w:rsidRPr="00F66398">
              <w:rPr>
                <w:rFonts w:asciiTheme="majorBidi" w:hAnsiTheme="majorBidi" w:cstheme="majorBidi"/>
                <w:color w:val="000000"/>
                <w:sz w:val="20"/>
                <w:szCs w:val="20"/>
              </w:rPr>
              <w:t>group</w:t>
            </w:r>
          </w:p>
        </w:tc>
        <w:tc>
          <w:tcPr>
            <w:tcW w:w="1890" w:type="dxa"/>
          </w:tcPr>
          <w:p w:rsidR="00A3360C" w:rsidRPr="00F66398" w:rsidRDefault="00A3360C" w:rsidP="00F66398">
            <w:pPr>
              <w:spacing w:after="0" w:line="240" w:lineRule="auto"/>
              <w:jc w:val="center"/>
              <w:rPr>
                <w:rFonts w:asciiTheme="majorBidi" w:eastAsia="Times New Roman" w:hAnsiTheme="majorBidi" w:cstheme="majorBidi"/>
                <w:color w:val="000000"/>
                <w:sz w:val="20"/>
                <w:szCs w:val="20"/>
                <w:rtl/>
              </w:rPr>
            </w:pPr>
            <w:proofErr w:type="spellStart"/>
            <w:r w:rsidRPr="00F66398">
              <w:rPr>
                <w:rFonts w:asciiTheme="majorBidi" w:hAnsiTheme="majorBidi" w:cstheme="majorBidi"/>
                <w:color w:val="000000"/>
                <w:sz w:val="20"/>
                <w:szCs w:val="20"/>
              </w:rPr>
              <w:t>Pillay</w:t>
            </w:r>
            <w:proofErr w:type="spellEnd"/>
            <w:r w:rsidRPr="00F66398">
              <w:rPr>
                <w:rFonts w:asciiTheme="majorBidi" w:hAnsiTheme="majorBidi" w:cstheme="majorBidi"/>
                <w:color w:val="000000"/>
                <w:sz w:val="20"/>
                <w:szCs w:val="20"/>
              </w:rPr>
              <w:t xml:space="preserve"> effect</w:t>
            </w:r>
          </w:p>
        </w:tc>
        <w:tc>
          <w:tcPr>
            <w:tcW w:w="811"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497/0</w:t>
            </w:r>
          </w:p>
        </w:tc>
        <w:tc>
          <w:tcPr>
            <w:tcW w:w="990"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93/42</w:t>
            </w:r>
          </w:p>
        </w:tc>
        <w:tc>
          <w:tcPr>
            <w:tcW w:w="109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2</w:t>
            </w:r>
          </w:p>
        </w:tc>
        <w:tc>
          <w:tcPr>
            <w:tcW w:w="88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87</w:t>
            </w:r>
          </w:p>
        </w:tc>
        <w:tc>
          <w:tcPr>
            <w:tcW w:w="1546" w:type="dxa"/>
          </w:tcPr>
          <w:p w:rsidR="00A3360C" w:rsidRPr="00F66398" w:rsidRDefault="00A3360C" w:rsidP="00F66398">
            <w:pPr>
              <w:spacing w:after="0" w:line="240" w:lineRule="auto"/>
              <w:jc w:val="center"/>
              <w:rPr>
                <w:rFonts w:asciiTheme="majorBidi" w:hAnsiTheme="majorBidi" w:cstheme="majorBidi"/>
                <w:color w:val="000000"/>
                <w:sz w:val="20"/>
                <w:szCs w:val="20"/>
              </w:rPr>
            </w:pPr>
            <w:r w:rsidRPr="00F66398">
              <w:rPr>
                <w:rFonts w:asciiTheme="majorBidi" w:hAnsiTheme="majorBidi" w:cstheme="majorBidi"/>
                <w:color w:val="000000"/>
                <w:sz w:val="20"/>
                <w:szCs w:val="20"/>
                <w:rtl/>
              </w:rPr>
              <w:t>001/0&gt;</w:t>
            </w:r>
            <w:r w:rsidRPr="00F66398">
              <w:rPr>
                <w:rFonts w:asciiTheme="majorBidi" w:hAnsiTheme="majorBidi" w:cstheme="majorBidi"/>
                <w:color w:val="000000"/>
                <w:sz w:val="20"/>
                <w:szCs w:val="20"/>
              </w:rPr>
              <w:t>P</w:t>
            </w:r>
          </w:p>
        </w:tc>
      </w:tr>
      <w:tr w:rsidR="00A3360C" w:rsidRPr="00F66398" w:rsidTr="00F97147">
        <w:trPr>
          <w:jc w:val="center"/>
        </w:trPr>
        <w:tc>
          <w:tcPr>
            <w:tcW w:w="602" w:type="dxa"/>
            <w:vMerge/>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890" w:type="dxa"/>
          </w:tcPr>
          <w:p w:rsidR="00A3360C" w:rsidRPr="00F66398" w:rsidRDefault="00A3360C" w:rsidP="00F66398">
            <w:pPr>
              <w:spacing w:after="0" w:line="240" w:lineRule="auto"/>
              <w:jc w:val="center"/>
              <w:rPr>
                <w:rFonts w:asciiTheme="majorBidi" w:eastAsia="Times New Roman" w:hAnsiTheme="majorBidi" w:cstheme="majorBidi"/>
                <w:color w:val="000000"/>
                <w:sz w:val="20"/>
                <w:szCs w:val="20"/>
                <w:rtl/>
              </w:rPr>
            </w:pPr>
            <w:proofErr w:type="spellStart"/>
            <w:r w:rsidRPr="00F66398">
              <w:rPr>
                <w:rFonts w:asciiTheme="majorBidi" w:hAnsiTheme="majorBidi" w:cstheme="majorBidi"/>
                <w:color w:val="000000"/>
                <w:sz w:val="20"/>
                <w:szCs w:val="20"/>
              </w:rPr>
              <w:t>Wilks</w:t>
            </w:r>
            <w:proofErr w:type="spellEnd"/>
            <w:r w:rsidRPr="00F66398">
              <w:rPr>
                <w:rFonts w:asciiTheme="majorBidi" w:hAnsiTheme="majorBidi" w:cstheme="majorBidi"/>
                <w:color w:val="000000"/>
                <w:sz w:val="20"/>
                <w:szCs w:val="20"/>
              </w:rPr>
              <w:t xml:space="preserve"> Lambda</w:t>
            </w:r>
          </w:p>
        </w:tc>
        <w:tc>
          <w:tcPr>
            <w:tcW w:w="811"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503/0</w:t>
            </w:r>
          </w:p>
        </w:tc>
        <w:tc>
          <w:tcPr>
            <w:tcW w:w="990"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93/42</w:t>
            </w:r>
          </w:p>
        </w:tc>
        <w:tc>
          <w:tcPr>
            <w:tcW w:w="109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2</w:t>
            </w:r>
          </w:p>
        </w:tc>
        <w:tc>
          <w:tcPr>
            <w:tcW w:w="88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87</w:t>
            </w:r>
          </w:p>
        </w:tc>
        <w:tc>
          <w:tcPr>
            <w:tcW w:w="1546" w:type="dxa"/>
          </w:tcPr>
          <w:p w:rsidR="00A3360C" w:rsidRPr="00F66398" w:rsidRDefault="00A3360C" w:rsidP="00F66398">
            <w:pPr>
              <w:spacing w:after="0" w:line="240" w:lineRule="auto"/>
              <w:jc w:val="center"/>
              <w:rPr>
                <w:rFonts w:asciiTheme="majorBidi" w:hAnsiTheme="majorBidi" w:cstheme="majorBidi"/>
                <w:color w:val="000000"/>
                <w:sz w:val="20"/>
                <w:szCs w:val="20"/>
              </w:rPr>
            </w:pPr>
            <w:r w:rsidRPr="00F66398">
              <w:rPr>
                <w:rFonts w:asciiTheme="majorBidi" w:hAnsiTheme="majorBidi" w:cstheme="majorBidi"/>
                <w:color w:val="000000"/>
                <w:sz w:val="20"/>
                <w:szCs w:val="20"/>
                <w:rtl/>
              </w:rPr>
              <w:t>001/0&gt;</w:t>
            </w:r>
            <w:r w:rsidRPr="00F66398">
              <w:rPr>
                <w:rFonts w:asciiTheme="majorBidi" w:hAnsiTheme="majorBidi" w:cstheme="majorBidi"/>
                <w:color w:val="000000"/>
                <w:sz w:val="20"/>
                <w:szCs w:val="20"/>
              </w:rPr>
              <w:t>P</w:t>
            </w:r>
          </w:p>
        </w:tc>
      </w:tr>
      <w:tr w:rsidR="00A3360C" w:rsidRPr="00F66398" w:rsidTr="00F97147">
        <w:trPr>
          <w:jc w:val="center"/>
        </w:trPr>
        <w:tc>
          <w:tcPr>
            <w:tcW w:w="602" w:type="dxa"/>
            <w:vMerge/>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890" w:type="dxa"/>
          </w:tcPr>
          <w:p w:rsidR="00A3360C" w:rsidRPr="00F66398" w:rsidRDefault="00A3360C" w:rsidP="00F66398">
            <w:pPr>
              <w:spacing w:after="0" w:line="240" w:lineRule="auto"/>
              <w:jc w:val="center"/>
              <w:rPr>
                <w:rFonts w:asciiTheme="majorBidi" w:eastAsia="Times New Roman" w:hAnsiTheme="majorBidi" w:cstheme="majorBidi"/>
                <w:color w:val="000000"/>
                <w:sz w:val="20"/>
                <w:szCs w:val="20"/>
                <w:rtl/>
              </w:rPr>
            </w:pPr>
            <w:proofErr w:type="spellStart"/>
            <w:r w:rsidRPr="00F66398">
              <w:rPr>
                <w:rFonts w:asciiTheme="majorBidi" w:hAnsiTheme="majorBidi" w:cstheme="majorBidi"/>
                <w:color w:val="000000"/>
                <w:sz w:val="20"/>
                <w:szCs w:val="20"/>
              </w:rPr>
              <w:t>Hotelling</w:t>
            </w:r>
            <w:proofErr w:type="spellEnd"/>
            <w:r w:rsidRPr="00F66398">
              <w:rPr>
                <w:rFonts w:asciiTheme="majorBidi" w:hAnsiTheme="majorBidi" w:cstheme="majorBidi"/>
                <w:color w:val="000000"/>
                <w:sz w:val="20"/>
                <w:szCs w:val="20"/>
              </w:rPr>
              <w:t xml:space="preserve"> effect</w:t>
            </w:r>
          </w:p>
        </w:tc>
        <w:tc>
          <w:tcPr>
            <w:tcW w:w="811"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987/0</w:t>
            </w:r>
          </w:p>
        </w:tc>
        <w:tc>
          <w:tcPr>
            <w:tcW w:w="990"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93/42</w:t>
            </w:r>
          </w:p>
        </w:tc>
        <w:tc>
          <w:tcPr>
            <w:tcW w:w="109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2</w:t>
            </w:r>
          </w:p>
        </w:tc>
        <w:tc>
          <w:tcPr>
            <w:tcW w:w="88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87</w:t>
            </w:r>
          </w:p>
        </w:tc>
        <w:tc>
          <w:tcPr>
            <w:tcW w:w="1546" w:type="dxa"/>
          </w:tcPr>
          <w:p w:rsidR="00A3360C" w:rsidRPr="00F66398" w:rsidRDefault="00A3360C" w:rsidP="00F66398">
            <w:pPr>
              <w:spacing w:after="0" w:line="240" w:lineRule="auto"/>
              <w:jc w:val="center"/>
              <w:rPr>
                <w:rFonts w:asciiTheme="majorBidi" w:hAnsiTheme="majorBidi" w:cstheme="majorBidi"/>
                <w:color w:val="000000"/>
                <w:sz w:val="20"/>
                <w:szCs w:val="20"/>
              </w:rPr>
            </w:pPr>
            <w:r w:rsidRPr="00F66398">
              <w:rPr>
                <w:rFonts w:asciiTheme="majorBidi" w:hAnsiTheme="majorBidi" w:cstheme="majorBidi"/>
                <w:color w:val="000000"/>
                <w:sz w:val="20"/>
                <w:szCs w:val="20"/>
                <w:rtl/>
              </w:rPr>
              <w:t>001/0&gt;</w:t>
            </w:r>
            <w:r w:rsidRPr="00F66398">
              <w:rPr>
                <w:rFonts w:asciiTheme="majorBidi" w:hAnsiTheme="majorBidi" w:cstheme="majorBidi"/>
                <w:color w:val="000000"/>
                <w:sz w:val="20"/>
                <w:szCs w:val="20"/>
              </w:rPr>
              <w:t>P</w:t>
            </w:r>
          </w:p>
        </w:tc>
      </w:tr>
      <w:tr w:rsidR="00A3360C" w:rsidRPr="00F66398" w:rsidTr="00F97147">
        <w:trPr>
          <w:jc w:val="center"/>
        </w:trPr>
        <w:tc>
          <w:tcPr>
            <w:tcW w:w="602" w:type="dxa"/>
            <w:vMerge/>
          </w:tcPr>
          <w:p w:rsidR="00A3360C" w:rsidRPr="00F66398" w:rsidRDefault="00A3360C" w:rsidP="00F66398">
            <w:pPr>
              <w:spacing w:after="0" w:line="240" w:lineRule="auto"/>
              <w:jc w:val="center"/>
              <w:rPr>
                <w:rFonts w:asciiTheme="majorBidi" w:hAnsiTheme="majorBidi" w:cstheme="majorBidi"/>
                <w:color w:val="000000"/>
                <w:sz w:val="20"/>
                <w:szCs w:val="20"/>
                <w:rtl/>
              </w:rPr>
            </w:pPr>
          </w:p>
        </w:tc>
        <w:tc>
          <w:tcPr>
            <w:tcW w:w="1890" w:type="dxa"/>
          </w:tcPr>
          <w:p w:rsidR="00A3360C" w:rsidRPr="00F66398" w:rsidRDefault="00A3360C" w:rsidP="00F66398">
            <w:pPr>
              <w:spacing w:after="0" w:line="240" w:lineRule="auto"/>
              <w:jc w:val="center"/>
              <w:rPr>
                <w:rFonts w:asciiTheme="majorBidi" w:eastAsia="Times New Roman" w:hAnsiTheme="majorBidi" w:cstheme="majorBidi"/>
                <w:color w:val="000000"/>
                <w:sz w:val="20"/>
                <w:szCs w:val="20"/>
                <w:rtl/>
              </w:rPr>
            </w:pPr>
            <w:r w:rsidRPr="00F66398">
              <w:rPr>
                <w:rFonts w:asciiTheme="majorBidi" w:hAnsiTheme="majorBidi" w:cstheme="majorBidi"/>
                <w:color w:val="000000"/>
                <w:sz w:val="20"/>
                <w:szCs w:val="20"/>
              </w:rPr>
              <w:t>Largest root</w:t>
            </w:r>
          </w:p>
        </w:tc>
        <w:tc>
          <w:tcPr>
            <w:tcW w:w="811"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987/0</w:t>
            </w:r>
          </w:p>
        </w:tc>
        <w:tc>
          <w:tcPr>
            <w:tcW w:w="990"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93/42</w:t>
            </w:r>
          </w:p>
        </w:tc>
        <w:tc>
          <w:tcPr>
            <w:tcW w:w="109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2</w:t>
            </w:r>
          </w:p>
        </w:tc>
        <w:tc>
          <w:tcPr>
            <w:tcW w:w="885" w:type="dxa"/>
          </w:tcPr>
          <w:p w:rsidR="00A3360C" w:rsidRPr="00F66398" w:rsidRDefault="00A3360C"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87</w:t>
            </w:r>
          </w:p>
        </w:tc>
        <w:tc>
          <w:tcPr>
            <w:tcW w:w="1546" w:type="dxa"/>
          </w:tcPr>
          <w:p w:rsidR="00A3360C" w:rsidRPr="00F66398" w:rsidRDefault="00A3360C" w:rsidP="00F66398">
            <w:pPr>
              <w:spacing w:after="0" w:line="240" w:lineRule="auto"/>
              <w:jc w:val="center"/>
              <w:rPr>
                <w:rFonts w:asciiTheme="majorBidi" w:hAnsiTheme="majorBidi" w:cstheme="majorBidi"/>
                <w:color w:val="000000"/>
                <w:sz w:val="20"/>
                <w:szCs w:val="20"/>
              </w:rPr>
            </w:pPr>
            <w:r w:rsidRPr="00F66398">
              <w:rPr>
                <w:rFonts w:asciiTheme="majorBidi" w:hAnsiTheme="majorBidi" w:cstheme="majorBidi"/>
                <w:color w:val="000000"/>
                <w:sz w:val="20"/>
                <w:szCs w:val="20"/>
                <w:rtl/>
              </w:rPr>
              <w:t>001/0&gt;</w:t>
            </w:r>
            <w:r w:rsidRPr="00F66398">
              <w:rPr>
                <w:rFonts w:asciiTheme="majorBidi" w:hAnsiTheme="majorBidi" w:cstheme="majorBidi"/>
                <w:color w:val="000000"/>
                <w:sz w:val="20"/>
                <w:szCs w:val="20"/>
              </w:rPr>
              <w:t>P</w:t>
            </w:r>
          </w:p>
        </w:tc>
      </w:tr>
    </w:tbl>
    <w:p w:rsidR="00A3360C" w:rsidRPr="00F66398" w:rsidRDefault="00A3360C" w:rsidP="00F66398">
      <w:pPr>
        <w:spacing w:after="0" w:line="240" w:lineRule="auto"/>
        <w:jc w:val="both"/>
        <w:rPr>
          <w:rFonts w:asciiTheme="majorBidi" w:hAnsiTheme="majorBidi" w:cstheme="majorBidi"/>
          <w:sz w:val="20"/>
          <w:szCs w:val="20"/>
        </w:rPr>
      </w:pPr>
    </w:p>
    <w:p w:rsidR="00A3360C" w:rsidRPr="00F66398" w:rsidRDefault="00A3360C" w:rsidP="00F66398">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Results of the table 5 indicate that significance value of all tests authorize the possibility of making use of MANOVA. These results also show that there exists a significant difference at least for one of the dependent variables. Therefore, for </w:t>
      </w:r>
      <w:r w:rsidR="00A237C3" w:rsidRPr="00F66398">
        <w:rPr>
          <w:rFonts w:asciiTheme="majorBidi" w:hAnsiTheme="majorBidi" w:cstheme="majorBidi"/>
          <w:sz w:val="20"/>
          <w:szCs w:val="20"/>
        </w:rPr>
        <w:t>identification of the source of these changes, an ANOVA variable analysis was performed within the MANOVA analysis. Results are shown in table 6.</w:t>
      </w:r>
    </w:p>
    <w:p w:rsidR="00A237C3" w:rsidRPr="00F66398" w:rsidRDefault="00A237C3" w:rsidP="00F66398">
      <w:pPr>
        <w:spacing w:after="0" w:line="240" w:lineRule="auto"/>
        <w:jc w:val="both"/>
        <w:rPr>
          <w:rFonts w:asciiTheme="majorBidi" w:hAnsiTheme="majorBidi" w:cstheme="majorBidi"/>
          <w:sz w:val="20"/>
          <w:szCs w:val="20"/>
        </w:rPr>
      </w:pPr>
    </w:p>
    <w:p w:rsidR="00A237C3" w:rsidRPr="00F66398" w:rsidRDefault="00A237C3" w:rsidP="00F66398">
      <w:pPr>
        <w:spacing w:after="0" w:line="240" w:lineRule="auto"/>
        <w:jc w:val="center"/>
        <w:rPr>
          <w:rFonts w:asciiTheme="majorBidi" w:hAnsiTheme="majorBidi" w:cstheme="majorBidi"/>
          <w:sz w:val="20"/>
          <w:szCs w:val="20"/>
        </w:rPr>
      </w:pPr>
      <w:r w:rsidRPr="00F66398">
        <w:rPr>
          <w:rFonts w:asciiTheme="majorBidi" w:hAnsiTheme="majorBidi" w:cstheme="majorBidi"/>
          <w:sz w:val="20"/>
          <w:szCs w:val="20"/>
        </w:rPr>
        <w:t>Table 6, results on ANOVA in MANOVA for average scores of components of personality and coping styles</w:t>
      </w:r>
    </w:p>
    <w:tbl>
      <w:tblPr>
        <w:bidiVisual/>
        <w:tblW w:w="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2"/>
        <w:gridCol w:w="1080"/>
        <w:gridCol w:w="900"/>
        <w:gridCol w:w="990"/>
        <w:gridCol w:w="810"/>
        <w:gridCol w:w="1080"/>
      </w:tblGrid>
      <w:tr w:rsidR="00A237C3" w:rsidRPr="00F66398" w:rsidTr="00F97147">
        <w:trPr>
          <w:jc w:val="center"/>
        </w:trPr>
        <w:tc>
          <w:tcPr>
            <w:tcW w:w="3212"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variable</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Sum of squares</w:t>
            </w:r>
          </w:p>
        </w:tc>
        <w:tc>
          <w:tcPr>
            <w:tcW w:w="900" w:type="dxa"/>
          </w:tcPr>
          <w:p w:rsidR="00A237C3" w:rsidRPr="00F66398" w:rsidRDefault="00A237C3" w:rsidP="00F66398">
            <w:pPr>
              <w:spacing w:after="0" w:line="240" w:lineRule="auto"/>
              <w:jc w:val="center"/>
              <w:rPr>
                <w:rFonts w:asciiTheme="majorBidi" w:hAnsiTheme="majorBidi" w:cstheme="majorBidi"/>
                <w:color w:val="000000"/>
                <w:sz w:val="20"/>
                <w:szCs w:val="20"/>
              </w:rPr>
            </w:pPr>
            <w:proofErr w:type="spellStart"/>
            <w:r w:rsidRPr="00F66398">
              <w:rPr>
                <w:rFonts w:asciiTheme="majorBidi" w:hAnsiTheme="majorBidi" w:cstheme="majorBidi"/>
                <w:color w:val="000000"/>
                <w:sz w:val="20"/>
                <w:szCs w:val="20"/>
              </w:rPr>
              <w:t>f.D</w:t>
            </w:r>
            <w:proofErr w:type="spellEnd"/>
          </w:p>
        </w:tc>
        <w:tc>
          <w:tcPr>
            <w:tcW w:w="99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Average squares</w:t>
            </w:r>
          </w:p>
        </w:tc>
        <w:tc>
          <w:tcPr>
            <w:tcW w:w="81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F</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SIG.</w:t>
            </w:r>
          </w:p>
        </w:tc>
      </w:tr>
      <w:tr w:rsidR="00A237C3" w:rsidRPr="00F66398" w:rsidTr="00F97147">
        <w:trPr>
          <w:jc w:val="center"/>
        </w:trPr>
        <w:tc>
          <w:tcPr>
            <w:tcW w:w="3212"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neuroticism</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37/629</w:t>
            </w:r>
          </w:p>
        </w:tc>
        <w:tc>
          <w:tcPr>
            <w:tcW w:w="90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w:t>
            </w:r>
          </w:p>
        </w:tc>
        <w:tc>
          <w:tcPr>
            <w:tcW w:w="99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37/629</w:t>
            </w:r>
          </w:p>
        </w:tc>
        <w:tc>
          <w:tcPr>
            <w:tcW w:w="81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15/32</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001/0</w:t>
            </w:r>
          </w:p>
        </w:tc>
      </w:tr>
      <w:tr w:rsidR="00A237C3" w:rsidRPr="00F66398" w:rsidTr="00F97147">
        <w:trPr>
          <w:jc w:val="center"/>
        </w:trPr>
        <w:tc>
          <w:tcPr>
            <w:tcW w:w="3212"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extroversion</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17/344</w:t>
            </w:r>
          </w:p>
        </w:tc>
        <w:tc>
          <w:tcPr>
            <w:tcW w:w="90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w:t>
            </w:r>
          </w:p>
        </w:tc>
        <w:tc>
          <w:tcPr>
            <w:tcW w:w="99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17/344</w:t>
            </w:r>
          </w:p>
        </w:tc>
        <w:tc>
          <w:tcPr>
            <w:tcW w:w="81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88/56</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001/0</w:t>
            </w:r>
          </w:p>
        </w:tc>
      </w:tr>
      <w:tr w:rsidR="00A237C3" w:rsidRPr="00F66398" w:rsidTr="00F97147">
        <w:trPr>
          <w:jc w:val="center"/>
        </w:trPr>
        <w:tc>
          <w:tcPr>
            <w:tcW w:w="3212"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adaptability</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19/428</w:t>
            </w:r>
          </w:p>
        </w:tc>
        <w:tc>
          <w:tcPr>
            <w:tcW w:w="90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w:t>
            </w:r>
          </w:p>
        </w:tc>
        <w:tc>
          <w:tcPr>
            <w:tcW w:w="99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19/428</w:t>
            </w:r>
          </w:p>
        </w:tc>
        <w:tc>
          <w:tcPr>
            <w:tcW w:w="81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16/41</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001/0</w:t>
            </w:r>
          </w:p>
        </w:tc>
      </w:tr>
      <w:tr w:rsidR="00A237C3" w:rsidRPr="00F66398" w:rsidTr="00F97147">
        <w:trPr>
          <w:jc w:val="center"/>
        </w:trPr>
        <w:tc>
          <w:tcPr>
            <w:tcW w:w="3212"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openness</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08/397</w:t>
            </w:r>
          </w:p>
        </w:tc>
        <w:tc>
          <w:tcPr>
            <w:tcW w:w="90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w:t>
            </w:r>
          </w:p>
        </w:tc>
        <w:tc>
          <w:tcPr>
            <w:tcW w:w="99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08/397</w:t>
            </w:r>
          </w:p>
        </w:tc>
        <w:tc>
          <w:tcPr>
            <w:tcW w:w="81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08/52</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001/0</w:t>
            </w:r>
          </w:p>
        </w:tc>
      </w:tr>
      <w:tr w:rsidR="00A237C3" w:rsidRPr="00F66398" w:rsidTr="00F97147">
        <w:trPr>
          <w:jc w:val="center"/>
        </w:trPr>
        <w:tc>
          <w:tcPr>
            <w:tcW w:w="3212"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responsibility</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22/728</w:t>
            </w:r>
          </w:p>
        </w:tc>
        <w:tc>
          <w:tcPr>
            <w:tcW w:w="90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w:t>
            </w:r>
          </w:p>
        </w:tc>
        <w:tc>
          <w:tcPr>
            <w:tcW w:w="99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22/728</w:t>
            </w:r>
          </w:p>
        </w:tc>
        <w:tc>
          <w:tcPr>
            <w:tcW w:w="81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66/45</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001/0</w:t>
            </w:r>
          </w:p>
        </w:tc>
      </w:tr>
      <w:tr w:rsidR="00A237C3" w:rsidRPr="00F66398" w:rsidTr="00F97147">
        <w:trPr>
          <w:jc w:val="center"/>
        </w:trPr>
        <w:tc>
          <w:tcPr>
            <w:tcW w:w="3212"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Problem-focused style</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68/654</w:t>
            </w:r>
          </w:p>
        </w:tc>
        <w:tc>
          <w:tcPr>
            <w:tcW w:w="90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w:t>
            </w:r>
          </w:p>
        </w:tc>
        <w:tc>
          <w:tcPr>
            <w:tcW w:w="99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68/654</w:t>
            </w:r>
          </w:p>
        </w:tc>
        <w:tc>
          <w:tcPr>
            <w:tcW w:w="81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33/42</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001/0</w:t>
            </w:r>
          </w:p>
        </w:tc>
      </w:tr>
      <w:tr w:rsidR="00A237C3" w:rsidRPr="00F66398" w:rsidTr="00F97147">
        <w:trPr>
          <w:jc w:val="center"/>
        </w:trPr>
        <w:tc>
          <w:tcPr>
            <w:tcW w:w="3212"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Pr>
              <w:t>Emotion-focused style</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88/521</w:t>
            </w:r>
          </w:p>
        </w:tc>
        <w:tc>
          <w:tcPr>
            <w:tcW w:w="90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1</w:t>
            </w:r>
          </w:p>
        </w:tc>
        <w:tc>
          <w:tcPr>
            <w:tcW w:w="99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88/521</w:t>
            </w:r>
          </w:p>
        </w:tc>
        <w:tc>
          <w:tcPr>
            <w:tcW w:w="81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87/38</w:t>
            </w:r>
          </w:p>
        </w:tc>
        <w:tc>
          <w:tcPr>
            <w:tcW w:w="1080" w:type="dxa"/>
          </w:tcPr>
          <w:p w:rsidR="00A237C3" w:rsidRPr="00F66398" w:rsidRDefault="00A237C3" w:rsidP="00F66398">
            <w:pPr>
              <w:spacing w:after="0" w:line="240" w:lineRule="auto"/>
              <w:jc w:val="center"/>
              <w:rPr>
                <w:rFonts w:asciiTheme="majorBidi" w:hAnsiTheme="majorBidi" w:cstheme="majorBidi"/>
                <w:color w:val="000000"/>
                <w:sz w:val="20"/>
                <w:szCs w:val="20"/>
                <w:rtl/>
              </w:rPr>
            </w:pPr>
            <w:r w:rsidRPr="00F66398">
              <w:rPr>
                <w:rFonts w:asciiTheme="majorBidi" w:hAnsiTheme="majorBidi" w:cstheme="majorBidi"/>
                <w:color w:val="000000"/>
                <w:sz w:val="20"/>
                <w:szCs w:val="20"/>
                <w:rtl/>
              </w:rPr>
              <w:t>001/0</w:t>
            </w:r>
          </w:p>
        </w:tc>
      </w:tr>
    </w:tbl>
    <w:p w:rsidR="00A237C3" w:rsidRPr="00F66398" w:rsidRDefault="00A237C3" w:rsidP="00F66398">
      <w:pPr>
        <w:spacing w:after="0" w:line="240" w:lineRule="auto"/>
        <w:jc w:val="both"/>
        <w:rPr>
          <w:rFonts w:asciiTheme="majorBidi" w:hAnsiTheme="majorBidi" w:cstheme="majorBidi"/>
          <w:sz w:val="20"/>
          <w:szCs w:val="20"/>
        </w:rPr>
      </w:pPr>
    </w:p>
    <w:p w:rsidR="00A237C3" w:rsidRDefault="00A237C3" w:rsidP="00F66398">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As you can see in table 6, there exists a significant difference between scores of indexes of components of personality and coping styles among the self-immolating and normal patients groups.</w:t>
      </w:r>
    </w:p>
    <w:p w:rsidR="00F66398" w:rsidRPr="00F66398" w:rsidRDefault="00F66398" w:rsidP="00F66398">
      <w:pPr>
        <w:spacing w:after="0" w:line="240" w:lineRule="auto"/>
        <w:jc w:val="both"/>
        <w:rPr>
          <w:rFonts w:asciiTheme="majorBidi" w:hAnsiTheme="majorBidi" w:cstheme="majorBidi"/>
          <w:sz w:val="20"/>
          <w:szCs w:val="20"/>
        </w:rPr>
      </w:pPr>
    </w:p>
    <w:p w:rsidR="00A237C3" w:rsidRPr="00F66398" w:rsidRDefault="00A237C3" w:rsidP="00F66398">
      <w:pPr>
        <w:spacing w:after="0" w:line="240" w:lineRule="auto"/>
        <w:jc w:val="both"/>
        <w:rPr>
          <w:rFonts w:asciiTheme="majorBidi" w:hAnsiTheme="majorBidi" w:cstheme="majorBidi"/>
          <w:b/>
          <w:bCs/>
          <w:sz w:val="20"/>
          <w:szCs w:val="20"/>
        </w:rPr>
      </w:pPr>
      <w:r w:rsidRPr="00F66398">
        <w:rPr>
          <w:rFonts w:asciiTheme="majorBidi" w:hAnsiTheme="majorBidi" w:cstheme="majorBidi"/>
          <w:b/>
          <w:bCs/>
          <w:sz w:val="20"/>
          <w:szCs w:val="20"/>
        </w:rPr>
        <w:t xml:space="preserve">Discussion and </w:t>
      </w:r>
      <w:r w:rsidR="00F66398" w:rsidRPr="00F66398">
        <w:rPr>
          <w:rFonts w:asciiTheme="majorBidi" w:hAnsiTheme="majorBidi" w:cstheme="majorBidi"/>
          <w:b/>
          <w:bCs/>
          <w:sz w:val="20"/>
          <w:szCs w:val="20"/>
        </w:rPr>
        <w:t>Conclusions</w:t>
      </w:r>
    </w:p>
    <w:p w:rsidR="002E0835" w:rsidRPr="00F66398" w:rsidRDefault="00A237C3" w:rsidP="000F6FA8">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The purpose of this research was to compare the components of personality and coping styles among the self-immolating and normal burned patients of Imam Khomeini Hospital in the city of Kermanshah. Results of MANOVA analysis indicate that there exists a significant difference among five-fold components of personality between normal and self-immolating patients. Results of this study are consistent with the results </w:t>
      </w:r>
      <w:r w:rsidR="001F0510" w:rsidRPr="00F66398">
        <w:rPr>
          <w:rFonts w:asciiTheme="majorBidi" w:hAnsiTheme="majorBidi" w:cstheme="majorBidi"/>
          <w:sz w:val="20"/>
          <w:szCs w:val="20"/>
        </w:rPr>
        <w:t>obtained by Boyer et al</w:t>
      </w:r>
      <w:r w:rsidR="00C56633">
        <w:rPr>
          <w:rFonts w:asciiTheme="majorBidi" w:hAnsiTheme="majorBidi" w:cstheme="majorBidi"/>
          <w:sz w:val="20"/>
          <w:szCs w:val="20"/>
        </w:rPr>
        <w:t xml:space="preserve"> (</w:t>
      </w:r>
      <w:proofErr w:type="spellStart"/>
      <w:r w:rsidR="00C56633" w:rsidRPr="00F66398">
        <w:rPr>
          <w:rFonts w:cs="B Mitra"/>
          <w:sz w:val="20"/>
          <w:szCs w:val="24"/>
        </w:rPr>
        <w:t>Boyers</w:t>
      </w:r>
      <w:proofErr w:type="spellEnd"/>
      <w:r w:rsidR="00C56633">
        <w:rPr>
          <w:rFonts w:cs="B Mitra"/>
          <w:sz w:val="20"/>
          <w:szCs w:val="24"/>
        </w:rPr>
        <w:t xml:space="preserve"> et al 2014)</w:t>
      </w:r>
      <w:r w:rsidR="00850EE4">
        <w:rPr>
          <w:rFonts w:asciiTheme="majorBidi" w:hAnsiTheme="majorBidi" w:cstheme="majorBidi"/>
          <w:sz w:val="20"/>
          <w:szCs w:val="20"/>
        </w:rPr>
        <w:t xml:space="preserve"> </w:t>
      </w:r>
      <w:r w:rsidR="001F0510" w:rsidRPr="00F66398">
        <w:rPr>
          <w:rFonts w:asciiTheme="majorBidi" w:hAnsiTheme="majorBidi" w:cstheme="majorBidi"/>
          <w:sz w:val="20"/>
          <w:szCs w:val="20"/>
        </w:rPr>
        <w:t>and Lee B. et al</w:t>
      </w:r>
      <w:r w:rsidR="004D11CB">
        <w:rPr>
          <w:rFonts w:asciiTheme="majorBidi" w:hAnsiTheme="majorBidi" w:cstheme="majorBidi"/>
          <w:sz w:val="20"/>
          <w:szCs w:val="20"/>
        </w:rPr>
        <w:t xml:space="preserve"> (Lee </w:t>
      </w:r>
      <w:r w:rsidR="004D11CB" w:rsidRPr="00F66398">
        <w:rPr>
          <w:rFonts w:asciiTheme="majorBidi" w:hAnsiTheme="majorBidi" w:cstheme="majorBidi"/>
          <w:sz w:val="20"/>
          <w:szCs w:val="20"/>
        </w:rPr>
        <w:t>et al</w:t>
      </w:r>
      <w:r w:rsidR="004D11CB">
        <w:rPr>
          <w:rFonts w:asciiTheme="majorBidi" w:hAnsiTheme="majorBidi" w:cstheme="majorBidi"/>
          <w:sz w:val="20"/>
          <w:szCs w:val="20"/>
        </w:rPr>
        <w:t xml:space="preserve"> 2005)</w:t>
      </w:r>
      <w:r w:rsidR="001F0510" w:rsidRPr="00F66398">
        <w:rPr>
          <w:rFonts w:asciiTheme="majorBidi" w:hAnsiTheme="majorBidi" w:cstheme="majorBidi"/>
          <w:sz w:val="20"/>
          <w:szCs w:val="20"/>
        </w:rPr>
        <w:t>. In order to explain the finding that addressed a significant difference between self-immolating and normal patients in terms of five-fold components of personality; it can be stated that according to current psychological theories and the literature of the subject, there exists a significant relation between negative incidents and disorders. Also the relation between committing suicide and negative incidents is justifiable in this regard. It means that negative incidents act as a source of stress and put a large amount of pressure on the individual.</w:t>
      </w:r>
      <w:r w:rsidR="005868CC" w:rsidRPr="00F66398">
        <w:rPr>
          <w:rFonts w:asciiTheme="majorBidi" w:hAnsiTheme="majorBidi" w:cstheme="majorBidi"/>
          <w:sz w:val="20"/>
          <w:szCs w:val="20"/>
        </w:rPr>
        <w:t xml:space="preserve"> If these stresses are continued and prolonged for a significant amount of time, then </w:t>
      </w:r>
      <w:r w:rsidR="0007204F" w:rsidRPr="00F66398">
        <w:rPr>
          <w:rFonts w:asciiTheme="majorBidi" w:hAnsiTheme="majorBidi" w:cstheme="majorBidi"/>
          <w:sz w:val="20"/>
          <w:szCs w:val="20"/>
        </w:rPr>
        <w:t>in-spite of</w:t>
      </w:r>
      <w:r w:rsidR="005868CC" w:rsidRPr="00F66398">
        <w:rPr>
          <w:rFonts w:asciiTheme="majorBidi" w:hAnsiTheme="majorBidi" w:cstheme="majorBidi"/>
          <w:sz w:val="20"/>
          <w:szCs w:val="20"/>
        </w:rPr>
        <w:t xml:space="preserve"> their effects on the immune system of the body,</w:t>
      </w:r>
      <w:r w:rsidR="001F0510" w:rsidRPr="00F66398">
        <w:rPr>
          <w:rFonts w:asciiTheme="majorBidi" w:hAnsiTheme="majorBidi" w:cstheme="majorBidi"/>
          <w:sz w:val="20"/>
          <w:szCs w:val="20"/>
        </w:rPr>
        <w:t xml:space="preserve"> </w:t>
      </w:r>
      <w:r w:rsidR="0007204F" w:rsidRPr="00F66398">
        <w:rPr>
          <w:rFonts w:asciiTheme="majorBidi" w:hAnsiTheme="majorBidi" w:cstheme="majorBidi"/>
          <w:sz w:val="20"/>
          <w:szCs w:val="20"/>
        </w:rPr>
        <w:t>they will also affect the psychological balance of the individual. In addition, these physical and mental disorders themselves cause an intention towards suicidal behaviors and thoughts</w:t>
      </w:r>
      <w:r w:rsidR="004D11CB">
        <w:rPr>
          <w:rFonts w:asciiTheme="majorBidi" w:hAnsiTheme="majorBidi" w:cstheme="majorBidi"/>
          <w:sz w:val="20"/>
          <w:szCs w:val="20"/>
        </w:rPr>
        <w:t xml:space="preserve"> (</w:t>
      </w:r>
      <w:proofErr w:type="spellStart"/>
      <w:r w:rsidR="004D11CB" w:rsidRPr="00F66398">
        <w:rPr>
          <w:rFonts w:cs="Times New Roman"/>
          <w:sz w:val="20"/>
          <w:szCs w:val="20"/>
        </w:rPr>
        <w:t>Akhavan</w:t>
      </w:r>
      <w:proofErr w:type="spellEnd"/>
      <w:r w:rsidR="004D11CB" w:rsidRPr="00F66398">
        <w:rPr>
          <w:rFonts w:cs="Times New Roman"/>
          <w:sz w:val="20"/>
          <w:szCs w:val="20"/>
        </w:rPr>
        <w:t xml:space="preserve"> </w:t>
      </w:r>
      <w:r w:rsidR="004D11CB" w:rsidRPr="00F66398">
        <w:rPr>
          <w:rStyle w:val="hps"/>
          <w:rFonts w:cs="Times New Roman"/>
          <w:sz w:val="20"/>
          <w:szCs w:val="20"/>
        </w:rPr>
        <w:t>2001</w:t>
      </w:r>
      <w:r w:rsidR="00801EF4">
        <w:rPr>
          <w:rStyle w:val="hps"/>
          <w:rFonts w:cs="Times New Roman"/>
          <w:sz w:val="20"/>
          <w:szCs w:val="20"/>
        </w:rPr>
        <w:t>)</w:t>
      </w:r>
      <w:r w:rsidR="0007204F" w:rsidRPr="00F66398">
        <w:rPr>
          <w:rFonts w:asciiTheme="majorBidi" w:hAnsiTheme="majorBidi" w:cstheme="majorBidi"/>
          <w:sz w:val="20"/>
          <w:szCs w:val="20"/>
        </w:rPr>
        <w:t>.</w:t>
      </w:r>
      <w:r w:rsidR="002E0E4C" w:rsidRPr="00F66398">
        <w:rPr>
          <w:rFonts w:asciiTheme="majorBidi" w:hAnsiTheme="majorBidi" w:cstheme="majorBidi"/>
          <w:sz w:val="20"/>
          <w:szCs w:val="20"/>
        </w:rPr>
        <w:t xml:space="preserve"> Therefore, it can be said that for people who lack efficient coping capabilities, negative incidents of life can cause disorders and orient them towards suicidal thoughts and behaviors. This claim is the result of researches performed on the families of youths who have committed suicide. Th</w:t>
      </w:r>
      <w:r w:rsidR="008608A9" w:rsidRPr="00F66398">
        <w:rPr>
          <w:rFonts w:asciiTheme="majorBidi" w:hAnsiTheme="majorBidi" w:cstheme="majorBidi"/>
          <w:sz w:val="20"/>
          <w:szCs w:val="20"/>
        </w:rPr>
        <w:t>ese</w:t>
      </w:r>
      <w:r w:rsidR="002E0E4C" w:rsidRPr="00F66398">
        <w:rPr>
          <w:rFonts w:asciiTheme="majorBidi" w:hAnsiTheme="majorBidi" w:cstheme="majorBidi"/>
          <w:sz w:val="20"/>
          <w:szCs w:val="20"/>
        </w:rPr>
        <w:t xml:space="preserve"> families have signs of prolonged and complex problems and issues including divorce, conflict, romantic failures, emotional issues, weak relations, lack of access to parents, high expectations of parents, mental disorders among membe</w:t>
      </w:r>
      <w:r w:rsidR="008608A9" w:rsidRPr="00F66398">
        <w:rPr>
          <w:rFonts w:asciiTheme="majorBidi" w:hAnsiTheme="majorBidi" w:cstheme="majorBidi"/>
          <w:sz w:val="20"/>
          <w:szCs w:val="20"/>
        </w:rPr>
        <w:t xml:space="preserve">rs of family, unemployment, </w:t>
      </w:r>
      <w:r w:rsidR="002E0E4C" w:rsidRPr="00F66398">
        <w:rPr>
          <w:rFonts w:asciiTheme="majorBidi" w:hAnsiTheme="majorBidi" w:cstheme="majorBidi"/>
          <w:sz w:val="20"/>
          <w:szCs w:val="20"/>
        </w:rPr>
        <w:t xml:space="preserve">suicide among other members of the family and </w:t>
      </w:r>
      <w:r w:rsidR="008608A9" w:rsidRPr="00F66398">
        <w:rPr>
          <w:rFonts w:asciiTheme="majorBidi" w:hAnsiTheme="majorBidi" w:cstheme="majorBidi"/>
          <w:sz w:val="20"/>
          <w:szCs w:val="20"/>
        </w:rPr>
        <w:t>financial and economic problems</w:t>
      </w:r>
      <w:r w:rsidR="00801EF4">
        <w:rPr>
          <w:rFonts w:asciiTheme="majorBidi" w:hAnsiTheme="majorBidi" w:cstheme="majorBidi"/>
          <w:sz w:val="20"/>
          <w:szCs w:val="20"/>
        </w:rPr>
        <w:t xml:space="preserve"> (</w:t>
      </w:r>
      <w:proofErr w:type="spellStart"/>
      <w:r w:rsidR="00801EF4" w:rsidRPr="00F66398">
        <w:rPr>
          <w:rFonts w:cs="Times New Roman"/>
          <w:sz w:val="20"/>
          <w:szCs w:val="20"/>
        </w:rPr>
        <w:t>Mehran</w:t>
      </w:r>
      <w:proofErr w:type="spellEnd"/>
      <w:r w:rsidR="00801EF4" w:rsidRPr="00F66398">
        <w:rPr>
          <w:rFonts w:cs="Times New Roman"/>
          <w:sz w:val="20"/>
          <w:szCs w:val="20"/>
        </w:rPr>
        <w:t xml:space="preserve"> </w:t>
      </w:r>
      <w:r w:rsidR="00801EF4" w:rsidRPr="00F66398">
        <w:rPr>
          <w:rStyle w:val="hps"/>
          <w:rFonts w:cs="Times New Roman"/>
          <w:sz w:val="20"/>
          <w:szCs w:val="20"/>
        </w:rPr>
        <w:t>2004</w:t>
      </w:r>
      <w:r w:rsidR="00801EF4">
        <w:rPr>
          <w:rStyle w:val="hps"/>
          <w:rFonts w:cs="Times New Roman"/>
          <w:sz w:val="20"/>
          <w:szCs w:val="20"/>
        </w:rPr>
        <w:t>)</w:t>
      </w:r>
      <w:r w:rsidR="008608A9" w:rsidRPr="00F66398">
        <w:rPr>
          <w:rFonts w:asciiTheme="majorBidi" w:hAnsiTheme="majorBidi" w:cstheme="majorBidi"/>
          <w:sz w:val="20"/>
          <w:szCs w:val="20"/>
        </w:rPr>
        <w:t>.</w:t>
      </w:r>
      <w:r w:rsidR="002E0E4C" w:rsidRPr="00F66398">
        <w:rPr>
          <w:rFonts w:asciiTheme="majorBidi" w:hAnsiTheme="majorBidi" w:cstheme="majorBidi"/>
          <w:sz w:val="20"/>
          <w:szCs w:val="20"/>
        </w:rPr>
        <w:t xml:space="preserve"> </w:t>
      </w:r>
      <w:r w:rsidR="008608A9" w:rsidRPr="00F66398">
        <w:rPr>
          <w:rFonts w:asciiTheme="majorBidi" w:hAnsiTheme="majorBidi" w:cstheme="majorBidi"/>
          <w:sz w:val="20"/>
          <w:szCs w:val="20"/>
        </w:rPr>
        <w:t xml:space="preserve">Another explanation regarding this research is the existence of differences between people. According to the theory of Aisenk, a portion of the difference in the process of sociability is the result of personal differences. These differences are the combined effects of natural factors and quantifiable personality features (neuroticism, high </w:t>
      </w:r>
      <w:r w:rsidR="008608A9" w:rsidRPr="00F66398">
        <w:rPr>
          <w:rFonts w:asciiTheme="majorBidi" w:hAnsiTheme="majorBidi" w:cstheme="majorBidi"/>
          <w:sz w:val="20"/>
          <w:szCs w:val="20"/>
        </w:rPr>
        <w:lastRenderedPageBreak/>
        <w:t>extroversion and etc.)</w:t>
      </w:r>
      <w:r w:rsidR="000B4B1A">
        <w:rPr>
          <w:rFonts w:asciiTheme="majorBidi" w:hAnsiTheme="majorBidi" w:cstheme="majorBidi"/>
          <w:sz w:val="20"/>
          <w:szCs w:val="20"/>
        </w:rPr>
        <w:t xml:space="preserve"> (</w:t>
      </w:r>
      <w:r w:rsidR="000B4B1A">
        <w:rPr>
          <w:rFonts w:cs="B Mitra"/>
          <w:sz w:val="20"/>
          <w:szCs w:val="24"/>
        </w:rPr>
        <w:t xml:space="preserve">Mc </w:t>
      </w:r>
      <w:proofErr w:type="spellStart"/>
      <w:r w:rsidR="000B4B1A">
        <w:rPr>
          <w:rFonts w:cs="B Mitra"/>
          <w:sz w:val="20"/>
          <w:szCs w:val="24"/>
        </w:rPr>
        <w:t>Guire</w:t>
      </w:r>
      <w:proofErr w:type="spellEnd"/>
      <w:r w:rsidR="000B4B1A">
        <w:rPr>
          <w:rFonts w:cs="B Mitra"/>
          <w:sz w:val="20"/>
          <w:szCs w:val="24"/>
        </w:rPr>
        <w:t xml:space="preserve"> </w:t>
      </w:r>
      <w:r w:rsidR="000B4B1A" w:rsidRPr="00F66398">
        <w:rPr>
          <w:rFonts w:cs="B Mitra"/>
          <w:sz w:val="20"/>
          <w:szCs w:val="24"/>
        </w:rPr>
        <w:t>2006</w:t>
      </w:r>
      <w:r w:rsidR="000B4B1A">
        <w:rPr>
          <w:rFonts w:cs="B Mitra"/>
          <w:sz w:val="20"/>
          <w:szCs w:val="24"/>
        </w:rPr>
        <w:t>)</w:t>
      </w:r>
      <w:r w:rsidR="008608A9" w:rsidRPr="00F66398">
        <w:rPr>
          <w:rFonts w:asciiTheme="majorBidi" w:hAnsiTheme="majorBidi" w:cstheme="majorBidi"/>
          <w:sz w:val="20"/>
          <w:szCs w:val="20"/>
        </w:rPr>
        <w:t xml:space="preserve">. According to the theory of Aisenk, it can be referred to neurotic conditioning among introvert personalities who deny </w:t>
      </w:r>
      <w:r w:rsidR="00EC3BB4" w:rsidRPr="00F66398">
        <w:rPr>
          <w:rFonts w:asciiTheme="majorBidi" w:hAnsiTheme="majorBidi" w:cstheme="majorBidi"/>
          <w:sz w:val="20"/>
          <w:szCs w:val="20"/>
        </w:rPr>
        <w:t>their own</w:t>
      </w:r>
      <w:r w:rsidR="008608A9" w:rsidRPr="00F66398">
        <w:rPr>
          <w:rFonts w:asciiTheme="majorBidi" w:hAnsiTheme="majorBidi" w:cstheme="majorBidi"/>
          <w:sz w:val="20"/>
          <w:szCs w:val="20"/>
        </w:rPr>
        <w:t xml:space="preserve"> tendencies and bow to the mandates of the environment. In other words, personal differences may be the result of </w:t>
      </w:r>
      <w:r w:rsidR="00502C55" w:rsidRPr="00F66398">
        <w:rPr>
          <w:rFonts w:asciiTheme="majorBidi" w:hAnsiTheme="majorBidi" w:cstheme="majorBidi"/>
          <w:sz w:val="20"/>
          <w:szCs w:val="20"/>
        </w:rPr>
        <w:t>personality and genetic traits which have high impacts on thoughts, emotions and behaviors including orientation towards anxiousness.</w:t>
      </w:r>
      <w:r w:rsidR="00EC3BB4" w:rsidRPr="00F66398">
        <w:rPr>
          <w:rFonts w:asciiTheme="majorBidi" w:hAnsiTheme="majorBidi" w:cstheme="majorBidi"/>
          <w:sz w:val="20"/>
          <w:szCs w:val="20"/>
        </w:rPr>
        <w:t xml:space="preserve"> Large personality factors provide us with strict and universal theoretical basics for determination of personal differences.</w:t>
      </w:r>
      <w:r w:rsidR="007D33B8" w:rsidRPr="00F66398">
        <w:rPr>
          <w:rFonts w:asciiTheme="majorBidi" w:hAnsiTheme="majorBidi" w:cstheme="majorBidi"/>
          <w:sz w:val="20"/>
          <w:szCs w:val="20"/>
        </w:rPr>
        <w:t xml:space="preserve"> Carnie and Broad burry believe that some personal tendencies such as inconsistency of emotions or neuroticism lead to sustained vulnerabilities which affect the manner of individuals’ coping with stressful experiences </w:t>
      </w:r>
      <w:r w:rsidR="00BF0967">
        <w:rPr>
          <w:rFonts w:asciiTheme="majorBidi" w:hAnsiTheme="majorBidi" w:cstheme="majorBidi"/>
          <w:sz w:val="20"/>
          <w:szCs w:val="20"/>
        </w:rPr>
        <w:t>(</w:t>
      </w:r>
      <w:r w:rsidR="00BF0967" w:rsidRPr="00F66398">
        <w:rPr>
          <w:rFonts w:cs="B Mitra"/>
          <w:sz w:val="20"/>
          <w:szCs w:val="24"/>
        </w:rPr>
        <w:t>Thornton</w:t>
      </w:r>
      <w:r w:rsidR="00BF0967" w:rsidRPr="00F66398">
        <w:rPr>
          <w:rFonts w:asciiTheme="majorBidi" w:hAnsiTheme="majorBidi" w:cstheme="majorBidi"/>
          <w:sz w:val="20"/>
          <w:szCs w:val="20"/>
        </w:rPr>
        <w:t xml:space="preserve"> </w:t>
      </w:r>
      <w:r w:rsidR="00BF0967">
        <w:rPr>
          <w:rFonts w:asciiTheme="majorBidi" w:hAnsiTheme="majorBidi" w:cstheme="majorBidi"/>
          <w:sz w:val="20"/>
          <w:szCs w:val="20"/>
        </w:rPr>
        <w:t>et al 2005)</w:t>
      </w:r>
      <w:r w:rsidR="007D33B8" w:rsidRPr="00F66398">
        <w:rPr>
          <w:rFonts w:asciiTheme="majorBidi" w:hAnsiTheme="majorBidi" w:cstheme="majorBidi"/>
          <w:sz w:val="20"/>
          <w:szCs w:val="20"/>
        </w:rPr>
        <w:t xml:space="preserve">. Since the behavior of human is the result of interaction between personality features and social and materialistic status of the environment; therefore personality features gain fundamental importance in terms of personal differences and personalities of individuals and their behaviors. Results of the MANOVA analysis which are evident in tables indicate that there exists a significant difference between components of emotion-focused and problem-focused coping styles among self-immolating and normal patients. For explaining this finding that states that there exists a </w:t>
      </w:r>
      <w:proofErr w:type="spellStart"/>
      <w:r w:rsidR="007D33B8" w:rsidRPr="00F66398">
        <w:rPr>
          <w:rFonts w:asciiTheme="majorBidi" w:hAnsiTheme="majorBidi" w:cstheme="majorBidi"/>
          <w:sz w:val="20"/>
          <w:szCs w:val="20"/>
        </w:rPr>
        <w:t>a</w:t>
      </w:r>
      <w:proofErr w:type="spellEnd"/>
      <w:r w:rsidR="007D33B8" w:rsidRPr="00F66398">
        <w:rPr>
          <w:rFonts w:asciiTheme="majorBidi" w:hAnsiTheme="majorBidi" w:cstheme="majorBidi"/>
          <w:sz w:val="20"/>
          <w:szCs w:val="20"/>
        </w:rPr>
        <w:t xml:space="preserve"> significant difference between components of emotion-focused and problem-focused coping styles among self-immolating and normal patients; it can be said that by making use of the problem-focused coping style, the individual uses his or her cognitive skills for solvation of problems. On this basis, ways of confronting the</w:t>
      </w:r>
      <w:r w:rsidR="00937639" w:rsidRPr="00F66398">
        <w:rPr>
          <w:rFonts w:asciiTheme="majorBidi" w:hAnsiTheme="majorBidi" w:cstheme="majorBidi"/>
          <w:sz w:val="20"/>
          <w:szCs w:val="20"/>
        </w:rPr>
        <w:t xml:space="preserve"> problem are directly assessed </w:t>
      </w:r>
      <w:r w:rsidR="007D33B8" w:rsidRPr="00F66398">
        <w:rPr>
          <w:rFonts w:asciiTheme="majorBidi" w:hAnsiTheme="majorBidi" w:cstheme="majorBidi"/>
          <w:sz w:val="20"/>
          <w:szCs w:val="20"/>
        </w:rPr>
        <w:t xml:space="preserve">and usually a psychological satisfaction is obtained through finding a suitable solution for that specific problem. </w:t>
      </w:r>
      <w:r w:rsidR="00937639" w:rsidRPr="00F66398">
        <w:rPr>
          <w:rFonts w:asciiTheme="majorBidi" w:hAnsiTheme="majorBidi" w:cstheme="majorBidi"/>
          <w:sz w:val="20"/>
          <w:szCs w:val="20"/>
        </w:rPr>
        <w:t>People, who make use of problem-focused coping style, are in fact equipped with necessary requirements for an active coping with stressful situations. This situation requires the entire abilities of an individual for a positive coping and solvation of problem and ultimately increases his or her chance of success. Therefore, the problem-focused coping style increases individuals’ self-confidence and in this way, it improves their problem solving capacity and ultimately, increases their satisfaction</w:t>
      </w:r>
      <w:r w:rsidR="009153B3">
        <w:rPr>
          <w:rFonts w:asciiTheme="majorBidi" w:hAnsiTheme="majorBidi" w:cstheme="majorBidi"/>
          <w:sz w:val="20"/>
          <w:szCs w:val="20"/>
        </w:rPr>
        <w:t xml:space="preserve"> (</w:t>
      </w:r>
      <w:r w:rsidR="009153B3" w:rsidRPr="00F66398">
        <w:rPr>
          <w:rFonts w:cs="B Mitra"/>
          <w:color w:val="000000"/>
          <w:sz w:val="20"/>
          <w:szCs w:val="24"/>
        </w:rPr>
        <w:t>Matthews</w:t>
      </w:r>
      <w:r w:rsidR="009153B3">
        <w:rPr>
          <w:rFonts w:cs="B Mitra"/>
          <w:color w:val="000000"/>
          <w:sz w:val="20"/>
          <w:szCs w:val="24"/>
        </w:rPr>
        <w:t xml:space="preserve"> et al 2011)</w:t>
      </w:r>
      <w:r w:rsidR="00937639" w:rsidRPr="00F66398">
        <w:rPr>
          <w:rFonts w:asciiTheme="majorBidi" w:hAnsiTheme="majorBidi" w:cstheme="majorBidi"/>
          <w:sz w:val="20"/>
          <w:szCs w:val="20"/>
        </w:rPr>
        <w:t>.</w:t>
      </w:r>
      <w:r w:rsidR="00F97147" w:rsidRPr="00F66398">
        <w:rPr>
          <w:rFonts w:asciiTheme="majorBidi" w:hAnsiTheme="majorBidi" w:cstheme="majorBidi"/>
          <w:sz w:val="20"/>
          <w:szCs w:val="20"/>
        </w:rPr>
        <w:t xml:space="preserve"> Another feature of people and individuals who make use of problem-focused coping style is having low levels of stress. Having a low level of emotional stress makes the individual able to use his or her cognitive skills for coping with different problems under the light of a solicited atmosphere. Different people have different evaluations of stressful conditions and responses which these people show depend on their contrastive and coping skills as well as existing social supports. Crisis coping is a learnt behavior which should progress according to age and psychological maturity. In other words, the process of coping with stresses during the childhood is mostly emotion-based and as people age, coping methods change. On the other hand, it should be considered that upon completion of growth and reduction of growth related alterations, most people stick to a certain and constant coping style while confronting stressful situations</w:t>
      </w:r>
      <w:r w:rsidR="009153B3">
        <w:rPr>
          <w:rFonts w:asciiTheme="majorBidi" w:hAnsiTheme="majorBidi" w:cstheme="majorBidi"/>
          <w:sz w:val="20"/>
          <w:szCs w:val="20"/>
        </w:rPr>
        <w:t xml:space="preserve"> (</w:t>
      </w:r>
      <w:proofErr w:type="spellStart"/>
      <w:r w:rsidR="009153B3" w:rsidRPr="00F66398">
        <w:rPr>
          <w:rFonts w:cs="B Mitra"/>
          <w:sz w:val="20"/>
          <w:szCs w:val="24"/>
        </w:rPr>
        <w:t>Liber</w:t>
      </w:r>
      <w:proofErr w:type="spellEnd"/>
      <w:r w:rsidR="009153B3">
        <w:rPr>
          <w:rFonts w:cs="B Mitra"/>
          <w:sz w:val="20"/>
          <w:szCs w:val="24"/>
        </w:rPr>
        <w:t xml:space="preserve"> et al 2008)</w:t>
      </w:r>
      <w:r w:rsidR="00F97147" w:rsidRPr="00F66398">
        <w:rPr>
          <w:rFonts w:asciiTheme="majorBidi" w:hAnsiTheme="majorBidi" w:cstheme="majorBidi"/>
          <w:sz w:val="20"/>
          <w:szCs w:val="20"/>
        </w:rPr>
        <w:t xml:space="preserve"> [10]. </w:t>
      </w:r>
      <w:r w:rsidR="00F97147" w:rsidRPr="000F6FA8">
        <w:rPr>
          <w:rFonts w:asciiTheme="majorBidi" w:hAnsiTheme="majorBidi" w:cstheme="majorBidi"/>
          <w:sz w:val="20"/>
          <w:szCs w:val="20"/>
        </w:rPr>
        <w:t>Erickson</w:t>
      </w:r>
      <w:r w:rsidR="00C51381" w:rsidRPr="000F6FA8">
        <w:rPr>
          <w:rFonts w:asciiTheme="majorBidi" w:hAnsiTheme="majorBidi" w:cstheme="majorBidi"/>
          <w:sz w:val="20"/>
          <w:szCs w:val="20"/>
        </w:rPr>
        <w:t xml:space="preserve">( </w:t>
      </w:r>
      <w:r w:rsidR="000F6FA8" w:rsidRPr="000F6FA8">
        <w:rPr>
          <w:rFonts w:asciiTheme="majorBidi" w:hAnsiTheme="majorBidi" w:cstheme="majorBidi"/>
          <w:sz w:val="20"/>
          <w:szCs w:val="20"/>
        </w:rPr>
        <w:t>1969</w:t>
      </w:r>
      <w:r w:rsidR="00C51381" w:rsidRPr="000F6FA8">
        <w:rPr>
          <w:rFonts w:asciiTheme="majorBidi" w:hAnsiTheme="majorBidi" w:cstheme="majorBidi"/>
          <w:sz w:val="20"/>
          <w:szCs w:val="20"/>
        </w:rPr>
        <w:t>)</w:t>
      </w:r>
      <w:r w:rsidR="00F97147" w:rsidRPr="00F66398">
        <w:rPr>
          <w:rFonts w:asciiTheme="majorBidi" w:hAnsiTheme="majorBidi" w:cstheme="majorBidi"/>
          <w:sz w:val="20"/>
          <w:szCs w:val="20"/>
        </w:rPr>
        <w:t xml:space="preserve"> in his psycho-social theory, believes that complete solutions of crises in human’s eight </w:t>
      </w:r>
      <w:r w:rsidR="001966BB">
        <w:rPr>
          <w:rFonts w:asciiTheme="majorBidi" w:hAnsiTheme="majorBidi" w:cstheme="majorBidi"/>
          <w:sz w:val="20"/>
          <w:szCs w:val="20"/>
        </w:rPr>
        <w:t>stages</w:t>
      </w:r>
      <w:r w:rsidR="00F97147" w:rsidRPr="00F66398">
        <w:rPr>
          <w:rFonts w:asciiTheme="majorBidi" w:hAnsiTheme="majorBidi" w:cstheme="majorBidi"/>
          <w:sz w:val="20"/>
          <w:szCs w:val="20"/>
        </w:rPr>
        <w:t xml:space="preserve"> of life, leave the individual with a legacy of coping sources which empower the person for solvation of his or her life’s crises.</w:t>
      </w:r>
      <w:r w:rsidR="009B0F3B" w:rsidRPr="00F66398">
        <w:rPr>
          <w:rFonts w:asciiTheme="majorBidi" w:hAnsiTheme="majorBidi" w:cstheme="majorBidi"/>
          <w:sz w:val="20"/>
          <w:szCs w:val="20"/>
        </w:rPr>
        <w:t xml:space="preserve"> Individuals’ problem-focused coping style is a method of contrasting which is learnt through education and observation of suitable and appropriate behavioral models. People who lack these models and also lack a suitable social status, make less frequent uses of this style, and as a result, they are </w:t>
      </w:r>
      <w:r w:rsidR="002E0835" w:rsidRPr="00F66398">
        <w:rPr>
          <w:rFonts w:asciiTheme="majorBidi" w:hAnsiTheme="majorBidi" w:cstheme="majorBidi"/>
          <w:sz w:val="20"/>
          <w:szCs w:val="20"/>
        </w:rPr>
        <w:t>highly</w:t>
      </w:r>
      <w:r w:rsidR="009B0F3B" w:rsidRPr="00F66398">
        <w:rPr>
          <w:rFonts w:asciiTheme="majorBidi" w:hAnsiTheme="majorBidi" w:cstheme="majorBidi"/>
          <w:sz w:val="20"/>
          <w:szCs w:val="20"/>
        </w:rPr>
        <w:t xml:space="preserve"> </w:t>
      </w:r>
      <w:r w:rsidR="002E0835" w:rsidRPr="00F66398">
        <w:rPr>
          <w:rFonts w:asciiTheme="majorBidi" w:hAnsiTheme="majorBidi" w:cstheme="majorBidi"/>
          <w:sz w:val="20"/>
          <w:szCs w:val="20"/>
        </w:rPr>
        <w:t>susceptible</w:t>
      </w:r>
      <w:r w:rsidR="009B0F3B" w:rsidRPr="00F66398">
        <w:rPr>
          <w:rFonts w:asciiTheme="majorBidi" w:hAnsiTheme="majorBidi" w:cstheme="majorBidi"/>
          <w:sz w:val="20"/>
          <w:szCs w:val="20"/>
        </w:rPr>
        <w:t xml:space="preserve"> of committing suicide in different ways.</w:t>
      </w:r>
      <w:r w:rsidR="00F97147" w:rsidRPr="00F66398">
        <w:rPr>
          <w:rFonts w:asciiTheme="majorBidi" w:hAnsiTheme="majorBidi" w:cstheme="majorBidi"/>
          <w:sz w:val="20"/>
          <w:szCs w:val="20"/>
        </w:rPr>
        <w:t xml:space="preserve"> </w:t>
      </w:r>
    </w:p>
    <w:p w:rsidR="00A42BAC" w:rsidRDefault="002E0835" w:rsidP="00F66398">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There exist a significant difference between the components of personality and styles of problem solving among self-immolating and normal burned patients. In addition, significant difference lies among self-immolating patients in terms of components of </w:t>
      </w:r>
      <w:r w:rsidR="00A42BAC" w:rsidRPr="00F66398">
        <w:rPr>
          <w:rFonts w:asciiTheme="majorBidi" w:hAnsiTheme="majorBidi" w:cstheme="majorBidi"/>
          <w:sz w:val="20"/>
          <w:szCs w:val="20"/>
        </w:rPr>
        <w:t>personality. They mostly make use of emotion-focused problem solving rather than problem-focused problem solving. Although that difference lies b</w:t>
      </w:r>
      <w:r w:rsidR="00F66398">
        <w:rPr>
          <w:rFonts w:asciiTheme="majorBidi" w:hAnsiTheme="majorBidi" w:cstheme="majorBidi"/>
          <w:sz w:val="20"/>
          <w:szCs w:val="20"/>
        </w:rPr>
        <w:t xml:space="preserve">etween self-immolating patients </w:t>
      </w:r>
      <w:r w:rsidR="00A42BAC" w:rsidRPr="00F66398">
        <w:rPr>
          <w:rFonts w:asciiTheme="majorBidi" w:hAnsiTheme="majorBidi" w:cstheme="majorBidi"/>
          <w:sz w:val="20"/>
          <w:szCs w:val="20"/>
        </w:rPr>
        <w:t>and these differences have a large impact on their problem coping styles, but coping styles are still alterable through education and we are required to consider for these educations and reformations in therapies of these patients.</w:t>
      </w:r>
    </w:p>
    <w:p w:rsidR="00F66398" w:rsidRPr="00F66398" w:rsidRDefault="00F66398" w:rsidP="00F66398">
      <w:pPr>
        <w:spacing w:after="0" w:line="240" w:lineRule="auto"/>
        <w:jc w:val="both"/>
        <w:rPr>
          <w:rFonts w:asciiTheme="majorBidi" w:hAnsiTheme="majorBidi" w:cstheme="majorBidi"/>
          <w:sz w:val="20"/>
          <w:szCs w:val="20"/>
        </w:rPr>
      </w:pPr>
    </w:p>
    <w:p w:rsidR="00A42BAC" w:rsidRPr="00F66398" w:rsidRDefault="00A42BAC" w:rsidP="00F66398">
      <w:pPr>
        <w:spacing w:after="0" w:line="240" w:lineRule="auto"/>
        <w:jc w:val="both"/>
        <w:rPr>
          <w:rFonts w:asciiTheme="majorBidi" w:hAnsiTheme="majorBidi" w:cstheme="majorBidi"/>
          <w:b/>
          <w:bCs/>
          <w:sz w:val="20"/>
          <w:szCs w:val="20"/>
        </w:rPr>
      </w:pPr>
      <w:r w:rsidRPr="00F66398">
        <w:rPr>
          <w:rFonts w:asciiTheme="majorBidi" w:hAnsiTheme="majorBidi" w:cstheme="majorBidi"/>
          <w:b/>
          <w:bCs/>
          <w:sz w:val="20"/>
          <w:szCs w:val="20"/>
        </w:rPr>
        <w:t>Acknowledgments</w:t>
      </w:r>
    </w:p>
    <w:p w:rsidR="00A42BAC" w:rsidRDefault="00A42BAC" w:rsidP="0011047D">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This article is extracted from the </w:t>
      </w:r>
      <w:proofErr w:type="spellStart"/>
      <w:r w:rsidRPr="00F66398">
        <w:rPr>
          <w:rFonts w:asciiTheme="majorBidi" w:hAnsiTheme="majorBidi" w:cstheme="majorBidi"/>
          <w:sz w:val="20"/>
          <w:szCs w:val="20"/>
        </w:rPr>
        <w:t>M.A</w:t>
      </w:r>
      <w:proofErr w:type="spellEnd"/>
      <w:r w:rsidRPr="00F66398">
        <w:rPr>
          <w:rFonts w:asciiTheme="majorBidi" w:hAnsiTheme="majorBidi" w:cstheme="majorBidi"/>
          <w:sz w:val="20"/>
          <w:szCs w:val="20"/>
        </w:rPr>
        <w:t xml:space="preserve"> thesis. By this means we appreciate the collaborations and </w:t>
      </w:r>
      <w:r w:rsidR="005C135F" w:rsidRPr="00F66398">
        <w:rPr>
          <w:rFonts w:asciiTheme="majorBidi" w:hAnsiTheme="majorBidi" w:cstheme="majorBidi"/>
          <w:sz w:val="20"/>
          <w:szCs w:val="20"/>
        </w:rPr>
        <w:t>cooperation</w:t>
      </w:r>
      <w:r w:rsidRPr="00F66398">
        <w:rPr>
          <w:rFonts w:asciiTheme="majorBidi" w:hAnsiTheme="majorBidi" w:cstheme="majorBidi"/>
          <w:sz w:val="20"/>
          <w:szCs w:val="20"/>
        </w:rPr>
        <w:t xml:space="preserve"> of the entire workers and authorities of Kermanshah Imam Khomeini hospital as well as patients held in burns ward of this hospital.</w:t>
      </w:r>
      <w:bookmarkStart w:id="0" w:name="_GoBack"/>
      <w:bookmarkEnd w:id="0"/>
    </w:p>
    <w:p w:rsidR="00F66398" w:rsidRDefault="00F66398" w:rsidP="00F66398">
      <w:pPr>
        <w:spacing w:after="0" w:line="240" w:lineRule="auto"/>
        <w:jc w:val="both"/>
        <w:rPr>
          <w:rFonts w:asciiTheme="majorBidi" w:hAnsiTheme="majorBidi" w:cstheme="majorBidi"/>
          <w:sz w:val="20"/>
          <w:szCs w:val="20"/>
        </w:rPr>
      </w:pPr>
    </w:p>
    <w:p w:rsidR="00F66398" w:rsidRDefault="00F66398" w:rsidP="00F66398">
      <w:pPr>
        <w:spacing w:after="0" w:line="240" w:lineRule="auto"/>
        <w:jc w:val="both"/>
        <w:rPr>
          <w:rFonts w:ascii="Times New Roman" w:hAnsi="Times New Roman" w:cs="B Mitra"/>
          <w:b/>
          <w:bCs/>
          <w:sz w:val="20"/>
          <w:szCs w:val="24"/>
        </w:rPr>
      </w:pPr>
      <w:r w:rsidRPr="00E577D0">
        <w:rPr>
          <w:rFonts w:ascii="Times New Roman" w:hAnsi="Times New Roman" w:cs="B Mitra"/>
          <w:b/>
          <w:bCs/>
          <w:sz w:val="20"/>
          <w:szCs w:val="24"/>
        </w:rPr>
        <w:t>Ref</w:t>
      </w:r>
      <w:r>
        <w:rPr>
          <w:rFonts w:ascii="Times New Roman" w:hAnsi="Times New Roman" w:cs="B Mitra"/>
          <w:b/>
          <w:bCs/>
          <w:sz w:val="20"/>
          <w:szCs w:val="24"/>
        </w:rPr>
        <w:t>e</w:t>
      </w:r>
      <w:r w:rsidRPr="00E577D0">
        <w:rPr>
          <w:rFonts w:ascii="Times New Roman" w:hAnsi="Times New Roman" w:cs="B Mitra"/>
          <w:b/>
          <w:bCs/>
          <w:sz w:val="20"/>
          <w:szCs w:val="24"/>
        </w:rPr>
        <w:t>rence</w:t>
      </w:r>
      <w:r>
        <w:rPr>
          <w:rFonts w:ascii="Times New Roman" w:hAnsi="Times New Roman" w:cs="B Mitra"/>
          <w:b/>
          <w:bCs/>
          <w:sz w:val="20"/>
          <w:szCs w:val="24"/>
        </w:rPr>
        <w:t>s</w:t>
      </w:r>
    </w:p>
    <w:p w:rsidR="000F6FA8" w:rsidRPr="00E577D0" w:rsidRDefault="000F6FA8" w:rsidP="00F66398">
      <w:pPr>
        <w:spacing w:after="0" w:line="240" w:lineRule="auto"/>
        <w:jc w:val="both"/>
        <w:rPr>
          <w:rFonts w:ascii="Times New Roman" w:hAnsi="Times New Roman" w:cs="B Mitra"/>
          <w:b/>
          <w:bCs/>
          <w:sz w:val="20"/>
          <w:szCs w:val="24"/>
        </w:rPr>
      </w:pPr>
    </w:p>
    <w:p w:rsidR="005E7607" w:rsidRPr="00F66398" w:rsidRDefault="005E7607" w:rsidP="002F1EF7">
      <w:pPr>
        <w:pStyle w:val="ListParagraph"/>
        <w:tabs>
          <w:tab w:val="left" w:pos="630"/>
        </w:tabs>
        <w:bidi w:val="0"/>
        <w:spacing w:after="0" w:line="240" w:lineRule="auto"/>
        <w:ind w:left="630"/>
        <w:rPr>
          <w:rStyle w:val="hps"/>
          <w:rFonts w:cs="Times New Roman"/>
          <w:sz w:val="20"/>
          <w:szCs w:val="20"/>
        </w:rPr>
      </w:pPr>
      <w:proofErr w:type="spellStart"/>
      <w:proofErr w:type="gramStart"/>
      <w:r w:rsidRPr="00F66398">
        <w:rPr>
          <w:rFonts w:cs="Times New Roman"/>
          <w:sz w:val="20"/>
          <w:szCs w:val="20"/>
        </w:rPr>
        <w:t>Akhavan</w:t>
      </w:r>
      <w:proofErr w:type="spellEnd"/>
      <w:r w:rsidRPr="00F66398">
        <w:rPr>
          <w:rFonts w:cs="Times New Roman"/>
          <w:sz w:val="20"/>
          <w:szCs w:val="20"/>
        </w:rPr>
        <w:t xml:space="preserve"> F. </w:t>
      </w:r>
      <w:r>
        <w:rPr>
          <w:rFonts w:cs="Times New Roman"/>
          <w:sz w:val="20"/>
          <w:szCs w:val="20"/>
        </w:rPr>
        <w:t>(</w:t>
      </w:r>
      <w:r w:rsidRPr="00F66398">
        <w:rPr>
          <w:rStyle w:val="hps"/>
          <w:rFonts w:cs="Times New Roman"/>
          <w:sz w:val="20"/>
          <w:szCs w:val="20"/>
        </w:rPr>
        <w:t>2001</w:t>
      </w:r>
      <w:r>
        <w:rPr>
          <w:rStyle w:val="hps"/>
          <w:rFonts w:cs="Times New Roman"/>
          <w:sz w:val="20"/>
          <w:szCs w:val="20"/>
        </w:rPr>
        <w:t>)</w:t>
      </w:r>
      <w:r w:rsidRPr="00F66398">
        <w:rPr>
          <w:rFonts w:cs="Times New Roman"/>
          <w:sz w:val="20"/>
          <w:szCs w:val="20"/>
        </w:rPr>
        <w:t xml:space="preserve"> [</w:t>
      </w:r>
      <w:r w:rsidRPr="00F66398">
        <w:rPr>
          <w:rStyle w:val="hps"/>
          <w:rFonts w:cs="Times New Roman"/>
          <w:sz w:val="20"/>
          <w:szCs w:val="20"/>
        </w:rPr>
        <w:t>Check</w:t>
      </w:r>
      <w:r w:rsidRPr="00F66398">
        <w:rPr>
          <w:rFonts w:cs="Times New Roman"/>
          <w:sz w:val="20"/>
          <w:szCs w:val="20"/>
        </w:rPr>
        <w:t xml:space="preserve"> </w:t>
      </w:r>
      <w:r w:rsidRPr="00F66398">
        <w:rPr>
          <w:rStyle w:val="hps"/>
          <w:rFonts w:cs="Times New Roman"/>
          <w:sz w:val="20"/>
          <w:szCs w:val="20"/>
        </w:rPr>
        <w:t>attitudes and</w:t>
      </w:r>
      <w:r w:rsidRPr="00F66398">
        <w:rPr>
          <w:rFonts w:cs="Times New Roman"/>
          <w:sz w:val="20"/>
          <w:szCs w:val="20"/>
        </w:rPr>
        <w:t xml:space="preserve"> </w:t>
      </w:r>
      <w:r w:rsidRPr="00F66398">
        <w:rPr>
          <w:rStyle w:val="hps"/>
          <w:rFonts w:cs="Times New Roman"/>
          <w:sz w:val="20"/>
          <w:szCs w:val="20"/>
        </w:rPr>
        <w:t>control</w:t>
      </w:r>
      <w:r w:rsidRPr="00F66398">
        <w:rPr>
          <w:rFonts w:cs="Times New Roman"/>
          <w:sz w:val="20"/>
          <w:szCs w:val="20"/>
        </w:rPr>
        <w:t xml:space="preserve"> </w:t>
      </w:r>
      <w:r w:rsidRPr="00F66398">
        <w:rPr>
          <w:rStyle w:val="hps"/>
          <w:rFonts w:cs="Times New Roman"/>
          <w:sz w:val="20"/>
          <w:szCs w:val="20"/>
        </w:rPr>
        <w:t>students</w:t>
      </w:r>
      <w:r w:rsidRPr="00F66398">
        <w:rPr>
          <w:rFonts w:cs="Times New Roman"/>
          <w:sz w:val="20"/>
          <w:szCs w:val="20"/>
        </w:rPr>
        <w:t xml:space="preserve"> </w:t>
      </w:r>
      <w:r w:rsidRPr="00F66398">
        <w:rPr>
          <w:rStyle w:val="hps"/>
          <w:rFonts w:cs="Times New Roman"/>
          <w:sz w:val="20"/>
          <w:szCs w:val="20"/>
        </w:rPr>
        <w:t>on</w:t>
      </w:r>
      <w:r w:rsidRPr="00F66398">
        <w:rPr>
          <w:rFonts w:cs="Times New Roman"/>
          <w:sz w:val="20"/>
          <w:szCs w:val="20"/>
        </w:rPr>
        <w:t xml:space="preserve"> </w:t>
      </w:r>
      <w:r w:rsidRPr="00F66398">
        <w:rPr>
          <w:rStyle w:val="hps"/>
          <w:rFonts w:cs="Times New Roman"/>
          <w:sz w:val="20"/>
          <w:szCs w:val="20"/>
        </w:rPr>
        <w:t>the issue of</w:t>
      </w:r>
      <w:r w:rsidRPr="00F66398">
        <w:rPr>
          <w:rFonts w:cs="Times New Roman"/>
          <w:sz w:val="20"/>
          <w:szCs w:val="20"/>
        </w:rPr>
        <w:t xml:space="preserve"> </w:t>
      </w:r>
      <w:r w:rsidRPr="00F66398">
        <w:rPr>
          <w:rStyle w:val="hps"/>
          <w:rFonts w:cs="Times New Roman"/>
          <w:sz w:val="20"/>
          <w:szCs w:val="20"/>
        </w:rPr>
        <w:t>suicide.</w:t>
      </w:r>
      <w:proofErr w:type="gramEnd"/>
      <w:r w:rsidRPr="00F66398">
        <w:rPr>
          <w:rStyle w:val="hps"/>
          <w:rFonts w:cs="Times New Roman"/>
          <w:sz w:val="20"/>
          <w:szCs w:val="20"/>
        </w:rPr>
        <w:t xml:space="preserve"> </w:t>
      </w:r>
      <w:proofErr w:type="spellStart"/>
      <w:proofErr w:type="gramStart"/>
      <w:r w:rsidRPr="00F66398">
        <w:rPr>
          <w:rFonts w:eastAsia="Times New Roman" w:cs="Times New Roman"/>
          <w:sz w:val="20"/>
          <w:szCs w:val="20"/>
        </w:rPr>
        <w:t>Tarbiat</w:t>
      </w:r>
      <w:proofErr w:type="spellEnd"/>
      <w:r w:rsidRPr="00F66398">
        <w:rPr>
          <w:rFonts w:eastAsia="Times New Roman" w:cs="Times New Roman"/>
          <w:sz w:val="20"/>
          <w:szCs w:val="20"/>
        </w:rPr>
        <w:t xml:space="preserve"> </w:t>
      </w:r>
      <w:proofErr w:type="spellStart"/>
      <w:r w:rsidRPr="00F66398">
        <w:rPr>
          <w:rFonts w:eastAsia="Times New Roman" w:cs="Times New Roman"/>
          <w:sz w:val="20"/>
          <w:szCs w:val="20"/>
        </w:rPr>
        <w:t>Modares</w:t>
      </w:r>
      <w:proofErr w:type="spellEnd"/>
      <w:r w:rsidRPr="00F66398">
        <w:rPr>
          <w:rFonts w:eastAsia="Times New Roman" w:cs="Times New Roman"/>
          <w:sz w:val="20"/>
          <w:szCs w:val="20"/>
        </w:rPr>
        <w:t xml:space="preserve"> University].</w:t>
      </w:r>
      <w:proofErr w:type="gramEnd"/>
      <w:r w:rsidRPr="00F66398">
        <w:rPr>
          <w:rFonts w:eastAsia="Times New Roman" w:cs="Times New Roman"/>
          <w:sz w:val="20"/>
          <w:szCs w:val="20"/>
        </w:rPr>
        <w:t xml:space="preserve"> </w:t>
      </w:r>
      <w:r w:rsidRPr="00F66398">
        <w:rPr>
          <w:rStyle w:val="hps"/>
          <w:rFonts w:cs="Times New Roman"/>
          <w:sz w:val="20"/>
          <w:szCs w:val="20"/>
        </w:rPr>
        <w:t>Abstracts of articles</w:t>
      </w:r>
      <w:r w:rsidRPr="00F66398">
        <w:rPr>
          <w:rFonts w:cs="Times New Roman"/>
          <w:sz w:val="20"/>
          <w:szCs w:val="20"/>
        </w:rPr>
        <w:t xml:space="preserve"> </w:t>
      </w:r>
      <w:r w:rsidRPr="00F66398">
        <w:rPr>
          <w:rStyle w:val="hps"/>
          <w:rFonts w:cs="Times New Roman"/>
          <w:sz w:val="20"/>
          <w:szCs w:val="20"/>
        </w:rPr>
        <w:t>first</w:t>
      </w:r>
      <w:r w:rsidRPr="00F66398">
        <w:rPr>
          <w:rFonts w:cs="Times New Roman"/>
          <w:sz w:val="20"/>
          <w:szCs w:val="20"/>
        </w:rPr>
        <w:t xml:space="preserve"> </w:t>
      </w:r>
      <w:r w:rsidRPr="00F66398">
        <w:rPr>
          <w:rStyle w:val="hps"/>
          <w:rFonts w:cs="Times New Roman"/>
          <w:sz w:val="20"/>
          <w:szCs w:val="20"/>
        </w:rPr>
        <w:t>seminar on</w:t>
      </w:r>
      <w:r w:rsidRPr="00F66398">
        <w:rPr>
          <w:rFonts w:cs="Times New Roman"/>
          <w:sz w:val="20"/>
          <w:szCs w:val="20"/>
        </w:rPr>
        <w:t xml:space="preserve"> </w:t>
      </w:r>
      <w:r w:rsidRPr="00F66398">
        <w:rPr>
          <w:rStyle w:val="hps"/>
          <w:rFonts w:cs="Times New Roman"/>
          <w:sz w:val="20"/>
          <w:szCs w:val="20"/>
        </w:rPr>
        <w:t>mental health</w:t>
      </w:r>
      <w:r w:rsidRPr="00F66398">
        <w:rPr>
          <w:rFonts w:cs="Times New Roman"/>
          <w:sz w:val="20"/>
          <w:szCs w:val="20"/>
        </w:rPr>
        <w:t xml:space="preserve"> </w:t>
      </w:r>
      <w:r w:rsidRPr="00F66398">
        <w:rPr>
          <w:rStyle w:val="hps"/>
          <w:rFonts w:cs="Times New Roman"/>
          <w:sz w:val="20"/>
          <w:szCs w:val="20"/>
        </w:rPr>
        <w:t>of</w:t>
      </w:r>
      <w:r w:rsidRPr="00F66398">
        <w:rPr>
          <w:rFonts w:cs="Times New Roman"/>
          <w:sz w:val="20"/>
          <w:szCs w:val="20"/>
        </w:rPr>
        <w:t xml:space="preserve"> </w:t>
      </w:r>
      <w:r w:rsidRPr="00F66398">
        <w:rPr>
          <w:rStyle w:val="hps"/>
          <w:rFonts w:cs="Times New Roman"/>
          <w:sz w:val="20"/>
          <w:szCs w:val="20"/>
        </w:rPr>
        <w:t xml:space="preserve">students; 8: 55-68. </w:t>
      </w:r>
      <w:r w:rsidRPr="00F66398">
        <w:rPr>
          <w:rFonts w:cs="B Mitra"/>
          <w:sz w:val="20"/>
          <w:szCs w:val="24"/>
        </w:rPr>
        <w:t xml:space="preserve"> </w:t>
      </w:r>
      <w:r w:rsidRPr="00F66398">
        <w:rPr>
          <w:rStyle w:val="hps"/>
          <w:rFonts w:cs="Times New Roman"/>
          <w:sz w:val="20"/>
          <w:szCs w:val="20"/>
        </w:rPr>
        <w:t>(Persian)</w:t>
      </w:r>
    </w:p>
    <w:p w:rsidR="005E7607" w:rsidRPr="00F66398" w:rsidRDefault="005E7607" w:rsidP="002F1EF7">
      <w:pPr>
        <w:pStyle w:val="ListParagraph"/>
        <w:tabs>
          <w:tab w:val="left" w:pos="630"/>
        </w:tabs>
        <w:autoSpaceDE w:val="0"/>
        <w:autoSpaceDN w:val="0"/>
        <w:bidi w:val="0"/>
        <w:adjustRightInd w:val="0"/>
        <w:spacing w:after="0" w:line="240" w:lineRule="auto"/>
        <w:ind w:left="630"/>
        <w:rPr>
          <w:rFonts w:eastAsia="Times New Roman+FPEF" w:cs="B Mitra"/>
          <w:sz w:val="20"/>
          <w:szCs w:val="24"/>
        </w:rPr>
      </w:pPr>
      <w:proofErr w:type="spellStart"/>
      <w:r w:rsidRPr="00F66398">
        <w:rPr>
          <w:rFonts w:cs="B Mitra"/>
          <w:sz w:val="20"/>
          <w:szCs w:val="24"/>
        </w:rPr>
        <w:t>Boyers</w:t>
      </w:r>
      <w:proofErr w:type="spellEnd"/>
      <w:r w:rsidRPr="00F66398">
        <w:rPr>
          <w:rFonts w:cs="B Mitra"/>
          <w:sz w:val="20"/>
          <w:szCs w:val="24"/>
        </w:rPr>
        <w:t xml:space="preserve"> E, Kenya RU, </w:t>
      </w:r>
      <w:proofErr w:type="spellStart"/>
      <w:proofErr w:type="gramStart"/>
      <w:r w:rsidRPr="00F66398">
        <w:rPr>
          <w:rFonts w:cs="B Mitra"/>
          <w:sz w:val="20"/>
          <w:szCs w:val="24"/>
        </w:rPr>
        <w:t>charles</w:t>
      </w:r>
      <w:proofErr w:type="spellEnd"/>
      <w:proofErr w:type="gramEnd"/>
      <w:r w:rsidRPr="00F66398">
        <w:rPr>
          <w:rFonts w:cs="B Mitra"/>
          <w:sz w:val="20"/>
          <w:szCs w:val="24"/>
        </w:rPr>
        <w:t xml:space="preserve"> SC, </w:t>
      </w:r>
      <w:proofErr w:type="spellStart"/>
      <w:r w:rsidRPr="00F66398">
        <w:rPr>
          <w:rFonts w:cs="B Mitra"/>
          <w:sz w:val="20"/>
          <w:szCs w:val="24"/>
        </w:rPr>
        <w:t>hendrick</w:t>
      </w:r>
      <w:proofErr w:type="spellEnd"/>
      <w:r w:rsidRPr="00F66398">
        <w:rPr>
          <w:rFonts w:cs="B Mitra"/>
          <w:sz w:val="20"/>
          <w:szCs w:val="24"/>
        </w:rPr>
        <w:t xml:space="preserve"> C. </w:t>
      </w:r>
      <w:r>
        <w:rPr>
          <w:rFonts w:cs="B Mitra"/>
          <w:sz w:val="20"/>
          <w:szCs w:val="24"/>
        </w:rPr>
        <w:t>(</w:t>
      </w:r>
      <w:r w:rsidRPr="00F66398">
        <w:rPr>
          <w:rFonts w:cs="B Mitra"/>
          <w:sz w:val="20"/>
          <w:szCs w:val="24"/>
        </w:rPr>
        <w:t>2014</w:t>
      </w:r>
      <w:r>
        <w:rPr>
          <w:rFonts w:cs="B Mitra"/>
          <w:sz w:val="20"/>
          <w:szCs w:val="24"/>
        </w:rPr>
        <w:t xml:space="preserve">) </w:t>
      </w:r>
      <w:r w:rsidRPr="00F66398">
        <w:rPr>
          <w:rFonts w:cs="B Mitra"/>
          <w:sz w:val="20"/>
          <w:szCs w:val="24"/>
        </w:rPr>
        <w:t xml:space="preserve">Big five personality and relationship construct material adjustment. J </w:t>
      </w:r>
      <w:proofErr w:type="spellStart"/>
      <w:r w:rsidRPr="00F66398">
        <w:rPr>
          <w:rFonts w:cs="B Mitra"/>
          <w:sz w:val="20"/>
          <w:szCs w:val="24"/>
        </w:rPr>
        <w:t>Adol</w:t>
      </w:r>
      <w:proofErr w:type="spellEnd"/>
      <w:r w:rsidRPr="00F66398">
        <w:rPr>
          <w:rFonts w:cs="B Mitra"/>
          <w:sz w:val="20"/>
          <w:szCs w:val="24"/>
        </w:rPr>
        <w:t xml:space="preserve"> Heal; 46: 592–599.</w:t>
      </w:r>
    </w:p>
    <w:p w:rsidR="005E7607" w:rsidRPr="00F66398" w:rsidRDefault="005E7607" w:rsidP="002F1EF7">
      <w:pPr>
        <w:pStyle w:val="ListParagraph"/>
        <w:tabs>
          <w:tab w:val="left" w:pos="630"/>
        </w:tabs>
        <w:bidi w:val="0"/>
        <w:spacing w:after="0" w:line="240" w:lineRule="auto"/>
        <w:ind w:left="630"/>
        <w:rPr>
          <w:rFonts w:cs="Times New Roman"/>
          <w:sz w:val="20"/>
          <w:szCs w:val="20"/>
        </w:rPr>
      </w:pPr>
      <w:proofErr w:type="spellStart"/>
      <w:r w:rsidRPr="00F66398">
        <w:rPr>
          <w:rFonts w:cs="Times New Roman"/>
          <w:sz w:val="20"/>
          <w:szCs w:val="20"/>
        </w:rPr>
        <w:t>Enayati</w:t>
      </w:r>
      <w:proofErr w:type="spellEnd"/>
      <w:r w:rsidRPr="00F66398">
        <w:rPr>
          <w:rFonts w:cs="Times New Roman"/>
          <w:sz w:val="20"/>
          <w:szCs w:val="20"/>
        </w:rPr>
        <w:t xml:space="preserve"> M, </w:t>
      </w:r>
      <w:proofErr w:type="spellStart"/>
      <w:r w:rsidRPr="00F66398">
        <w:rPr>
          <w:rFonts w:cs="Times New Roman"/>
          <w:sz w:val="20"/>
          <w:szCs w:val="20"/>
        </w:rPr>
        <w:t>Heydari</w:t>
      </w:r>
      <w:proofErr w:type="spellEnd"/>
      <w:r w:rsidRPr="00F66398">
        <w:rPr>
          <w:rFonts w:cs="Times New Roman"/>
          <w:sz w:val="20"/>
          <w:szCs w:val="20"/>
        </w:rPr>
        <w:t xml:space="preserve"> A, </w:t>
      </w:r>
      <w:proofErr w:type="spellStart"/>
      <w:r w:rsidRPr="00F66398">
        <w:rPr>
          <w:rFonts w:cs="Times New Roman"/>
          <w:sz w:val="20"/>
          <w:szCs w:val="20"/>
        </w:rPr>
        <w:t>Malekzadeh</w:t>
      </w:r>
      <w:proofErr w:type="spellEnd"/>
      <w:r w:rsidRPr="00F66398">
        <w:rPr>
          <w:rFonts w:cs="Times New Roman"/>
          <w:sz w:val="20"/>
          <w:szCs w:val="20"/>
        </w:rPr>
        <w:t xml:space="preserve"> M, </w:t>
      </w:r>
      <w:proofErr w:type="spellStart"/>
      <w:r w:rsidRPr="00F66398">
        <w:rPr>
          <w:rFonts w:cs="Times New Roman"/>
          <w:sz w:val="20"/>
          <w:szCs w:val="20"/>
        </w:rPr>
        <w:t>Abolfathi</w:t>
      </w:r>
      <w:proofErr w:type="spellEnd"/>
      <w:r w:rsidRPr="00F66398">
        <w:rPr>
          <w:rFonts w:cs="Times New Roman"/>
          <w:sz w:val="20"/>
          <w:szCs w:val="20"/>
        </w:rPr>
        <w:t xml:space="preserve"> Y. </w:t>
      </w:r>
      <w:r>
        <w:rPr>
          <w:rFonts w:cs="Times New Roman"/>
          <w:sz w:val="20"/>
          <w:szCs w:val="20"/>
        </w:rPr>
        <w:t>(</w:t>
      </w:r>
      <w:r w:rsidRPr="00F66398">
        <w:rPr>
          <w:rFonts w:cs="Times New Roman"/>
          <w:sz w:val="20"/>
          <w:szCs w:val="20"/>
        </w:rPr>
        <w:t>2007</w:t>
      </w:r>
      <w:r>
        <w:rPr>
          <w:rFonts w:cs="Times New Roman"/>
          <w:sz w:val="20"/>
          <w:szCs w:val="20"/>
        </w:rPr>
        <w:t xml:space="preserve">) </w:t>
      </w:r>
      <w:r w:rsidRPr="00F66398">
        <w:rPr>
          <w:rStyle w:val="hps"/>
          <w:rFonts w:cs="Times New Roman"/>
          <w:sz w:val="20"/>
          <w:szCs w:val="20"/>
        </w:rPr>
        <w:t>Compare</w:t>
      </w:r>
      <w:r w:rsidRPr="00F66398">
        <w:rPr>
          <w:rFonts w:cs="Times New Roman"/>
          <w:sz w:val="20"/>
          <w:szCs w:val="20"/>
        </w:rPr>
        <w:t xml:space="preserve"> </w:t>
      </w:r>
      <w:r w:rsidRPr="00F66398">
        <w:rPr>
          <w:rStyle w:val="hps"/>
          <w:rFonts w:cs="Times New Roman"/>
          <w:sz w:val="20"/>
          <w:szCs w:val="20"/>
        </w:rPr>
        <w:t>general health</w:t>
      </w:r>
      <w:r w:rsidRPr="00F66398">
        <w:rPr>
          <w:rFonts w:cs="Times New Roman"/>
          <w:sz w:val="20"/>
          <w:szCs w:val="20"/>
        </w:rPr>
        <w:t xml:space="preserve">, </w:t>
      </w:r>
      <w:r w:rsidRPr="00F66398">
        <w:rPr>
          <w:rStyle w:val="hps"/>
          <w:rFonts w:cs="Times New Roman"/>
          <w:sz w:val="20"/>
          <w:szCs w:val="20"/>
        </w:rPr>
        <w:t>self-esteem</w:t>
      </w:r>
      <w:r w:rsidRPr="00F66398">
        <w:rPr>
          <w:rFonts w:cs="Times New Roman"/>
          <w:sz w:val="20"/>
          <w:szCs w:val="20"/>
        </w:rPr>
        <w:t xml:space="preserve"> </w:t>
      </w:r>
      <w:r w:rsidRPr="00F66398">
        <w:rPr>
          <w:rStyle w:val="hps"/>
          <w:rFonts w:cs="Times New Roman"/>
          <w:sz w:val="20"/>
          <w:szCs w:val="20"/>
        </w:rPr>
        <w:t>and</w:t>
      </w:r>
      <w:r w:rsidRPr="00F66398">
        <w:rPr>
          <w:rFonts w:cs="Times New Roman"/>
          <w:sz w:val="20"/>
          <w:szCs w:val="20"/>
        </w:rPr>
        <w:t xml:space="preserve"> </w:t>
      </w:r>
      <w:r w:rsidRPr="00F66398">
        <w:rPr>
          <w:rStyle w:val="hps"/>
          <w:rFonts w:cs="Times New Roman"/>
          <w:sz w:val="20"/>
          <w:szCs w:val="20"/>
        </w:rPr>
        <w:t>social support in patients</w:t>
      </w:r>
      <w:r w:rsidRPr="00F66398">
        <w:rPr>
          <w:rFonts w:cs="Times New Roman"/>
          <w:sz w:val="20"/>
          <w:szCs w:val="20"/>
        </w:rPr>
        <w:t xml:space="preserve"> </w:t>
      </w:r>
      <w:r w:rsidRPr="00F66398">
        <w:rPr>
          <w:rStyle w:val="hps"/>
          <w:rFonts w:cs="Times New Roman"/>
          <w:sz w:val="20"/>
          <w:szCs w:val="20"/>
        </w:rPr>
        <w:t>hospitalized</w:t>
      </w:r>
      <w:r w:rsidRPr="00F66398">
        <w:rPr>
          <w:rFonts w:cs="Times New Roman"/>
          <w:sz w:val="20"/>
          <w:szCs w:val="20"/>
        </w:rPr>
        <w:t xml:space="preserve"> </w:t>
      </w:r>
      <w:r w:rsidRPr="00F66398">
        <w:rPr>
          <w:rStyle w:val="hps"/>
          <w:rFonts w:cs="Times New Roman"/>
          <w:sz w:val="20"/>
          <w:szCs w:val="20"/>
        </w:rPr>
        <w:t xml:space="preserve">for </w:t>
      </w:r>
      <w:proofErr w:type="gramStart"/>
      <w:r w:rsidRPr="00F66398">
        <w:rPr>
          <w:rStyle w:val="hps"/>
          <w:rFonts w:cs="Times New Roman"/>
          <w:sz w:val="20"/>
          <w:szCs w:val="20"/>
        </w:rPr>
        <w:t>suicide,</w:t>
      </w:r>
      <w:proofErr w:type="gramEnd"/>
      <w:r w:rsidRPr="00F66398">
        <w:rPr>
          <w:rStyle w:val="hps"/>
          <w:rFonts w:cs="Times New Roman"/>
          <w:sz w:val="20"/>
          <w:szCs w:val="20"/>
        </w:rPr>
        <w:t xml:space="preserve"> and</w:t>
      </w:r>
      <w:r w:rsidRPr="00F66398">
        <w:rPr>
          <w:rFonts w:cs="Times New Roman"/>
          <w:sz w:val="20"/>
          <w:szCs w:val="20"/>
        </w:rPr>
        <w:t xml:space="preserve"> </w:t>
      </w:r>
      <w:proofErr w:type="spellStart"/>
      <w:r w:rsidRPr="00F66398">
        <w:rPr>
          <w:rStyle w:val="hps"/>
          <w:rFonts w:cs="Times New Roman"/>
          <w:sz w:val="20"/>
          <w:szCs w:val="20"/>
        </w:rPr>
        <w:t>Ghyrkhvdsvz</w:t>
      </w:r>
      <w:proofErr w:type="spellEnd"/>
      <w:r w:rsidRPr="00F66398">
        <w:rPr>
          <w:rFonts w:cs="Times New Roman"/>
          <w:sz w:val="20"/>
          <w:szCs w:val="20"/>
        </w:rPr>
        <w:t xml:space="preserve"> </w:t>
      </w:r>
      <w:r w:rsidRPr="00F66398">
        <w:rPr>
          <w:rStyle w:val="hps"/>
          <w:rFonts w:cs="Times New Roman"/>
          <w:sz w:val="20"/>
          <w:szCs w:val="20"/>
        </w:rPr>
        <w:t>burn</w:t>
      </w:r>
      <w:r w:rsidRPr="00F66398">
        <w:rPr>
          <w:rFonts w:cs="Times New Roman"/>
          <w:sz w:val="20"/>
          <w:szCs w:val="20"/>
        </w:rPr>
        <w:t xml:space="preserve"> </w:t>
      </w:r>
      <w:proofErr w:type="spellStart"/>
      <w:r w:rsidRPr="00F66398">
        <w:rPr>
          <w:rStyle w:val="hps"/>
          <w:rFonts w:cs="Times New Roman"/>
          <w:sz w:val="20"/>
          <w:szCs w:val="20"/>
        </w:rPr>
        <w:t>Chrvmy</w:t>
      </w:r>
      <w:proofErr w:type="spellEnd"/>
      <w:r w:rsidRPr="00F66398">
        <w:rPr>
          <w:rFonts w:cs="Times New Roman"/>
          <w:sz w:val="20"/>
          <w:szCs w:val="20"/>
        </w:rPr>
        <w:t xml:space="preserve"> </w:t>
      </w:r>
      <w:r w:rsidRPr="00F66398">
        <w:rPr>
          <w:rStyle w:val="hps"/>
          <w:rFonts w:cs="Times New Roman"/>
          <w:sz w:val="20"/>
          <w:szCs w:val="20"/>
        </w:rPr>
        <w:t>city</w:t>
      </w:r>
      <w:r w:rsidRPr="00F66398">
        <w:rPr>
          <w:rFonts w:cs="Times New Roman"/>
          <w:sz w:val="20"/>
          <w:szCs w:val="20"/>
        </w:rPr>
        <w:t xml:space="preserve"> </w:t>
      </w:r>
      <w:proofErr w:type="spellStart"/>
      <w:r w:rsidRPr="00F66398">
        <w:rPr>
          <w:rStyle w:val="hps"/>
          <w:rFonts w:cs="Times New Roman"/>
          <w:sz w:val="20"/>
          <w:szCs w:val="20"/>
        </w:rPr>
        <w:t>Ganaveh</w:t>
      </w:r>
      <w:proofErr w:type="spellEnd"/>
      <w:r w:rsidRPr="00F66398">
        <w:rPr>
          <w:rStyle w:val="hps"/>
          <w:rFonts w:cs="Times New Roman"/>
          <w:sz w:val="20"/>
          <w:szCs w:val="20"/>
        </w:rPr>
        <w:t>. J Gift</w:t>
      </w:r>
      <w:r w:rsidRPr="00F66398">
        <w:rPr>
          <w:rStyle w:val="shorttext"/>
          <w:rFonts w:cs="Times New Roman"/>
          <w:sz w:val="20"/>
          <w:szCs w:val="20"/>
        </w:rPr>
        <w:t xml:space="preserve"> </w:t>
      </w:r>
      <w:r w:rsidRPr="00F66398">
        <w:rPr>
          <w:rStyle w:val="hps"/>
          <w:rFonts w:cs="Times New Roman"/>
          <w:sz w:val="20"/>
          <w:szCs w:val="20"/>
        </w:rPr>
        <w:t>of</w:t>
      </w:r>
      <w:r w:rsidRPr="00F66398">
        <w:rPr>
          <w:rStyle w:val="shorttext"/>
          <w:rFonts w:cs="Times New Roman"/>
          <w:sz w:val="20"/>
          <w:szCs w:val="20"/>
        </w:rPr>
        <w:t xml:space="preserve"> </w:t>
      </w:r>
      <w:r w:rsidRPr="00F66398">
        <w:rPr>
          <w:rStyle w:val="hps"/>
          <w:rFonts w:cs="Times New Roman"/>
          <w:sz w:val="20"/>
          <w:szCs w:val="20"/>
        </w:rPr>
        <w:t>knowledge</w:t>
      </w:r>
      <w:r w:rsidRPr="00F66398">
        <w:rPr>
          <w:rFonts w:cs="Times New Roman"/>
          <w:sz w:val="20"/>
          <w:szCs w:val="20"/>
        </w:rPr>
        <w:t xml:space="preserve">; 1: 84-92. </w:t>
      </w:r>
      <w:r w:rsidRPr="00F66398">
        <w:rPr>
          <w:rStyle w:val="hps"/>
          <w:rFonts w:cs="Times New Roman"/>
          <w:sz w:val="20"/>
          <w:szCs w:val="20"/>
        </w:rPr>
        <w:t>(Persian)</w:t>
      </w:r>
    </w:p>
    <w:p w:rsidR="005E7607" w:rsidRPr="00F66398" w:rsidRDefault="005E7607" w:rsidP="005E7607">
      <w:pPr>
        <w:pStyle w:val="ListParagraph"/>
        <w:tabs>
          <w:tab w:val="left" w:pos="630"/>
        </w:tabs>
        <w:bidi w:val="0"/>
        <w:spacing w:after="0" w:line="240" w:lineRule="auto"/>
        <w:ind w:left="630"/>
        <w:rPr>
          <w:rFonts w:cs="B Mitra"/>
          <w:sz w:val="20"/>
          <w:szCs w:val="24"/>
        </w:rPr>
      </w:pPr>
      <w:r>
        <w:rPr>
          <w:rFonts w:cs="B Mitra"/>
          <w:sz w:val="20"/>
          <w:szCs w:val="24"/>
        </w:rPr>
        <w:lastRenderedPageBreak/>
        <w:t xml:space="preserve">Erikson, </w:t>
      </w:r>
      <w:proofErr w:type="gramStart"/>
      <w:r>
        <w:rPr>
          <w:rFonts w:cs="B Mitra"/>
          <w:sz w:val="20"/>
          <w:szCs w:val="24"/>
        </w:rPr>
        <w:t>E(</w:t>
      </w:r>
      <w:proofErr w:type="gramEnd"/>
      <w:r>
        <w:rPr>
          <w:rFonts w:cs="B Mitra"/>
          <w:sz w:val="20"/>
          <w:szCs w:val="24"/>
        </w:rPr>
        <w:t xml:space="preserve">1965) Childhood and Society. </w:t>
      </w:r>
      <w:proofErr w:type="spellStart"/>
      <w:r>
        <w:rPr>
          <w:rFonts w:cs="B Mitra"/>
          <w:sz w:val="20"/>
          <w:szCs w:val="24"/>
        </w:rPr>
        <w:t>Harmondsworth</w:t>
      </w:r>
      <w:proofErr w:type="spellEnd"/>
      <w:r>
        <w:rPr>
          <w:rFonts w:cs="B Mitra"/>
          <w:sz w:val="20"/>
          <w:szCs w:val="24"/>
        </w:rPr>
        <w:t>: Penguin</w:t>
      </w:r>
    </w:p>
    <w:p w:rsidR="005E7607" w:rsidRPr="00F66398" w:rsidRDefault="005E7607" w:rsidP="002F1EF7">
      <w:pPr>
        <w:pStyle w:val="ListParagraph"/>
        <w:tabs>
          <w:tab w:val="left" w:pos="630"/>
        </w:tabs>
        <w:bidi w:val="0"/>
        <w:spacing w:after="0" w:line="240" w:lineRule="auto"/>
        <w:ind w:left="630" w:right="240"/>
        <w:rPr>
          <w:rFonts w:cs="B Mitra"/>
          <w:sz w:val="20"/>
          <w:szCs w:val="24"/>
        </w:rPr>
      </w:pPr>
      <w:proofErr w:type="spellStart"/>
      <w:r w:rsidRPr="00F66398">
        <w:rPr>
          <w:rFonts w:cs="B Mitra"/>
          <w:color w:val="000000"/>
          <w:sz w:val="20"/>
          <w:szCs w:val="24"/>
        </w:rPr>
        <w:t>Frese</w:t>
      </w:r>
      <w:proofErr w:type="spellEnd"/>
      <w:r w:rsidRPr="00F66398">
        <w:rPr>
          <w:rFonts w:cs="B Mitra"/>
          <w:color w:val="000000"/>
          <w:sz w:val="20"/>
          <w:szCs w:val="24"/>
        </w:rPr>
        <w:t xml:space="preserve"> M. </w:t>
      </w:r>
      <w:r>
        <w:rPr>
          <w:rFonts w:cs="B Mitra"/>
          <w:color w:val="000000"/>
          <w:sz w:val="20"/>
          <w:szCs w:val="24"/>
        </w:rPr>
        <w:t>(</w:t>
      </w:r>
      <w:r w:rsidRPr="00F66398">
        <w:rPr>
          <w:rFonts w:cs="B Mitra"/>
          <w:color w:val="000000"/>
          <w:sz w:val="20"/>
          <w:szCs w:val="24"/>
        </w:rPr>
        <w:t>2013</w:t>
      </w:r>
      <w:r>
        <w:rPr>
          <w:rFonts w:cs="B Mitra"/>
          <w:color w:val="000000"/>
          <w:sz w:val="20"/>
          <w:szCs w:val="24"/>
        </w:rPr>
        <w:t xml:space="preserve">) </w:t>
      </w:r>
      <w:r w:rsidRPr="00F66398">
        <w:rPr>
          <w:rFonts w:cs="B Mitra"/>
          <w:color w:val="000000"/>
          <w:sz w:val="20"/>
          <w:szCs w:val="24"/>
        </w:rPr>
        <w:t>Coping as a moderator and mediator between stress at work and psychosomatic complains. Dynamics of stress: physiological, social perspectives (PP. 183-206). New York: Plenum Press</w:t>
      </w:r>
      <w:proofErr w:type="gramStart"/>
      <w:r w:rsidRPr="00F66398">
        <w:rPr>
          <w:rFonts w:cs="B Mitra"/>
          <w:color w:val="000000"/>
          <w:sz w:val="20"/>
          <w:szCs w:val="24"/>
        </w:rPr>
        <w:t>;.</w:t>
      </w:r>
      <w:proofErr w:type="gramEnd"/>
      <w:r w:rsidRPr="00F66398">
        <w:rPr>
          <w:rFonts w:cs="B Mitra"/>
          <w:color w:val="000000"/>
          <w:sz w:val="20"/>
          <w:szCs w:val="24"/>
        </w:rPr>
        <w:t xml:space="preserve"> P. 124-132.</w:t>
      </w:r>
    </w:p>
    <w:p w:rsidR="005E7607" w:rsidRPr="00F66398" w:rsidRDefault="005E7607" w:rsidP="002F1EF7">
      <w:pPr>
        <w:pStyle w:val="ListParagraph"/>
        <w:tabs>
          <w:tab w:val="left" w:pos="630"/>
        </w:tabs>
        <w:bidi w:val="0"/>
        <w:spacing w:after="0" w:line="240" w:lineRule="auto"/>
        <w:ind w:left="630"/>
        <w:rPr>
          <w:rFonts w:cs="B Mitra"/>
          <w:sz w:val="20"/>
          <w:szCs w:val="24"/>
        </w:rPr>
      </w:pPr>
      <w:proofErr w:type="spellStart"/>
      <w:proofErr w:type="gramStart"/>
      <w:r w:rsidRPr="00F66398">
        <w:rPr>
          <w:rFonts w:cs="B Mitra"/>
          <w:sz w:val="20"/>
          <w:szCs w:val="24"/>
        </w:rPr>
        <w:t>Frydenberg</w:t>
      </w:r>
      <w:proofErr w:type="spellEnd"/>
      <w:r w:rsidRPr="00F66398">
        <w:rPr>
          <w:rFonts w:cs="B Mitra"/>
          <w:sz w:val="20"/>
          <w:szCs w:val="24"/>
        </w:rPr>
        <w:t xml:space="preserve"> E. </w:t>
      </w:r>
      <w:r>
        <w:rPr>
          <w:rFonts w:cs="B Mitra"/>
          <w:sz w:val="20"/>
          <w:szCs w:val="24"/>
        </w:rPr>
        <w:t>(</w:t>
      </w:r>
      <w:r w:rsidRPr="00F66398">
        <w:rPr>
          <w:rFonts w:cs="B Mitra"/>
          <w:sz w:val="20"/>
          <w:szCs w:val="24"/>
        </w:rPr>
        <w:t>2008</w:t>
      </w:r>
      <w:r>
        <w:rPr>
          <w:rFonts w:cs="B Mitra"/>
          <w:sz w:val="20"/>
          <w:szCs w:val="24"/>
        </w:rPr>
        <w:t xml:space="preserve">) </w:t>
      </w:r>
      <w:r w:rsidRPr="00F66398">
        <w:rPr>
          <w:rFonts w:cs="B Mitra"/>
          <w:sz w:val="20"/>
          <w:szCs w:val="24"/>
        </w:rPr>
        <w:t>Adolescent Coping Theoretical and Research Perspectives.</w:t>
      </w:r>
      <w:proofErr w:type="gramEnd"/>
      <w:r w:rsidRPr="00F66398">
        <w:rPr>
          <w:rFonts w:cs="B Mitra"/>
          <w:sz w:val="20"/>
          <w:szCs w:val="24"/>
        </w:rPr>
        <w:t xml:space="preserve"> London &amp; New York: </w:t>
      </w:r>
      <w:r w:rsidRPr="00F66398">
        <w:rPr>
          <w:rFonts w:eastAsia="TimesNewRomanPSMT" w:cs="B Mitra"/>
          <w:sz w:val="20"/>
          <w:szCs w:val="24"/>
        </w:rPr>
        <w:t>Principles of internal medicine</w:t>
      </w:r>
      <w:proofErr w:type="gramStart"/>
      <w:r w:rsidRPr="00F66398">
        <w:rPr>
          <w:rFonts w:cs="B Mitra"/>
          <w:sz w:val="20"/>
          <w:szCs w:val="24"/>
        </w:rPr>
        <w:t>;.</w:t>
      </w:r>
      <w:proofErr w:type="gramEnd"/>
      <w:r w:rsidRPr="00F66398">
        <w:rPr>
          <w:rFonts w:cs="B Mitra"/>
          <w:sz w:val="20"/>
          <w:szCs w:val="24"/>
        </w:rPr>
        <w:t xml:space="preserve"> P. 87-91.</w:t>
      </w:r>
    </w:p>
    <w:p w:rsidR="005E7607" w:rsidRDefault="005E7607" w:rsidP="002F1EF7">
      <w:pPr>
        <w:pStyle w:val="ListParagraph"/>
        <w:tabs>
          <w:tab w:val="left" w:pos="630"/>
        </w:tabs>
        <w:bidi w:val="0"/>
        <w:spacing w:after="0" w:line="240" w:lineRule="auto"/>
        <w:ind w:left="630"/>
        <w:rPr>
          <w:rFonts w:cs="B Mitra"/>
          <w:sz w:val="20"/>
          <w:szCs w:val="24"/>
        </w:rPr>
      </w:pPr>
      <w:proofErr w:type="spellStart"/>
      <w:r w:rsidRPr="00F66398">
        <w:rPr>
          <w:rFonts w:cs="B Mitra"/>
          <w:sz w:val="20"/>
          <w:szCs w:val="24"/>
        </w:rPr>
        <w:t>Grzywa</w:t>
      </w:r>
      <w:proofErr w:type="spellEnd"/>
      <w:r w:rsidRPr="00F66398">
        <w:rPr>
          <w:rFonts w:cs="B Mitra"/>
          <w:sz w:val="20"/>
          <w:szCs w:val="24"/>
        </w:rPr>
        <w:t xml:space="preserve"> A, </w:t>
      </w:r>
      <w:proofErr w:type="spellStart"/>
      <w:r w:rsidRPr="00F66398">
        <w:rPr>
          <w:rFonts w:cs="B Mitra"/>
          <w:sz w:val="20"/>
          <w:szCs w:val="24"/>
        </w:rPr>
        <w:t>Kucmin</w:t>
      </w:r>
      <w:proofErr w:type="spellEnd"/>
      <w:r w:rsidRPr="00F66398">
        <w:rPr>
          <w:rFonts w:cs="B Mitra"/>
          <w:sz w:val="20"/>
          <w:szCs w:val="24"/>
        </w:rPr>
        <w:t xml:space="preserve"> A, </w:t>
      </w:r>
      <w:proofErr w:type="spellStart"/>
      <w:r w:rsidRPr="00F66398">
        <w:rPr>
          <w:rFonts w:cs="B Mitra"/>
          <w:sz w:val="20"/>
          <w:szCs w:val="24"/>
        </w:rPr>
        <w:t>Kucmin</w:t>
      </w:r>
      <w:proofErr w:type="spellEnd"/>
      <w:r w:rsidRPr="00F66398">
        <w:rPr>
          <w:rFonts w:cs="B Mitra"/>
          <w:sz w:val="20"/>
          <w:szCs w:val="24"/>
        </w:rPr>
        <w:t xml:space="preserve"> T</w:t>
      </w:r>
      <w:r>
        <w:rPr>
          <w:rFonts w:cs="B Mitra"/>
          <w:sz w:val="20"/>
          <w:szCs w:val="24"/>
        </w:rPr>
        <w:t>. (</w:t>
      </w:r>
      <w:r w:rsidRPr="00F66398">
        <w:rPr>
          <w:rFonts w:cs="B Mitra"/>
          <w:sz w:val="20"/>
          <w:szCs w:val="24"/>
        </w:rPr>
        <w:t>2009</w:t>
      </w:r>
      <w:r>
        <w:rPr>
          <w:rFonts w:cs="B Mitra"/>
          <w:sz w:val="20"/>
          <w:szCs w:val="24"/>
        </w:rPr>
        <w:t>)</w:t>
      </w:r>
      <w:r w:rsidRPr="00F66398">
        <w:rPr>
          <w:rFonts w:cs="B Mitra"/>
          <w:sz w:val="20"/>
          <w:szCs w:val="24"/>
        </w:rPr>
        <w:t xml:space="preserve"> Suicide problems--epidemiology, factors, motives and prevention. </w:t>
      </w:r>
      <w:proofErr w:type="spellStart"/>
      <w:r w:rsidRPr="00F66398">
        <w:rPr>
          <w:rFonts w:cs="B Mitra"/>
          <w:sz w:val="20"/>
          <w:szCs w:val="24"/>
        </w:rPr>
        <w:t>Pol</w:t>
      </w:r>
      <w:proofErr w:type="spellEnd"/>
      <w:r w:rsidRPr="00F66398">
        <w:rPr>
          <w:rFonts w:cs="B Mitra"/>
          <w:sz w:val="20"/>
          <w:szCs w:val="24"/>
        </w:rPr>
        <w:t xml:space="preserve"> </w:t>
      </w:r>
      <w:proofErr w:type="spellStart"/>
      <w:r w:rsidRPr="00F66398">
        <w:rPr>
          <w:rFonts w:cs="B Mitra"/>
          <w:sz w:val="20"/>
          <w:szCs w:val="24"/>
        </w:rPr>
        <w:t>Merkur</w:t>
      </w:r>
      <w:proofErr w:type="spellEnd"/>
      <w:r w:rsidRPr="00F66398">
        <w:rPr>
          <w:rFonts w:cs="B Mitra"/>
          <w:sz w:val="20"/>
          <w:szCs w:val="24"/>
        </w:rPr>
        <w:t xml:space="preserve"> </w:t>
      </w:r>
      <w:proofErr w:type="spellStart"/>
      <w:r w:rsidRPr="00F66398">
        <w:rPr>
          <w:rFonts w:cs="B Mitra"/>
          <w:sz w:val="20"/>
          <w:szCs w:val="24"/>
        </w:rPr>
        <w:t>Lekarski</w:t>
      </w:r>
      <w:proofErr w:type="spellEnd"/>
      <w:r w:rsidRPr="00F66398">
        <w:rPr>
          <w:rFonts w:cs="B Mitra"/>
          <w:sz w:val="20"/>
          <w:szCs w:val="24"/>
        </w:rPr>
        <w:t>; 27: 432-436.</w:t>
      </w:r>
    </w:p>
    <w:p w:rsidR="005E7607" w:rsidRPr="00F66398" w:rsidRDefault="005E7607" w:rsidP="002F1EF7">
      <w:pPr>
        <w:pStyle w:val="ListParagraph"/>
        <w:tabs>
          <w:tab w:val="left" w:pos="630"/>
        </w:tabs>
        <w:bidi w:val="0"/>
        <w:spacing w:after="0" w:line="240" w:lineRule="auto"/>
        <w:ind w:left="630"/>
        <w:rPr>
          <w:rFonts w:cs="B Mitra"/>
          <w:sz w:val="20"/>
          <w:szCs w:val="24"/>
        </w:rPr>
      </w:pPr>
      <w:proofErr w:type="spellStart"/>
      <w:r w:rsidRPr="00F66398">
        <w:rPr>
          <w:rFonts w:cs="Times New Roman"/>
          <w:sz w:val="20"/>
          <w:szCs w:val="20"/>
        </w:rPr>
        <w:t>Hoseini</w:t>
      </w:r>
      <w:proofErr w:type="spellEnd"/>
      <w:r w:rsidRPr="00F66398">
        <w:rPr>
          <w:rFonts w:cs="Times New Roman"/>
          <w:sz w:val="20"/>
          <w:szCs w:val="20"/>
        </w:rPr>
        <w:t xml:space="preserve"> Z, </w:t>
      </w:r>
      <w:proofErr w:type="spellStart"/>
      <w:r w:rsidRPr="00F66398">
        <w:rPr>
          <w:rFonts w:cs="Times New Roman"/>
          <w:sz w:val="20"/>
          <w:szCs w:val="20"/>
        </w:rPr>
        <w:t>Kholghi</w:t>
      </w:r>
      <w:proofErr w:type="spellEnd"/>
      <w:r w:rsidRPr="00F66398">
        <w:rPr>
          <w:rFonts w:cs="Times New Roman"/>
          <w:sz w:val="20"/>
          <w:szCs w:val="20"/>
        </w:rPr>
        <w:t xml:space="preserve"> Z, </w:t>
      </w:r>
      <w:proofErr w:type="spellStart"/>
      <w:r w:rsidRPr="00F66398">
        <w:rPr>
          <w:rFonts w:cs="Times New Roman"/>
          <w:sz w:val="20"/>
          <w:szCs w:val="20"/>
        </w:rPr>
        <w:t>Somayeh</w:t>
      </w:r>
      <w:proofErr w:type="spellEnd"/>
      <w:r w:rsidRPr="00F66398">
        <w:rPr>
          <w:rFonts w:cs="Times New Roman"/>
          <w:sz w:val="20"/>
          <w:szCs w:val="20"/>
        </w:rPr>
        <w:t xml:space="preserve"> J, </w:t>
      </w:r>
      <w:proofErr w:type="spellStart"/>
      <w:r w:rsidRPr="00F66398">
        <w:rPr>
          <w:rFonts w:cs="Times New Roman"/>
          <w:sz w:val="20"/>
          <w:szCs w:val="20"/>
        </w:rPr>
        <w:t>Sedighi</w:t>
      </w:r>
      <w:proofErr w:type="spellEnd"/>
      <w:r w:rsidRPr="00F66398">
        <w:rPr>
          <w:rFonts w:cs="Times New Roman"/>
          <w:sz w:val="20"/>
          <w:szCs w:val="20"/>
        </w:rPr>
        <w:t xml:space="preserve"> A, </w:t>
      </w:r>
      <w:proofErr w:type="spellStart"/>
      <w:r w:rsidRPr="00F66398">
        <w:rPr>
          <w:rFonts w:cs="Times New Roman"/>
          <w:sz w:val="20"/>
          <w:szCs w:val="20"/>
        </w:rPr>
        <w:t>Salehi</w:t>
      </w:r>
      <w:proofErr w:type="spellEnd"/>
      <w:r w:rsidRPr="00F66398">
        <w:rPr>
          <w:rFonts w:cs="Times New Roman"/>
          <w:sz w:val="20"/>
          <w:szCs w:val="20"/>
        </w:rPr>
        <w:t xml:space="preserve"> V, </w:t>
      </w:r>
      <w:proofErr w:type="spellStart"/>
      <w:r w:rsidRPr="00F66398">
        <w:rPr>
          <w:rFonts w:cs="Times New Roman"/>
          <w:sz w:val="20"/>
          <w:szCs w:val="20"/>
        </w:rPr>
        <w:t>Tafvizi</w:t>
      </w:r>
      <w:proofErr w:type="spellEnd"/>
      <w:r w:rsidRPr="00F66398">
        <w:rPr>
          <w:rFonts w:cs="Times New Roman"/>
          <w:sz w:val="20"/>
          <w:szCs w:val="20"/>
        </w:rPr>
        <w:t xml:space="preserve"> V. </w:t>
      </w:r>
      <w:r>
        <w:rPr>
          <w:rFonts w:cs="Times New Roman"/>
          <w:sz w:val="20"/>
          <w:szCs w:val="20"/>
        </w:rPr>
        <w:t>(</w:t>
      </w:r>
      <w:r w:rsidRPr="00F66398">
        <w:rPr>
          <w:rStyle w:val="hps"/>
          <w:rFonts w:cs="Times New Roman"/>
          <w:sz w:val="20"/>
          <w:szCs w:val="20"/>
        </w:rPr>
        <w:t>2014</w:t>
      </w:r>
      <w:r>
        <w:rPr>
          <w:rStyle w:val="hps"/>
          <w:rFonts w:cs="Times New Roman"/>
          <w:sz w:val="20"/>
          <w:szCs w:val="20"/>
        </w:rPr>
        <w:t>)</w:t>
      </w:r>
      <w:r w:rsidRPr="00F66398">
        <w:rPr>
          <w:rStyle w:val="hps"/>
          <w:rFonts w:cs="Times New Roman"/>
          <w:sz w:val="20"/>
          <w:szCs w:val="20"/>
        </w:rPr>
        <w:t xml:space="preserve"> [Compare</w:t>
      </w:r>
      <w:r w:rsidRPr="00F66398">
        <w:rPr>
          <w:rFonts w:cs="Times New Roman"/>
          <w:sz w:val="20"/>
          <w:szCs w:val="20"/>
        </w:rPr>
        <w:t xml:space="preserve"> </w:t>
      </w:r>
      <w:r w:rsidRPr="00F66398">
        <w:rPr>
          <w:rStyle w:val="hps"/>
          <w:rFonts w:cs="Times New Roman"/>
          <w:sz w:val="20"/>
          <w:szCs w:val="20"/>
        </w:rPr>
        <w:t>couples</w:t>
      </w:r>
      <w:r w:rsidRPr="00F66398">
        <w:rPr>
          <w:rFonts w:cs="Times New Roman"/>
          <w:sz w:val="20"/>
          <w:szCs w:val="20"/>
        </w:rPr>
        <w:t xml:space="preserve"> </w:t>
      </w:r>
      <w:r w:rsidRPr="00F66398">
        <w:rPr>
          <w:rStyle w:val="hps"/>
          <w:rFonts w:cs="Times New Roman"/>
          <w:sz w:val="20"/>
          <w:szCs w:val="20"/>
        </w:rPr>
        <w:t>conflicting</w:t>
      </w:r>
      <w:r w:rsidRPr="00F66398">
        <w:rPr>
          <w:rFonts w:cs="Times New Roman"/>
          <w:sz w:val="20"/>
          <w:szCs w:val="20"/>
        </w:rPr>
        <w:t xml:space="preserve"> </w:t>
      </w:r>
      <w:r w:rsidRPr="00F66398">
        <w:rPr>
          <w:rStyle w:val="hps"/>
          <w:rFonts w:cs="Times New Roman"/>
          <w:sz w:val="20"/>
          <w:szCs w:val="20"/>
        </w:rPr>
        <w:t>personality traits</w:t>
      </w:r>
      <w:r w:rsidRPr="00F66398">
        <w:rPr>
          <w:rFonts w:cs="Times New Roman"/>
          <w:sz w:val="20"/>
          <w:szCs w:val="20"/>
        </w:rPr>
        <w:t xml:space="preserve"> </w:t>
      </w:r>
      <w:r w:rsidRPr="00F66398">
        <w:rPr>
          <w:rStyle w:val="hps"/>
          <w:rFonts w:cs="Times New Roman"/>
          <w:sz w:val="20"/>
          <w:szCs w:val="20"/>
        </w:rPr>
        <w:t>normal person</w:t>
      </w:r>
      <w:r w:rsidRPr="00F66398">
        <w:rPr>
          <w:rFonts w:cs="Times New Roman"/>
          <w:sz w:val="20"/>
          <w:szCs w:val="20"/>
        </w:rPr>
        <w:t xml:space="preserve"> </w:t>
      </w:r>
      <w:r w:rsidRPr="00F66398">
        <w:rPr>
          <w:rStyle w:val="hps"/>
          <w:rFonts w:cs="Times New Roman"/>
          <w:sz w:val="20"/>
          <w:szCs w:val="20"/>
        </w:rPr>
        <w:t>using the</w:t>
      </w:r>
      <w:r w:rsidRPr="00F66398">
        <w:rPr>
          <w:rFonts w:cs="Times New Roman"/>
          <w:sz w:val="20"/>
          <w:szCs w:val="20"/>
        </w:rPr>
        <w:t xml:space="preserve"> </w:t>
      </w:r>
      <w:r w:rsidRPr="00F66398">
        <w:rPr>
          <w:rStyle w:val="hps"/>
          <w:rFonts w:cs="Times New Roman"/>
          <w:sz w:val="20"/>
          <w:szCs w:val="20"/>
        </w:rPr>
        <w:t>NEO</w:t>
      </w:r>
      <w:r w:rsidRPr="00F66398">
        <w:rPr>
          <w:rFonts w:cs="Times New Roman"/>
          <w:sz w:val="20"/>
          <w:szCs w:val="20"/>
        </w:rPr>
        <w:t xml:space="preserve"> </w:t>
      </w:r>
      <w:r w:rsidRPr="00F66398">
        <w:rPr>
          <w:rStyle w:val="hps"/>
          <w:rFonts w:cs="Times New Roman"/>
          <w:sz w:val="20"/>
          <w:szCs w:val="20"/>
        </w:rPr>
        <w:t>Personality Inventory</w:t>
      </w:r>
      <w:r w:rsidRPr="00F66398">
        <w:rPr>
          <w:rFonts w:cs="Times New Roman"/>
          <w:sz w:val="20"/>
          <w:szCs w:val="20"/>
        </w:rPr>
        <w:t xml:space="preserve"> </w:t>
      </w:r>
      <w:r w:rsidRPr="00F66398">
        <w:rPr>
          <w:rStyle w:val="hps"/>
          <w:rFonts w:cs="Times New Roman"/>
          <w:sz w:val="20"/>
          <w:szCs w:val="20"/>
        </w:rPr>
        <w:t>5 factors</w:t>
      </w:r>
      <w:r w:rsidRPr="00F66398">
        <w:rPr>
          <w:rFonts w:cs="Times New Roman"/>
          <w:sz w:val="20"/>
          <w:szCs w:val="20"/>
        </w:rPr>
        <w:t xml:space="preserve">]. </w:t>
      </w:r>
      <w:proofErr w:type="gramStart"/>
      <w:r w:rsidRPr="00F66398">
        <w:rPr>
          <w:rStyle w:val="hps"/>
          <w:rFonts w:cs="Times New Roman"/>
          <w:sz w:val="20"/>
          <w:szCs w:val="20"/>
        </w:rPr>
        <w:t>J Forensic Med; 4&amp;1: 165-173.</w:t>
      </w:r>
      <w:proofErr w:type="gramEnd"/>
      <w:r w:rsidRPr="00F66398">
        <w:rPr>
          <w:rFonts w:cs="B Mitra"/>
          <w:sz w:val="20"/>
          <w:szCs w:val="24"/>
        </w:rPr>
        <w:t xml:space="preserve"> </w:t>
      </w:r>
      <w:r w:rsidRPr="00F66398">
        <w:rPr>
          <w:rStyle w:val="hps"/>
          <w:rFonts w:cs="Times New Roman"/>
          <w:sz w:val="20"/>
          <w:szCs w:val="20"/>
        </w:rPr>
        <w:t>(Persian)</w:t>
      </w:r>
    </w:p>
    <w:p w:rsidR="005E7607" w:rsidRPr="00F66398" w:rsidRDefault="005E7607" w:rsidP="002F1EF7">
      <w:pPr>
        <w:pStyle w:val="ListParagraph"/>
        <w:tabs>
          <w:tab w:val="left" w:pos="630"/>
        </w:tabs>
        <w:bidi w:val="0"/>
        <w:spacing w:after="0" w:line="240" w:lineRule="auto"/>
        <w:ind w:left="630"/>
        <w:rPr>
          <w:rFonts w:cs="B Mitra"/>
          <w:sz w:val="20"/>
          <w:szCs w:val="24"/>
        </w:rPr>
      </w:pPr>
      <w:proofErr w:type="gramStart"/>
      <w:r w:rsidRPr="00F66398">
        <w:rPr>
          <w:rFonts w:cs="B Mitra"/>
          <w:sz w:val="20"/>
          <w:szCs w:val="24"/>
        </w:rPr>
        <w:t xml:space="preserve">Lazarus RS, </w:t>
      </w:r>
      <w:proofErr w:type="spellStart"/>
      <w:r w:rsidRPr="00F66398">
        <w:rPr>
          <w:rFonts w:cs="B Mitra"/>
          <w:sz w:val="20"/>
          <w:szCs w:val="24"/>
        </w:rPr>
        <w:t>Folkman</w:t>
      </w:r>
      <w:proofErr w:type="spellEnd"/>
      <w:r w:rsidRPr="00F66398">
        <w:rPr>
          <w:rFonts w:cs="B Mitra"/>
          <w:sz w:val="20"/>
          <w:szCs w:val="24"/>
        </w:rPr>
        <w:t xml:space="preserve"> S. </w:t>
      </w:r>
      <w:r>
        <w:rPr>
          <w:rFonts w:cs="B Mitra"/>
          <w:sz w:val="20"/>
          <w:szCs w:val="24"/>
        </w:rPr>
        <w:t>(</w:t>
      </w:r>
      <w:r w:rsidRPr="00F66398">
        <w:rPr>
          <w:rFonts w:cs="B Mitra"/>
          <w:sz w:val="20"/>
          <w:szCs w:val="24"/>
        </w:rPr>
        <w:t>1988</w:t>
      </w:r>
      <w:r>
        <w:rPr>
          <w:rFonts w:cs="B Mitra"/>
          <w:sz w:val="20"/>
          <w:szCs w:val="24"/>
        </w:rPr>
        <w:t xml:space="preserve">) </w:t>
      </w:r>
      <w:r w:rsidRPr="00F66398">
        <w:rPr>
          <w:rFonts w:cs="B Mitra"/>
          <w:sz w:val="20"/>
          <w:szCs w:val="24"/>
        </w:rPr>
        <w:t>Appraisal, coping, health statues, and psychological symptoms.</w:t>
      </w:r>
      <w:proofErr w:type="gramEnd"/>
      <w:r w:rsidRPr="00F66398">
        <w:rPr>
          <w:rFonts w:cs="B Mitra"/>
          <w:sz w:val="20"/>
          <w:szCs w:val="24"/>
        </w:rPr>
        <w:t xml:space="preserve"> J </w:t>
      </w:r>
      <w:proofErr w:type="spellStart"/>
      <w:r w:rsidRPr="00F66398">
        <w:rPr>
          <w:rFonts w:cs="B Mitra"/>
          <w:sz w:val="20"/>
          <w:szCs w:val="24"/>
        </w:rPr>
        <w:t>perso</w:t>
      </w:r>
      <w:proofErr w:type="spellEnd"/>
      <w:r w:rsidRPr="00F66398">
        <w:rPr>
          <w:rFonts w:cs="B Mitra"/>
          <w:sz w:val="20"/>
          <w:szCs w:val="24"/>
        </w:rPr>
        <w:t xml:space="preserve"> </w:t>
      </w:r>
      <w:proofErr w:type="spellStart"/>
      <w:r w:rsidRPr="00F66398">
        <w:rPr>
          <w:rFonts w:cs="B Mitra"/>
          <w:sz w:val="20"/>
          <w:szCs w:val="24"/>
        </w:rPr>
        <w:t>soci</w:t>
      </w:r>
      <w:proofErr w:type="spellEnd"/>
      <w:r w:rsidRPr="00F66398">
        <w:rPr>
          <w:rFonts w:cs="B Mitra"/>
          <w:sz w:val="20"/>
          <w:szCs w:val="24"/>
        </w:rPr>
        <w:t xml:space="preserve"> psych; 50: 571-579.</w:t>
      </w:r>
    </w:p>
    <w:p w:rsidR="005E7607" w:rsidRPr="00F66398" w:rsidRDefault="005E7607" w:rsidP="002F1EF7">
      <w:pPr>
        <w:pStyle w:val="ListParagraph"/>
        <w:tabs>
          <w:tab w:val="left" w:pos="630"/>
        </w:tabs>
        <w:bidi w:val="0"/>
        <w:spacing w:after="0" w:line="240" w:lineRule="auto"/>
        <w:ind w:left="630"/>
        <w:rPr>
          <w:rFonts w:cs="B Mitra"/>
          <w:color w:val="333333"/>
          <w:sz w:val="20"/>
          <w:szCs w:val="24"/>
        </w:rPr>
      </w:pPr>
      <w:r w:rsidRPr="00F66398">
        <w:rPr>
          <w:rFonts w:cs="B Mitra"/>
          <w:sz w:val="20"/>
          <w:szCs w:val="24"/>
        </w:rPr>
        <w:t xml:space="preserve">Lee-Bagley D, </w:t>
      </w:r>
      <w:proofErr w:type="spellStart"/>
      <w:r w:rsidRPr="00F66398">
        <w:rPr>
          <w:rFonts w:cs="B Mitra"/>
          <w:sz w:val="20"/>
          <w:szCs w:val="24"/>
        </w:rPr>
        <w:t>Preece</w:t>
      </w:r>
      <w:proofErr w:type="spellEnd"/>
      <w:r w:rsidRPr="00F66398">
        <w:rPr>
          <w:rFonts w:cs="B Mitra"/>
          <w:sz w:val="20"/>
          <w:szCs w:val="24"/>
        </w:rPr>
        <w:t xml:space="preserve"> M, </w:t>
      </w:r>
      <w:proofErr w:type="spellStart"/>
      <w:r w:rsidRPr="00F66398">
        <w:rPr>
          <w:rFonts w:cs="B Mitra"/>
          <w:sz w:val="20"/>
          <w:szCs w:val="24"/>
        </w:rPr>
        <w:t>Delgonis</w:t>
      </w:r>
      <w:proofErr w:type="spellEnd"/>
      <w:r w:rsidRPr="00F66398">
        <w:rPr>
          <w:rFonts w:cs="B Mitra"/>
          <w:sz w:val="20"/>
          <w:szCs w:val="24"/>
        </w:rPr>
        <w:t xml:space="preserve"> A. </w:t>
      </w:r>
      <w:r>
        <w:rPr>
          <w:rFonts w:cs="B Mitra"/>
          <w:sz w:val="20"/>
          <w:szCs w:val="24"/>
        </w:rPr>
        <w:t>(</w:t>
      </w:r>
      <w:r w:rsidRPr="00F66398">
        <w:rPr>
          <w:rFonts w:cs="B Mitra"/>
          <w:sz w:val="20"/>
          <w:szCs w:val="24"/>
        </w:rPr>
        <w:t>2005</w:t>
      </w:r>
      <w:r>
        <w:rPr>
          <w:rFonts w:cs="B Mitra"/>
          <w:sz w:val="20"/>
          <w:szCs w:val="24"/>
        </w:rPr>
        <w:t xml:space="preserve">) </w:t>
      </w:r>
      <w:r w:rsidRPr="00F66398">
        <w:rPr>
          <w:rFonts w:cs="B Mitra"/>
          <w:sz w:val="20"/>
          <w:szCs w:val="24"/>
        </w:rPr>
        <w:t xml:space="preserve">Coping with interpersonal stress: role of big five </w:t>
      </w:r>
      <w:proofErr w:type="spellStart"/>
      <w:r w:rsidRPr="00F66398">
        <w:rPr>
          <w:rFonts w:cs="B Mitra"/>
          <w:sz w:val="20"/>
          <w:szCs w:val="24"/>
        </w:rPr>
        <w:t>traints</w:t>
      </w:r>
      <w:proofErr w:type="spellEnd"/>
      <w:r w:rsidRPr="00F66398">
        <w:rPr>
          <w:rFonts w:cs="B Mitra"/>
          <w:sz w:val="20"/>
          <w:szCs w:val="24"/>
        </w:rPr>
        <w:t xml:space="preserve">. The </w:t>
      </w:r>
      <w:proofErr w:type="spellStart"/>
      <w:r w:rsidRPr="00F66398">
        <w:rPr>
          <w:rFonts w:cs="B Mitra"/>
          <w:sz w:val="20"/>
          <w:szCs w:val="24"/>
        </w:rPr>
        <w:t>Canad</w:t>
      </w:r>
      <w:proofErr w:type="spellEnd"/>
      <w:r w:rsidRPr="00F66398">
        <w:rPr>
          <w:rFonts w:cs="B Mitra"/>
          <w:sz w:val="20"/>
          <w:szCs w:val="24"/>
        </w:rPr>
        <w:t xml:space="preserve"> </w:t>
      </w:r>
      <w:proofErr w:type="gramStart"/>
      <w:r w:rsidRPr="00F66398">
        <w:rPr>
          <w:rFonts w:cs="B Mitra"/>
          <w:sz w:val="20"/>
          <w:szCs w:val="24"/>
        </w:rPr>
        <w:t xml:space="preserve">J  </w:t>
      </w:r>
      <w:proofErr w:type="spellStart"/>
      <w:r w:rsidRPr="00F66398">
        <w:rPr>
          <w:rFonts w:cs="B Mitra"/>
          <w:sz w:val="20"/>
          <w:szCs w:val="24"/>
        </w:rPr>
        <w:t>Psychia</w:t>
      </w:r>
      <w:proofErr w:type="spellEnd"/>
      <w:proofErr w:type="gramEnd"/>
      <w:r w:rsidRPr="00F66398">
        <w:rPr>
          <w:rFonts w:cs="B Mitra"/>
          <w:sz w:val="20"/>
          <w:szCs w:val="24"/>
        </w:rPr>
        <w:t>; 54: 521-539.</w:t>
      </w:r>
      <w:r w:rsidRPr="00F66398">
        <w:rPr>
          <w:rFonts w:cs="B Mitra"/>
          <w:vanish/>
          <w:color w:val="333333"/>
          <w:sz w:val="20"/>
          <w:szCs w:val="24"/>
        </w:rPr>
        <w:t>Association of Dutch Burns Centers, Beverwijk , Netherlands</w:t>
      </w:r>
    </w:p>
    <w:p w:rsidR="005E7607" w:rsidRPr="00F66398" w:rsidRDefault="005E7607" w:rsidP="002F1EF7">
      <w:pPr>
        <w:pStyle w:val="ListParagraph"/>
        <w:tabs>
          <w:tab w:val="left" w:pos="630"/>
        </w:tabs>
        <w:bidi w:val="0"/>
        <w:spacing w:after="0" w:line="240" w:lineRule="auto"/>
        <w:ind w:left="630"/>
        <w:rPr>
          <w:rFonts w:cs="B Mitra"/>
          <w:sz w:val="20"/>
          <w:szCs w:val="24"/>
        </w:rPr>
      </w:pPr>
      <w:proofErr w:type="spellStart"/>
      <w:proofErr w:type="gramStart"/>
      <w:r w:rsidRPr="00F66398">
        <w:rPr>
          <w:rFonts w:cs="B Mitra"/>
          <w:sz w:val="20"/>
          <w:szCs w:val="24"/>
        </w:rPr>
        <w:t>Liber</w:t>
      </w:r>
      <w:proofErr w:type="spellEnd"/>
      <w:r w:rsidRPr="00F66398">
        <w:rPr>
          <w:rFonts w:cs="B Mitra"/>
          <w:sz w:val="20"/>
          <w:szCs w:val="24"/>
        </w:rPr>
        <w:t xml:space="preserve"> </w:t>
      </w:r>
      <w:proofErr w:type="spellStart"/>
      <w:r w:rsidRPr="00F66398">
        <w:rPr>
          <w:rFonts w:cs="B Mitra"/>
          <w:sz w:val="20"/>
          <w:szCs w:val="24"/>
        </w:rPr>
        <w:t>JM</w:t>
      </w:r>
      <w:proofErr w:type="spellEnd"/>
      <w:r w:rsidRPr="00F66398">
        <w:rPr>
          <w:rFonts w:cs="B Mitra"/>
          <w:sz w:val="20"/>
          <w:szCs w:val="24"/>
        </w:rPr>
        <w:t xml:space="preserve">, Faber AW, </w:t>
      </w:r>
      <w:proofErr w:type="spellStart"/>
      <w:r w:rsidRPr="00F66398">
        <w:rPr>
          <w:rFonts w:cs="B Mitra"/>
          <w:sz w:val="20"/>
          <w:szCs w:val="24"/>
        </w:rPr>
        <w:t>Treffers</w:t>
      </w:r>
      <w:proofErr w:type="spellEnd"/>
      <w:r w:rsidRPr="00F66398">
        <w:rPr>
          <w:rFonts w:cs="B Mitra"/>
          <w:sz w:val="20"/>
          <w:szCs w:val="24"/>
        </w:rPr>
        <w:t xml:space="preserve"> A, Van </w:t>
      </w:r>
      <w:proofErr w:type="spellStart"/>
      <w:r w:rsidRPr="00F66398">
        <w:rPr>
          <w:rFonts w:cs="B Mitra"/>
          <w:sz w:val="20"/>
          <w:szCs w:val="24"/>
        </w:rPr>
        <w:t>Loey</w:t>
      </w:r>
      <w:proofErr w:type="spellEnd"/>
      <w:r w:rsidRPr="00F66398">
        <w:rPr>
          <w:rFonts w:cs="B Mitra"/>
          <w:sz w:val="20"/>
          <w:szCs w:val="24"/>
        </w:rPr>
        <w:t xml:space="preserve"> NEE.</w:t>
      </w:r>
      <w:proofErr w:type="gramEnd"/>
      <w:r>
        <w:rPr>
          <w:rFonts w:cs="B Mitra"/>
          <w:sz w:val="20"/>
          <w:szCs w:val="24"/>
        </w:rPr>
        <w:t xml:space="preserve"> </w:t>
      </w:r>
      <w:proofErr w:type="gramStart"/>
      <w:r>
        <w:rPr>
          <w:rFonts w:cs="B Mitra"/>
          <w:sz w:val="20"/>
          <w:szCs w:val="24"/>
        </w:rPr>
        <w:t>(</w:t>
      </w:r>
      <w:r w:rsidRPr="00F66398">
        <w:rPr>
          <w:rFonts w:cs="B Mitra"/>
          <w:sz w:val="20"/>
          <w:szCs w:val="24"/>
        </w:rPr>
        <w:t>2008</w:t>
      </w:r>
      <w:r>
        <w:rPr>
          <w:rFonts w:cs="B Mitra"/>
          <w:sz w:val="20"/>
          <w:szCs w:val="24"/>
        </w:rPr>
        <w:t xml:space="preserve">) </w:t>
      </w:r>
      <w:r w:rsidRPr="00F66398">
        <w:rPr>
          <w:rFonts w:cs="B Mitra"/>
          <w:sz w:val="20"/>
          <w:szCs w:val="24"/>
        </w:rPr>
        <w:t>Coping style, personality and adolescent adjustment 10 years post –burn.</w:t>
      </w:r>
      <w:proofErr w:type="gramEnd"/>
      <w:r w:rsidRPr="00F66398">
        <w:rPr>
          <w:rFonts w:cs="B Mitra"/>
          <w:sz w:val="20"/>
          <w:szCs w:val="24"/>
        </w:rPr>
        <w:t xml:space="preserve"> Journal of Family Psychology; 34: 775-782.</w:t>
      </w:r>
    </w:p>
    <w:p w:rsidR="005E7607" w:rsidRPr="00F66398" w:rsidRDefault="005E7607" w:rsidP="00097BBC">
      <w:pPr>
        <w:pStyle w:val="ListParagraph"/>
        <w:tabs>
          <w:tab w:val="left" w:pos="630"/>
        </w:tabs>
        <w:bidi w:val="0"/>
        <w:spacing w:after="0" w:line="240" w:lineRule="auto"/>
        <w:ind w:left="630"/>
        <w:rPr>
          <w:rFonts w:cs="B Mitra"/>
          <w:color w:val="000000"/>
          <w:sz w:val="20"/>
          <w:szCs w:val="24"/>
        </w:rPr>
      </w:pPr>
      <w:r w:rsidRPr="00F66398">
        <w:rPr>
          <w:rFonts w:cs="B Mitra"/>
          <w:color w:val="000000"/>
          <w:sz w:val="20"/>
          <w:szCs w:val="24"/>
        </w:rPr>
        <w:t xml:space="preserve">Matthews G, </w:t>
      </w:r>
      <w:proofErr w:type="spellStart"/>
      <w:r w:rsidRPr="00F66398">
        <w:rPr>
          <w:rFonts w:cs="B Mitra"/>
          <w:color w:val="000000"/>
          <w:sz w:val="20"/>
          <w:szCs w:val="24"/>
        </w:rPr>
        <w:t>Schwean</w:t>
      </w:r>
      <w:proofErr w:type="spellEnd"/>
      <w:r w:rsidRPr="00F66398">
        <w:rPr>
          <w:rFonts w:cs="B Mitra"/>
          <w:color w:val="000000"/>
          <w:sz w:val="20"/>
          <w:szCs w:val="24"/>
        </w:rPr>
        <w:t xml:space="preserve"> </w:t>
      </w:r>
      <w:proofErr w:type="spellStart"/>
      <w:r w:rsidRPr="00F66398">
        <w:rPr>
          <w:rFonts w:cs="B Mitra"/>
          <w:color w:val="000000"/>
          <w:sz w:val="20"/>
          <w:szCs w:val="24"/>
        </w:rPr>
        <w:t>VL</w:t>
      </w:r>
      <w:proofErr w:type="spellEnd"/>
      <w:r w:rsidRPr="00F66398">
        <w:rPr>
          <w:rFonts w:cs="B Mitra"/>
          <w:color w:val="000000"/>
          <w:sz w:val="20"/>
          <w:szCs w:val="24"/>
        </w:rPr>
        <w:t xml:space="preserve">, Campbell SE, </w:t>
      </w:r>
      <w:proofErr w:type="spellStart"/>
      <w:r w:rsidRPr="00F66398">
        <w:rPr>
          <w:rFonts w:cs="B Mitra"/>
          <w:color w:val="000000"/>
          <w:sz w:val="20"/>
          <w:szCs w:val="24"/>
        </w:rPr>
        <w:t>Saklofske</w:t>
      </w:r>
      <w:proofErr w:type="spellEnd"/>
      <w:r w:rsidRPr="00F66398">
        <w:rPr>
          <w:rFonts w:cs="B Mitra"/>
          <w:color w:val="000000"/>
          <w:sz w:val="20"/>
          <w:szCs w:val="24"/>
        </w:rPr>
        <w:t xml:space="preserve"> DH, Mohamed AAR. </w:t>
      </w:r>
      <w:proofErr w:type="gramStart"/>
      <w:r>
        <w:rPr>
          <w:rFonts w:cs="B Mitra"/>
          <w:color w:val="000000"/>
          <w:sz w:val="20"/>
          <w:szCs w:val="24"/>
        </w:rPr>
        <w:t>(</w:t>
      </w:r>
      <w:r w:rsidRPr="00F66398">
        <w:rPr>
          <w:rFonts w:cs="B Mitra"/>
          <w:color w:val="000000"/>
          <w:sz w:val="20"/>
          <w:szCs w:val="24"/>
        </w:rPr>
        <w:t>2011</w:t>
      </w:r>
      <w:r>
        <w:rPr>
          <w:rFonts w:cs="B Mitra"/>
          <w:color w:val="000000"/>
          <w:sz w:val="20"/>
          <w:szCs w:val="24"/>
        </w:rPr>
        <w:t xml:space="preserve">) </w:t>
      </w:r>
      <w:r w:rsidRPr="00F66398">
        <w:rPr>
          <w:rFonts w:cs="B Mitra"/>
          <w:color w:val="000000"/>
          <w:sz w:val="20"/>
          <w:szCs w:val="24"/>
        </w:rPr>
        <w:t>Personality, self-regulation, and adaptation.</w:t>
      </w:r>
      <w:proofErr w:type="gramEnd"/>
      <w:r w:rsidRPr="00F66398">
        <w:rPr>
          <w:rFonts w:cs="B Mitra"/>
          <w:color w:val="000000"/>
          <w:sz w:val="20"/>
          <w:szCs w:val="24"/>
        </w:rPr>
        <w:t xml:space="preserve"> In M. </w:t>
      </w:r>
      <w:proofErr w:type="spellStart"/>
      <w:r w:rsidRPr="00F66398">
        <w:rPr>
          <w:rFonts w:cs="B Mitra"/>
          <w:color w:val="000000"/>
          <w:sz w:val="20"/>
          <w:szCs w:val="24"/>
        </w:rPr>
        <w:t>Boekaerts</w:t>
      </w:r>
      <w:proofErr w:type="spellEnd"/>
      <w:r w:rsidRPr="00F66398">
        <w:rPr>
          <w:rFonts w:cs="B Mitra"/>
          <w:color w:val="000000"/>
          <w:sz w:val="20"/>
          <w:szCs w:val="24"/>
        </w:rPr>
        <w:t xml:space="preserve">, </w:t>
      </w:r>
      <w:proofErr w:type="spellStart"/>
      <w:r w:rsidRPr="00F66398">
        <w:rPr>
          <w:rFonts w:cs="B Mitra"/>
          <w:color w:val="000000"/>
          <w:sz w:val="20"/>
          <w:szCs w:val="24"/>
        </w:rPr>
        <w:t>P.R.</w:t>
      </w:r>
      <w:proofErr w:type="spellEnd"/>
      <w:r w:rsidRPr="00F66398">
        <w:rPr>
          <w:rFonts w:cs="B Mitra"/>
          <w:color w:val="000000"/>
          <w:sz w:val="20"/>
          <w:szCs w:val="24"/>
        </w:rPr>
        <w:t xml:space="preserve"> </w:t>
      </w:r>
      <w:proofErr w:type="spellStart"/>
      <w:r w:rsidRPr="00F66398">
        <w:rPr>
          <w:rFonts w:cs="B Mitra"/>
          <w:color w:val="000000"/>
          <w:sz w:val="20"/>
          <w:szCs w:val="24"/>
        </w:rPr>
        <w:t>Pintrich</w:t>
      </w:r>
      <w:proofErr w:type="spellEnd"/>
      <w:r w:rsidRPr="00F66398">
        <w:rPr>
          <w:rFonts w:cs="B Mitra"/>
          <w:color w:val="000000"/>
          <w:sz w:val="20"/>
          <w:szCs w:val="24"/>
        </w:rPr>
        <w:t xml:space="preserve">, &amp; M. </w:t>
      </w:r>
      <w:proofErr w:type="spellStart"/>
      <w:r w:rsidRPr="00F66398">
        <w:rPr>
          <w:rFonts w:cs="B Mitra"/>
          <w:color w:val="000000"/>
          <w:sz w:val="20"/>
          <w:szCs w:val="24"/>
        </w:rPr>
        <w:t>Zeidner</w:t>
      </w:r>
      <w:proofErr w:type="spellEnd"/>
      <w:r w:rsidRPr="00F66398">
        <w:rPr>
          <w:rFonts w:cs="B Mitra"/>
          <w:color w:val="000000"/>
          <w:sz w:val="20"/>
          <w:szCs w:val="24"/>
        </w:rPr>
        <w:t xml:space="preserve"> (Eds.), Handbook of self-regulation san Diego: Academic press</w:t>
      </w:r>
      <w:proofErr w:type="gramStart"/>
      <w:r w:rsidRPr="00F66398">
        <w:rPr>
          <w:rFonts w:cs="B Mitra"/>
          <w:color w:val="000000"/>
          <w:sz w:val="20"/>
          <w:szCs w:val="24"/>
        </w:rPr>
        <w:t>:.</w:t>
      </w:r>
      <w:proofErr w:type="gramEnd"/>
      <w:r w:rsidRPr="00F66398">
        <w:rPr>
          <w:rFonts w:cs="B Mitra"/>
          <w:color w:val="000000"/>
          <w:sz w:val="20"/>
          <w:szCs w:val="24"/>
        </w:rPr>
        <w:t xml:space="preserve"> P. 45-49.</w:t>
      </w:r>
    </w:p>
    <w:p w:rsidR="005E7607" w:rsidRPr="00F66398" w:rsidRDefault="005E7607" w:rsidP="002F1EF7">
      <w:pPr>
        <w:pStyle w:val="ListParagraph"/>
        <w:tabs>
          <w:tab w:val="left" w:pos="630"/>
        </w:tabs>
        <w:bidi w:val="0"/>
        <w:spacing w:after="0" w:line="240" w:lineRule="auto"/>
        <w:ind w:left="630"/>
        <w:rPr>
          <w:rFonts w:cs="B Mitra"/>
          <w:sz w:val="20"/>
          <w:szCs w:val="24"/>
        </w:rPr>
      </w:pPr>
      <w:proofErr w:type="gramStart"/>
      <w:r w:rsidRPr="00F66398">
        <w:rPr>
          <w:rFonts w:cs="B Mitra"/>
          <w:sz w:val="20"/>
          <w:szCs w:val="24"/>
        </w:rPr>
        <w:t xml:space="preserve">Mc </w:t>
      </w:r>
      <w:proofErr w:type="spellStart"/>
      <w:r w:rsidRPr="00F66398">
        <w:rPr>
          <w:rFonts w:cs="B Mitra"/>
          <w:sz w:val="20"/>
          <w:szCs w:val="24"/>
        </w:rPr>
        <w:t>Guire</w:t>
      </w:r>
      <w:proofErr w:type="spellEnd"/>
      <w:r w:rsidRPr="00F66398">
        <w:rPr>
          <w:rFonts w:cs="B Mitra"/>
          <w:sz w:val="20"/>
          <w:szCs w:val="24"/>
        </w:rPr>
        <w:t xml:space="preserve"> J. </w:t>
      </w:r>
      <w:r>
        <w:rPr>
          <w:rFonts w:cs="B Mitra"/>
          <w:sz w:val="20"/>
          <w:szCs w:val="24"/>
        </w:rPr>
        <w:t>(</w:t>
      </w:r>
      <w:r w:rsidRPr="00F66398">
        <w:rPr>
          <w:rFonts w:cs="B Mitra"/>
          <w:sz w:val="20"/>
          <w:szCs w:val="24"/>
        </w:rPr>
        <w:t>2006</w:t>
      </w:r>
      <w:r>
        <w:rPr>
          <w:rFonts w:cs="B Mitra"/>
          <w:sz w:val="20"/>
          <w:szCs w:val="24"/>
        </w:rPr>
        <w:t xml:space="preserve">) </w:t>
      </w:r>
      <w:r w:rsidRPr="00F66398">
        <w:rPr>
          <w:rFonts w:cs="B Mitra"/>
          <w:sz w:val="20"/>
          <w:szCs w:val="24"/>
        </w:rPr>
        <w:t>Understanding psychology and Crime: Perspective on theory and action.</w:t>
      </w:r>
      <w:proofErr w:type="gramEnd"/>
      <w:r w:rsidRPr="00F66398">
        <w:rPr>
          <w:rFonts w:cs="B Mitra"/>
          <w:sz w:val="20"/>
          <w:szCs w:val="24"/>
        </w:rPr>
        <w:t xml:space="preserve"> New York: Open University Press (Mc </w:t>
      </w:r>
      <w:proofErr w:type="spellStart"/>
      <w:r w:rsidRPr="00F66398">
        <w:rPr>
          <w:rFonts w:cs="B Mitra"/>
          <w:sz w:val="20"/>
          <w:szCs w:val="24"/>
        </w:rPr>
        <w:t>Graw</w:t>
      </w:r>
      <w:proofErr w:type="spellEnd"/>
      <w:r w:rsidRPr="00F66398">
        <w:rPr>
          <w:rFonts w:cs="B Mitra"/>
          <w:sz w:val="20"/>
          <w:szCs w:val="24"/>
        </w:rPr>
        <w:t>? Hill Education)</w:t>
      </w:r>
      <w:proofErr w:type="gramStart"/>
      <w:r w:rsidRPr="00F66398">
        <w:rPr>
          <w:rFonts w:cs="B Mitra"/>
          <w:sz w:val="20"/>
          <w:szCs w:val="24"/>
        </w:rPr>
        <w:t>;.</w:t>
      </w:r>
      <w:proofErr w:type="gramEnd"/>
      <w:r w:rsidRPr="00F66398">
        <w:rPr>
          <w:rFonts w:cs="B Mitra"/>
          <w:sz w:val="20"/>
          <w:szCs w:val="24"/>
        </w:rPr>
        <w:t xml:space="preserve"> P. 68-75.</w:t>
      </w:r>
    </w:p>
    <w:p w:rsidR="005E7607" w:rsidRPr="005E7607" w:rsidRDefault="005E7607" w:rsidP="005E7607">
      <w:pPr>
        <w:pStyle w:val="ListParagraph"/>
        <w:tabs>
          <w:tab w:val="left" w:pos="630"/>
        </w:tabs>
        <w:bidi w:val="0"/>
        <w:spacing w:after="0" w:line="240" w:lineRule="auto"/>
        <w:ind w:left="630"/>
        <w:rPr>
          <w:rFonts w:cs="B Mitra"/>
          <w:sz w:val="20"/>
          <w:szCs w:val="24"/>
        </w:rPr>
      </w:pPr>
      <w:proofErr w:type="spellStart"/>
      <w:r w:rsidRPr="005E7607">
        <w:rPr>
          <w:rFonts w:cs="B Mitra"/>
          <w:sz w:val="20"/>
          <w:szCs w:val="24"/>
        </w:rPr>
        <w:t>Mccrae</w:t>
      </w:r>
      <w:proofErr w:type="spellEnd"/>
      <w:r w:rsidRPr="005E7607">
        <w:rPr>
          <w:rFonts w:cs="B Mitra"/>
          <w:sz w:val="20"/>
          <w:szCs w:val="24"/>
        </w:rPr>
        <w:t xml:space="preserve"> RR, Costa PT (2004). </w:t>
      </w:r>
      <w:proofErr w:type="gramStart"/>
      <w:r w:rsidRPr="005E7607">
        <w:rPr>
          <w:rFonts w:cs="B Mitra"/>
          <w:sz w:val="20"/>
          <w:szCs w:val="24"/>
        </w:rPr>
        <w:t>A contemplated revision of NEO Five Factor inventory.</w:t>
      </w:r>
      <w:proofErr w:type="gramEnd"/>
      <w:r w:rsidRPr="005E7607">
        <w:rPr>
          <w:rFonts w:cs="B Mitra"/>
          <w:sz w:val="20"/>
          <w:szCs w:val="24"/>
        </w:rPr>
        <w:t xml:space="preserve"> J </w:t>
      </w:r>
      <w:proofErr w:type="spellStart"/>
      <w:r w:rsidRPr="005E7607">
        <w:rPr>
          <w:rFonts w:cs="B Mitra"/>
          <w:sz w:val="20"/>
          <w:szCs w:val="24"/>
        </w:rPr>
        <w:t>pers</w:t>
      </w:r>
      <w:proofErr w:type="spellEnd"/>
      <w:r w:rsidRPr="005E7607">
        <w:rPr>
          <w:rFonts w:cs="B Mitra"/>
          <w:sz w:val="20"/>
          <w:szCs w:val="24"/>
        </w:rPr>
        <w:t xml:space="preserve"> and </w:t>
      </w:r>
      <w:proofErr w:type="spellStart"/>
      <w:proofErr w:type="gramStart"/>
      <w:r w:rsidRPr="005E7607">
        <w:rPr>
          <w:rFonts w:cs="B Mitra"/>
          <w:sz w:val="20"/>
          <w:szCs w:val="24"/>
        </w:rPr>
        <w:t>ind</w:t>
      </w:r>
      <w:proofErr w:type="spellEnd"/>
      <w:proofErr w:type="gramEnd"/>
      <w:r w:rsidRPr="005E7607">
        <w:rPr>
          <w:rFonts w:cs="B Mitra"/>
          <w:sz w:val="20"/>
          <w:szCs w:val="24"/>
        </w:rPr>
        <w:t xml:space="preserve"> diff 36: 587-596.</w:t>
      </w:r>
    </w:p>
    <w:p w:rsidR="005E7607" w:rsidRPr="00F66398" w:rsidRDefault="005E7607" w:rsidP="002F1EF7">
      <w:pPr>
        <w:pStyle w:val="ListParagraph"/>
        <w:tabs>
          <w:tab w:val="left" w:pos="630"/>
        </w:tabs>
        <w:bidi w:val="0"/>
        <w:spacing w:after="0" w:line="240" w:lineRule="auto"/>
        <w:ind w:left="630"/>
        <w:rPr>
          <w:rFonts w:cs="B Mitra"/>
          <w:color w:val="333333"/>
          <w:sz w:val="20"/>
          <w:szCs w:val="24"/>
        </w:rPr>
      </w:pPr>
      <w:proofErr w:type="spellStart"/>
      <w:r w:rsidRPr="00F66398">
        <w:rPr>
          <w:rFonts w:cs="Times New Roman"/>
          <w:sz w:val="20"/>
          <w:szCs w:val="20"/>
        </w:rPr>
        <w:t>Mehran</w:t>
      </w:r>
      <w:proofErr w:type="spellEnd"/>
      <w:r w:rsidRPr="00F66398">
        <w:rPr>
          <w:rFonts w:cs="Times New Roman"/>
          <w:sz w:val="20"/>
          <w:szCs w:val="20"/>
        </w:rPr>
        <w:t xml:space="preserve"> N. </w:t>
      </w:r>
      <w:r>
        <w:rPr>
          <w:rFonts w:cs="Times New Roman"/>
          <w:sz w:val="20"/>
          <w:szCs w:val="20"/>
        </w:rPr>
        <w:t>(</w:t>
      </w:r>
      <w:r w:rsidRPr="00F66398">
        <w:rPr>
          <w:rStyle w:val="hps"/>
          <w:rFonts w:cs="Times New Roman"/>
          <w:sz w:val="20"/>
          <w:szCs w:val="20"/>
        </w:rPr>
        <w:t>2004</w:t>
      </w:r>
      <w:r>
        <w:rPr>
          <w:rStyle w:val="hps"/>
          <w:rFonts w:cs="Times New Roman"/>
          <w:sz w:val="20"/>
          <w:szCs w:val="20"/>
        </w:rPr>
        <w:t>)</w:t>
      </w:r>
      <w:r w:rsidRPr="00F66398">
        <w:rPr>
          <w:rFonts w:eastAsia="Times New Roman" w:cs="Times New Roman"/>
          <w:sz w:val="20"/>
          <w:szCs w:val="20"/>
        </w:rPr>
        <w:t xml:space="preserve"> [Describes the characteristics of psychological, social suicide attempters compared with normal individuals in Birjand]. Thesis of M.A. </w:t>
      </w:r>
      <w:r w:rsidRPr="00F66398">
        <w:rPr>
          <w:rStyle w:val="hps"/>
          <w:rFonts w:cs="Times New Roman"/>
          <w:sz w:val="20"/>
          <w:szCs w:val="20"/>
        </w:rPr>
        <w:t>Iran</w:t>
      </w:r>
      <w:r w:rsidRPr="00F66398">
        <w:rPr>
          <w:rStyle w:val="shorttext"/>
          <w:rFonts w:cs="Times New Roman"/>
          <w:sz w:val="20"/>
          <w:szCs w:val="20"/>
        </w:rPr>
        <w:t xml:space="preserve"> </w:t>
      </w:r>
      <w:proofErr w:type="spellStart"/>
      <w:r w:rsidRPr="00F66398">
        <w:rPr>
          <w:rStyle w:val="hps"/>
          <w:rFonts w:cs="Times New Roman"/>
          <w:sz w:val="20"/>
          <w:szCs w:val="20"/>
        </w:rPr>
        <w:t>Uni</w:t>
      </w:r>
      <w:proofErr w:type="spellEnd"/>
      <w:r w:rsidRPr="00F66398">
        <w:rPr>
          <w:rStyle w:val="shorttext"/>
          <w:rFonts w:cs="Times New Roman"/>
          <w:sz w:val="20"/>
          <w:szCs w:val="20"/>
        </w:rPr>
        <w:t xml:space="preserve"> </w:t>
      </w:r>
      <w:proofErr w:type="spellStart"/>
      <w:r w:rsidRPr="00F66398">
        <w:rPr>
          <w:rStyle w:val="hps"/>
          <w:rFonts w:cs="Times New Roman"/>
          <w:sz w:val="20"/>
          <w:szCs w:val="20"/>
        </w:rPr>
        <w:t>Psychia</w:t>
      </w:r>
      <w:proofErr w:type="spellEnd"/>
      <w:r w:rsidRPr="00F66398">
        <w:rPr>
          <w:rStyle w:val="hps"/>
          <w:rFonts w:cs="Times New Roman"/>
          <w:sz w:val="20"/>
          <w:szCs w:val="20"/>
        </w:rPr>
        <w:t xml:space="preserve"> Ins.</w:t>
      </w:r>
      <w:r w:rsidRPr="00F66398">
        <w:rPr>
          <w:rFonts w:eastAsia="Times New Roman" w:cs="Times New Roman"/>
          <w:sz w:val="20"/>
          <w:szCs w:val="20"/>
        </w:rPr>
        <w:t xml:space="preserve"> </w:t>
      </w:r>
      <w:r w:rsidRPr="00F66398">
        <w:rPr>
          <w:rStyle w:val="hps"/>
          <w:rFonts w:cs="Times New Roman"/>
          <w:sz w:val="20"/>
          <w:szCs w:val="20"/>
        </w:rPr>
        <w:t>(Persian)</w:t>
      </w:r>
    </w:p>
    <w:p w:rsidR="005E7607" w:rsidRPr="00F66398" w:rsidRDefault="005E7607" w:rsidP="002F1EF7">
      <w:pPr>
        <w:pStyle w:val="ListParagraph"/>
        <w:tabs>
          <w:tab w:val="left" w:pos="630"/>
        </w:tabs>
        <w:bidi w:val="0"/>
        <w:spacing w:after="0" w:line="240" w:lineRule="auto"/>
        <w:ind w:left="630"/>
        <w:rPr>
          <w:rFonts w:cs="B Mitra"/>
          <w:sz w:val="20"/>
          <w:szCs w:val="24"/>
        </w:rPr>
      </w:pPr>
      <w:r w:rsidRPr="00F66398">
        <w:rPr>
          <w:rFonts w:cs="B Mitra"/>
          <w:sz w:val="20"/>
          <w:szCs w:val="24"/>
        </w:rPr>
        <w:t xml:space="preserve">Nock MK, </w:t>
      </w:r>
      <w:proofErr w:type="spellStart"/>
      <w:r w:rsidRPr="00F66398">
        <w:rPr>
          <w:rFonts w:cs="B Mitra"/>
          <w:sz w:val="20"/>
          <w:szCs w:val="24"/>
        </w:rPr>
        <w:t>Banaji</w:t>
      </w:r>
      <w:proofErr w:type="spellEnd"/>
      <w:r w:rsidRPr="00F66398">
        <w:rPr>
          <w:rFonts w:cs="B Mitra"/>
          <w:sz w:val="20"/>
          <w:szCs w:val="24"/>
        </w:rPr>
        <w:t xml:space="preserve"> MR</w:t>
      </w:r>
      <w:r>
        <w:rPr>
          <w:rFonts w:cs="B Mitra"/>
          <w:sz w:val="20"/>
          <w:szCs w:val="24"/>
        </w:rPr>
        <w:t>. (</w:t>
      </w:r>
      <w:r w:rsidRPr="00F66398">
        <w:rPr>
          <w:rFonts w:cs="B Mitra"/>
          <w:sz w:val="20"/>
          <w:szCs w:val="24"/>
        </w:rPr>
        <w:t>2011</w:t>
      </w:r>
      <w:r>
        <w:rPr>
          <w:rFonts w:cs="B Mitra"/>
          <w:sz w:val="20"/>
          <w:szCs w:val="24"/>
        </w:rPr>
        <w:t>)</w:t>
      </w:r>
      <w:r w:rsidRPr="00F66398">
        <w:rPr>
          <w:rFonts w:cs="B Mitra"/>
          <w:sz w:val="20"/>
          <w:szCs w:val="24"/>
        </w:rPr>
        <w:t xml:space="preserve"> Prediction of suicide ideation and attempts among adolescents using a brief performance-based test.</w:t>
      </w:r>
      <w:r w:rsidRPr="00F66398">
        <w:rPr>
          <w:rFonts w:cs="B Mitra"/>
          <w:sz w:val="20"/>
          <w:szCs w:val="24"/>
          <w:lang w:val="en-GB"/>
        </w:rPr>
        <w:t xml:space="preserve"> </w:t>
      </w:r>
      <w:hyperlink r:id="rId5" w:history="1">
        <w:proofErr w:type="gramStart"/>
        <w:r w:rsidRPr="00F66398">
          <w:rPr>
            <w:rFonts w:cs="B Mitra"/>
            <w:sz w:val="20"/>
            <w:szCs w:val="24"/>
            <w:lang w:val="en-GB"/>
          </w:rPr>
          <w:t xml:space="preserve">J Consul and </w:t>
        </w:r>
        <w:proofErr w:type="spellStart"/>
        <w:r w:rsidRPr="00F66398">
          <w:rPr>
            <w:rFonts w:cs="B Mitra"/>
            <w:sz w:val="20"/>
            <w:szCs w:val="24"/>
            <w:lang w:val="en-GB"/>
          </w:rPr>
          <w:t>Clin</w:t>
        </w:r>
        <w:proofErr w:type="spellEnd"/>
        <w:r w:rsidRPr="00F66398">
          <w:rPr>
            <w:rFonts w:cs="B Mitra"/>
            <w:sz w:val="20"/>
            <w:szCs w:val="24"/>
            <w:lang w:val="en-GB"/>
          </w:rPr>
          <w:t xml:space="preserve"> Psych</w:t>
        </w:r>
      </w:hyperlink>
      <w:r w:rsidRPr="00F66398">
        <w:rPr>
          <w:rFonts w:cs="B Mitra"/>
          <w:sz w:val="20"/>
          <w:szCs w:val="24"/>
        </w:rPr>
        <w:t>; 75: 707-715.</w:t>
      </w:r>
      <w:proofErr w:type="gramEnd"/>
    </w:p>
    <w:p w:rsidR="005E7607" w:rsidRPr="00F66398" w:rsidRDefault="005E7607" w:rsidP="002F1EF7">
      <w:pPr>
        <w:pStyle w:val="ListParagraph"/>
        <w:tabs>
          <w:tab w:val="left" w:pos="630"/>
        </w:tabs>
        <w:bidi w:val="0"/>
        <w:spacing w:after="0" w:line="240" w:lineRule="auto"/>
        <w:ind w:left="630"/>
        <w:rPr>
          <w:rFonts w:cs="B Mitra"/>
          <w:sz w:val="20"/>
          <w:szCs w:val="24"/>
        </w:rPr>
      </w:pPr>
      <w:proofErr w:type="spellStart"/>
      <w:r w:rsidRPr="00F66398">
        <w:rPr>
          <w:rFonts w:cs="Times New Roman"/>
          <w:sz w:val="20"/>
          <w:szCs w:val="20"/>
        </w:rPr>
        <w:t>Rostami</w:t>
      </w:r>
      <w:proofErr w:type="spellEnd"/>
      <w:r w:rsidRPr="00F66398">
        <w:rPr>
          <w:rFonts w:cs="Times New Roman"/>
          <w:sz w:val="20"/>
          <w:szCs w:val="20"/>
        </w:rPr>
        <w:t xml:space="preserve"> AM, </w:t>
      </w:r>
      <w:proofErr w:type="spellStart"/>
      <w:r w:rsidRPr="00F66398">
        <w:rPr>
          <w:rFonts w:cs="Times New Roman"/>
          <w:sz w:val="20"/>
          <w:szCs w:val="20"/>
        </w:rPr>
        <w:t>Ahadi</w:t>
      </w:r>
      <w:proofErr w:type="spellEnd"/>
      <w:r w:rsidRPr="00F66398">
        <w:rPr>
          <w:rFonts w:cs="Times New Roman"/>
          <w:sz w:val="20"/>
          <w:szCs w:val="20"/>
        </w:rPr>
        <w:t xml:space="preserve"> H, </w:t>
      </w:r>
      <w:proofErr w:type="spellStart"/>
      <w:r w:rsidRPr="00F66398">
        <w:rPr>
          <w:rFonts w:cs="Times New Roman"/>
          <w:sz w:val="20"/>
          <w:szCs w:val="20"/>
        </w:rPr>
        <w:t>Cheraghaligol</w:t>
      </w:r>
      <w:proofErr w:type="spellEnd"/>
      <w:r w:rsidRPr="00F66398">
        <w:rPr>
          <w:rFonts w:cs="Times New Roman"/>
          <w:sz w:val="20"/>
          <w:szCs w:val="20"/>
        </w:rPr>
        <w:t xml:space="preserve"> H. </w:t>
      </w:r>
      <w:r>
        <w:rPr>
          <w:rFonts w:cs="Times New Roman"/>
          <w:sz w:val="20"/>
          <w:szCs w:val="20"/>
        </w:rPr>
        <w:t>(</w:t>
      </w:r>
      <w:r w:rsidRPr="00F66398">
        <w:rPr>
          <w:rStyle w:val="hps"/>
          <w:rFonts w:cs="Times New Roman"/>
          <w:sz w:val="20"/>
          <w:szCs w:val="20"/>
        </w:rPr>
        <w:t>2014</w:t>
      </w:r>
      <w:r>
        <w:rPr>
          <w:rStyle w:val="hps"/>
          <w:rFonts w:cs="Times New Roman"/>
          <w:sz w:val="20"/>
          <w:szCs w:val="20"/>
        </w:rPr>
        <w:t>)</w:t>
      </w:r>
      <w:r w:rsidRPr="00F66398">
        <w:rPr>
          <w:rStyle w:val="hps"/>
          <w:rFonts w:cs="Times New Roman"/>
          <w:sz w:val="20"/>
          <w:szCs w:val="20"/>
        </w:rPr>
        <w:t xml:space="preserve"> [Predict</w:t>
      </w:r>
      <w:r w:rsidRPr="00F66398">
        <w:rPr>
          <w:rFonts w:cs="Times New Roman"/>
          <w:sz w:val="20"/>
          <w:szCs w:val="20"/>
        </w:rPr>
        <w:t xml:space="preserve"> </w:t>
      </w:r>
      <w:r w:rsidRPr="00F66398">
        <w:rPr>
          <w:rStyle w:val="hps"/>
          <w:rFonts w:cs="Times New Roman"/>
          <w:sz w:val="20"/>
          <w:szCs w:val="20"/>
        </w:rPr>
        <w:t>coping strategies</w:t>
      </w:r>
      <w:r w:rsidRPr="00F66398">
        <w:rPr>
          <w:rFonts w:cs="Times New Roman"/>
          <w:sz w:val="20"/>
          <w:szCs w:val="20"/>
        </w:rPr>
        <w:t xml:space="preserve"> </w:t>
      </w:r>
      <w:r w:rsidRPr="00F66398">
        <w:rPr>
          <w:rStyle w:val="hps"/>
          <w:rFonts w:cs="Times New Roman"/>
          <w:sz w:val="20"/>
          <w:szCs w:val="20"/>
        </w:rPr>
        <w:t>based on</w:t>
      </w:r>
      <w:r w:rsidRPr="00F66398">
        <w:rPr>
          <w:rFonts w:cs="Times New Roman"/>
          <w:sz w:val="20"/>
          <w:szCs w:val="20"/>
        </w:rPr>
        <w:t xml:space="preserve"> </w:t>
      </w:r>
      <w:r w:rsidRPr="00F66398">
        <w:rPr>
          <w:rStyle w:val="hps"/>
          <w:rFonts w:cs="Times New Roman"/>
          <w:sz w:val="20"/>
          <w:szCs w:val="20"/>
        </w:rPr>
        <w:t>personality traits</w:t>
      </w:r>
      <w:r w:rsidRPr="00F66398">
        <w:rPr>
          <w:rFonts w:cs="Times New Roman"/>
          <w:sz w:val="20"/>
          <w:szCs w:val="20"/>
        </w:rPr>
        <w:t xml:space="preserve"> </w:t>
      </w:r>
      <w:r w:rsidRPr="00F66398">
        <w:rPr>
          <w:rStyle w:val="hps"/>
          <w:rFonts w:cs="Times New Roman"/>
          <w:sz w:val="20"/>
          <w:szCs w:val="20"/>
        </w:rPr>
        <w:t>dependents</w:t>
      </w:r>
      <w:r w:rsidRPr="00F66398">
        <w:rPr>
          <w:rFonts w:cs="Times New Roman"/>
          <w:sz w:val="20"/>
          <w:szCs w:val="20"/>
        </w:rPr>
        <w:t xml:space="preserve"> </w:t>
      </w:r>
      <w:r w:rsidRPr="00F66398">
        <w:rPr>
          <w:rStyle w:val="hps"/>
          <w:rFonts w:cs="Times New Roman"/>
          <w:sz w:val="20"/>
          <w:szCs w:val="20"/>
        </w:rPr>
        <w:t>drugs]</w:t>
      </w:r>
      <w:r w:rsidRPr="00F66398">
        <w:rPr>
          <w:rFonts w:cs="Times New Roman"/>
          <w:sz w:val="20"/>
          <w:szCs w:val="20"/>
        </w:rPr>
        <w:t xml:space="preserve">. </w:t>
      </w:r>
      <w:r w:rsidRPr="00F66398">
        <w:rPr>
          <w:rStyle w:val="hps"/>
          <w:rFonts w:cs="Times New Roman"/>
          <w:sz w:val="20"/>
          <w:szCs w:val="20"/>
        </w:rPr>
        <w:t>J</w:t>
      </w:r>
      <w:r w:rsidRPr="00F66398">
        <w:rPr>
          <w:rStyle w:val="shorttext"/>
          <w:rFonts w:cs="Times New Roman"/>
          <w:sz w:val="20"/>
          <w:szCs w:val="20"/>
        </w:rPr>
        <w:t xml:space="preserve"> </w:t>
      </w:r>
      <w:r w:rsidRPr="00F66398">
        <w:rPr>
          <w:rStyle w:val="hps"/>
          <w:rFonts w:cs="Times New Roman"/>
          <w:sz w:val="20"/>
          <w:szCs w:val="20"/>
        </w:rPr>
        <w:t>Subs Abuse</w:t>
      </w:r>
      <w:r w:rsidRPr="00F66398">
        <w:rPr>
          <w:rStyle w:val="shorttext"/>
          <w:rFonts w:cs="Times New Roman"/>
          <w:sz w:val="20"/>
          <w:szCs w:val="20"/>
        </w:rPr>
        <w:t xml:space="preserve"> </w:t>
      </w:r>
      <w:proofErr w:type="spellStart"/>
      <w:r w:rsidRPr="00F66398">
        <w:rPr>
          <w:rStyle w:val="hps"/>
          <w:rFonts w:cs="Times New Roman"/>
          <w:sz w:val="20"/>
          <w:szCs w:val="20"/>
        </w:rPr>
        <w:t>Addic</w:t>
      </w:r>
      <w:proofErr w:type="spellEnd"/>
      <w:r w:rsidRPr="00F66398">
        <w:rPr>
          <w:rStyle w:val="shorttext"/>
          <w:rFonts w:cs="Times New Roman"/>
          <w:sz w:val="20"/>
          <w:szCs w:val="20"/>
        </w:rPr>
        <w:t xml:space="preserve"> </w:t>
      </w:r>
      <w:r w:rsidRPr="00F66398">
        <w:rPr>
          <w:rStyle w:val="hps"/>
          <w:rFonts w:cs="Times New Roman"/>
          <w:sz w:val="20"/>
          <w:szCs w:val="20"/>
        </w:rPr>
        <w:t>Stud; 26: 111-126. (Persian)</w:t>
      </w:r>
    </w:p>
    <w:p w:rsidR="005E7607" w:rsidRPr="00F66398" w:rsidRDefault="005E7607" w:rsidP="002F1EF7">
      <w:pPr>
        <w:pStyle w:val="ListParagraph"/>
        <w:tabs>
          <w:tab w:val="left" w:pos="630"/>
        </w:tabs>
        <w:bidi w:val="0"/>
        <w:spacing w:after="0" w:line="240" w:lineRule="auto"/>
        <w:ind w:left="630"/>
        <w:rPr>
          <w:rStyle w:val="hps"/>
          <w:rFonts w:cs="Times New Roman"/>
          <w:sz w:val="20"/>
          <w:szCs w:val="20"/>
        </w:rPr>
      </w:pPr>
      <w:proofErr w:type="spellStart"/>
      <w:proofErr w:type="gramStart"/>
      <w:r w:rsidRPr="00F66398">
        <w:rPr>
          <w:rFonts w:cs="Times New Roman"/>
          <w:sz w:val="20"/>
          <w:szCs w:val="20"/>
        </w:rPr>
        <w:t>Saroghad</w:t>
      </w:r>
      <w:proofErr w:type="spellEnd"/>
      <w:r w:rsidRPr="00F66398">
        <w:rPr>
          <w:rFonts w:cs="Times New Roman"/>
          <w:sz w:val="20"/>
          <w:szCs w:val="20"/>
        </w:rPr>
        <w:t xml:space="preserve"> S, </w:t>
      </w:r>
      <w:proofErr w:type="spellStart"/>
      <w:r w:rsidRPr="00F66398">
        <w:rPr>
          <w:rFonts w:cs="Times New Roman"/>
          <w:sz w:val="20"/>
          <w:szCs w:val="20"/>
        </w:rPr>
        <w:t>Rezaee</w:t>
      </w:r>
      <w:proofErr w:type="spellEnd"/>
      <w:r w:rsidRPr="00F66398">
        <w:rPr>
          <w:rFonts w:cs="Times New Roman"/>
          <w:sz w:val="20"/>
          <w:szCs w:val="20"/>
        </w:rPr>
        <w:t xml:space="preserve"> AM, </w:t>
      </w:r>
      <w:proofErr w:type="spellStart"/>
      <w:r w:rsidRPr="00F66398">
        <w:rPr>
          <w:rFonts w:cs="Times New Roman"/>
          <w:sz w:val="20"/>
          <w:szCs w:val="20"/>
        </w:rPr>
        <w:t>Fadaeedolat</w:t>
      </w:r>
      <w:proofErr w:type="spellEnd"/>
      <w:r w:rsidRPr="00F66398">
        <w:rPr>
          <w:rFonts w:cs="Times New Roman"/>
          <w:sz w:val="20"/>
          <w:szCs w:val="20"/>
        </w:rPr>
        <w:t xml:space="preserve"> A. </w:t>
      </w:r>
      <w:r>
        <w:rPr>
          <w:rFonts w:cs="Times New Roman"/>
          <w:sz w:val="20"/>
          <w:szCs w:val="20"/>
        </w:rPr>
        <w:t>(</w:t>
      </w:r>
      <w:r w:rsidRPr="00F66398">
        <w:rPr>
          <w:rStyle w:val="hps"/>
          <w:rFonts w:cs="Times New Roman"/>
          <w:sz w:val="20"/>
          <w:szCs w:val="20"/>
        </w:rPr>
        <w:t>2012</w:t>
      </w:r>
      <w:r>
        <w:rPr>
          <w:rStyle w:val="hps"/>
          <w:rFonts w:cs="Times New Roman"/>
          <w:sz w:val="20"/>
          <w:szCs w:val="20"/>
        </w:rPr>
        <w:t>)</w:t>
      </w:r>
      <w:r w:rsidRPr="00F66398">
        <w:rPr>
          <w:rStyle w:val="hps"/>
          <w:rFonts w:cs="Times New Roman"/>
          <w:sz w:val="20"/>
          <w:szCs w:val="20"/>
        </w:rPr>
        <w:t xml:space="preserve"> [Personality characteristics and</w:t>
      </w:r>
      <w:r w:rsidRPr="00F66398">
        <w:rPr>
          <w:rFonts w:cs="Times New Roman"/>
          <w:sz w:val="20"/>
          <w:szCs w:val="20"/>
        </w:rPr>
        <w:t xml:space="preserve"> </w:t>
      </w:r>
      <w:r w:rsidRPr="00F66398">
        <w:rPr>
          <w:rStyle w:val="hps"/>
          <w:rFonts w:cs="Times New Roman"/>
          <w:sz w:val="20"/>
          <w:szCs w:val="20"/>
        </w:rPr>
        <w:t>coping strategies</w:t>
      </w:r>
      <w:r w:rsidRPr="00F66398">
        <w:rPr>
          <w:rFonts w:cs="Times New Roman"/>
          <w:sz w:val="20"/>
          <w:szCs w:val="20"/>
        </w:rPr>
        <w:t xml:space="preserve"> </w:t>
      </w:r>
      <w:r w:rsidRPr="00F66398">
        <w:rPr>
          <w:rStyle w:val="hps"/>
          <w:rFonts w:cs="Times New Roman"/>
          <w:sz w:val="20"/>
          <w:szCs w:val="20"/>
        </w:rPr>
        <w:t>and</w:t>
      </w:r>
      <w:r w:rsidRPr="00F66398">
        <w:rPr>
          <w:rFonts w:cs="Times New Roman"/>
          <w:sz w:val="20"/>
          <w:szCs w:val="20"/>
        </w:rPr>
        <w:t xml:space="preserve"> </w:t>
      </w:r>
      <w:r w:rsidRPr="00F66398">
        <w:rPr>
          <w:rStyle w:val="hps"/>
          <w:rFonts w:cs="Times New Roman"/>
          <w:sz w:val="20"/>
          <w:szCs w:val="20"/>
        </w:rPr>
        <w:t>mental</w:t>
      </w:r>
      <w:r w:rsidRPr="00F66398">
        <w:rPr>
          <w:rFonts w:cs="Times New Roman"/>
          <w:sz w:val="20"/>
          <w:szCs w:val="20"/>
        </w:rPr>
        <w:t xml:space="preserve"> </w:t>
      </w:r>
      <w:r w:rsidRPr="00F66398">
        <w:rPr>
          <w:rStyle w:val="hps"/>
          <w:rFonts w:cs="Times New Roman"/>
          <w:sz w:val="20"/>
          <w:szCs w:val="20"/>
        </w:rPr>
        <w:t>well-being</w:t>
      </w:r>
      <w:r w:rsidRPr="00F66398">
        <w:rPr>
          <w:rFonts w:cs="Times New Roman"/>
          <w:sz w:val="20"/>
          <w:szCs w:val="20"/>
        </w:rPr>
        <w:t xml:space="preserve"> </w:t>
      </w:r>
      <w:r w:rsidRPr="00F66398">
        <w:rPr>
          <w:rStyle w:val="hps"/>
          <w:rFonts w:cs="Times New Roman"/>
          <w:sz w:val="20"/>
          <w:szCs w:val="20"/>
        </w:rPr>
        <w:t>of teachers]</w:t>
      </w:r>
      <w:r w:rsidRPr="00F66398">
        <w:rPr>
          <w:rFonts w:cs="Times New Roman"/>
          <w:sz w:val="20"/>
          <w:szCs w:val="20"/>
        </w:rPr>
        <w:t>.</w:t>
      </w:r>
      <w:proofErr w:type="gramEnd"/>
      <w:r w:rsidRPr="00F66398">
        <w:rPr>
          <w:rFonts w:cs="Times New Roman"/>
          <w:sz w:val="20"/>
          <w:szCs w:val="20"/>
        </w:rPr>
        <w:t xml:space="preserve"> J </w:t>
      </w:r>
      <w:r w:rsidRPr="00F66398">
        <w:rPr>
          <w:rStyle w:val="hps"/>
          <w:rFonts w:cs="Times New Roman"/>
          <w:sz w:val="20"/>
          <w:szCs w:val="20"/>
        </w:rPr>
        <w:t>New findings in</w:t>
      </w:r>
      <w:r w:rsidRPr="00F66398">
        <w:rPr>
          <w:rStyle w:val="shorttext"/>
          <w:rFonts w:cs="Times New Roman"/>
          <w:sz w:val="20"/>
          <w:szCs w:val="20"/>
        </w:rPr>
        <w:t xml:space="preserve"> </w:t>
      </w:r>
      <w:r w:rsidRPr="00F66398">
        <w:rPr>
          <w:rStyle w:val="hps"/>
          <w:rFonts w:cs="Times New Roman"/>
          <w:sz w:val="20"/>
          <w:szCs w:val="20"/>
        </w:rPr>
        <w:t>psych; 2: 23-29. (Persian)</w:t>
      </w:r>
    </w:p>
    <w:p w:rsidR="005E7607" w:rsidRPr="00F66398" w:rsidRDefault="005E7607" w:rsidP="002F1EF7">
      <w:pPr>
        <w:pStyle w:val="ListParagraph"/>
        <w:tabs>
          <w:tab w:val="left" w:pos="630"/>
        </w:tabs>
        <w:bidi w:val="0"/>
        <w:spacing w:after="0" w:line="240" w:lineRule="auto"/>
        <w:ind w:left="630"/>
        <w:rPr>
          <w:rFonts w:cs="B Mitra"/>
          <w:sz w:val="20"/>
          <w:szCs w:val="24"/>
        </w:rPr>
      </w:pPr>
      <w:r w:rsidRPr="00F66398">
        <w:rPr>
          <w:rFonts w:cs="B Mitra"/>
          <w:sz w:val="20"/>
          <w:szCs w:val="24"/>
        </w:rPr>
        <w:t xml:space="preserve">Shaffer D, </w:t>
      </w:r>
      <w:proofErr w:type="spellStart"/>
      <w:r w:rsidRPr="00F66398">
        <w:rPr>
          <w:rFonts w:cs="B Mitra"/>
          <w:sz w:val="20"/>
          <w:szCs w:val="24"/>
        </w:rPr>
        <w:t>Pfeffer</w:t>
      </w:r>
      <w:proofErr w:type="spellEnd"/>
      <w:r w:rsidRPr="00F66398">
        <w:rPr>
          <w:rFonts w:cs="B Mitra"/>
          <w:sz w:val="20"/>
          <w:szCs w:val="24"/>
        </w:rPr>
        <w:t xml:space="preserve"> CR. </w:t>
      </w:r>
      <w:r>
        <w:rPr>
          <w:rFonts w:cs="B Mitra"/>
          <w:sz w:val="20"/>
          <w:szCs w:val="24"/>
        </w:rPr>
        <w:t>(</w:t>
      </w:r>
      <w:r w:rsidRPr="00F66398">
        <w:rPr>
          <w:rFonts w:cs="B Mitra"/>
          <w:sz w:val="20"/>
          <w:szCs w:val="24"/>
        </w:rPr>
        <w:t>2010</w:t>
      </w:r>
      <w:r>
        <w:rPr>
          <w:rFonts w:cs="B Mitra"/>
          <w:sz w:val="20"/>
          <w:szCs w:val="24"/>
        </w:rPr>
        <w:t xml:space="preserve">) </w:t>
      </w:r>
      <w:r w:rsidRPr="00F66398">
        <w:rPr>
          <w:rFonts w:cs="B Mitra"/>
          <w:sz w:val="20"/>
          <w:szCs w:val="24"/>
        </w:rPr>
        <w:t xml:space="preserve">Practice parameter for the assessment and treatment of children and adolescents with suicidal behavior. J American of child and </w:t>
      </w:r>
      <w:proofErr w:type="spellStart"/>
      <w:r w:rsidRPr="00F66398">
        <w:rPr>
          <w:rFonts w:cs="B Mitra"/>
          <w:sz w:val="20"/>
          <w:szCs w:val="24"/>
        </w:rPr>
        <w:t>adolesc</w:t>
      </w:r>
      <w:proofErr w:type="spellEnd"/>
      <w:r w:rsidRPr="00F66398">
        <w:rPr>
          <w:rFonts w:cs="B Mitra"/>
          <w:sz w:val="20"/>
          <w:szCs w:val="24"/>
        </w:rPr>
        <w:t xml:space="preserve"> </w:t>
      </w:r>
      <w:proofErr w:type="spellStart"/>
      <w:r w:rsidRPr="00F66398">
        <w:rPr>
          <w:rFonts w:cs="B Mitra"/>
          <w:sz w:val="20"/>
          <w:szCs w:val="24"/>
        </w:rPr>
        <w:t>psychiatr</w:t>
      </w:r>
      <w:proofErr w:type="spellEnd"/>
      <w:r w:rsidRPr="00F66398">
        <w:rPr>
          <w:rFonts w:cs="B Mitra"/>
          <w:sz w:val="20"/>
          <w:szCs w:val="24"/>
        </w:rPr>
        <w:t>; 40: 24-57.</w:t>
      </w:r>
    </w:p>
    <w:p w:rsidR="005E7607" w:rsidRPr="00F66398" w:rsidRDefault="005E7607" w:rsidP="002F1EF7">
      <w:pPr>
        <w:pStyle w:val="ListParagraph"/>
        <w:tabs>
          <w:tab w:val="left" w:pos="630"/>
        </w:tabs>
        <w:bidi w:val="0"/>
        <w:spacing w:after="0" w:line="240" w:lineRule="auto"/>
        <w:ind w:left="630"/>
        <w:rPr>
          <w:rStyle w:val="hps"/>
          <w:rFonts w:cs="Times New Roman"/>
          <w:sz w:val="20"/>
          <w:szCs w:val="20"/>
        </w:rPr>
      </w:pPr>
      <w:proofErr w:type="spellStart"/>
      <w:proofErr w:type="gramStart"/>
      <w:r w:rsidRPr="00F66398">
        <w:rPr>
          <w:rFonts w:cs="Times New Roman"/>
          <w:sz w:val="20"/>
          <w:szCs w:val="20"/>
        </w:rPr>
        <w:t>Shakeri</w:t>
      </w:r>
      <w:proofErr w:type="spellEnd"/>
      <w:r w:rsidRPr="00F66398">
        <w:rPr>
          <w:rFonts w:cs="Times New Roman"/>
          <w:sz w:val="20"/>
          <w:szCs w:val="20"/>
        </w:rPr>
        <w:t xml:space="preserve"> J, </w:t>
      </w:r>
      <w:proofErr w:type="spellStart"/>
      <w:r w:rsidRPr="00F66398">
        <w:rPr>
          <w:rFonts w:cs="Times New Roman"/>
          <w:sz w:val="20"/>
          <w:szCs w:val="20"/>
        </w:rPr>
        <w:t>Parvizifard</w:t>
      </w:r>
      <w:proofErr w:type="spellEnd"/>
      <w:r w:rsidRPr="00F66398">
        <w:rPr>
          <w:rFonts w:cs="Times New Roman"/>
          <w:sz w:val="20"/>
          <w:szCs w:val="20"/>
        </w:rPr>
        <w:t xml:space="preserve"> AA, </w:t>
      </w:r>
      <w:proofErr w:type="spellStart"/>
      <w:r w:rsidRPr="00F66398">
        <w:rPr>
          <w:rFonts w:cs="Times New Roman"/>
          <w:sz w:val="20"/>
          <w:szCs w:val="20"/>
        </w:rPr>
        <w:t>Sadeghi</w:t>
      </w:r>
      <w:proofErr w:type="spellEnd"/>
      <w:r w:rsidRPr="00F66398">
        <w:rPr>
          <w:rFonts w:cs="Times New Roman"/>
          <w:sz w:val="20"/>
          <w:szCs w:val="20"/>
        </w:rPr>
        <w:t xml:space="preserve"> </w:t>
      </w:r>
      <w:proofErr w:type="spellStart"/>
      <w:r w:rsidRPr="00F66398">
        <w:rPr>
          <w:rFonts w:cs="Times New Roman"/>
          <w:sz w:val="20"/>
          <w:szCs w:val="20"/>
        </w:rPr>
        <w:t>KH</w:t>
      </w:r>
      <w:proofErr w:type="spellEnd"/>
      <w:r w:rsidRPr="00F66398">
        <w:rPr>
          <w:rFonts w:cs="Times New Roman"/>
          <w:sz w:val="20"/>
          <w:szCs w:val="20"/>
        </w:rPr>
        <w:t xml:space="preserve">, </w:t>
      </w:r>
      <w:proofErr w:type="spellStart"/>
      <w:r w:rsidRPr="00F66398">
        <w:rPr>
          <w:rFonts w:cs="Times New Roman"/>
          <w:sz w:val="20"/>
          <w:szCs w:val="20"/>
        </w:rPr>
        <w:t>Moradi</w:t>
      </w:r>
      <w:proofErr w:type="spellEnd"/>
      <w:r w:rsidRPr="00F66398">
        <w:rPr>
          <w:rFonts w:cs="Times New Roman"/>
          <w:sz w:val="20"/>
          <w:szCs w:val="20"/>
        </w:rPr>
        <w:t xml:space="preserve"> R. </w:t>
      </w:r>
      <w:r>
        <w:rPr>
          <w:rFonts w:cs="Times New Roman"/>
          <w:sz w:val="20"/>
          <w:szCs w:val="20"/>
        </w:rPr>
        <w:t>(</w:t>
      </w:r>
      <w:r w:rsidRPr="00F66398">
        <w:rPr>
          <w:rStyle w:val="hps"/>
          <w:rFonts w:cs="Times New Roman"/>
          <w:sz w:val="20"/>
          <w:szCs w:val="20"/>
        </w:rPr>
        <w:t>2006</w:t>
      </w:r>
      <w:r>
        <w:rPr>
          <w:rStyle w:val="hps"/>
          <w:rFonts w:cs="Times New Roman"/>
          <w:sz w:val="20"/>
          <w:szCs w:val="20"/>
        </w:rPr>
        <w:t>)</w:t>
      </w:r>
      <w:r w:rsidRPr="00F66398">
        <w:rPr>
          <w:rFonts w:cs="Times New Roman"/>
          <w:sz w:val="20"/>
          <w:szCs w:val="20"/>
        </w:rPr>
        <w:t xml:space="preserve"> [</w:t>
      </w:r>
      <w:r w:rsidRPr="00F66398">
        <w:rPr>
          <w:rFonts w:eastAsia="Times New Roman" w:cs="Times New Roman"/>
          <w:sz w:val="20"/>
          <w:szCs w:val="20"/>
        </w:rPr>
        <w:t>Personality traits, stress, coping strategies and religious attitudes among suicide attempters].</w:t>
      </w:r>
      <w:proofErr w:type="gramEnd"/>
      <w:r w:rsidRPr="00F66398">
        <w:rPr>
          <w:rFonts w:eastAsia="Times New Roman" w:cs="Times New Roman"/>
          <w:sz w:val="20"/>
          <w:szCs w:val="20"/>
        </w:rPr>
        <w:t xml:space="preserve"> J </w:t>
      </w:r>
      <w:proofErr w:type="spellStart"/>
      <w:r w:rsidRPr="00F66398">
        <w:rPr>
          <w:rStyle w:val="hps"/>
          <w:rFonts w:cs="Times New Roman"/>
          <w:sz w:val="20"/>
          <w:szCs w:val="20"/>
        </w:rPr>
        <w:t>Sci</w:t>
      </w:r>
      <w:proofErr w:type="spellEnd"/>
      <w:r w:rsidRPr="00F66398">
        <w:rPr>
          <w:rStyle w:val="hps"/>
          <w:rFonts w:cs="Times New Roman"/>
          <w:sz w:val="20"/>
          <w:szCs w:val="20"/>
        </w:rPr>
        <w:t xml:space="preserve"> Res </w:t>
      </w:r>
      <w:proofErr w:type="spellStart"/>
      <w:r w:rsidRPr="00F66398">
        <w:rPr>
          <w:rStyle w:val="hps"/>
          <w:rFonts w:cs="Times New Roman"/>
          <w:sz w:val="20"/>
          <w:szCs w:val="20"/>
        </w:rPr>
        <w:t>Behbood</w:t>
      </w:r>
      <w:proofErr w:type="spellEnd"/>
      <w:r w:rsidRPr="00F66398">
        <w:rPr>
          <w:rStyle w:val="hps"/>
          <w:rFonts w:cs="Times New Roman"/>
          <w:sz w:val="20"/>
          <w:szCs w:val="20"/>
        </w:rPr>
        <w:t>; 7: 43-51. (Persian)</w:t>
      </w:r>
    </w:p>
    <w:p w:rsidR="005E7607" w:rsidRPr="00F66398" w:rsidRDefault="005E7607" w:rsidP="002F1EF7">
      <w:pPr>
        <w:pStyle w:val="ListParagraph"/>
        <w:tabs>
          <w:tab w:val="left" w:pos="630"/>
        </w:tabs>
        <w:bidi w:val="0"/>
        <w:spacing w:after="0" w:line="240" w:lineRule="auto"/>
        <w:ind w:left="630"/>
        <w:rPr>
          <w:rFonts w:eastAsia="TimesNewRomanPSMT" w:cs="B Mitra"/>
          <w:sz w:val="20"/>
          <w:szCs w:val="24"/>
        </w:rPr>
      </w:pPr>
      <w:proofErr w:type="spellStart"/>
      <w:r w:rsidRPr="00F66398">
        <w:rPr>
          <w:rFonts w:eastAsia="TimesNewRomanPSMT" w:cs="B Mitra"/>
          <w:sz w:val="20"/>
          <w:szCs w:val="24"/>
        </w:rPr>
        <w:t>Thombs</w:t>
      </w:r>
      <w:proofErr w:type="spellEnd"/>
      <w:r w:rsidRPr="00F66398">
        <w:rPr>
          <w:rFonts w:eastAsia="TimesNewRomanPSMT" w:cs="B Mitra"/>
          <w:sz w:val="20"/>
          <w:szCs w:val="24"/>
        </w:rPr>
        <w:t xml:space="preserve"> BD, Notes LD, Lawrence JW. </w:t>
      </w:r>
      <w:r>
        <w:rPr>
          <w:rFonts w:eastAsia="TimesNewRomanPSMT" w:cs="B Mitra"/>
          <w:sz w:val="20"/>
          <w:szCs w:val="24"/>
        </w:rPr>
        <w:t>(</w:t>
      </w:r>
      <w:r w:rsidRPr="00F66398">
        <w:rPr>
          <w:rFonts w:eastAsia="TimesNewRomanPSMT" w:cs="B Mitra"/>
          <w:sz w:val="20"/>
          <w:szCs w:val="24"/>
        </w:rPr>
        <w:t>2008</w:t>
      </w:r>
      <w:r>
        <w:rPr>
          <w:rFonts w:eastAsia="TimesNewRomanPSMT" w:cs="B Mitra"/>
          <w:sz w:val="20"/>
          <w:szCs w:val="24"/>
        </w:rPr>
        <w:t xml:space="preserve">) </w:t>
      </w:r>
      <w:proofErr w:type="gramStart"/>
      <w:r w:rsidRPr="00F66398">
        <w:rPr>
          <w:rFonts w:eastAsia="TimesNewRomanPSMT" w:cs="B Mitra"/>
          <w:sz w:val="20"/>
          <w:szCs w:val="24"/>
        </w:rPr>
        <w:t>From</w:t>
      </w:r>
      <w:proofErr w:type="gramEnd"/>
      <w:r w:rsidRPr="00F66398">
        <w:rPr>
          <w:rFonts w:eastAsia="TimesNewRomanPSMT" w:cs="B Mitra"/>
          <w:sz w:val="20"/>
          <w:szCs w:val="24"/>
        </w:rPr>
        <w:t xml:space="preserve"> survival to socialization: a longitudinal study of body image in survivors of severe burn injury. J </w:t>
      </w:r>
      <w:proofErr w:type="spellStart"/>
      <w:r w:rsidRPr="00F66398">
        <w:rPr>
          <w:rFonts w:eastAsia="TimesNewRomanPSMT" w:cs="B Mitra"/>
          <w:sz w:val="20"/>
          <w:szCs w:val="24"/>
        </w:rPr>
        <w:t>Psychosoma</w:t>
      </w:r>
      <w:proofErr w:type="spellEnd"/>
      <w:r w:rsidRPr="00F66398">
        <w:rPr>
          <w:rFonts w:eastAsia="TimesNewRomanPSMT" w:cs="B Mitra"/>
          <w:sz w:val="20"/>
          <w:szCs w:val="24"/>
        </w:rPr>
        <w:t xml:space="preserve"> Res; 64: 205-212.</w:t>
      </w:r>
    </w:p>
    <w:p w:rsidR="005E7607" w:rsidRPr="00F66398" w:rsidRDefault="005E7607" w:rsidP="002F1EF7">
      <w:pPr>
        <w:pStyle w:val="ListParagraph"/>
        <w:tabs>
          <w:tab w:val="left" w:pos="630"/>
        </w:tabs>
        <w:bidi w:val="0"/>
        <w:spacing w:after="0" w:line="240" w:lineRule="auto"/>
        <w:ind w:left="630"/>
        <w:rPr>
          <w:rFonts w:cs="B Mitra"/>
          <w:sz w:val="20"/>
          <w:szCs w:val="24"/>
        </w:rPr>
      </w:pPr>
      <w:proofErr w:type="gramStart"/>
      <w:r w:rsidRPr="00F66398">
        <w:rPr>
          <w:rFonts w:cs="B Mitra"/>
          <w:sz w:val="20"/>
          <w:szCs w:val="24"/>
        </w:rPr>
        <w:t xml:space="preserve">Thornton B, </w:t>
      </w:r>
      <w:proofErr w:type="spellStart"/>
      <w:r w:rsidRPr="00F66398">
        <w:rPr>
          <w:rFonts w:cs="B Mitra"/>
          <w:sz w:val="20"/>
          <w:szCs w:val="24"/>
        </w:rPr>
        <w:t>Pickus</w:t>
      </w:r>
      <w:proofErr w:type="spellEnd"/>
      <w:r w:rsidRPr="00F66398">
        <w:rPr>
          <w:rFonts w:cs="B Mitra"/>
          <w:sz w:val="20"/>
          <w:szCs w:val="24"/>
        </w:rPr>
        <w:t xml:space="preserve"> J, Aldrich M. </w:t>
      </w:r>
      <w:r>
        <w:rPr>
          <w:rFonts w:cs="B Mitra"/>
          <w:sz w:val="20"/>
          <w:szCs w:val="24"/>
        </w:rPr>
        <w:t>(</w:t>
      </w:r>
      <w:r w:rsidRPr="00F66398">
        <w:rPr>
          <w:rFonts w:cs="B Mitra"/>
          <w:sz w:val="20"/>
          <w:szCs w:val="24"/>
        </w:rPr>
        <w:t>2005</w:t>
      </w:r>
      <w:r>
        <w:rPr>
          <w:rFonts w:cs="B Mitra"/>
          <w:sz w:val="20"/>
          <w:szCs w:val="24"/>
        </w:rPr>
        <w:t xml:space="preserve">) </w:t>
      </w:r>
      <w:r w:rsidRPr="00F66398">
        <w:rPr>
          <w:rFonts w:cs="B Mitra"/>
          <w:sz w:val="20"/>
          <w:szCs w:val="24"/>
        </w:rPr>
        <w:t>Ways of coping in relationship and achievement situations: Further consideration of gender and gender-role typing.</w:t>
      </w:r>
      <w:proofErr w:type="gramEnd"/>
      <w:r w:rsidRPr="00F66398">
        <w:rPr>
          <w:rFonts w:cs="B Mitra"/>
          <w:sz w:val="20"/>
          <w:szCs w:val="24"/>
        </w:rPr>
        <w:t xml:space="preserve"> J worry Affect Exp; 2: 60-70.</w:t>
      </w:r>
    </w:p>
    <w:p w:rsidR="005E7607" w:rsidRPr="00F66398" w:rsidRDefault="005E7607" w:rsidP="002F1EF7">
      <w:pPr>
        <w:pStyle w:val="ListParagraph"/>
        <w:tabs>
          <w:tab w:val="left" w:pos="630"/>
        </w:tabs>
        <w:bidi w:val="0"/>
        <w:spacing w:after="0" w:line="240" w:lineRule="auto"/>
        <w:ind w:left="630"/>
        <w:rPr>
          <w:rFonts w:cs="B Mitra"/>
          <w:sz w:val="20"/>
          <w:szCs w:val="24"/>
        </w:rPr>
      </w:pPr>
      <w:proofErr w:type="spellStart"/>
      <w:r w:rsidRPr="00F66398">
        <w:rPr>
          <w:rFonts w:cs="B Mitra"/>
          <w:sz w:val="20"/>
          <w:szCs w:val="24"/>
        </w:rPr>
        <w:t>Wildermuth</w:t>
      </w:r>
      <w:proofErr w:type="spellEnd"/>
      <w:r w:rsidRPr="00F66398">
        <w:rPr>
          <w:rFonts w:cs="B Mitra"/>
          <w:sz w:val="20"/>
          <w:szCs w:val="24"/>
        </w:rPr>
        <w:t xml:space="preserve"> AS. </w:t>
      </w:r>
      <w:proofErr w:type="gramStart"/>
      <w:r>
        <w:rPr>
          <w:rFonts w:cs="B Mitra"/>
          <w:sz w:val="20"/>
          <w:szCs w:val="24"/>
        </w:rPr>
        <w:t>(</w:t>
      </w:r>
      <w:r w:rsidRPr="00F66398">
        <w:rPr>
          <w:rFonts w:cs="B Mitra"/>
          <w:sz w:val="20"/>
          <w:szCs w:val="24"/>
        </w:rPr>
        <w:t>2008</w:t>
      </w:r>
      <w:r>
        <w:rPr>
          <w:rFonts w:cs="B Mitra"/>
          <w:sz w:val="20"/>
          <w:szCs w:val="24"/>
        </w:rPr>
        <w:t xml:space="preserve">) </w:t>
      </w:r>
      <w:r w:rsidRPr="00F66398">
        <w:rPr>
          <w:rFonts w:cs="B Mitra"/>
          <w:sz w:val="20"/>
          <w:szCs w:val="24"/>
        </w:rPr>
        <w:t>Cognitive behavior group therapy for adolescents with type 1 diabetes.</w:t>
      </w:r>
      <w:proofErr w:type="gramEnd"/>
      <w:r w:rsidRPr="00F66398">
        <w:rPr>
          <w:rFonts w:cs="B Mitra"/>
          <w:sz w:val="20"/>
          <w:szCs w:val="24"/>
        </w:rPr>
        <w:t xml:space="preserve"> Dissertation for Ph.D in Psychology; </w:t>
      </w:r>
      <w:proofErr w:type="gramStart"/>
      <w:r w:rsidRPr="00F66398">
        <w:rPr>
          <w:rFonts w:cs="B Mitra"/>
          <w:sz w:val="20"/>
          <w:szCs w:val="24"/>
        </w:rPr>
        <w:t>Regent  University</w:t>
      </w:r>
      <w:proofErr w:type="gramEnd"/>
      <w:r w:rsidRPr="00F66398">
        <w:rPr>
          <w:rFonts w:cs="B Mitra"/>
          <w:sz w:val="20"/>
          <w:szCs w:val="24"/>
        </w:rPr>
        <w:t>:. P. 225-229.</w:t>
      </w:r>
    </w:p>
    <w:p w:rsidR="00F66398" w:rsidRPr="00F66398" w:rsidRDefault="00F66398" w:rsidP="00F66398">
      <w:pPr>
        <w:spacing w:after="0" w:line="240" w:lineRule="auto"/>
        <w:jc w:val="both"/>
        <w:rPr>
          <w:rFonts w:asciiTheme="majorBidi" w:hAnsiTheme="majorBidi" w:cstheme="majorBidi"/>
          <w:sz w:val="20"/>
          <w:szCs w:val="20"/>
        </w:rPr>
      </w:pPr>
    </w:p>
    <w:p w:rsidR="00A237C3" w:rsidRDefault="00F97147" w:rsidP="00F66398">
      <w:pPr>
        <w:spacing w:after="0" w:line="240" w:lineRule="auto"/>
        <w:jc w:val="both"/>
        <w:rPr>
          <w:rFonts w:asciiTheme="majorBidi" w:hAnsiTheme="majorBidi" w:cstheme="majorBidi"/>
          <w:sz w:val="20"/>
          <w:szCs w:val="20"/>
        </w:rPr>
      </w:pPr>
      <w:r w:rsidRPr="00F66398">
        <w:rPr>
          <w:rFonts w:asciiTheme="majorBidi" w:hAnsiTheme="majorBidi" w:cstheme="majorBidi"/>
          <w:sz w:val="20"/>
          <w:szCs w:val="20"/>
        </w:rPr>
        <w:t xml:space="preserve"> </w:t>
      </w:r>
      <w:r w:rsidR="007D33B8" w:rsidRPr="00F66398">
        <w:rPr>
          <w:rFonts w:asciiTheme="majorBidi" w:hAnsiTheme="majorBidi" w:cstheme="majorBidi"/>
          <w:sz w:val="20"/>
          <w:szCs w:val="20"/>
        </w:rPr>
        <w:t xml:space="preserve"> </w:t>
      </w:r>
      <w:r w:rsidR="00A237C3" w:rsidRPr="00F66398">
        <w:rPr>
          <w:rFonts w:asciiTheme="majorBidi" w:hAnsiTheme="majorBidi" w:cstheme="majorBidi"/>
          <w:sz w:val="20"/>
          <w:szCs w:val="20"/>
        </w:rPr>
        <w:t xml:space="preserve"> </w:t>
      </w:r>
    </w:p>
    <w:p w:rsidR="00F66398" w:rsidRDefault="00F66398" w:rsidP="00F66398">
      <w:pPr>
        <w:spacing w:after="0" w:line="240" w:lineRule="auto"/>
        <w:jc w:val="both"/>
        <w:rPr>
          <w:rFonts w:asciiTheme="majorBidi" w:hAnsiTheme="majorBidi" w:cstheme="majorBidi"/>
          <w:sz w:val="20"/>
          <w:szCs w:val="20"/>
        </w:rPr>
      </w:pPr>
    </w:p>
    <w:p w:rsidR="00F66398" w:rsidRPr="00F66398" w:rsidRDefault="00F66398" w:rsidP="00F66398">
      <w:pPr>
        <w:spacing w:after="0" w:line="240" w:lineRule="auto"/>
        <w:jc w:val="both"/>
        <w:rPr>
          <w:rFonts w:asciiTheme="majorBidi" w:hAnsiTheme="majorBidi" w:cstheme="majorBidi"/>
          <w:sz w:val="20"/>
          <w:szCs w:val="20"/>
        </w:rPr>
      </w:pPr>
    </w:p>
    <w:sectPr w:rsidR="00F66398" w:rsidRPr="00F66398" w:rsidSect="00681A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212E3"/>
    <w:multiLevelType w:val="hybridMultilevel"/>
    <w:tmpl w:val="911A2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8234AF"/>
    <w:multiLevelType w:val="hybridMultilevel"/>
    <w:tmpl w:val="CB889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A76E6E"/>
    <w:multiLevelType w:val="hybridMultilevel"/>
    <w:tmpl w:val="D50C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18B7"/>
    <w:rsid w:val="00000816"/>
    <w:rsid w:val="00003EF9"/>
    <w:rsid w:val="000303B8"/>
    <w:rsid w:val="00040086"/>
    <w:rsid w:val="0007204F"/>
    <w:rsid w:val="00094425"/>
    <w:rsid w:val="00097BBC"/>
    <w:rsid w:val="000A6782"/>
    <w:rsid w:val="000B4B1A"/>
    <w:rsid w:val="000F6FA8"/>
    <w:rsid w:val="0011047D"/>
    <w:rsid w:val="00114358"/>
    <w:rsid w:val="00164D89"/>
    <w:rsid w:val="001703B7"/>
    <w:rsid w:val="001966BB"/>
    <w:rsid w:val="001F0510"/>
    <w:rsid w:val="001F43AD"/>
    <w:rsid w:val="001F7F07"/>
    <w:rsid w:val="002C557B"/>
    <w:rsid w:val="002E0835"/>
    <w:rsid w:val="002E0E4C"/>
    <w:rsid w:val="002F1EF7"/>
    <w:rsid w:val="00360686"/>
    <w:rsid w:val="003A562B"/>
    <w:rsid w:val="003C563A"/>
    <w:rsid w:val="00446A0A"/>
    <w:rsid w:val="00451D1C"/>
    <w:rsid w:val="004D11CB"/>
    <w:rsid w:val="004D40D6"/>
    <w:rsid w:val="00502C55"/>
    <w:rsid w:val="00522BD0"/>
    <w:rsid w:val="00533D5D"/>
    <w:rsid w:val="005661DC"/>
    <w:rsid w:val="005868CC"/>
    <w:rsid w:val="005A392D"/>
    <w:rsid w:val="005B0E90"/>
    <w:rsid w:val="005C135F"/>
    <w:rsid w:val="005E7607"/>
    <w:rsid w:val="006813A7"/>
    <w:rsid w:val="00681A0E"/>
    <w:rsid w:val="00683AF0"/>
    <w:rsid w:val="006B04CC"/>
    <w:rsid w:val="006C72CF"/>
    <w:rsid w:val="00756C2C"/>
    <w:rsid w:val="007D33B8"/>
    <w:rsid w:val="007E2CF3"/>
    <w:rsid w:val="00801EF4"/>
    <w:rsid w:val="00824726"/>
    <w:rsid w:val="00831BCD"/>
    <w:rsid w:val="00842C3F"/>
    <w:rsid w:val="00850EE4"/>
    <w:rsid w:val="008608A9"/>
    <w:rsid w:val="00873984"/>
    <w:rsid w:val="008924E9"/>
    <w:rsid w:val="008B07DB"/>
    <w:rsid w:val="00904406"/>
    <w:rsid w:val="009153B3"/>
    <w:rsid w:val="0091544D"/>
    <w:rsid w:val="00933028"/>
    <w:rsid w:val="00937639"/>
    <w:rsid w:val="009603FF"/>
    <w:rsid w:val="00973E5F"/>
    <w:rsid w:val="009A0A7B"/>
    <w:rsid w:val="009B0F3B"/>
    <w:rsid w:val="009B286E"/>
    <w:rsid w:val="009D5C32"/>
    <w:rsid w:val="009E1788"/>
    <w:rsid w:val="00A237C3"/>
    <w:rsid w:val="00A3360C"/>
    <w:rsid w:val="00A40B72"/>
    <w:rsid w:val="00A42BAC"/>
    <w:rsid w:val="00A459CE"/>
    <w:rsid w:val="00A66EEB"/>
    <w:rsid w:val="00B12AF2"/>
    <w:rsid w:val="00B154E9"/>
    <w:rsid w:val="00B40DEF"/>
    <w:rsid w:val="00B8701C"/>
    <w:rsid w:val="00BB63E6"/>
    <w:rsid w:val="00BD13C0"/>
    <w:rsid w:val="00BD1838"/>
    <w:rsid w:val="00BF0967"/>
    <w:rsid w:val="00C51381"/>
    <w:rsid w:val="00C56633"/>
    <w:rsid w:val="00C74D40"/>
    <w:rsid w:val="00CE18B7"/>
    <w:rsid w:val="00CE22A0"/>
    <w:rsid w:val="00D46D7A"/>
    <w:rsid w:val="00E44260"/>
    <w:rsid w:val="00E60148"/>
    <w:rsid w:val="00E611EA"/>
    <w:rsid w:val="00E8087C"/>
    <w:rsid w:val="00E96388"/>
    <w:rsid w:val="00EC3BB4"/>
    <w:rsid w:val="00ED2CD4"/>
    <w:rsid w:val="00EF12BE"/>
    <w:rsid w:val="00F04D8E"/>
    <w:rsid w:val="00F176A6"/>
    <w:rsid w:val="00F66398"/>
    <w:rsid w:val="00F67EF9"/>
    <w:rsid w:val="00F97147"/>
    <w:rsid w:val="00FC2468"/>
    <w:rsid w:val="00FC57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A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F66398"/>
  </w:style>
  <w:style w:type="paragraph" w:styleId="ListParagraph">
    <w:name w:val="List Paragraph"/>
    <w:basedOn w:val="Normal"/>
    <w:uiPriority w:val="34"/>
    <w:qFormat/>
    <w:rsid w:val="00F66398"/>
    <w:pPr>
      <w:bidi/>
      <w:spacing w:line="360" w:lineRule="auto"/>
      <w:ind w:left="720"/>
      <w:contextualSpacing/>
      <w:jc w:val="both"/>
    </w:pPr>
    <w:rPr>
      <w:rFonts w:ascii="Times New Roman" w:eastAsia="Calibri" w:hAnsi="Times New Roman" w:cs="B Nazanin"/>
      <w:sz w:val="24"/>
      <w:szCs w:val="28"/>
      <w:lang w:bidi="fa-IR"/>
    </w:rPr>
  </w:style>
  <w:style w:type="character" w:customStyle="1" w:styleId="shorttext">
    <w:name w:val="short_text"/>
    <w:rsid w:val="00F66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a.org/pubs/journals/cc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Diabolique</dc:creator>
  <cp:lastModifiedBy>m</cp:lastModifiedBy>
  <cp:revision>10</cp:revision>
  <dcterms:created xsi:type="dcterms:W3CDTF">2016-10-04T19:18:00Z</dcterms:created>
  <dcterms:modified xsi:type="dcterms:W3CDTF">2016-11-22T13:56:00Z</dcterms:modified>
</cp:coreProperties>
</file>