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6D732" w14:textId="77777777" w:rsidR="00037AFE" w:rsidRDefault="00037AFE" w:rsidP="006965C4">
      <w:pPr>
        <w:pStyle w:val="Cuerpo"/>
        <w:tabs>
          <w:tab w:val="right" w:pos="9404"/>
        </w:tabs>
        <w:spacing w:after="0" w:line="240" w:lineRule="auto"/>
        <w:jc w:val="center"/>
        <w:rPr>
          <w:rFonts w:ascii="Times New Roman" w:hAnsi="Times New Roman" w:cs="Times New Roman"/>
          <w:b/>
          <w:sz w:val="24"/>
          <w:szCs w:val="24"/>
        </w:rPr>
      </w:pPr>
      <w:r w:rsidRPr="006965C4">
        <w:rPr>
          <w:rFonts w:ascii="Times New Roman" w:hAnsi="Times New Roman" w:cs="Times New Roman"/>
          <w:b/>
          <w:sz w:val="24"/>
          <w:szCs w:val="24"/>
        </w:rPr>
        <w:t>Percepción del riesgo y estrategias de afrontamiento en población expuesta y no expuesta al riesgo de inundación</w:t>
      </w:r>
    </w:p>
    <w:p w14:paraId="326A8FC7" w14:textId="77777777" w:rsidR="00D920B2" w:rsidRDefault="00D920B2" w:rsidP="00D920B2">
      <w:pPr>
        <w:pStyle w:val="Sansinterligne"/>
        <w:jc w:val="both"/>
        <w:rPr>
          <w:b/>
          <w:lang w:val="es-CO"/>
        </w:rPr>
      </w:pPr>
    </w:p>
    <w:p w14:paraId="3D1A8D60" w14:textId="77777777" w:rsidR="00D920B2" w:rsidRPr="00D25B8B" w:rsidRDefault="00D920B2" w:rsidP="00D920B2">
      <w:pPr>
        <w:pStyle w:val="Sansinterligne"/>
        <w:jc w:val="both"/>
        <w:rPr>
          <w:b/>
          <w:lang w:val="es-CO"/>
        </w:rPr>
      </w:pPr>
      <w:r w:rsidRPr="00D25B8B">
        <w:rPr>
          <w:b/>
          <w:lang w:val="es-CO"/>
        </w:rPr>
        <w:t xml:space="preserve">Oscar Navarro </w:t>
      </w:r>
    </w:p>
    <w:p w14:paraId="3EAE6BAD" w14:textId="77777777" w:rsidR="00D920B2" w:rsidRPr="00BB61CA" w:rsidRDefault="00D920B2" w:rsidP="00D920B2">
      <w:pPr>
        <w:rPr>
          <w:lang w:val="es-ES"/>
        </w:rPr>
      </w:pPr>
      <w:r w:rsidRPr="00A07179">
        <w:rPr>
          <w:lang w:val="es-ES"/>
        </w:rPr>
        <w:t xml:space="preserve">Universidad de Nantes, Francia. </w:t>
      </w:r>
      <w:r w:rsidRPr="00835DF2">
        <w:rPr>
          <w:lang w:val="fr-FR"/>
        </w:rPr>
        <w:t>Laboratoire de Psychologie des Pays de la Loire - UPRES EA 4638</w:t>
      </w:r>
      <w:r>
        <w:rPr>
          <w:lang w:val="fr-FR"/>
        </w:rPr>
        <w:t xml:space="preserve">. </w:t>
      </w:r>
      <w:r w:rsidRPr="00EF7D5C">
        <w:rPr>
          <w:lang w:val="es-ES"/>
        </w:rPr>
        <w:t xml:space="preserve">BP 81227-44312 NANTES Cedex 3 – France. Tel.: +33 0 240141304. </w:t>
      </w:r>
      <w:r w:rsidRPr="00606370">
        <w:rPr>
          <w:u w:val="single"/>
          <w:lang w:val="es-ES"/>
        </w:rPr>
        <w:t>oscar.navarro@univ-nantes.fr</w:t>
      </w:r>
    </w:p>
    <w:p w14:paraId="4465907B" w14:textId="77777777" w:rsidR="00D920B2" w:rsidRDefault="00D920B2" w:rsidP="00D920B2">
      <w:pPr>
        <w:pStyle w:val="Sansinterligne"/>
        <w:jc w:val="both"/>
        <w:rPr>
          <w:b/>
          <w:lang w:val="es-ES"/>
        </w:rPr>
      </w:pPr>
      <w:r w:rsidRPr="00D25B8B">
        <w:rPr>
          <w:b/>
          <w:lang w:val="pt-PT"/>
        </w:rPr>
        <w:t>Liliana Chaves-Castañ</w:t>
      </w:r>
      <w:r w:rsidRPr="00D25B8B">
        <w:rPr>
          <w:b/>
          <w:lang w:val="es-ES"/>
        </w:rPr>
        <w:t>o</w:t>
      </w:r>
    </w:p>
    <w:p w14:paraId="0764A736" w14:textId="77777777" w:rsidR="0091792B" w:rsidRPr="00D25B8B" w:rsidRDefault="0091792B" w:rsidP="00D920B2">
      <w:pPr>
        <w:pStyle w:val="Sansinterligne"/>
        <w:jc w:val="both"/>
        <w:rPr>
          <w:b/>
          <w:lang w:val="es-ES"/>
        </w:rPr>
      </w:pPr>
      <w:r>
        <w:rPr>
          <w:b/>
          <w:lang w:val="es-ES"/>
        </w:rPr>
        <w:t>María Isabel Noreña Betancur</w:t>
      </w:r>
    </w:p>
    <w:p w14:paraId="3B6F8501" w14:textId="77777777" w:rsidR="00D920B2" w:rsidRPr="00BD59F5" w:rsidRDefault="00D920B2" w:rsidP="00D920B2">
      <w:pPr>
        <w:pStyle w:val="Sansinterligne"/>
        <w:jc w:val="both"/>
        <w:rPr>
          <w:rStyle w:val="Lienhypertexte"/>
          <w:b/>
          <w:u w:val="none"/>
          <w:lang w:val="es-ES"/>
        </w:rPr>
      </w:pPr>
      <w:r w:rsidRPr="00BD59F5">
        <w:rPr>
          <w:rStyle w:val="Lienhypertexte"/>
          <w:b/>
          <w:u w:val="none"/>
          <w:lang w:val="es-ES"/>
        </w:rPr>
        <w:t>Juan David Piñeres-Sus</w:t>
      </w:r>
    </w:p>
    <w:p w14:paraId="404E4EA8" w14:textId="77777777" w:rsidR="00D920B2" w:rsidRPr="00087815" w:rsidRDefault="00D920B2" w:rsidP="00D920B2">
      <w:pPr>
        <w:pStyle w:val="Cuerpo"/>
        <w:shd w:val="clear" w:color="auto" w:fill="FFFFFF"/>
        <w:spacing w:after="0" w:line="240" w:lineRule="auto"/>
        <w:rPr>
          <w:rFonts w:ascii="Times New Roman" w:hAnsi="Times New Roman" w:cs="Times New Roman"/>
          <w:b/>
          <w:sz w:val="24"/>
          <w:szCs w:val="24"/>
          <w:u w:val="single"/>
        </w:rPr>
      </w:pPr>
      <w:r w:rsidRPr="00CB7208">
        <w:rPr>
          <w:rFonts w:ascii="Times New Roman" w:hAnsi="Times New Roman" w:cs="Times New Roman"/>
          <w:sz w:val="24"/>
          <w:szCs w:val="24"/>
        </w:rPr>
        <w:t>Universidad de Antioquia, Colombia</w:t>
      </w:r>
      <w:r>
        <w:rPr>
          <w:rFonts w:ascii="Times New Roman" w:hAnsi="Times New Roman" w:cs="Times New Roman"/>
          <w:sz w:val="24"/>
          <w:szCs w:val="24"/>
        </w:rPr>
        <w:t>. Departamento de Psicología.</w:t>
      </w:r>
      <w:r w:rsidR="009F5AA2">
        <w:rPr>
          <w:rFonts w:ascii="Times New Roman" w:hAnsi="Times New Roman" w:cs="Times New Roman"/>
          <w:sz w:val="24"/>
          <w:szCs w:val="24"/>
        </w:rPr>
        <w:t xml:space="preserve"> </w:t>
      </w:r>
      <w:r w:rsidRPr="00927CED">
        <w:rPr>
          <w:rFonts w:ascii="Times New Roman" w:eastAsia="Times New Roman" w:hAnsi="Times New Roman" w:cs="Times New Roman"/>
          <w:sz w:val="24"/>
          <w:szCs w:val="24"/>
          <w:bdr w:val="none" w:sz="0" w:space="0" w:color="auto"/>
          <w:lang w:val="es-ES" w:eastAsia="es-ES"/>
        </w:rPr>
        <w:t xml:space="preserve">Calle 67 No. 53 </w:t>
      </w:r>
      <w:r>
        <w:rPr>
          <w:rFonts w:ascii="Times New Roman" w:eastAsia="Times New Roman" w:hAnsi="Times New Roman" w:cs="Times New Roman"/>
          <w:sz w:val="24"/>
          <w:szCs w:val="24"/>
          <w:bdr w:val="none" w:sz="0" w:space="0" w:color="auto"/>
          <w:lang w:val="es-ES" w:eastAsia="es-ES"/>
        </w:rPr>
        <w:t>–</w:t>
      </w:r>
      <w:r w:rsidRPr="00927CED">
        <w:rPr>
          <w:rFonts w:ascii="Times New Roman" w:eastAsia="Times New Roman" w:hAnsi="Times New Roman" w:cs="Times New Roman"/>
          <w:sz w:val="24"/>
          <w:szCs w:val="24"/>
          <w:bdr w:val="none" w:sz="0" w:space="0" w:color="auto"/>
          <w:lang w:val="es-ES" w:eastAsia="es-ES"/>
        </w:rPr>
        <w:t xml:space="preserve"> 108</w:t>
      </w:r>
      <w:r>
        <w:rPr>
          <w:rFonts w:ascii="Times New Roman" w:eastAsia="Times New Roman" w:hAnsi="Times New Roman" w:cs="Times New Roman"/>
          <w:sz w:val="24"/>
          <w:szCs w:val="24"/>
          <w:bdr w:val="none" w:sz="0" w:space="0" w:color="auto"/>
          <w:lang w:val="es-ES" w:eastAsia="es-ES"/>
        </w:rPr>
        <w:t xml:space="preserve">, </w:t>
      </w:r>
      <w:r w:rsidRPr="00927CED">
        <w:rPr>
          <w:rFonts w:ascii="Times New Roman" w:eastAsia="Times New Roman" w:hAnsi="Times New Roman" w:cs="Times New Roman"/>
          <w:sz w:val="24"/>
          <w:szCs w:val="24"/>
          <w:bdr w:val="none" w:sz="0" w:space="0" w:color="auto"/>
          <w:lang w:val="es-ES" w:eastAsia="es-ES"/>
        </w:rPr>
        <w:t>Medellín, Antioquia</w:t>
      </w:r>
      <w:r>
        <w:rPr>
          <w:rFonts w:ascii="Times New Roman" w:eastAsia="Times New Roman" w:hAnsi="Times New Roman" w:cs="Times New Roman"/>
          <w:sz w:val="24"/>
          <w:szCs w:val="24"/>
          <w:bdr w:val="none" w:sz="0" w:space="0" w:color="auto"/>
          <w:lang w:val="es-ES" w:eastAsia="es-ES"/>
        </w:rPr>
        <w:t>. Tel.: +57</w:t>
      </w:r>
      <w:r w:rsidRPr="00927CED">
        <w:rPr>
          <w:rFonts w:ascii="Times New Roman" w:eastAsia="Times New Roman" w:hAnsi="Times New Roman" w:cs="Times New Roman"/>
          <w:sz w:val="24"/>
          <w:szCs w:val="24"/>
          <w:bdr w:val="none" w:sz="0" w:space="0" w:color="auto"/>
          <w:lang w:val="es-ES" w:eastAsia="es-ES"/>
        </w:rPr>
        <w:t>(4) 219 57</w:t>
      </w:r>
      <w:r w:rsidR="00096C9D">
        <w:rPr>
          <w:rFonts w:ascii="Times New Roman" w:eastAsia="Times New Roman" w:hAnsi="Times New Roman" w:cs="Times New Roman"/>
          <w:sz w:val="24"/>
          <w:szCs w:val="24"/>
          <w:bdr w:val="none" w:sz="0" w:space="0" w:color="auto"/>
          <w:lang w:val="es-ES" w:eastAsia="es-ES"/>
        </w:rPr>
        <w:t>5</w:t>
      </w:r>
      <w:r>
        <w:rPr>
          <w:rFonts w:ascii="Times New Roman" w:eastAsia="Times New Roman" w:hAnsi="Times New Roman" w:cs="Times New Roman"/>
          <w:sz w:val="24"/>
          <w:szCs w:val="24"/>
          <w:bdr w:val="none" w:sz="0" w:space="0" w:color="auto"/>
          <w:lang w:val="es-ES" w:eastAsia="es-ES"/>
        </w:rPr>
        <w:t>3.</w:t>
      </w:r>
    </w:p>
    <w:p w14:paraId="172C4DF6" w14:textId="77777777" w:rsidR="00D920B2" w:rsidRPr="006965C4" w:rsidRDefault="00D920B2" w:rsidP="006965C4">
      <w:pPr>
        <w:pStyle w:val="Cuerpo"/>
        <w:tabs>
          <w:tab w:val="right" w:pos="9404"/>
        </w:tabs>
        <w:spacing w:after="0" w:line="240" w:lineRule="auto"/>
        <w:jc w:val="center"/>
        <w:rPr>
          <w:rFonts w:ascii="Times New Roman" w:hAnsi="Times New Roman" w:cs="Times New Roman"/>
          <w:b/>
          <w:sz w:val="24"/>
          <w:szCs w:val="24"/>
        </w:rPr>
      </w:pPr>
    </w:p>
    <w:p w14:paraId="19B7A26C" w14:textId="77777777" w:rsidR="00A628BD" w:rsidRDefault="00A628BD" w:rsidP="006965C4">
      <w:pPr>
        <w:pStyle w:val="Cuerpo"/>
        <w:spacing w:after="0" w:line="240" w:lineRule="auto"/>
        <w:jc w:val="center"/>
        <w:rPr>
          <w:rFonts w:ascii="Times New Roman" w:hAnsi="Times New Roman" w:cs="Times New Roman"/>
          <w:b/>
          <w:color w:val="auto"/>
          <w:sz w:val="24"/>
          <w:szCs w:val="24"/>
          <w:u w:color="222222"/>
        </w:rPr>
      </w:pPr>
    </w:p>
    <w:p w14:paraId="34DECAB9" w14:textId="77777777" w:rsidR="00A628BD" w:rsidRPr="00CB7208" w:rsidRDefault="00A628BD" w:rsidP="006965C4">
      <w:pPr>
        <w:pStyle w:val="Cuerpo"/>
        <w:shd w:val="clear" w:color="auto" w:fill="FFFFFF"/>
        <w:spacing w:after="0" w:line="240" w:lineRule="auto"/>
        <w:jc w:val="both"/>
        <w:rPr>
          <w:rFonts w:ascii="Times New Roman" w:eastAsia="Times New Roman" w:hAnsi="Times New Roman" w:cs="Times New Roman"/>
          <w:b/>
          <w:sz w:val="24"/>
          <w:szCs w:val="24"/>
        </w:rPr>
      </w:pPr>
      <w:r w:rsidRPr="00CB7208">
        <w:rPr>
          <w:rFonts w:ascii="Times New Roman" w:hAnsi="Times New Roman" w:cs="Times New Roman"/>
          <w:b/>
          <w:sz w:val="24"/>
          <w:szCs w:val="24"/>
        </w:rPr>
        <w:t xml:space="preserve">Resumen </w:t>
      </w:r>
    </w:p>
    <w:p w14:paraId="6213EB9A" w14:textId="77777777" w:rsidR="00A628BD" w:rsidRPr="00CB7208" w:rsidRDefault="00A628BD" w:rsidP="006965C4">
      <w:pPr>
        <w:pStyle w:val="Cuerpo"/>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Este estudio busca poner en relación la percepción del riesgo</w:t>
      </w:r>
      <w:r w:rsidR="00843898">
        <w:rPr>
          <w:rFonts w:ascii="Times New Roman" w:eastAsia="Times New Roman" w:hAnsi="Times New Roman" w:cs="Times New Roman"/>
          <w:sz w:val="24"/>
          <w:szCs w:val="24"/>
        </w:rPr>
        <w:t>, la implicación personal</w:t>
      </w:r>
      <w:r>
        <w:rPr>
          <w:rFonts w:ascii="Times New Roman" w:eastAsia="Times New Roman" w:hAnsi="Times New Roman" w:cs="Times New Roman"/>
          <w:sz w:val="24"/>
          <w:szCs w:val="24"/>
        </w:rPr>
        <w:t xml:space="preserve"> y las estrategias de afrontamiento </w:t>
      </w:r>
      <w:r w:rsidR="00843898">
        <w:rPr>
          <w:rFonts w:ascii="Times New Roman" w:eastAsia="Times New Roman" w:hAnsi="Times New Roman" w:cs="Times New Roman"/>
          <w:sz w:val="24"/>
          <w:szCs w:val="24"/>
        </w:rPr>
        <w:t xml:space="preserve">frente a la amenaza de </w:t>
      </w:r>
      <w:r>
        <w:rPr>
          <w:rFonts w:ascii="Times New Roman" w:eastAsia="Times New Roman" w:hAnsi="Times New Roman" w:cs="Times New Roman"/>
          <w:sz w:val="24"/>
          <w:szCs w:val="24"/>
        </w:rPr>
        <w:t xml:space="preserve">inundación, comparando una población expuesta y </w:t>
      </w:r>
      <w:r w:rsidR="00F97835">
        <w:rPr>
          <w:rFonts w:ascii="Times New Roman" w:eastAsia="Times New Roman" w:hAnsi="Times New Roman" w:cs="Times New Roman"/>
          <w:sz w:val="24"/>
          <w:szCs w:val="24"/>
        </w:rPr>
        <w:t>no expuesta</w:t>
      </w:r>
      <w:r>
        <w:rPr>
          <w:rFonts w:ascii="Times New Roman" w:eastAsia="Times New Roman" w:hAnsi="Times New Roman" w:cs="Times New Roman"/>
          <w:sz w:val="24"/>
          <w:szCs w:val="24"/>
        </w:rPr>
        <w:t xml:space="preserve">. Se encontró </w:t>
      </w:r>
      <w:r w:rsidR="00672EBC">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los expuestos a la inundación tienen un</w:t>
      </w:r>
      <w:r w:rsidR="00843898">
        <w:rPr>
          <w:rFonts w:ascii="Times New Roman" w:eastAsia="Times New Roman" w:hAnsi="Times New Roman" w:cs="Times New Roman"/>
          <w:sz w:val="24"/>
          <w:szCs w:val="24"/>
        </w:rPr>
        <w:t xml:space="preserve"> mayor conocimiento del riesgo,</w:t>
      </w:r>
      <w:r>
        <w:rPr>
          <w:rFonts w:ascii="Times New Roman" w:eastAsia="Times New Roman" w:hAnsi="Times New Roman" w:cs="Times New Roman"/>
          <w:sz w:val="24"/>
          <w:szCs w:val="24"/>
        </w:rPr>
        <w:t xml:space="preserve"> un mayor temor a ser afectados</w:t>
      </w:r>
      <w:r w:rsidR="00843898">
        <w:rPr>
          <w:rFonts w:ascii="Times New Roman" w:eastAsia="Times New Roman" w:hAnsi="Times New Roman" w:cs="Times New Roman"/>
          <w:sz w:val="24"/>
          <w:szCs w:val="24"/>
        </w:rPr>
        <w:t xml:space="preserve"> y elaboran estrategias de afrontamiento activ</w:t>
      </w:r>
      <w:r w:rsidR="00843898" w:rsidRPr="009F5AA2">
        <w:rPr>
          <w:rFonts w:ascii="Times New Roman" w:eastAsia="Times New Roman" w:hAnsi="Times New Roman" w:cs="Times New Roman"/>
          <w:color w:val="auto"/>
          <w:sz w:val="24"/>
          <w:szCs w:val="24"/>
        </w:rPr>
        <w:t xml:space="preserve">as </w:t>
      </w:r>
      <w:r w:rsidR="00096C9D" w:rsidRPr="009F5AA2">
        <w:rPr>
          <w:rFonts w:ascii="Times New Roman" w:eastAsia="Times New Roman" w:hAnsi="Times New Roman" w:cs="Times New Roman"/>
          <w:color w:val="auto"/>
          <w:sz w:val="24"/>
          <w:szCs w:val="24"/>
        </w:rPr>
        <w:t>en comparación con los</w:t>
      </w:r>
      <w:r w:rsidR="00096C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expuestos. Al interior de la categoría de expuestos al riesgo se encuentran diferencias entre aquellos que han </w:t>
      </w:r>
      <w:r w:rsidR="00843898">
        <w:rPr>
          <w:rFonts w:ascii="Times New Roman" w:eastAsia="Times New Roman" w:hAnsi="Times New Roman" w:cs="Times New Roman"/>
          <w:sz w:val="24"/>
          <w:szCs w:val="24"/>
        </w:rPr>
        <w:t xml:space="preserve">experimentado un evento de inundación </w:t>
      </w:r>
      <w:r>
        <w:rPr>
          <w:rFonts w:ascii="Times New Roman" w:eastAsia="Times New Roman" w:hAnsi="Times New Roman" w:cs="Times New Roman"/>
          <w:sz w:val="24"/>
          <w:szCs w:val="24"/>
        </w:rPr>
        <w:t>y</w:t>
      </w:r>
      <w:r w:rsidR="00843898">
        <w:rPr>
          <w:rFonts w:ascii="Times New Roman" w:eastAsia="Times New Roman" w:hAnsi="Times New Roman" w:cs="Times New Roman"/>
          <w:sz w:val="24"/>
          <w:szCs w:val="24"/>
        </w:rPr>
        <w:t xml:space="preserve"> aquellos que no, en el sentido que los primeros presentan un mayor nivel de percepción de riesgo y de implicación personal. F</w:t>
      </w:r>
      <w:r w:rsidR="00521919">
        <w:rPr>
          <w:rFonts w:ascii="Times New Roman" w:eastAsia="Times New Roman" w:hAnsi="Times New Roman" w:cs="Times New Roman"/>
          <w:sz w:val="24"/>
          <w:szCs w:val="24"/>
        </w:rPr>
        <w:t>inalmente, se confirmó</w:t>
      </w:r>
      <w:r w:rsidR="00843898">
        <w:rPr>
          <w:rFonts w:ascii="Times New Roman" w:eastAsia="Times New Roman" w:hAnsi="Times New Roman" w:cs="Times New Roman"/>
          <w:sz w:val="24"/>
          <w:szCs w:val="24"/>
        </w:rPr>
        <w:t xml:space="preserve"> el rol mediador de la variable implicación personal entre la percepción del riesgo y estrategia de afrontamiento activo</w:t>
      </w:r>
      <w:r>
        <w:rPr>
          <w:rFonts w:ascii="Times New Roman" w:eastAsia="Times New Roman" w:hAnsi="Times New Roman" w:cs="Times New Roman"/>
          <w:sz w:val="24"/>
          <w:szCs w:val="24"/>
        </w:rPr>
        <w:t xml:space="preserve">.  </w:t>
      </w:r>
    </w:p>
    <w:p w14:paraId="31426F54" w14:textId="77777777" w:rsidR="00A628BD" w:rsidRDefault="00A628BD" w:rsidP="006965C4">
      <w:pPr>
        <w:pStyle w:val="Cuerpo"/>
        <w:shd w:val="clear" w:color="auto" w:fill="FFFFFF"/>
        <w:spacing w:after="0" w:line="240" w:lineRule="auto"/>
        <w:ind w:firstLine="708"/>
        <w:rPr>
          <w:rFonts w:ascii="Times New Roman" w:hAnsi="Times New Roman" w:cs="Times New Roman"/>
          <w:sz w:val="24"/>
          <w:szCs w:val="24"/>
        </w:rPr>
      </w:pPr>
      <w:r w:rsidRPr="007769DD">
        <w:rPr>
          <w:rFonts w:ascii="Times New Roman" w:hAnsi="Times New Roman" w:cs="Times New Roman"/>
          <w:i/>
          <w:sz w:val="24"/>
          <w:szCs w:val="24"/>
        </w:rPr>
        <w:t>Palabras clave</w:t>
      </w:r>
      <w:r w:rsidRPr="007769DD">
        <w:rPr>
          <w:rFonts w:ascii="Times New Roman" w:hAnsi="Times New Roman" w:cs="Times New Roman"/>
          <w:sz w:val="24"/>
          <w:szCs w:val="24"/>
        </w:rPr>
        <w:t>:</w:t>
      </w:r>
      <w:r w:rsidR="00236EAA">
        <w:rPr>
          <w:rFonts w:ascii="Times New Roman" w:hAnsi="Times New Roman" w:cs="Times New Roman"/>
          <w:sz w:val="24"/>
          <w:szCs w:val="24"/>
        </w:rPr>
        <w:t xml:space="preserve"> I</w:t>
      </w:r>
      <w:r w:rsidRPr="00CB7208">
        <w:rPr>
          <w:rFonts w:ascii="Times New Roman" w:hAnsi="Times New Roman" w:cs="Times New Roman"/>
          <w:sz w:val="24"/>
          <w:szCs w:val="24"/>
        </w:rPr>
        <w:t xml:space="preserve">nundación, </w:t>
      </w:r>
      <w:r w:rsidR="00236EAA">
        <w:rPr>
          <w:rFonts w:ascii="Times New Roman" w:hAnsi="Times New Roman" w:cs="Times New Roman"/>
          <w:sz w:val="24"/>
          <w:szCs w:val="24"/>
        </w:rPr>
        <w:t>P</w:t>
      </w:r>
      <w:r w:rsidRPr="00CB7208">
        <w:rPr>
          <w:rFonts w:ascii="Times New Roman" w:hAnsi="Times New Roman" w:cs="Times New Roman"/>
          <w:sz w:val="24"/>
          <w:szCs w:val="24"/>
        </w:rPr>
        <w:t xml:space="preserve">ercepción del riesgo, </w:t>
      </w:r>
      <w:r w:rsidR="00236EAA">
        <w:rPr>
          <w:rFonts w:ascii="Times New Roman" w:hAnsi="Times New Roman" w:cs="Times New Roman"/>
          <w:sz w:val="24"/>
          <w:szCs w:val="24"/>
        </w:rPr>
        <w:t>E</w:t>
      </w:r>
      <w:r>
        <w:rPr>
          <w:rFonts w:ascii="Times New Roman" w:hAnsi="Times New Roman" w:cs="Times New Roman"/>
          <w:sz w:val="24"/>
          <w:szCs w:val="24"/>
        </w:rPr>
        <w:t xml:space="preserve">strategias de afrontamiento, </w:t>
      </w:r>
      <w:r w:rsidR="00556856">
        <w:rPr>
          <w:rFonts w:ascii="Times New Roman" w:hAnsi="Times New Roman" w:cs="Times New Roman"/>
          <w:sz w:val="24"/>
          <w:szCs w:val="24"/>
        </w:rPr>
        <w:t>E</w:t>
      </w:r>
      <w:r>
        <w:rPr>
          <w:rFonts w:ascii="Times New Roman" w:hAnsi="Times New Roman" w:cs="Times New Roman"/>
          <w:sz w:val="24"/>
          <w:szCs w:val="24"/>
        </w:rPr>
        <w:t>xposición al riesgo</w:t>
      </w:r>
    </w:p>
    <w:p w14:paraId="5CB5B112" w14:textId="77777777" w:rsidR="006965C4" w:rsidRPr="00D920B2" w:rsidRDefault="006965C4" w:rsidP="006965C4">
      <w:pPr>
        <w:pStyle w:val="Cuerpo"/>
        <w:spacing w:after="0" w:line="240" w:lineRule="auto"/>
        <w:jc w:val="center"/>
        <w:rPr>
          <w:rFonts w:ascii="Times New Roman" w:hAnsi="Times New Roman" w:cs="Times New Roman"/>
          <w:b/>
          <w:color w:val="auto"/>
          <w:sz w:val="24"/>
          <w:szCs w:val="24"/>
          <w:u w:color="222222"/>
          <w:lang w:val="es-ES"/>
        </w:rPr>
      </w:pPr>
    </w:p>
    <w:p w14:paraId="4156EB49" w14:textId="77777777" w:rsidR="006965C4" w:rsidRPr="00D920B2" w:rsidRDefault="006965C4" w:rsidP="006965C4">
      <w:pPr>
        <w:pStyle w:val="Cuerpo"/>
        <w:spacing w:after="0" w:line="240" w:lineRule="auto"/>
        <w:jc w:val="center"/>
        <w:rPr>
          <w:rFonts w:ascii="Times New Roman" w:hAnsi="Times New Roman" w:cs="Times New Roman"/>
          <w:b/>
          <w:color w:val="auto"/>
          <w:sz w:val="24"/>
          <w:szCs w:val="24"/>
          <w:u w:color="222222"/>
          <w:lang w:val="es-ES"/>
        </w:rPr>
      </w:pPr>
    </w:p>
    <w:p w14:paraId="3E8D3100" w14:textId="77777777" w:rsidR="00A628BD" w:rsidRPr="00BB0A8A" w:rsidRDefault="00A628BD" w:rsidP="006965C4">
      <w:pPr>
        <w:pStyle w:val="Cuerpo"/>
        <w:spacing w:after="0" w:line="240" w:lineRule="auto"/>
        <w:jc w:val="center"/>
        <w:rPr>
          <w:rFonts w:ascii="Times New Roman" w:eastAsia="Arial" w:hAnsi="Times New Roman" w:cs="Times New Roman"/>
          <w:b/>
          <w:color w:val="auto"/>
          <w:sz w:val="24"/>
          <w:szCs w:val="24"/>
          <w:u w:color="222222"/>
          <w:lang w:val="en-US"/>
        </w:rPr>
      </w:pPr>
      <w:r w:rsidRPr="00BB0A8A">
        <w:rPr>
          <w:rFonts w:ascii="Times New Roman" w:hAnsi="Times New Roman" w:cs="Times New Roman"/>
          <w:b/>
          <w:color w:val="auto"/>
          <w:sz w:val="24"/>
          <w:szCs w:val="24"/>
          <w:u w:color="222222"/>
          <w:lang w:val="en-US"/>
        </w:rPr>
        <w:t xml:space="preserve">Risk perception and coping strategies in population exposed </w:t>
      </w:r>
      <w:r w:rsidRPr="00BB0A8A">
        <w:rPr>
          <w:rStyle w:val="hps"/>
          <w:rFonts w:ascii="Times New Roman" w:hAnsi="Times New Roman" w:cs="Times New Roman"/>
          <w:b/>
          <w:sz w:val="24"/>
          <w:szCs w:val="24"/>
          <w:lang w:val="en-US"/>
        </w:rPr>
        <w:t>and</w:t>
      </w:r>
      <w:r w:rsidR="00395F60">
        <w:rPr>
          <w:rStyle w:val="hps"/>
          <w:rFonts w:ascii="Times New Roman" w:hAnsi="Times New Roman" w:cs="Times New Roman"/>
          <w:b/>
          <w:sz w:val="24"/>
          <w:szCs w:val="24"/>
          <w:lang w:val="en-US"/>
        </w:rPr>
        <w:t xml:space="preserve"> </w:t>
      </w:r>
      <w:r w:rsidRPr="00BB0A8A">
        <w:rPr>
          <w:rStyle w:val="hps"/>
          <w:rFonts w:ascii="Times New Roman" w:hAnsi="Times New Roman" w:cs="Times New Roman"/>
          <w:b/>
          <w:sz w:val="24"/>
          <w:szCs w:val="24"/>
          <w:lang w:val="en-US"/>
        </w:rPr>
        <w:t xml:space="preserve">not exposed </w:t>
      </w:r>
      <w:r w:rsidRPr="00BB0A8A">
        <w:rPr>
          <w:rFonts w:ascii="Times New Roman" w:hAnsi="Times New Roman" w:cs="Times New Roman"/>
          <w:b/>
          <w:color w:val="auto"/>
          <w:sz w:val="24"/>
          <w:szCs w:val="24"/>
          <w:u w:color="222222"/>
          <w:lang w:val="en-US"/>
        </w:rPr>
        <w:t>to flooding</w:t>
      </w:r>
      <w:r w:rsidR="001B0BE6" w:rsidRPr="00BB0A8A">
        <w:rPr>
          <w:rFonts w:ascii="Times New Roman" w:hAnsi="Times New Roman" w:cs="Times New Roman"/>
          <w:b/>
          <w:color w:val="auto"/>
          <w:sz w:val="24"/>
          <w:szCs w:val="24"/>
          <w:u w:color="222222"/>
          <w:lang w:val="en-US"/>
        </w:rPr>
        <w:t xml:space="preserve"> risk</w:t>
      </w:r>
    </w:p>
    <w:p w14:paraId="499DB2E7" w14:textId="77777777" w:rsidR="00A628BD" w:rsidRPr="00BB0A8A" w:rsidRDefault="00A628BD" w:rsidP="006965C4">
      <w:pPr>
        <w:pStyle w:val="Cuerpo"/>
        <w:spacing w:after="0" w:line="240" w:lineRule="auto"/>
        <w:jc w:val="both"/>
        <w:rPr>
          <w:rFonts w:ascii="Times New Roman" w:hAnsi="Times New Roman" w:cs="Times New Roman"/>
          <w:b/>
          <w:sz w:val="24"/>
          <w:szCs w:val="24"/>
          <w:lang w:val="en-US"/>
        </w:rPr>
      </w:pPr>
    </w:p>
    <w:p w14:paraId="41E522F5" w14:textId="77777777" w:rsidR="00A628BD" w:rsidRPr="00BB0A8A" w:rsidRDefault="00A628BD" w:rsidP="006965C4">
      <w:pPr>
        <w:pStyle w:val="Cuerpo"/>
        <w:spacing w:after="0" w:line="240" w:lineRule="auto"/>
        <w:jc w:val="both"/>
        <w:rPr>
          <w:rFonts w:ascii="Times New Roman" w:hAnsi="Times New Roman" w:cs="Times New Roman"/>
          <w:b/>
          <w:sz w:val="24"/>
          <w:szCs w:val="24"/>
          <w:lang w:val="en-US"/>
        </w:rPr>
      </w:pPr>
      <w:r w:rsidRPr="00BB0A8A">
        <w:rPr>
          <w:rFonts w:ascii="Times New Roman" w:hAnsi="Times New Roman" w:cs="Times New Roman"/>
          <w:b/>
          <w:sz w:val="24"/>
          <w:szCs w:val="24"/>
          <w:lang w:val="en-US"/>
        </w:rPr>
        <w:t>Abstract</w:t>
      </w:r>
    </w:p>
    <w:p w14:paraId="0E7ADF15" w14:textId="77777777" w:rsidR="00A628BD" w:rsidRDefault="00A628BD" w:rsidP="006965C4">
      <w:pPr>
        <w:pStyle w:val="Cuerpo"/>
        <w:spacing w:after="0" w:line="240" w:lineRule="auto"/>
        <w:rPr>
          <w:rStyle w:val="hps"/>
          <w:rFonts w:ascii="Times New Roman" w:hAnsi="Times New Roman" w:cs="Times New Roman"/>
          <w:sz w:val="24"/>
          <w:szCs w:val="24"/>
          <w:lang w:val="en-US"/>
        </w:rPr>
      </w:pPr>
      <w:r w:rsidRPr="00BB0A8A">
        <w:rPr>
          <w:rStyle w:val="hps"/>
          <w:rFonts w:ascii="Times New Roman" w:hAnsi="Times New Roman" w:cs="Times New Roman"/>
          <w:sz w:val="24"/>
          <w:szCs w:val="24"/>
          <w:lang w:val="en-US"/>
        </w:rPr>
        <w:t xml:space="preserve">This study </w:t>
      </w:r>
      <w:r w:rsidR="00395F60" w:rsidRPr="00BB0A8A">
        <w:rPr>
          <w:rStyle w:val="hps"/>
          <w:rFonts w:ascii="Times New Roman" w:hAnsi="Times New Roman" w:cs="Times New Roman"/>
          <w:sz w:val="24"/>
          <w:szCs w:val="24"/>
          <w:lang w:val="en-US"/>
        </w:rPr>
        <w:t>seeks to</w:t>
      </w:r>
      <w:r w:rsidRPr="00BB0A8A">
        <w:rPr>
          <w:rStyle w:val="hps"/>
          <w:rFonts w:ascii="Times New Roman" w:hAnsi="Times New Roman" w:cs="Times New Roman"/>
          <w:sz w:val="24"/>
          <w:szCs w:val="24"/>
          <w:lang w:val="en-US"/>
        </w:rPr>
        <w:t xml:space="preserve"> </w:t>
      </w:r>
      <w:r w:rsidR="00395F60" w:rsidRPr="00BB0A8A">
        <w:rPr>
          <w:rStyle w:val="hps"/>
          <w:rFonts w:ascii="Times New Roman" w:hAnsi="Times New Roman" w:cs="Times New Roman"/>
          <w:sz w:val="24"/>
          <w:szCs w:val="24"/>
          <w:lang w:val="en-US"/>
        </w:rPr>
        <w:t>link risk</w:t>
      </w:r>
      <w:r w:rsidRPr="00BB0A8A">
        <w:rPr>
          <w:rStyle w:val="hps"/>
          <w:rFonts w:ascii="Times New Roman" w:hAnsi="Times New Roman" w:cs="Times New Roman"/>
          <w:sz w:val="24"/>
          <w:szCs w:val="24"/>
          <w:lang w:val="en-US"/>
        </w:rPr>
        <w:t xml:space="preserve"> perception</w:t>
      </w:r>
      <w:r w:rsidRPr="00BB0A8A">
        <w:rPr>
          <w:rFonts w:ascii="Times New Roman" w:hAnsi="Times New Roman" w:cs="Times New Roman"/>
          <w:sz w:val="24"/>
          <w:szCs w:val="24"/>
          <w:lang w:val="en-US"/>
        </w:rPr>
        <w:t xml:space="preserve"> with </w:t>
      </w:r>
      <w:r w:rsidR="002718AC">
        <w:rPr>
          <w:rFonts w:ascii="Times New Roman" w:hAnsi="Times New Roman" w:cs="Times New Roman"/>
          <w:sz w:val="24"/>
          <w:szCs w:val="24"/>
          <w:lang w:val="en-US"/>
        </w:rPr>
        <w:t xml:space="preserve">personal involvement and </w:t>
      </w:r>
      <w:r w:rsidRPr="00BB0A8A">
        <w:rPr>
          <w:rStyle w:val="hps"/>
          <w:rFonts w:ascii="Times New Roman" w:hAnsi="Times New Roman" w:cs="Times New Roman"/>
          <w:sz w:val="24"/>
          <w:szCs w:val="24"/>
          <w:lang w:val="en-US"/>
        </w:rPr>
        <w:t>coping strategies</w:t>
      </w:r>
      <w:r w:rsidR="00395F60">
        <w:rPr>
          <w:rStyle w:val="hps"/>
          <w:rFonts w:ascii="Times New Roman" w:hAnsi="Times New Roman" w:cs="Times New Roman"/>
          <w:sz w:val="24"/>
          <w:szCs w:val="24"/>
          <w:lang w:val="en-US"/>
        </w:rPr>
        <w:t xml:space="preserve"> </w:t>
      </w:r>
      <w:r w:rsidR="002718AC">
        <w:rPr>
          <w:rFonts w:ascii="Times New Roman" w:hAnsi="Times New Roman" w:cs="Times New Roman"/>
          <w:sz w:val="24"/>
          <w:szCs w:val="24"/>
          <w:lang w:val="en-US"/>
        </w:rPr>
        <w:t>to face the</w:t>
      </w:r>
      <w:r w:rsidRPr="00BB0A8A">
        <w:rPr>
          <w:rStyle w:val="hps"/>
          <w:rFonts w:ascii="Times New Roman" w:hAnsi="Times New Roman" w:cs="Times New Roman"/>
          <w:sz w:val="24"/>
          <w:szCs w:val="24"/>
          <w:lang w:val="en-US"/>
        </w:rPr>
        <w:t xml:space="preserve"> flood</w:t>
      </w:r>
      <w:r w:rsidR="002718AC">
        <w:rPr>
          <w:rStyle w:val="hps"/>
          <w:rFonts w:ascii="Times New Roman" w:hAnsi="Times New Roman" w:cs="Times New Roman"/>
          <w:sz w:val="24"/>
          <w:szCs w:val="24"/>
          <w:lang w:val="en-US"/>
        </w:rPr>
        <w:t xml:space="preserve"> threat</w:t>
      </w:r>
      <w:r w:rsidRPr="00BB0A8A">
        <w:rPr>
          <w:rStyle w:val="hps"/>
          <w:rFonts w:ascii="Times New Roman" w:hAnsi="Times New Roman" w:cs="Times New Roman"/>
          <w:sz w:val="24"/>
          <w:szCs w:val="24"/>
          <w:lang w:val="en-US"/>
        </w:rPr>
        <w:t>,</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comparing people exposed with people</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not exposed to</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this risk.</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We found that people</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exposed</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to flooding</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have</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a better knowledge</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of</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risk</w:t>
      </w:r>
      <w:r w:rsidR="002718AC">
        <w:rPr>
          <w:rStyle w:val="hps"/>
          <w:rFonts w:ascii="Times New Roman" w:hAnsi="Times New Roman" w:cs="Times New Roman"/>
          <w:sz w:val="24"/>
          <w:szCs w:val="24"/>
          <w:lang w:val="en-US"/>
        </w:rPr>
        <w:t>,</w:t>
      </w:r>
      <w:r w:rsidR="00395F60">
        <w:rPr>
          <w:rStyle w:val="hps"/>
          <w:rFonts w:ascii="Times New Roman" w:hAnsi="Times New Roman" w:cs="Times New Roman"/>
          <w:sz w:val="24"/>
          <w:szCs w:val="24"/>
          <w:lang w:val="en-US"/>
        </w:rPr>
        <w:t xml:space="preserve"> </w:t>
      </w:r>
      <w:r w:rsidR="002718AC">
        <w:rPr>
          <w:rFonts w:ascii="Times New Roman" w:hAnsi="Times New Roman" w:cs="Times New Roman"/>
          <w:sz w:val="24"/>
          <w:szCs w:val="24"/>
          <w:lang w:val="en-US"/>
        </w:rPr>
        <w:t>more</w:t>
      </w:r>
      <w:r w:rsidR="00395F60">
        <w:rPr>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fear of being</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affected</w:t>
      </w:r>
      <w:r w:rsidR="002718AC">
        <w:rPr>
          <w:rStyle w:val="hps"/>
          <w:rFonts w:ascii="Times New Roman" w:hAnsi="Times New Roman" w:cs="Times New Roman"/>
          <w:sz w:val="24"/>
          <w:szCs w:val="24"/>
          <w:lang w:val="en-US"/>
        </w:rPr>
        <w:t xml:space="preserve"> and develop more coping strategies</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than unexposed people.</w:t>
      </w:r>
      <w:r w:rsidR="00395F60">
        <w:rPr>
          <w:rStyle w:val="hps"/>
          <w:rFonts w:ascii="Times New Roman" w:hAnsi="Times New Roman" w:cs="Times New Roman"/>
          <w:sz w:val="24"/>
          <w:szCs w:val="24"/>
          <w:lang w:val="en-US"/>
        </w:rPr>
        <w:t xml:space="preserve"> </w:t>
      </w:r>
      <w:r w:rsidR="002718AC">
        <w:rPr>
          <w:rFonts w:ascii="Times New Roman" w:hAnsi="Times New Roman" w:cs="Times New Roman"/>
          <w:sz w:val="24"/>
          <w:szCs w:val="24"/>
          <w:lang w:val="en-US"/>
        </w:rPr>
        <w:t>W</w:t>
      </w:r>
      <w:r w:rsidRPr="00BB0A8A">
        <w:rPr>
          <w:rStyle w:val="hps"/>
          <w:rFonts w:ascii="Times New Roman" w:hAnsi="Times New Roman" w:cs="Times New Roman"/>
          <w:sz w:val="24"/>
          <w:szCs w:val="24"/>
          <w:lang w:val="en-US"/>
        </w:rPr>
        <w:t>ithin the</w:t>
      </w:r>
      <w:r w:rsidRPr="00BB0A8A">
        <w:rPr>
          <w:rFonts w:ascii="Times New Roman" w:hAnsi="Times New Roman" w:cs="Times New Roman"/>
          <w:sz w:val="24"/>
          <w:szCs w:val="24"/>
          <w:lang w:val="en-US"/>
        </w:rPr>
        <w:t xml:space="preserve"> risk exposed people’s </w:t>
      </w:r>
      <w:r w:rsidRPr="00BB0A8A">
        <w:rPr>
          <w:rStyle w:val="hps"/>
          <w:rFonts w:ascii="Times New Roman" w:hAnsi="Times New Roman" w:cs="Times New Roman"/>
          <w:sz w:val="24"/>
          <w:szCs w:val="24"/>
          <w:lang w:val="en-US"/>
        </w:rPr>
        <w:t>category, we can find a difference between</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those who have been</w:t>
      </w:r>
      <w:r w:rsidRPr="00BB0A8A">
        <w:rPr>
          <w:rFonts w:ascii="Times New Roman" w:hAnsi="Times New Roman" w:cs="Times New Roman"/>
          <w:sz w:val="24"/>
          <w:szCs w:val="24"/>
          <w:lang w:val="en-US"/>
        </w:rPr>
        <w:t xml:space="preserve"> actually </w:t>
      </w:r>
      <w:r w:rsidRPr="00BB0A8A">
        <w:rPr>
          <w:rStyle w:val="hps"/>
          <w:rFonts w:ascii="Times New Roman" w:hAnsi="Times New Roman" w:cs="Times New Roman"/>
          <w:sz w:val="24"/>
          <w:szCs w:val="24"/>
          <w:lang w:val="en-US"/>
        </w:rPr>
        <w:t>affected</w:t>
      </w:r>
      <w:r w:rsidR="00395F60">
        <w:rPr>
          <w:rStyle w:val="hps"/>
          <w:rFonts w:ascii="Times New Roman" w:hAnsi="Times New Roman" w:cs="Times New Roman"/>
          <w:sz w:val="24"/>
          <w:szCs w:val="24"/>
          <w:lang w:val="en-US"/>
        </w:rPr>
        <w:t xml:space="preserve"> </w:t>
      </w:r>
      <w:r w:rsidR="002718AC">
        <w:rPr>
          <w:rStyle w:val="hps"/>
          <w:rFonts w:ascii="Times New Roman" w:hAnsi="Times New Roman" w:cs="Times New Roman"/>
          <w:sz w:val="24"/>
          <w:szCs w:val="24"/>
          <w:lang w:val="en-US"/>
        </w:rPr>
        <w:t>by floods</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and those who are living in a risky place but not have been affected</w:t>
      </w:r>
      <w:r w:rsidR="002718AC">
        <w:rPr>
          <w:rFonts w:ascii="Times New Roman" w:hAnsi="Times New Roman" w:cs="Times New Roman"/>
          <w:sz w:val="24"/>
          <w:szCs w:val="24"/>
          <w:lang w:val="en-US"/>
        </w:rPr>
        <w:t xml:space="preserve"> yet, in the way that first</w:t>
      </w:r>
      <w:r w:rsidR="00723B2B">
        <w:rPr>
          <w:rFonts w:ascii="Times New Roman" w:hAnsi="Times New Roman" w:cs="Times New Roman"/>
          <w:sz w:val="24"/>
          <w:szCs w:val="24"/>
          <w:lang w:val="en-US"/>
        </w:rPr>
        <w:t xml:space="preserve"> of them present a higher level of risk perception</w:t>
      </w:r>
      <w:r w:rsidR="00723B2B">
        <w:rPr>
          <w:rStyle w:val="hps"/>
          <w:rFonts w:ascii="Times New Roman" w:hAnsi="Times New Roman" w:cs="Times New Roman"/>
          <w:sz w:val="24"/>
          <w:szCs w:val="24"/>
          <w:lang w:val="en-US"/>
        </w:rPr>
        <w:t xml:space="preserve"> and personal involvement.</w:t>
      </w:r>
    </w:p>
    <w:p w14:paraId="1ACCE673" w14:textId="77777777" w:rsidR="00723B2B" w:rsidRPr="00481C44" w:rsidRDefault="00723B2B" w:rsidP="006965C4">
      <w:pPr>
        <w:pStyle w:val="Cuerpo"/>
        <w:spacing w:after="0" w:line="240" w:lineRule="auto"/>
        <w:rPr>
          <w:rFonts w:ascii="Times New Roman" w:eastAsia="Times New Roman" w:hAnsi="Times New Roman" w:cs="Times New Roman"/>
          <w:b/>
          <w:sz w:val="24"/>
          <w:szCs w:val="24"/>
          <w:lang w:val="en-US"/>
        </w:rPr>
      </w:pPr>
      <w:r>
        <w:rPr>
          <w:rStyle w:val="hps"/>
          <w:rFonts w:ascii="Times New Roman" w:hAnsi="Times New Roman" w:cs="Times New Roman"/>
          <w:sz w:val="24"/>
          <w:szCs w:val="24"/>
          <w:lang w:val="en-US"/>
        </w:rPr>
        <w:t>Finally, the mediating role of the personal involvement variable between perception of risk and active coping strategy has been confirmed.</w:t>
      </w:r>
    </w:p>
    <w:p w14:paraId="41B177A2" w14:textId="77777777" w:rsidR="00A628BD" w:rsidRPr="00481C44" w:rsidRDefault="00A628BD" w:rsidP="006965C4">
      <w:pPr>
        <w:pStyle w:val="Cuerpo"/>
        <w:shd w:val="clear" w:color="auto" w:fill="FFFFFF"/>
        <w:spacing w:after="0" w:line="240" w:lineRule="auto"/>
        <w:ind w:firstLine="708"/>
        <w:rPr>
          <w:rFonts w:ascii="Times New Roman" w:eastAsia="Times New Roman" w:hAnsi="Times New Roman" w:cs="Times New Roman"/>
          <w:sz w:val="24"/>
          <w:szCs w:val="24"/>
          <w:lang w:val="en-US"/>
        </w:rPr>
      </w:pPr>
      <w:r w:rsidRPr="007769DD">
        <w:rPr>
          <w:rFonts w:ascii="Times New Roman" w:hAnsi="Times New Roman" w:cs="Times New Roman"/>
          <w:i/>
          <w:sz w:val="24"/>
          <w:szCs w:val="24"/>
          <w:lang w:val="en-US"/>
        </w:rPr>
        <w:t>Keywords</w:t>
      </w:r>
      <w:r w:rsidRPr="007769DD">
        <w:rPr>
          <w:rFonts w:ascii="Times New Roman" w:hAnsi="Times New Roman" w:cs="Times New Roman"/>
          <w:sz w:val="24"/>
          <w:szCs w:val="24"/>
          <w:lang w:val="en-US"/>
        </w:rPr>
        <w:t>:</w:t>
      </w:r>
      <w:r w:rsidR="00236EAA">
        <w:rPr>
          <w:rFonts w:ascii="Times New Roman" w:hAnsi="Times New Roman" w:cs="Times New Roman"/>
          <w:sz w:val="24"/>
          <w:szCs w:val="24"/>
          <w:lang w:val="en-US"/>
        </w:rPr>
        <w:t xml:space="preserve"> F</w:t>
      </w:r>
      <w:r w:rsidRPr="00481C44">
        <w:rPr>
          <w:rFonts w:ascii="Times New Roman" w:hAnsi="Times New Roman" w:cs="Times New Roman"/>
          <w:sz w:val="24"/>
          <w:szCs w:val="24"/>
          <w:lang w:val="en-US"/>
        </w:rPr>
        <w:t xml:space="preserve">lood, </w:t>
      </w:r>
      <w:r w:rsidR="00236EAA">
        <w:rPr>
          <w:rFonts w:ascii="Times New Roman" w:hAnsi="Times New Roman" w:cs="Times New Roman"/>
          <w:sz w:val="24"/>
          <w:szCs w:val="24"/>
          <w:lang w:val="en-US"/>
        </w:rPr>
        <w:t>R</w:t>
      </w:r>
      <w:r w:rsidRPr="00481C44">
        <w:rPr>
          <w:rFonts w:ascii="Times New Roman" w:hAnsi="Times New Roman" w:cs="Times New Roman"/>
          <w:sz w:val="24"/>
          <w:szCs w:val="24"/>
          <w:lang w:val="en-US"/>
        </w:rPr>
        <w:t xml:space="preserve">isk perception, </w:t>
      </w:r>
      <w:r w:rsidR="00236EAA">
        <w:rPr>
          <w:rFonts w:ascii="Times New Roman" w:hAnsi="Times New Roman" w:cs="Times New Roman"/>
          <w:sz w:val="24"/>
          <w:szCs w:val="24"/>
          <w:lang w:val="en-US"/>
        </w:rPr>
        <w:t>C</w:t>
      </w:r>
      <w:r w:rsidRPr="00481C44">
        <w:rPr>
          <w:rFonts w:ascii="Times New Roman" w:hAnsi="Times New Roman" w:cs="Times New Roman"/>
          <w:sz w:val="24"/>
          <w:szCs w:val="24"/>
          <w:lang w:val="en-US"/>
        </w:rPr>
        <w:t>oping</w:t>
      </w:r>
      <w:r w:rsidR="00723B2B">
        <w:rPr>
          <w:rFonts w:ascii="Times New Roman" w:hAnsi="Times New Roman" w:cs="Times New Roman"/>
          <w:sz w:val="24"/>
          <w:szCs w:val="24"/>
          <w:lang w:val="en-US"/>
        </w:rPr>
        <w:t xml:space="preserve"> strategies</w:t>
      </w:r>
      <w:r w:rsidRPr="00481C44">
        <w:rPr>
          <w:rFonts w:ascii="Times New Roman" w:hAnsi="Times New Roman" w:cs="Times New Roman"/>
          <w:sz w:val="24"/>
          <w:szCs w:val="24"/>
          <w:lang w:val="en-US"/>
        </w:rPr>
        <w:t xml:space="preserve">, </w:t>
      </w:r>
      <w:r w:rsidR="00236EAA">
        <w:rPr>
          <w:rFonts w:ascii="Times New Roman" w:hAnsi="Times New Roman" w:cs="Times New Roman"/>
          <w:sz w:val="24"/>
          <w:szCs w:val="24"/>
          <w:lang w:val="en-US"/>
        </w:rPr>
        <w:t>E</w:t>
      </w:r>
      <w:r w:rsidRPr="00481C44">
        <w:rPr>
          <w:rFonts w:ascii="Times New Roman" w:hAnsi="Times New Roman" w:cs="Times New Roman"/>
          <w:sz w:val="24"/>
          <w:szCs w:val="24"/>
          <w:lang w:val="en-US"/>
        </w:rPr>
        <w:t>xposure to risk</w:t>
      </w:r>
    </w:p>
    <w:p w14:paraId="504761FC" w14:textId="77777777" w:rsidR="00A628BD" w:rsidRPr="00A628BD" w:rsidRDefault="00A628BD" w:rsidP="006965C4">
      <w:pPr>
        <w:pStyle w:val="Cuerpo"/>
        <w:shd w:val="clear" w:color="auto" w:fill="FFFFFF"/>
        <w:spacing w:after="0" w:line="240" w:lineRule="auto"/>
        <w:jc w:val="both"/>
        <w:rPr>
          <w:rFonts w:ascii="Times New Roman" w:hAnsi="Times New Roman" w:cs="Times New Roman"/>
          <w:b/>
          <w:sz w:val="24"/>
          <w:szCs w:val="24"/>
          <w:lang w:val="en-US"/>
        </w:rPr>
      </w:pPr>
    </w:p>
    <w:p w14:paraId="5D86DC1C" w14:textId="77777777" w:rsidR="00A628BD" w:rsidRPr="00A628BD" w:rsidRDefault="00A628BD" w:rsidP="006965C4">
      <w:pPr>
        <w:pStyle w:val="Cuerpo"/>
        <w:shd w:val="clear" w:color="auto" w:fill="FFFFFF"/>
        <w:spacing w:after="0" w:line="240" w:lineRule="auto"/>
        <w:jc w:val="both"/>
        <w:rPr>
          <w:rFonts w:ascii="Times New Roman" w:hAnsi="Times New Roman" w:cs="Times New Roman"/>
          <w:b/>
          <w:sz w:val="24"/>
          <w:szCs w:val="24"/>
          <w:lang w:val="en-US"/>
        </w:rPr>
      </w:pPr>
    </w:p>
    <w:p w14:paraId="19B6F6AA" w14:textId="77777777" w:rsidR="00A628BD" w:rsidRPr="00A628BD" w:rsidRDefault="00A628BD" w:rsidP="006965C4">
      <w:pPr>
        <w:pStyle w:val="Cuerpo"/>
        <w:shd w:val="clear" w:color="auto" w:fill="FFFFFF"/>
        <w:spacing w:after="0" w:line="240" w:lineRule="auto"/>
        <w:jc w:val="both"/>
        <w:rPr>
          <w:rFonts w:ascii="Times New Roman" w:hAnsi="Times New Roman" w:cs="Times New Roman"/>
          <w:b/>
          <w:sz w:val="24"/>
          <w:szCs w:val="24"/>
          <w:lang w:val="en-US"/>
        </w:rPr>
      </w:pPr>
    </w:p>
    <w:p w14:paraId="1B219F18" w14:textId="77777777" w:rsidR="00A17612" w:rsidRPr="00236EAA" w:rsidRDefault="00A17612" w:rsidP="006965C4">
      <w:pPr>
        <w:pStyle w:val="Cuerpo"/>
        <w:spacing w:after="0" w:line="240" w:lineRule="auto"/>
        <w:jc w:val="both"/>
        <w:rPr>
          <w:rFonts w:ascii="Times New Roman" w:eastAsia="Times New Roman Bold" w:hAnsi="Times New Roman" w:cs="Times New Roman"/>
          <w:sz w:val="24"/>
          <w:szCs w:val="24"/>
          <w:lang w:val="en-US"/>
        </w:rPr>
      </w:pPr>
    </w:p>
    <w:p w14:paraId="73E10C32" w14:textId="77777777" w:rsidR="00B36CD8" w:rsidRPr="00236EAA" w:rsidRDefault="00B36CD8" w:rsidP="006965C4">
      <w:pPr>
        <w:pStyle w:val="Cuerpo"/>
        <w:shd w:val="clear" w:color="auto" w:fill="FFFFFF"/>
        <w:spacing w:after="0" w:line="240" w:lineRule="auto"/>
        <w:jc w:val="both"/>
        <w:rPr>
          <w:rFonts w:ascii="Times New Roman" w:eastAsia="Times New Roman" w:hAnsi="Times New Roman" w:cs="Times New Roman"/>
          <w:sz w:val="24"/>
          <w:szCs w:val="24"/>
          <w:lang w:val="en-US"/>
        </w:rPr>
      </w:pPr>
    </w:p>
    <w:p w14:paraId="1B9DC803" w14:textId="77777777" w:rsidR="00B36CD8" w:rsidRPr="00D35BD6" w:rsidRDefault="00F92C96" w:rsidP="00D920B2">
      <w:pPr>
        <w:rPr>
          <w:rFonts w:eastAsia="Calibri"/>
          <w:b/>
          <w:color w:val="000000"/>
          <w:u w:color="000000"/>
          <w:lang w:val="es-ES" w:eastAsia="es-CO"/>
        </w:rPr>
      </w:pPr>
      <w:r w:rsidRPr="008E271E">
        <w:rPr>
          <w:b/>
          <w:lang w:val="es-419"/>
        </w:rPr>
        <w:br w:type="page"/>
      </w:r>
      <w:r w:rsidR="00A8330E" w:rsidRPr="00D35BD6">
        <w:rPr>
          <w:b/>
          <w:lang w:val="es-ES"/>
        </w:rPr>
        <w:lastRenderedPageBreak/>
        <w:t>Introducción</w:t>
      </w:r>
    </w:p>
    <w:p w14:paraId="0F0ED9A9" w14:textId="77777777" w:rsidR="0006407B" w:rsidRPr="00F84EA4" w:rsidRDefault="006557F9" w:rsidP="006965C4">
      <w:pPr>
        <w:ind w:firstLine="708"/>
        <w:rPr>
          <w:lang w:val="es-ES"/>
        </w:rPr>
      </w:pPr>
      <w:r>
        <w:rPr>
          <w:lang w:val="es-ES"/>
        </w:rPr>
        <w:t xml:space="preserve">Varios estudios sobre la percepción de riesgos reconocen el valor predictivo de esta dimensión sobre la evaluación del impacto y los comportamientos de protección frente a ciertas amenazas (Slovic, 1987). Este tipo de investigación </w:t>
      </w:r>
      <w:r w:rsidRPr="00800858">
        <w:rPr>
          <w:rStyle w:val="hps"/>
          <w:lang w:val="es-ES"/>
        </w:rPr>
        <w:t>comenzó en</w:t>
      </w:r>
      <w:r w:rsidR="00395F60">
        <w:rPr>
          <w:rStyle w:val="hps"/>
          <w:lang w:val="es-ES"/>
        </w:rPr>
        <w:t xml:space="preserve"> </w:t>
      </w:r>
      <w:r w:rsidRPr="00800858">
        <w:rPr>
          <w:rStyle w:val="hps"/>
          <w:lang w:val="es-ES"/>
        </w:rPr>
        <w:t xml:space="preserve">la década de </w:t>
      </w:r>
      <w:r>
        <w:rPr>
          <w:rStyle w:val="hps"/>
          <w:lang w:val="es-ES"/>
        </w:rPr>
        <w:t>19</w:t>
      </w:r>
      <w:r w:rsidRPr="00800858">
        <w:rPr>
          <w:rStyle w:val="hps"/>
          <w:lang w:val="es-ES"/>
        </w:rPr>
        <w:t>40</w:t>
      </w:r>
      <w:r w:rsidRPr="00800858">
        <w:rPr>
          <w:lang w:val="es-ES"/>
        </w:rPr>
        <w:t xml:space="preserve">, </w:t>
      </w:r>
      <w:r w:rsidRPr="00800858">
        <w:rPr>
          <w:rStyle w:val="hps"/>
          <w:lang w:val="es-ES"/>
        </w:rPr>
        <w:t>cuando</w:t>
      </w:r>
      <w:r w:rsidR="00395F60">
        <w:rPr>
          <w:rStyle w:val="hps"/>
          <w:lang w:val="es-ES"/>
        </w:rPr>
        <w:t xml:space="preserve"> </w:t>
      </w:r>
      <w:r w:rsidRPr="00800858">
        <w:rPr>
          <w:rStyle w:val="hps"/>
          <w:lang w:val="es-ES"/>
        </w:rPr>
        <w:t>Gilbert White</w:t>
      </w:r>
      <w:r w:rsidR="00395F60">
        <w:rPr>
          <w:rStyle w:val="hps"/>
          <w:lang w:val="es-ES"/>
        </w:rPr>
        <w:t xml:space="preserve"> </w:t>
      </w:r>
      <w:r w:rsidRPr="00800858">
        <w:rPr>
          <w:rStyle w:val="hps"/>
          <w:lang w:val="es-ES"/>
        </w:rPr>
        <w:t>publicó</w:t>
      </w:r>
      <w:r w:rsidR="00395F60">
        <w:rPr>
          <w:rStyle w:val="hps"/>
          <w:lang w:val="es-ES"/>
        </w:rPr>
        <w:t xml:space="preserve"> </w:t>
      </w:r>
      <w:r w:rsidRPr="00800858">
        <w:rPr>
          <w:rStyle w:val="hps"/>
          <w:lang w:val="es-ES"/>
        </w:rPr>
        <w:t>su tesis</w:t>
      </w:r>
      <w:r w:rsidR="00395F60">
        <w:rPr>
          <w:rStyle w:val="hps"/>
          <w:lang w:val="es-ES"/>
        </w:rPr>
        <w:t xml:space="preserve"> </w:t>
      </w:r>
      <w:r w:rsidRPr="00800858">
        <w:rPr>
          <w:rStyle w:val="hps"/>
          <w:lang w:val="es-ES"/>
        </w:rPr>
        <w:t>sobre los ajustes</w:t>
      </w:r>
      <w:r w:rsidR="00395F60">
        <w:rPr>
          <w:rStyle w:val="hps"/>
          <w:lang w:val="es-ES"/>
        </w:rPr>
        <w:t xml:space="preserve"> </w:t>
      </w:r>
      <w:r w:rsidRPr="00800858">
        <w:rPr>
          <w:rStyle w:val="hps"/>
          <w:lang w:val="es-ES"/>
        </w:rPr>
        <w:t>humanos</w:t>
      </w:r>
      <w:r w:rsidR="00395F60">
        <w:rPr>
          <w:rStyle w:val="hps"/>
          <w:lang w:val="es-ES"/>
        </w:rPr>
        <w:t xml:space="preserve"> </w:t>
      </w:r>
      <w:r w:rsidRPr="00800858">
        <w:rPr>
          <w:rStyle w:val="hps"/>
          <w:lang w:val="es-ES"/>
        </w:rPr>
        <w:t>a</w:t>
      </w:r>
      <w:r w:rsidR="00395F60">
        <w:rPr>
          <w:rStyle w:val="hps"/>
          <w:lang w:val="es-ES"/>
        </w:rPr>
        <w:t xml:space="preserve"> </w:t>
      </w:r>
      <w:r w:rsidRPr="00800858">
        <w:rPr>
          <w:rStyle w:val="hps"/>
          <w:lang w:val="es-ES"/>
        </w:rPr>
        <w:t>inundaciones en el Reino</w:t>
      </w:r>
      <w:r w:rsidR="00395F60">
        <w:rPr>
          <w:rStyle w:val="hps"/>
          <w:lang w:val="es-ES"/>
        </w:rPr>
        <w:t xml:space="preserve"> </w:t>
      </w:r>
      <w:r w:rsidRPr="00800858">
        <w:rPr>
          <w:rStyle w:val="hps"/>
          <w:lang w:val="es-ES"/>
        </w:rPr>
        <w:t>Unido (</w:t>
      </w:r>
      <w:r w:rsidRPr="00800858">
        <w:rPr>
          <w:lang w:val="es-ES"/>
        </w:rPr>
        <w:t>Kellens, Terpstra</w:t>
      </w:r>
      <w:r w:rsidR="00DE33E0">
        <w:rPr>
          <w:lang w:val="es-ES"/>
        </w:rPr>
        <w:t xml:space="preserve"> </w:t>
      </w:r>
      <w:r w:rsidR="00A7571C">
        <w:rPr>
          <w:lang w:val="es-ES"/>
        </w:rPr>
        <w:t>&amp;</w:t>
      </w:r>
      <w:r w:rsidRPr="00800858">
        <w:rPr>
          <w:lang w:val="es-ES"/>
        </w:rPr>
        <w:t xml:space="preserve"> De Maeyer, 2013)</w:t>
      </w:r>
      <w:r w:rsidRPr="00800858">
        <w:rPr>
          <w:rStyle w:val="hps"/>
          <w:lang w:val="es-ES"/>
        </w:rPr>
        <w:t>.</w:t>
      </w:r>
      <w:r>
        <w:rPr>
          <w:rStyle w:val="hps"/>
          <w:lang w:val="es-ES"/>
        </w:rPr>
        <w:t xml:space="preserve"> Desde entonces, los modelos teóricos para el estudio de las percepciones y adaptaciones a este tipo de fenómenos no cesan de multiplicarse. En </w:t>
      </w:r>
      <w:r>
        <w:rPr>
          <w:lang w:val="es-ES"/>
        </w:rPr>
        <w:t xml:space="preserve">psicología, </w:t>
      </w:r>
      <w:r w:rsidRPr="00800858">
        <w:rPr>
          <w:lang w:val="es-ES"/>
        </w:rPr>
        <w:t xml:space="preserve">varios modelos teóricos se interesan </w:t>
      </w:r>
      <w:r>
        <w:rPr>
          <w:lang w:val="es-ES"/>
        </w:rPr>
        <w:t xml:space="preserve">en </w:t>
      </w:r>
      <w:r w:rsidRPr="00800858">
        <w:rPr>
          <w:lang w:val="es-ES"/>
        </w:rPr>
        <w:t xml:space="preserve">la </w:t>
      </w:r>
      <w:r>
        <w:rPr>
          <w:lang w:val="es-ES"/>
        </w:rPr>
        <w:t>evaluación</w:t>
      </w:r>
      <w:r w:rsidRPr="00800858">
        <w:rPr>
          <w:lang w:val="es-ES"/>
        </w:rPr>
        <w:t xml:space="preserve"> del riesgo</w:t>
      </w:r>
      <w:r>
        <w:rPr>
          <w:lang w:val="es-ES"/>
        </w:rPr>
        <w:t>, entre ellos:</w:t>
      </w:r>
      <w:r w:rsidRPr="00800858">
        <w:rPr>
          <w:lang w:val="es-ES"/>
        </w:rPr>
        <w:t xml:space="preserve"> el par</w:t>
      </w:r>
      <w:r>
        <w:rPr>
          <w:lang w:val="es-ES"/>
        </w:rPr>
        <w:t>adigma de la utilidad esperada,</w:t>
      </w:r>
      <w:r w:rsidRPr="00800858">
        <w:rPr>
          <w:lang w:val="es-ES"/>
        </w:rPr>
        <w:t xml:space="preserve"> el paradigma cognitivo (Cadet</w:t>
      </w:r>
      <w:r w:rsidR="00DE33E0">
        <w:rPr>
          <w:lang w:val="es-ES"/>
        </w:rPr>
        <w:t xml:space="preserve"> </w:t>
      </w:r>
      <w:r w:rsidR="00A7571C">
        <w:rPr>
          <w:lang w:val="es-ES"/>
        </w:rPr>
        <w:t>&amp;</w:t>
      </w:r>
      <w:r w:rsidR="00395F60">
        <w:rPr>
          <w:lang w:val="es-ES"/>
        </w:rPr>
        <w:t xml:space="preserve"> </w:t>
      </w:r>
      <w:r>
        <w:rPr>
          <w:lang w:val="es-ES"/>
        </w:rPr>
        <w:t xml:space="preserve">Kouabenan, 2005), </w:t>
      </w:r>
      <w:r w:rsidRPr="00800858">
        <w:rPr>
          <w:lang w:val="es-ES"/>
        </w:rPr>
        <w:t>el modelo psicosocial del activismo (Rochford</w:t>
      </w:r>
      <w:r w:rsidR="00DE33E0">
        <w:rPr>
          <w:lang w:val="es-ES"/>
        </w:rPr>
        <w:t xml:space="preserve"> </w:t>
      </w:r>
      <w:r w:rsidR="00A7571C">
        <w:rPr>
          <w:lang w:val="es-ES"/>
        </w:rPr>
        <w:t>&amp;</w:t>
      </w:r>
      <w:r w:rsidR="00395F60">
        <w:rPr>
          <w:lang w:val="es-ES"/>
        </w:rPr>
        <w:t xml:space="preserve"> </w:t>
      </w:r>
      <w:r w:rsidRPr="00800858">
        <w:rPr>
          <w:lang w:val="es-ES"/>
        </w:rPr>
        <w:t xml:space="preserve">Blocker, 1991) y la teoría de la motivación </w:t>
      </w:r>
      <w:r>
        <w:rPr>
          <w:lang w:val="es-ES"/>
        </w:rPr>
        <w:t>a la protección (Rogers, 1983</w:t>
      </w:r>
      <w:r w:rsidRPr="00800858">
        <w:rPr>
          <w:lang w:val="es-ES"/>
        </w:rPr>
        <w:t>).Sin embargo</w:t>
      </w:r>
      <w:r>
        <w:rPr>
          <w:lang w:val="es-ES"/>
        </w:rPr>
        <w:t>,</w:t>
      </w:r>
      <w:r w:rsidRPr="00800858">
        <w:rPr>
          <w:lang w:val="es-ES"/>
        </w:rPr>
        <w:t xml:space="preserve"> el paradigma psicométrico </w:t>
      </w:r>
      <w:r>
        <w:rPr>
          <w:lang w:val="es-ES"/>
        </w:rPr>
        <w:t xml:space="preserve">es </w:t>
      </w:r>
      <w:r w:rsidRPr="00800858">
        <w:rPr>
          <w:lang w:val="es-ES"/>
        </w:rPr>
        <w:t>el modelo más utilizado</w:t>
      </w:r>
      <w:r>
        <w:rPr>
          <w:lang w:val="es-ES"/>
        </w:rPr>
        <w:t xml:space="preserve"> actualmente</w:t>
      </w:r>
      <w:r w:rsidRPr="00800858">
        <w:rPr>
          <w:lang w:val="es-ES"/>
        </w:rPr>
        <w:t xml:space="preserve"> (Kellens, et al., 2013; Villa </w:t>
      </w:r>
      <w:r w:rsidR="00A7571C">
        <w:rPr>
          <w:lang w:val="es-ES"/>
        </w:rPr>
        <w:t>&amp;</w:t>
      </w:r>
      <w:r w:rsidR="00DE33E0">
        <w:rPr>
          <w:lang w:val="es-ES"/>
        </w:rPr>
        <w:t xml:space="preserve"> </w:t>
      </w:r>
      <w:r w:rsidRPr="00800858">
        <w:rPr>
          <w:lang w:val="es-ES"/>
        </w:rPr>
        <w:t xml:space="preserve">Bélanger, 2012). </w:t>
      </w:r>
      <w:r w:rsidR="004E321C">
        <w:rPr>
          <w:lang w:val="es-ES"/>
        </w:rPr>
        <w:t>A pesar que e</w:t>
      </w:r>
      <w:r>
        <w:rPr>
          <w:lang w:val="es-ES"/>
        </w:rPr>
        <w:t>st</w:t>
      </w:r>
      <w:r w:rsidR="00AD1AA5">
        <w:rPr>
          <w:lang w:val="es-ES"/>
        </w:rPr>
        <w:t>e</w:t>
      </w:r>
      <w:r w:rsidR="00395F60">
        <w:rPr>
          <w:lang w:val="es-ES"/>
        </w:rPr>
        <w:t xml:space="preserve"> </w:t>
      </w:r>
      <w:r w:rsidR="00AD1AA5">
        <w:rPr>
          <w:lang w:val="es-ES"/>
        </w:rPr>
        <w:t>enfoque</w:t>
      </w:r>
      <w:r>
        <w:rPr>
          <w:lang w:val="es-ES"/>
        </w:rPr>
        <w:t xml:space="preserve"> se interes</w:t>
      </w:r>
      <w:r w:rsidR="00AD1AA5">
        <w:rPr>
          <w:lang w:val="es-ES"/>
        </w:rPr>
        <w:t>e</w:t>
      </w:r>
      <w:r>
        <w:rPr>
          <w:lang w:val="es-ES"/>
        </w:rPr>
        <w:t>, de manera general, a situaciones, tecnologías y sustancias consideradas como riesgosas</w:t>
      </w:r>
      <w:r w:rsidR="004E321C">
        <w:rPr>
          <w:lang w:val="es-ES"/>
        </w:rPr>
        <w:t>, a</w:t>
      </w:r>
      <w:r>
        <w:rPr>
          <w:lang w:val="es-ES"/>
        </w:rPr>
        <w:t>lgunos autores se interesan específicamente a al</w:t>
      </w:r>
      <w:r w:rsidR="001B0BE6">
        <w:rPr>
          <w:lang w:val="es-ES"/>
        </w:rPr>
        <w:t xml:space="preserve">gún tipo o categoría de riesgo </w:t>
      </w:r>
      <w:r>
        <w:rPr>
          <w:lang w:val="es-ES"/>
        </w:rPr>
        <w:t xml:space="preserve">natural. </w:t>
      </w:r>
      <w:r w:rsidRPr="00800858">
        <w:rPr>
          <w:lang w:val="es-ES"/>
        </w:rPr>
        <w:t xml:space="preserve">Brun (1992) </w:t>
      </w:r>
      <w:r>
        <w:rPr>
          <w:lang w:val="es-ES"/>
        </w:rPr>
        <w:t xml:space="preserve">y </w:t>
      </w:r>
      <w:r w:rsidRPr="00800858">
        <w:rPr>
          <w:lang w:val="es-ES"/>
        </w:rPr>
        <w:t>Zhang</w:t>
      </w:r>
      <w:r>
        <w:rPr>
          <w:lang w:val="es-ES"/>
        </w:rPr>
        <w:t xml:space="preserve"> (</w:t>
      </w:r>
      <w:r w:rsidRPr="00800858">
        <w:rPr>
          <w:lang w:val="es-ES"/>
        </w:rPr>
        <w:t>1994</w:t>
      </w:r>
      <w:r>
        <w:rPr>
          <w:lang w:val="es-ES"/>
        </w:rPr>
        <w:t xml:space="preserve">) </w:t>
      </w:r>
      <w:r w:rsidRPr="00800858">
        <w:rPr>
          <w:lang w:val="es-ES"/>
        </w:rPr>
        <w:t>fue</w:t>
      </w:r>
      <w:r>
        <w:rPr>
          <w:lang w:val="es-ES"/>
        </w:rPr>
        <w:t xml:space="preserve">ron los </w:t>
      </w:r>
      <w:r w:rsidRPr="00800858">
        <w:rPr>
          <w:lang w:val="es-ES"/>
        </w:rPr>
        <w:t>primero</w:t>
      </w:r>
      <w:r>
        <w:rPr>
          <w:lang w:val="es-ES"/>
        </w:rPr>
        <w:t>s, desde el paradigma psicométrico, en interesarse en</w:t>
      </w:r>
      <w:r w:rsidRPr="00800858">
        <w:rPr>
          <w:lang w:val="es-ES"/>
        </w:rPr>
        <w:t xml:space="preserve"> la percepción de</w:t>
      </w:r>
      <w:r w:rsidR="004E321C">
        <w:rPr>
          <w:lang w:val="es-ES"/>
        </w:rPr>
        <w:t>l</w:t>
      </w:r>
      <w:r w:rsidRPr="00800858">
        <w:rPr>
          <w:lang w:val="es-ES"/>
        </w:rPr>
        <w:t xml:space="preserve"> riesgo </w:t>
      </w:r>
      <w:r>
        <w:rPr>
          <w:lang w:val="es-ES"/>
        </w:rPr>
        <w:t>de inundaciones</w:t>
      </w:r>
      <w:r w:rsidR="004E321C">
        <w:rPr>
          <w:lang w:val="es-ES"/>
        </w:rPr>
        <w:t xml:space="preserve">, </w:t>
      </w:r>
      <w:r w:rsidR="00B20BA9" w:rsidRPr="00800858">
        <w:rPr>
          <w:lang w:val="es-ES"/>
        </w:rPr>
        <w:t>una de las formas de riesgo más comunes en la actualidad</w:t>
      </w:r>
      <w:r w:rsidR="004E321C">
        <w:rPr>
          <w:lang w:val="es-ES"/>
        </w:rPr>
        <w:t xml:space="preserve"> ya que c</w:t>
      </w:r>
      <w:r w:rsidR="00672EBC">
        <w:rPr>
          <w:lang w:val="es-ES"/>
        </w:rPr>
        <w:t>erca de</w:t>
      </w:r>
      <w:r w:rsidR="00A2304C" w:rsidRPr="00800858">
        <w:rPr>
          <w:lang w:val="es-ES"/>
        </w:rPr>
        <w:t xml:space="preserve"> 200 millones de personas en más de 90 países </w:t>
      </w:r>
      <w:r w:rsidR="004E321C">
        <w:rPr>
          <w:lang w:val="es-ES"/>
        </w:rPr>
        <w:t>se encuentran</w:t>
      </w:r>
      <w:r w:rsidR="00A2304C" w:rsidRPr="00800858">
        <w:rPr>
          <w:lang w:val="es-ES"/>
        </w:rPr>
        <w:t xml:space="preserve"> expuestas </w:t>
      </w:r>
      <w:r w:rsidR="00543C43">
        <w:rPr>
          <w:lang w:val="es-ES"/>
        </w:rPr>
        <w:t xml:space="preserve">a </w:t>
      </w:r>
      <w:r w:rsidR="004E321C">
        <w:rPr>
          <w:lang w:val="es-ES"/>
        </w:rPr>
        <w:t>esta amenaza</w:t>
      </w:r>
      <w:r w:rsidR="00A2304C" w:rsidRPr="00800858">
        <w:rPr>
          <w:lang w:val="es-ES"/>
        </w:rPr>
        <w:t>.</w:t>
      </w:r>
      <w:r w:rsidR="00395F60">
        <w:rPr>
          <w:lang w:val="es-ES"/>
        </w:rPr>
        <w:t xml:space="preserve"> </w:t>
      </w:r>
      <w:r w:rsidR="00DB1500" w:rsidRPr="00800858">
        <w:rPr>
          <w:lang w:val="es-ES"/>
        </w:rPr>
        <w:t xml:space="preserve">La mayoría de </w:t>
      </w:r>
      <w:r w:rsidR="001B0BE6">
        <w:rPr>
          <w:lang w:val="es-ES"/>
        </w:rPr>
        <w:t>los</w:t>
      </w:r>
      <w:r w:rsidR="00395F60">
        <w:rPr>
          <w:lang w:val="es-ES"/>
        </w:rPr>
        <w:t xml:space="preserve"> </w:t>
      </w:r>
      <w:r w:rsidR="00DB1500" w:rsidRPr="00800858">
        <w:rPr>
          <w:lang w:val="es-ES"/>
        </w:rPr>
        <w:t>estudios</w:t>
      </w:r>
      <w:r w:rsidR="001B0BE6">
        <w:rPr>
          <w:lang w:val="es-ES"/>
        </w:rPr>
        <w:t xml:space="preserve"> sobre percepción de riesgo de inundación</w:t>
      </w:r>
      <w:r w:rsidR="00DB1500" w:rsidRPr="00800858">
        <w:rPr>
          <w:lang w:val="es-ES"/>
        </w:rPr>
        <w:t xml:space="preserve"> han sido desarrollados en Norteamérica, Asia y Europa (Kellens et al., 2013; Villa </w:t>
      </w:r>
      <w:r w:rsidR="00A7571C">
        <w:rPr>
          <w:lang w:val="es-ES"/>
        </w:rPr>
        <w:t>&amp;</w:t>
      </w:r>
      <w:r w:rsidR="00DE33E0">
        <w:rPr>
          <w:lang w:val="es-ES"/>
        </w:rPr>
        <w:t xml:space="preserve"> </w:t>
      </w:r>
      <w:r w:rsidR="001B0BE6">
        <w:rPr>
          <w:lang w:val="es-ES"/>
        </w:rPr>
        <w:t>Bélanger, 2012), m</w:t>
      </w:r>
      <w:r w:rsidR="00DB1500" w:rsidRPr="00800858">
        <w:rPr>
          <w:lang w:val="es-ES"/>
        </w:rPr>
        <w:t xml:space="preserve">uy poca literatura </w:t>
      </w:r>
      <w:r w:rsidR="00543C43">
        <w:rPr>
          <w:lang w:val="es-ES"/>
        </w:rPr>
        <w:t>se halla</w:t>
      </w:r>
      <w:r w:rsidR="00395F60">
        <w:rPr>
          <w:lang w:val="es-ES"/>
        </w:rPr>
        <w:t xml:space="preserve"> </w:t>
      </w:r>
      <w:r w:rsidR="00543C43">
        <w:rPr>
          <w:lang w:val="es-ES"/>
        </w:rPr>
        <w:t xml:space="preserve">en </w:t>
      </w:r>
      <w:r w:rsidR="00DB1500" w:rsidRPr="00800858">
        <w:rPr>
          <w:lang w:val="es-ES"/>
        </w:rPr>
        <w:t>países latinoamericanos</w:t>
      </w:r>
      <w:r w:rsidR="001B0BE6">
        <w:rPr>
          <w:lang w:val="es-ES"/>
        </w:rPr>
        <w:t xml:space="preserve">. Además </w:t>
      </w:r>
      <w:r w:rsidR="0006407B">
        <w:rPr>
          <w:lang w:val="es-ES"/>
        </w:rPr>
        <w:t>l</w:t>
      </w:r>
      <w:r w:rsidR="007467F4">
        <w:rPr>
          <w:lang w:val="es-ES"/>
        </w:rPr>
        <w:t xml:space="preserve">os resultados de </w:t>
      </w:r>
      <w:r w:rsidR="00543C43">
        <w:rPr>
          <w:lang w:val="es-ES"/>
        </w:rPr>
        <w:t xml:space="preserve">las investigaciones muestran </w:t>
      </w:r>
      <w:r w:rsidR="007467F4">
        <w:rPr>
          <w:lang w:val="es-ES"/>
        </w:rPr>
        <w:t>falta</w:t>
      </w:r>
      <w:r w:rsidR="00395F60">
        <w:rPr>
          <w:lang w:val="es-ES"/>
        </w:rPr>
        <w:t xml:space="preserve"> </w:t>
      </w:r>
      <w:r w:rsidR="007467F4">
        <w:rPr>
          <w:lang w:val="es-ES"/>
        </w:rPr>
        <w:t xml:space="preserve">de </w:t>
      </w:r>
      <w:r w:rsidR="00DB1500">
        <w:rPr>
          <w:lang w:val="es-ES"/>
        </w:rPr>
        <w:t>consenso</w:t>
      </w:r>
      <w:r w:rsidR="0006407B">
        <w:rPr>
          <w:lang w:val="es-ES"/>
        </w:rPr>
        <w:t xml:space="preserve"> sobre </w:t>
      </w:r>
      <w:r w:rsidR="001B0BE6">
        <w:rPr>
          <w:lang w:val="es-ES"/>
        </w:rPr>
        <w:t xml:space="preserve">cómo se organiza </w:t>
      </w:r>
      <w:r w:rsidR="0006407B">
        <w:rPr>
          <w:lang w:val="es-ES"/>
        </w:rPr>
        <w:t>la percepción del riesgo de inundación</w:t>
      </w:r>
      <w:r w:rsidR="0011410C">
        <w:rPr>
          <w:lang w:val="es-ES"/>
        </w:rPr>
        <w:t xml:space="preserve">. </w:t>
      </w:r>
      <w:r w:rsidR="00543C43">
        <w:rPr>
          <w:lang w:val="es-ES"/>
        </w:rPr>
        <w:t>A</w:t>
      </w:r>
      <w:r w:rsidR="0011410C">
        <w:rPr>
          <w:lang w:val="es-ES"/>
        </w:rPr>
        <w:t>lgun</w:t>
      </w:r>
      <w:r w:rsidR="00543C43">
        <w:rPr>
          <w:lang w:val="es-ES"/>
        </w:rPr>
        <w:t>a</w:t>
      </w:r>
      <w:r w:rsidR="0011410C">
        <w:rPr>
          <w:lang w:val="es-ES"/>
        </w:rPr>
        <w:t>s de ell</w:t>
      </w:r>
      <w:r w:rsidR="00543C43">
        <w:rPr>
          <w:lang w:val="es-ES"/>
        </w:rPr>
        <w:t>a</w:t>
      </w:r>
      <w:r w:rsidR="0011410C">
        <w:rPr>
          <w:lang w:val="es-ES"/>
        </w:rPr>
        <w:t>s</w:t>
      </w:r>
      <w:r w:rsidR="00395F60">
        <w:rPr>
          <w:lang w:val="es-ES"/>
        </w:rPr>
        <w:t xml:space="preserve"> </w:t>
      </w:r>
      <w:r w:rsidR="00543C43">
        <w:rPr>
          <w:lang w:val="es-ES"/>
        </w:rPr>
        <w:t>señalan</w:t>
      </w:r>
      <w:r w:rsidR="00DB1500" w:rsidRPr="00800858">
        <w:rPr>
          <w:lang w:val="es-ES"/>
        </w:rPr>
        <w:t xml:space="preserve"> que el riesgo es subestimado o negado por la población que habita en zonas inundables</w:t>
      </w:r>
      <w:r w:rsidR="0011410C">
        <w:rPr>
          <w:lang w:val="es-ES"/>
        </w:rPr>
        <w:t>,</w:t>
      </w:r>
      <w:r w:rsidR="00DB1500" w:rsidRPr="00800858">
        <w:rPr>
          <w:lang w:val="es-ES"/>
        </w:rPr>
        <w:t xml:space="preserve"> mientras que otr</w:t>
      </w:r>
      <w:r w:rsidR="00543C43">
        <w:rPr>
          <w:lang w:val="es-ES"/>
        </w:rPr>
        <w:t>a</w:t>
      </w:r>
      <w:r w:rsidR="00DB1500" w:rsidRPr="00800858">
        <w:rPr>
          <w:lang w:val="es-ES"/>
        </w:rPr>
        <w:t xml:space="preserve">s </w:t>
      </w:r>
      <w:r w:rsidR="007467F4">
        <w:rPr>
          <w:lang w:val="es-ES"/>
        </w:rPr>
        <w:t>afirman</w:t>
      </w:r>
      <w:r w:rsidR="00DB1500" w:rsidRPr="00800858">
        <w:rPr>
          <w:lang w:val="es-ES"/>
        </w:rPr>
        <w:t xml:space="preserve"> lo contrario (Villa </w:t>
      </w:r>
      <w:r w:rsidR="00A7571C">
        <w:rPr>
          <w:lang w:val="es-ES"/>
        </w:rPr>
        <w:t>&amp;</w:t>
      </w:r>
      <w:r w:rsidR="00395F60">
        <w:rPr>
          <w:lang w:val="es-ES"/>
        </w:rPr>
        <w:t xml:space="preserve"> </w:t>
      </w:r>
      <w:r w:rsidR="00DB1500" w:rsidRPr="00800858">
        <w:rPr>
          <w:lang w:val="es-ES"/>
        </w:rPr>
        <w:t>Bélanger, 2012)</w:t>
      </w:r>
      <w:r w:rsidR="00DB1500">
        <w:rPr>
          <w:lang w:val="es-ES"/>
        </w:rPr>
        <w:t xml:space="preserve">. </w:t>
      </w:r>
      <w:r w:rsidR="00AD1AA5">
        <w:rPr>
          <w:lang w:val="es-ES"/>
        </w:rPr>
        <w:t>Así mismo, las</w:t>
      </w:r>
      <w:r w:rsidR="00AD1AA5">
        <w:rPr>
          <w:bCs/>
          <w:lang w:val="es-ES"/>
        </w:rPr>
        <w:t xml:space="preserve"> pocas investigaciones que han estudiado la influencia de </w:t>
      </w:r>
      <w:r w:rsidR="00AD1AA5" w:rsidRPr="00800858">
        <w:rPr>
          <w:bCs/>
          <w:lang w:val="es-ES"/>
        </w:rPr>
        <w:t>factores sociodemográficos</w:t>
      </w:r>
      <w:r w:rsidR="00AD1AA5">
        <w:rPr>
          <w:bCs/>
          <w:lang w:val="es-ES"/>
        </w:rPr>
        <w:t xml:space="preserve"> sobre</w:t>
      </w:r>
      <w:r w:rsidR="00AD1AA5" w:rsidRPr="00800858">
        <w:rPr>
          <w:bCs/>
          <w:lang w:val="es-ES"/>
        </w:rPr>
        <w:t xml:space="preserve"> la percepción del riesgo de inundación</w:t>
      </w:r>
      <w:r w:rsidR="00AD1AA5">
        <w:rPr>
          <w:bCs/>
          <w:lang w:val="es-ES"/>
        </w:rPr>
        <w:t>,</w:t>
      </w:r>
      <w:r w:rsidR="00395F60">
        <w:rPr>
          <w:bCs/>
          <w:lang w:val="es-ES"/>
        </w:rPr>
        <w:t xml:space="preserve"> </w:t>
      </w:r>
      <w:r w:rsidR="00AD1AA5">
        <w:rPr>
          <w:bCs/>
          <w:lang w:val="es-ES"/>
        </w:rPr>
        <w:t xml:space="preserve">presentan </w:t>
      </w:r>
      <w:r w:rsidR="00AD1AA5" w:rsidRPr="00800858">
        <w:rPr>
          <w:bCs/>
          <w:lang w:val="es-ES"/>
        </w:rPr>
        <w:t xml:space="preserve">resultados contradictorios. </w:t>
      </w:r>
      <w:r w:rsidR="00AD1AA5">
        <w:rPr>
          <w:bCs/>
          <w:lang w:val="es-ES"/>
        </w:rPr>
        <w:t>A</w:t>
      </w:r>
      <w:r w:rsidR="00AD1AA5" w:rsidRPr="00800858">
        <w:rPr>
          <w:bCs/>
          <w:lang w:val="es-ES"/>
        </w:rPr>
        <w:t>lgunos estudios indican q</w:t>
      </w:r>
      <w:r w:rsidR="001B0BE6">
        <w:rPr>
          <w:bCs/>
          <w:lang w:val="es-ES"/>
        </w:rPr>
        <w:t xml:space="preserve">ue la percepción del riesgo </w:t>
      </w:r>
      <w:r w:rsidR="00AD1AA5" w:rsidRPr="00800858">
        <w:rPr>
          <w:bCs/>
          <w:lang w:val="es-ES"/>
        </w:rPr>
        <w:t xml:space="preserve">es más alto en las personas de edad </w:t>
      </w:r>
      <w:r w:rsidR="00AD1AA5" w:rsidRPr="00800858">
        <w:rPr>
          <w:lang w:val="es-ES"/>
        </w:rPr>
        <w:t>(Kellens</w:t>
      </w:r>
      <w:r w:rsidR="00AD1AA5">
        <w:rPr>
          <w:lang w:val="es-ES"/>
        </w:rPr>
        <w:t xml:space="preserve">, </w:t>
      </w:r>
      <w:r w:rsidR="00AD1AA5" w:rsidRPr="001133B9">
        <w:rPr>
          <w:lang w:val="es-ES"/>
        </w:rPr>
        <w:t>Zaalberg, Neutens, Vanneuville</w:t>
      </w:r>
      <w:r w:rsidR="00DE33E0">
        <w:rPr>
          <w:lang w:val="es-ES"/>
        </w:rPr>
        <w:t xml:space="preserve"> </w:t>
      </w:r>
      <w:r w:rsidR="00A7571C">
        <w:rPr>
          <w:lang w:val="es-ES"/>
        </w:rPr>
        <w:t>&amp;</w:t>
      </w:r>
      <w:r w:rsidR="00AD1AA5" w:rsidRPr="001133B9">
        <w:rPr>
          <w:lang w:val="es-ES"/>
        </w:rPr>
        <w:t xml:space="preserve"> De Maeyer</w:t>
      </w:r>
      <w:r w:rsidR="00AD1AA5" w:rsidRPr="004F2FF0">
        <w:rPr>
          <w:lang w:val="es-ES"/>
        </w:rPr>
        <w:t>,</w:t>
      </w:r>
      <w:r w:rsidR="00AD1AA5" w:rsidRPr="00800858">
        <w:rPr>
          <w:lang w:val="es-ES"/>
        </w:rPr>
        <w:t xml:space="preserve"> 2011), mientras </w:t>
      </w:r>
      <w:r w:rsidR="00AD1AA5">
        <w:rPr>
          <w:lang w:val="es-ES"/>
        </w:rPr>
        <w:t>otros</w:t>
      </w:r>
      <w:r w:rsidR="006965C4">
        <w:rPr>
          <w:lang w:val="es-ES"/>
        </w:rPr>
        <w:t xml:space="preserve"> </w:t>
      </w:r>
      <w:r w:rsidR="001B0BE6">
        <w:rPr>
          <w:lang w:val="es-ES"/>
        </w:rPr>
        <w:t>sostienen lo contrario</w:t>
      </w:r>
      <w:r w:rsidR="00AD1AA5" w:rsidRPr="00800858">
        <w:rPr>
          <w:lang w:val="es-ES"/>
        </w:rPr>
        <w:t xml:space="preserve"> (Botzen</w:t>
      </w:r>
      <w:r w:rsidR="00AD1AA5" w:rsidRPr="004F2FF0">
        <w:rPr>
          <w:iCs/>
          <w:lang w:val="es-ES"/>
        </w:rPr>
        <w:t>et al.</w:t>
      </w:r>
      <w:r w:rsidR="00AD1AA5" w:rsidRPr="004F2FF0">
        <w:rPr>
          <w:lang w:val="es-ES"/>
        </w:rPr>
        <w:t>,</w:t>
      </w:r>
      <w:r w:rsidR="00AD1AA5" w:rsidRPr="00800858">
        <w:rPr>
          <w:lang w:val="es-ES"/>
        </w:rPr>
        <w:t xml:space="preserve"> 2009).</w:t>
      </w:r>
      <w:r w:rsidR="00096C9D">
        <w:rPr>
          <w:lang w:val="es-ES"/>
        </w:rPr>
        <w:t xml:space="preserve"> </w:t>
      </w:r>
      <w:r w:rsidR="00AD1AA5" w:rsidRPr="00800858">
        <w:rPr>
          <w:lang w:val="es-ES"/>
        </w:rPr>
        <w:t xml:space="preserve">Lo mismo sucede con </w:t>
      </w:r>
      <w:r w:rsidR="00AD1AA5">
        <w:rPr>
          <w:lang w:val="es-ES"/>
        </w:rPr>
        <w:t xml:space="preserve">el </w:t>
      </w:r>
      <w:r w:rsidR="00AD1AA5" w:rsidRPr="00800858">
        <w:rPr>
          <w:lang w:val="es-ES"/>
        </w:rPr>
        <w:t>efecto de las condiciones socioeconómicas.</w:t>
      </w:r>
      <w:r w:rsidR="006965C4">
        <w:rPr>
          <w:lang w:val="es-ES"/>
        </w:rPr>
        <w:t xml:space="preserve"> </w:t>
      </w:r>
      <w:r w:rsidR="00AD1AA5" w:rsidRPr="00800858">
        <w:rPr>
          <w:lang w:val="es-ES"/>
        </w:rPr>
        <w:t xml:space="preserve">Algunos </w:t>
      </w:r>
      <w:r w:rsidR="00AD1AA5">
        <w:rPr>
          <w:lang w:val="es-ES"/>
        </w:rPr>
        <w:t>autores</w:t>
      </w:r>
      <w:r w:rsidR="00AD1AA5" w:rsidRPr="00800858">
        <w:rPr>
          <w:lang w:val="es-ES"/>
        </w:rPr>
        <w:t xml:space="preserve"> muestran que podría existir una relación positiva entre altos ingresos y mayor educación y una subestimación del</w:t>
      </w:r>
      <w:r w:rsidR="00AD1AA5">
        <w:rPr>
          <w:lang w:val="es-ES"/>
        </w:rPr>
        <w:t xml:space="preserve"> riesgo </w:t>
      </w:r>
      <w:r w:rsidR="00AD1AA5" w:rsidRPr="00800858">
        <w:rPr>
          <w:lang w:val="es-ES"/>
        </w:rPr>
        <w:t>(Botzen et al., 2009</w:t>
      </w:r>
      <w:r w:rsidR="00AD1AA5">
        <w:rPr>
          <w:lang w:val="es-ES"/>
        </w:rPr>
        <w:t xml:space="preserve">; </w:t>
      </w:r>
      <w:r w:rsidR="00AD1AA5" w:rsidRPr="00800858">
        <w:rPr>
          <w:lang w:val="es-ES"/>
        </w:rPr>
        <w:t>Lindell</w:t>
      </w:r>
      <w:r w:rsidR="00DE33E0">
        <w:rPr>
          <w:lang w:val="es-ES"/>
        </w:rPr>
        <w:t xml:space="preserve"> </w:t>
      </w:r>
      <w:r w:rsidR="004A19C0">
        <w:rPr>
          <w:lang w:val="es-ES"/>
        </w:rPr>
        <w:t>&amp;</w:t>
      </w:r>
      <w:r w:rsidR="00DE33E0">
        <w:rPr>
          <w:lang w:val="es-ES"/>
        </w:rPr>
        <w:t xml:space="preserve"> </w:t>
      </w:r>
      <w:r w:rsidR="00AD1AA5">
        <w:rPr>
          <w:lang w:val="es-ES"/>
        </w:rPr>
        <w:t>Hwang, 2008</w:t>
      </w:r>
      <w:r w:rsidR="00AD1AA5" w:rsidRPr="00800858">
        <w:rPr>
          <w:lang w:val="es-ES"/>
        </w:rPr>
        <w:t>). Por el contrario</w:t>
      </w:r>
      <w:r w:rsidR="00AD1AA5">
        <w:rPr>
          <w:lang w:val="es-ES"/>
        </w:rPr>
        <w:t>,</w:t>
      </w:r>
      <w:r w:rsidR="00AD1AA5" w:rsidRPr="00800858">
        <w:rPr>
          <w:lang w:val="es-ES"/>
        </w:rPr>
        <w:t xml:space="preserve"> otros proponen que las personas más favorecidas económicamente y con mayor grado de educación tendrían una mayor consciencia del riesgo (</w:t>
      </w:r>
      <w:r w:rsidR="00AD1AA5" w:rsidRPr="00F84EA4">
        <w:rPr>
          <w:lang w:val="es-ES"/>
        </w:rPr>
        <w:t>Burningham et al., 2008;  Tapsell</w:t>
      </w:r>
      <w:r w:rsidR="00DE33E0">
        <w:rPr>
          <w:lang w:val="es-ES"/>
        </w:rPr>
        <w:t xml:space="preserve"> </w:t>
      </w:r>
      <w:r w:rsidR="00A7571C" w:rsidRPr="00F84EA4">
        <w:rPr>
          <w:lang w:val="es-ES"/>
        </w:rPr>
        <w:t>&amp;</w:t>
      </w:r>
      <w:r w:rsidR="00DE33E0">
        <w:rPr>
          <w:lang w:val="es-ES"/>
        </w:rPr>
        <w:t xml:space="preserve"> </w:t>
      </w:r>
      <w:r w:rsidR="00AD1AA5" w:rsidRPr="00F84EA4">
        <w:rPr>
          <w:lang w:val="es-ES"/>
        </w:rPr>
        <w:t xml:space="preserve">Tunstall, 2008). </w:t>
      </w:r>
    </w:p>
    <w:p w14:paraId="47C0CF35" w14:textId="77777777" w:rsidR="007A6E77" w:rsidRPr="007A6E77" w:rsidRDefault="0006407B" w:rsidP="006965C4">
      <w:pPr>
        <w:pStyle w:val="Cuerpo"/>
        <w:spacing w:after="0" w:line="240" w:lineRule="auto"/>
        <w:ind w:firstLine="708"/>
        <w:rPr>
          <w:rFonts w:ascii="Times New Roman" w:hAnsi="Times New Roman" w:cs="Times New Roman"/>
          <w:sz w:val="24"/>
          <w:szCs w:val="24"/>
          <w:lang w:val="es-ES"/>
        </w:rPr>
      </w:pPr>
      <w:r w:rsidRPr="00F84EA4">
        <w:rPr>
          <w:rFonts w:ascii="Times New Roman" w:hAnsi="Times New Roman" w:cs="Times New Roman"/>
          <w:sz w:val="24"/>
          <w:szCs w:val="24"/>
          <w:lang w:val="es-ES"/>
        </w:rPr>
        <w:t>Por otra parte</w:t>
      </w:r>
      <w:r w:rsidR="00DB1500" w:rsidRPr="00F84EA4">
        <w:rPr>
          <w:rFonts w:ascii="Times New Roman" w:hAnsi="Times New Roman" w:cs="Times New Roman"/>
          <w:sz w:val="24"/>
          <w:szCs w:val="24"/>
          <w:lang w:val="es-ES"/>
        </w:rPr>
        <w:t>,</w:t>
      </w:r>
      <w:r w:rsidR="001E6A58" w:rsidRPr="00F84EA4">
        <w:rPr>
          <w:rFonts w:ascii="Times New Roman" w:hAnsi="Times New Roman" w:cs="Times New Roman"/>
          <w:sz w:val="24"/>
          <w:szCs w:val="24"/>
          <w:lang w:val="es-ES"/>
        </w:rPr>
        <w:t xml:space="preserve"> se considera que l</w:t>
      </w:r>
      <w:r w:rsidR="00C52220" w:rsidRPr="00F84EA4">
        <w:rPr>
          <w:rFonts w:ascii="Times New Roman" w:hAnsi="Times New Roman" w:cs="Times New Roman"/>
          <w:sz w:val="24"/>
          <w:szCs w:val="24"/>
          <w:lang w:val="es-ES"/>
        </w:rPr>
        <w:t xml:space="preserve">a </w:t>
      </w:r>
      <w:r w:rsidR="001E6A58" w:rsidRPr="00F84EA4">
        <w:rPr>
          <w:rFonts w:ascii="Times New Roman" w:hAnsi="Times New Roman" w:cs="Times New Roman"/>
          <w:sz w:val="24"/>
          <w:szCs w:val="24"/>
          <w:lang w:val="es-ES"/>
        </w:rPr>
        <w:t>percepción</w:t>
      </w:r>
      <w:r w:rsidR="00C52220" w:rsidRPr="00F84EA4">
        <w:rPr>
          <w:rFonts w:ascii="Times New Roman" w:hAnsi="Times New Roman" w:cs="Times New Roman"/>
          <w:sz w:val="24"/>
          <w:szCs w:val="24"/>
          <w:lang w:val="es-ES"/>
        </w:rPr>
        <w:t xml:space="preserve"> de riesgo</w:t>
      </w:r>
      <w:r w:rsidR="001E6A58" w:rsidRPr="00F84EA4">
        <w:rPr>
          <w:rFonts w:ascii="Times New Roman" w:hAnsi="Times New Roman" w:cs="Times New Roman"/>
          <w:sz w:val="24"/>
          <w:szCs w:val="24"/>
          <w:lang w:val="es-ES"/>
        </w:rPr>
        <w:t>s</w:t>
      </w:r>
      <w:r w:rsidR="00C52220" w:rsidRPr="00F84EA4">
        <w:rPr>
          <w:rFonts w:ascii="Times New Roman" w:hAnsi="Times New Roman" w:cs="Times New Roman"/>
          <w:sz w:val="24"/>
          <w:szCs w:val="24"/>
          <w:lang w:val="es-ES"/>
        </w:rPr>
        <w:t xml:space="preserve"> ambien</w:t>
      </w:r>
      <w:r w:rsidR="00B17551" w:rsidRPr="00F84EA4">
        <w:rPr>
          <w:rFonts w:ascii="Times New Roman" w:hAnsi="Times New Roman" w:cs="Times New Roman"/>
          <w:sz w:val="24"/>
          <w:szCs w:val="24"/>
          <w:lang w:val="es-ES"/>
        </w:rPr>
        <w:t>tal</w:t>
      </w:r>
      <w:r w:rsidR="001E6A58" w:rsidRPr="00F84EA4">
        <w:rPr>
          <w:rFonts w:ascii="Times New Roman" w:hAnsi="Times New Roman" w:cs="Times New Roman"/>
          <w:sz w:val="24"/>
          <w:szCs w:val="24"/>
          <w:lang w:val="es-ES"/>
        </w:rPr>
        <w:t>es</w:t>
      </w:r>
      <w:r w:rsidR="00F84EA4" w:rsidRPr="00F84EA4">
        <w:rPr>
          <w:rFonts w:ascii="Times New Roman" w:hAnsi="Times New Roman" w:cs="Times New Roman"/>
          <w:sz w:val="24"/>
          <w:szCs w:val="24"/>
          <w:lang w:val="es-ES"/>
        </w:rPr>
        <w:t xml:space="preserve"> y específicamente la percepción del riesgo de inundación, </w:t>
      </w:r>
      <w:r w:rsidR="00F31031" w:rsidRPr="00F84EA4">
        <w:rPr>
          <w:rFonts w:ascii="Times New Roman" w:hAnsi="Times New Roman" w:cs="Times New Roman"/>
          <w:sz w:val="24"/>
          <w:szCs w:val="24"/>
          <w:lang w:val="es-ES"/>
        </w:rPr>
        <w:t>es</w:t>
      </w:r>
      <w:r w:rsidR="00F84EA4" w:rsidRPr="00F84EA4">
        <w:rPr>
          <w:rFonts w:ascii="Times New Roman" w:hAnsi="Times New Roman" w:cs="Times New Roman"/>
          <w:sz w:val="24"/>
          <w:szCs w:val="24"/>
          <w:lang w:val="es-ES"/>
        </w:rPr>
        <w:t xml:space="preserve"> el resultado</w:t>
      </w:r>
      <w:r w:rsidR="00C52220" w:rsidRPr="00F84EA4">
        <w:rPr>
          <w:rFonts w:ascii="Times New Roman" w:hAnsi="Times New Roman" w:cs="Times New Roman"/>
          <w:sz w:val="24"/>
          <w:szCs w:val="24"/>
          <w:lang w:val="es-ES"/>
        </w:rPr>
        <w:t xml:space="preserve"> de las experiencias previas que proporcionan a los individuos esquemas cognitivos para </w:t>
      </w:r>
      <w:r w:rsidR="00B20BA9" w:rsidRPr="00F84EA4">
        <w:rPr>
          <w:rFonts w:ascii="Times New Roman" w:hAnsi="Times New Roman" w:cs="Times New Roman"/>
          <w:sz w:val="24"/>
          <w:szCs w:val="24"/>
          <w:lang w:val="es-ES"/>
        </w:rPr>
        <w:t xml:space="preserve">definir, entender </w:t>
      </w:r>
      <w:r w:rsidR="00C52220" w:rsidRPr="00F84EA4">
        <w:rPr>
          <w:rFonts w:ascii="Times New Roman" w:hAnsi="Times New Roman" w:cs="Times New Roman"/>
          <w:sz w:val="24"/>
          <w:szCs w:val="24"/>
          <w:lang w:val="es-ES"/>
        </w:rPr>
        <w:t xml:space="preserve">y </w:t>
      </w:r>
      <w:r w:rsidR="00C341F4" w:rsidRPr="00F84EA4">
        <w:rPr>
          <w:rFonts w:ascii="Times New Roman" w:hAnsi="Times New Roman" w:cs="Times New Roman"/>
          <w:sz w:val="24"/>
          <w:szCs w:val="24"/>
          <w:lang w:val="es-ES"/>
        </w:rPr>
        <w:t>enfrentar</w:t>
      </w:r>
      <w:r w:rsidR="00DE33E0">
        <w:rPr>
          <w:rFonts w:ascii="Times New Roman" w:hAnsi="Times New Roman" w:cs="Times New Roman"/>
          <w:sz w:val="24"/>
          <w:szCs w:val="24"/>
          <w:lang w:val="es-ES"/>
        </w:rPr>
        <w:t xml:space="preserve"> </w:t>
      </w:r>
      <w:r w:rsidR="00DB1500" w:rsidRPr="00F84EA4">
        <w:rPr>
          <w:rFonts w:ascii="Times New Roman" w:hAnsi="Times New Roman" w:cs="Times New Roman"/>
          <w:sz w:val="24"/>
          <w:szCs w:val="24"/>
          <w:lang w:val="es-ES"/>
        </w:rPr>
        <w:t>e</w:t>
      </w:r>
      <w:r w:rsidR="00C52220" w:rsidRPr="00F84EA4">
        <w:rPr>
          <w:rFonts w:ascii="Times New Roman" w:hAnsi="Times New Roman" w:cs="Times New Roman"/>
          <w:sz w:val="24"/>
          <w:szCs w:val="24"/>
          <w:lang w:val="es-ES"/>
        </w:rPr>
        <w:t>l riesgo</w:t>
      </w:r>
      <w:r w:rsidR="001E6A58" w:rsidRPr="00F84EA4">
        <w:rPr>
          <w:rFonts w:ascii="Times New Roman" w:hAnsi="Times New Roman" w:cs="Times New Roman"/>
          <w:sz w:val="24"/>
          <w:szCs w:val="24"/>
          <w:lang w:val="es-ES"/>
        </w:rPr>
        <w:t xml:space="preserve"> (Weber, Hair</w:t>
      </w:r>
      <w:r w:rsidR="00DE33E0">
        <w:rPr>
          <w:rFonts w:ascii="Times New Roman" w:hAnsi="Times New Roman" w:cs="Times New Roman"/>
          <w:sz w:val="24"/>
          <w:szCs w:val="24"/>
          <w:lang w:val="es-ES"/>
        </w:rPr>
        <w:t xml:space="preserve"> </w:t>
      </w:r>
      <w:r w:rsidR="00A7571C" w:rsidRPr="00F84EA4">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r w:rsidR="001E6A58" w:rsidRPr="00F84EA4">
        <w:rPr>
          <w:rFonts w:ascii="Times New Roman" w:hAnsi="Times New Roman" w:cs="Times New Roman"/>
          <w:sz w:val="24"/>
          <w:szCs w:val="24"/>
          <w:lang w:val="es-ES"/>
        </w:rPr>
        <w:t>Fowler, 2000)</w:t>
      </w:r>
      <w:r w:rsidR="00E76E5E" w:rsidRPr="00F84EA4">
        <w:rPr>
          <w:rFonts w:ascii="Times New Roman" w:hAnsi="Times New Roman" w:cs="Times New Roman"/>
          <w:sz w:val="24"/>
          <w:szCs w:val="24"/>
          <w:lang w:val="es-ES"/>
        </w:rPr>
        <w:t>.</w:t>
      </w:r>
      <w:r w:rsidR="00C331C5">
        <w:rPr>
          <w:rFonts w:ascii="Times New Roman" w:hAnsi="Times New Roman" w:cs="Times New Roman"/>
          <w:sz w:val="24"/>
          <w:szCs w:val="24"/>
          <w:lang w:val="es-ES"/>
        </w:rPr>
        <w:t xml:space="preserve"> </w:t>
      </w:r>
      <w:r w:rsidR="00F84EA4">
        <w:rPr>
          <w:rFonts w:ascii="Times New Roman" w:hAnsi="Times New Roman" w:cs="Times New Roman"/>
          <w:sz w:val="24"/>
          <w:szCs w:val="24"/>
          <w:lang w:val="es-ES"/>
        </w:rPr>
        <w:t>L</w:t>
      </w:r>
      <w:r w:rsidR="00F84EA4" w:rsidRPr="00011084">
        <w:rPr>
          <w:rFonts w:ascii="Times New Roman" w:hAnsi="Times New Roman" w:cs="Times New Roman"/>
          <w:sz w:val="24"/>
          <w:szCs w:val="24"/>
          <w:lang w:val="es-ES"/>
        </w:rPr>
        <w:t xml:space="preserve">a experiencia de inundaciones anteriores parece ser el factor que más influye en el aumento de la percepción del riesgo (Villa </w:t>
      </w:r>
      <w:r w:rsidR="00F84EA4">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r w:rsidR="00F84EA4" w:rsidRPr="00011084">
        <w:rPr>
          <w:rFonts w:ascii="Times New Roman" w:hAnsi="Times New Roman" w:cs="Times New Roman"/>
          <w:sz w:val="24"/>
          <w:szCs w:val="24"/>
          <w:lang w:val="es-ES"/>
        </w:rPr>
        <w:t>Bélanger, 2012)</w:t>
      </w:r>
      <w:r w:rsidR="00F84EA4">
        <w:rPr>
          <w:rFonts w:ascii="Times New Roman" w:hAnsi="Times New Roman" w:cs="Times New Roman"/>
          <w:sz w:val="24"/>
          <w:szCs w:val="24"/>
          <w:lang w:val="es-ES"/>
        </w:rPr>
        <w:t xml:space="preserve">, en tanto </w:t>
      </w:r>
      <w:r w:rsidR="00F84EA4" w:rsidRPr="00011084">
        <w:rPr>
          <w:rFonts w:ascii="Times New Roman" w:hAnsi="Times New Roman" w:cs="Times New Roman"/>
          <w:sz w:val="24"/>
          <w:szCs w:val="24"/>
          <w:lang w:val="es-ES"/>
        </w:rPr>
        <w:t>permite evaluar mejor la probabilidad que un evento de este tipo se produzca en el futuro (Botzen</w:t>
      </w:r>
      <w:r w:rsidR="00F84EA4" w:rsidRPr="00011084">
        <w:rPr>
          <w:rFonts w:ascii="Times New Roman" w:hAnsi="Times New Roman" w:cs="Times New Roman"/>
          <w:iCs/>
          <w:sz w:val="24"/>
          <w:szCs w:val="24"/>
          <w:lang w:val="es-ES"/>
        </w:rPr>
        <w:t>et al</w:t>
      </w:r>
      <w:r w:rsidR="00F84EA4" w:rsidRPr="00011084">
        <w:rPr>
          <w:rFonts w:ascii="Times New Roman" w:hAnsi="Times New Roman" w:cs="Times New Roman"/>
          <w:sz w:val="24"/>
          <w:szCs w:val="24"/>
          <w:lang w:val="es-ES"/>
        </w:rPr>
        <w:t>., 2009;</w:t>
      </w:r>
      <w:r w:rsidR="00C331C5">
        <w:rPr>
          <w:rFonts w:ascii="Times New Roman" w:hAnsi="Times New Roman" w:cs="Times New Roman"/>
          <w:sz w:val="24"/>
          <w:szCs w:val="24"/>
          <w:lang w:val="es-ES"/>
        </w:rPr>
        <w:t xml:space="preserve"> </w:t>
      </w:r>
      <w:r w:rsidR="00F84EA4" w:rsidRPr="00011084">
        <w:rPr>
          <w:rFonts w:ascii="Times New Roman" w:hAnsi="Times New Roman" w:cs="Times New Roman"/>
          <w:sz w:val="24"/>
          <w:szCs w:val="24"/>
          <w:lang w:val="es-ES"/>
        </w:rPr>
        <w:t>Correia,</w:t>
      </w:r>
      <w:r w:rsidR="00C875CF">
        <w:rPr>
          <w:rFonts w:ascii="Times New Roman" w:hAnsi="Times New Roman" w:cs="Times New Roman"/>
          <w:sz w:val="24"/>
          <w:szCs w:val="24"/>
          <w:lang w:val="es-ES"/>
        </w:rPr>
        <w:t xml:space="preserve"> </w:t>
      </w:r>
      <w:r w:rsidR="00F84EA4" w:rsidRPr="009E2782">
        <w:rPr>
          <w:rFonts w:ascii="Times New Roman" w:hAnsi="Times New Roman" w:cs="Times New Roman"/>
          <w:sz w:val="24"/>
          <w:szCs w:val="24"/>
          <w:lang w:val="es-ES"/>
        </w:rPr>
        <w:t>Fordham, Saraiva</w:t>
      </w:r>
      <w:r w:rsidR="00DE33E0">
        <w:rPr>
          <w:rFonts w:ascii="Times New Roman" w:hAnsi="Times New Roman" w:cs="Times New Roman"/>
          <w:sz w:val="24"/>
          <w:szCs w:val="24"/>
          <w:lang w:val="es-ES"/>
        </w:rPr>
        <w:t xml:space="preserve"> </w:t>
      </w:r>
      <w:r w:rsidR="00F84EA4">
        <w:rPr>
          <w:rFonts w:ascii="Times New Roman" w:hAnsi="Times New Roman" w:cs="Times New Roman"/>
          <w:sz w:val="24"/>
          <w:szCs w:val="24"/>
          <w:lang w:val="es-ES"/>
        </w:rPr>
        <w:t>&amp;</w:t>
      </w:r>
      <w:r w:rsidR="00F84EA4" w:rsidRPr="009E2782">
        <w:rPr>
          <w:rFonts w:ascii="Times New Roman" w:hAnsi="Times New Roman" w:cs="Times New Roman"/>
          <w:sz w:val="24"/>
          <w:szCs w:val="24"/>
          <w:lang w:val="es-ES"/>
        </w:rPr>
        <w:t xml:space="preserve"> Bernardo</w:t>
      </w:r>
      <w:r w:rsidR="00F84EA4">
        <w:rPr>
          <w:rFonts w:ascii="Times New Roman" w:hAnsi="Times New Roman" w:cs="Times New Roman"/>
          <w:sz w:val="24"/>
          <w:szCs w:val="24"/>
          <w:lang w:val="es-ES"/>
        </w:rPr>
        <w:t>,</w:t>
      </w:r>
      <w:r w:rsidR="00F84EA4" w:rsidRPr="00011084">
        <w:rPr>
          <w:rFonts w:ascii="Times New Roman" w:hAnsi="Times New Roman" w:cs="Times New Roman"/>
          <w:sz w:val="24"/>
          <w:szCs w:val="24"/>
          <w:lang w:val="es-ES"/>
        </w:rPr>
        <w:t xml:space="preserve"> 1998; Tersptra, 2009; Zhang </w:t>
      </w:r>
      <w:r w:rsidR="00F84EA4" w:rsidRPr="00011084">
        <w:rPr>
          <w:rFonts w:ascii="Times New Roman" w:hAnsi="Times New Roman" w:cs="Times New Roman"/>
          <w:iCs/>
          <w:sz w:val="24"/>
          <w:szCs w:val="24"/>
          <w:lang w:val="es-ES"/>
        </w:rPr>
        <w:t>et al.</w:t>
      </w:r>
      <w:r w:rsidR="00F84EA4" w:rsidRPr="00011084">
        <w:rPr>
          <w:rFonts w:ascii="Times New Roman" w:hAnsi="Times New Roman" w:cs="Times New Roman"/>
          <w:sz w:val="24"/>
          <w:szCs w:val="24"/>
          <w:lang w:val="es-ES"/>
        </w:rPr>
        <w:t xml:space="preserve">, 2010). Sin embargo, </w:t>
      </w:r>
      <w:r w:rsidR="00F84EA4">
        <w:rPr>
          <w:rFonts w:ascii="Times New Roman" w:hAnsi="Times New Roman" w:cs="Times New Roman"/>
          <w:sz w:val="24"/>
          <w:szCs w:val="24"/>
          <w:lang w:val="es-ES"/>
        </w:rPr>
        <w:t xml:space="preserve">es posible que </w:t>
      </w:r>
      <w:r w:rsidR="00F84EA4" w:rsidRPr="00011084">
        <w:rPr>
          <w:rFonts w:ascii="Times New Roman" w:hAnsi="Times New Roman" w:cs="Times New Roman"/>
          <w:sz w:val="24"/>
          <w:szCs w:val="24"/>
          <w:lang w:val="es-ES"/>
        </w:rPr>
        <w:t>habitantes de zonas que han exp</w:t>
      </w:r>
      <w:r w:rsidR="00F84EA4">
        <w:rPr>
          <w:rFonts w:ascii="Times New Roman" w:hAnsi="Times New Roman" w:cs="Times New Roman"/>
          <w:sz w:val="24"/>
          <w:szCs w:val="24"/>
          <w:lang w:val="es-ES"/>
        </w:rPr>
        <w:t>erimentado inundaciones menores pueda</w:t>
      </w:r>
      <w:r w:rsidR="00F84EA4" w:rsidRPr="00011084">
        <w:rPr>
          <w:rFonts w:ascii="Times New Roman" w:hAnsi="Times New Roman" w:cs="Times New Roman"/>
          <w:sz w:val="24"/>
          <w:szCs w:val="24"/>
          <w:lang w:val="es-ES"/>
        </w:rPr>
        <w:t>n subestimar la probabilidad y el impacto de inundaciones futuras (Carroll</w:t>
      </w:r>
      <w:r w:rsidR="00F84EA4">
        <w:rPr>
          <w:rFonts w:ascii="Times New Roman" w:hAnsi="Times New Roman" w:cs="Times New Roman"/>
          <w:sz w:val="24"/>
          <w:szCs w:val="24"/>
          <w:lang w:val="es-ES"/>
        </w:rPr>
        <w:t>,</w:t>
      </w:r>
      <w:r w:rsidR="00DE33E0">
        <w:rPr>
          <w:rFonts w:ascii="Times New Roman" w:hAnsi="Times New Roman" w:cs="Times New Roman"/>
          <w:sz w:val="24"/>
          <w:szCs w:val="24"/>
          <w:lang w:val="es-ES"/>
        </w:rPr>
        <w:t xml:space="preserve"> </w:t>
      </w:r>
      <w:r w:rsidR="00F84EA4" w:rsidRPr="009E2782">
        <w:rPr>
          <w:rFonts w:ascii="Times New Roman" w:hAnsi="Times New Roman" w:cs="Times New Roman"/>
          <w:iCs/>
          <w:sz w:val="24"/>
          <w:szCs w:val="24"/>
          <w:lang w:val="es-ES"/>
        </w:rPr>
        <w:t xml:space="preserve">Balogh, </w:t>
      </w:r>
      <w:r w:rsidR="00F84EA4">
        <w:rPr>
          <w:rFonts w:ascii="Times New Roman" w:hAnsi="Times New Roman" w:cs="Times New Roman"/>
          <w:iCs/>
          <w:sz w:val="24"/>
          <w:szCs w:val="24"/>
          <w:lang w:val="es-ES"/>
        </w:rPr>
        <w:t>Morbey</w:t>
      </w:r>
      <w:r w:rsidR="00DE33E0">
        <w:rPr>
          <w:rFonts w:ascii="Times New Roman" w:hAnsi="Times New Roman" w:cs="Times New Roman"/>
          <w:iCs/>
          <w:sz w:val="24"/>
          <w:szCs w:val="24"/>
          <w:lang w:val="es-ES"/>
        </w:rPr>
        <w:t xml:space="preserve"> </w:t>
      </w:r>
      <w:r w:rsidR="00F84EA4">
        <w:rPr>
          <w:rFonts w:ascii="Times New Roman" w:hAnsi="Times New Roman" w:cs="Times New Roman"/>
          <w:iCs/>
          <w:sz w:val="24"/>
          <w:szCs w:val="24"/>
          <w:lang w:val="es-ES"/>
        </w:rPr>
        <w:t>&amp;</w:t>
      </w:r>
      <w:r w:rsidR="00F84EA4" w:rsidRPr="009E2782">
        <w:rPr>
          <w:rFonts w:ascii="Times New Roman" w:hAnsi="Times New Roman" w:cs="Times New Roman"/>
          <w:iCs/>
          <w:sz w:val="24"/>
          <w:szCs w:val="24"/>
          <w:lang w:val="es-ES"/>
        </w:rPr>
        <w:t xml:space="preserve"> Araoz</w:t>
      </w:r>
      <w:r w:rsidR="00F84EA4">
        <w:rPr>
          <w:rFonts w:ascii="Times New Roman" w:hAnsi="Times New Roman" w:cs="Times New Roman"/>
          <w:iCs/>
          <w:sz w:val="24"/>
          <w:szCs w:val="24"/>
          <w:lang w:val="es-ES"/>
        </w:rPr>
        <w:t>,</w:t>
      </w:r>
      <w:r w:rsidR="00F84EA4" w:rsidRPr="00011084">
        <w:rPr>
          <w:rFonts w:ascii="Times New Roman" w:hAnsi="Times New Roman" w:cs="Times New Roman"/>
          <w:sz w:val="24"/>
          <w:szCs w:val="24"/>
          <w:lang w:val="es-ES"/>
        </w:rPr>
        <w:t xml:space="preserve"> 2010;</w:t>
      </w:r>
      <w:r w:rsidR="00F84EA4">
        <w:rPr>
          <w:rFonts w:ascii="Times New Roman" w:hAnsi="Times New Roman" w:cs="Times New Roman"/>
          <w:sz w:val="24"/>
          <w:szCs w:val="24"/>
          <w:lang w:val="es-ES"/>
        </w:rPr>
        <w:t xml:space="preserve"> Ruin, </w:t>
      </w:r>
      <w:r w:rsidR="00F84EA4" w:rsidRPr="009E2782">
        <w:rPr>
          <w:rFonts w:ascii="Times New Roman" w:hAnsi="Times New Roman" w:cs="Times New Roman"/>
          <w:sz w:val="24"/>
          <w:szCs w:val="24"/>
          <w:lang w:val="es-ES"/>
        </w:rPr>
        <w:t>Gaillard</w:t>
      </w:r>
      <w:r w:rsidR="00DE33E0">
        <w:rPr>
          <w:rFonts w:ascii="Times New Roman" w:hAnsi="Times New Roman" w:cs="Times New Roman"/>
          <w:sz w:val="24"/>
          <w:szCs w:val="24"/>
          <w:lang w:val="es-ES"/>
        </w:rPr>
        <w:t xml:space="preserve"> </w:t>
      </w:r>
      <w:r w:rsidR="00F84EA4">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r w:rsidR="00F84EA4" w:rsidRPr="009E2782">
        <w:rPr>
          <w:rFonts w:ascii="Times New Roman" w:hAnsi="Times New Roman" w:cs="Times New Roman"/>
          <w:sz w:val="24"/>
          <w:szCs w:val="24"/>
          <w:lang w:val="es-ES"/>
        </w:rPr>
        <w:t>Lutoff</w:t>
      </w:r>
      <w:r w:rsidR="00F84EA4">
        <w:rPr>
          <w:rFonts w:ascii="Times New Roman" w:hAnsi="Times New Roman" w:cs="Times New Roman"/>
          <w:sz w:val="24"/>
          <w:szCs w:val="24"/>
          <w:lang w:val="es-ES"/>
        </w:rPr>
        <w:t>, 2007), debido a que</w:t>
      </w:r>
      <w:r w:rsidR="00F84EA4" w:rsidRPr="00011084">
        <w:rPr>
          <w:rFonts w:ascii="Times New Roman" w:hAnsi="Times New Roman" w:cs="Times New Roman"/>
          <w:sz w:val="24"/>
          <w:szCs w:val="24"/>
          <w:lang w:val="es-ES"/>
        </w:rPr>
        <w:t xml:space="preserve"> la familiaridad co</w:t>
      </w:r>
      <w:r w:rsidR="00F84EA4">
        <w:rPr>
          <w:rFonts w:ascii="Times New Roman" w:hAnsi="Times New Roman" w:cs="Times New Roman"/>
          <w:sz w:val="24"/>
          <w:szCs w:val="24"/>
          <w:lang w:val="es-ES"/>
        </w:rPr>
        <w:t>n ciertos tipos de riesgo puede</w:t>
      </w:r>
      <w:r w:rsidR="00F84EA4" w:rsidRPr="00011084">
        <w:rPr>
          <w:rFonts w:ascii="Times New Roman" w:hAnsi="Times New Roman" w:cs="Times New Roman"/>
          <w:sz w:val="24"/>
          <w:szCs w:val="24"/>
          <w:lang w:val="es-ES"/>
        </w:rPr>
        <w:t xml:space="preserve"> tener un efecto de disminución o de banalización del </w:t>
      </w:r>
      <w:r w:rsidR="00F84EA4">
        <w:rPr>
          <w:rFonts w:ascii="Times New Roman" w:hAnsi="Times New Roman" w:cs="Times New Roman"/>
          <w:sz w:val="24"/>
          <w:szCs w:val="24"/>
          <w:lang w:val="es-ES"/>
        </w:rPr>
        <w:t>mismo</w:t>
      </w:r>
      <w:r w:rsidR="00F84EA4" w:rsidRPr="00011084">
        <w:rPr>
          <w:rFonts w:ascii="Times New Roman" w:hAnsi="Times New Roman" w:cs="Times New Roman"/>
          <w:sz w:val="24"/>
          <w:szCs w:val="24"/>
          <w:lang w:val="es-ES"/>
        </w:rPr>
        <w:t xml:space="preserve">, especialmente cuando es de baja </w:t>
      </w:r>
      <w:r w:rsidR="00F84EA4">
        <w:rPr>
          <w:rFonts w:ascii="Times New Roman" w:hAnsi="Times New Roman" w:cs="Times New Roman"/>
          <w:sz w:val="24"/>
          <w:szCs w:val="24"/>
          <w:lang w:val="es-ES"/>
        </w:rPr>
        <w:t>intensidad</w:t>
      </w:r>
      <w:r w:rsidR="00F84EA4" w:rsidRPr="00011084">
        <w:rPr>
          <w:rFonts w:ascii="Times New Roman" w:hAnsi="Times New Roman" w:cs="Times New Roman"/>
          <w:sz w:val="24"/>
          <w:szCs w:val="24"/>
          <w:lang w:val="es-ES"/>
        </w:rPr>
        <w:t xml:space="preserve"> (Bernardo, 2013).</w:t>
      </w:r>
      <w:r w:rsidR="00C331C5">
        <w:rPr>
          <w:rFonts w:ascii="Times New Roman" w:hAnsi="Times New Roman" w:cs="Times New Roman"/>
          <w:sz w:val="24"/>
          <w:szCs w:val="24"/>
          <w:lang w:val="es-ES"/>
        </w:rPr>
        <w:t xml:space="preserve"> </w:t>
      </w:r>
      <w:r w:rsidR="001B0BE6">
        <w:rPr>
          <w:rFonts w:ascii="Times New Roman" w:hAnsi="Times New Roman" w:cs="Times New Roman"/>
          <w:sz w:val="24"/>
          <w:szCs w:val="24"/>
          <w:lang w:val="es-ES"/>
        </w:rPr>
        <w:t>Otro aspecto cercano al de la experiencia, es el de la proximidad</w:t>
      </w:r>
      <w:r w:rsidR="00A2121D">
        <w:rPr>
          <w:rFonts w:ascii="Times New Roman" w:hAnsi="Times New Roman" w:cs="Times New Roman"/>
          <w:sz w:val="24"/>
          <w:szCs w:val="24"/>
          <w:lang w:val="es-ES"/>
        </w:rPr>
        <w:t xml:space="preserve"> o exposición a la amenaza</w:t>
      </w:r>
      <w:r w:rsidR="001B0BE6">
        <w:rPr>
          <w:rFonts w:ascii="Times New Roman" w:hAnsi="Times New Roman" w:cs="Times New Roman"/>
          <w:sz w:val="24"/>
          <w:szCs w:val="24"/>
          <w:lang w:val="es-ES"/>
        </w:rPr>
        <w:t xml:space="preserve">, ya que </w:t>
      </w:r>
      <w:r w:rsidR="001B0BE6">
        <w:rPr>
          <w:rFonts w:ascii="Times New Roman" w:hAnsi="Times New Roman" w:cs="Times New Roman"/>
          <w:sz w:val="24"/>
          <w:szCs w:val="24"/>
        </w:rPr>
        <w:t>algunos</w:t>
      </w:r>
      <w:r w:rsidR="001B0BE6" w:rsidRPr="00F84EA4">
        <w:rPr>
          <w:rFonts w:ascii="Times New Roman" w:hAnsi="Times New Roman" w:cs="Times New Roman"/>
          <w:sz w:val="24"/>
          <w:szCs w:val="24"/>
        </w:rPr>
        <w:t xml:space="preserve"> estudios muestran que </w:t>
      </w:r>
      <w:r w:rsidR="001B0BE6" w:rsidRPr="00F84EA4">
        <w:rPr>
          <w:rFonts w:ascii="Times New Roman" w:hAnsi="Times New Roman" w:cs="Times New Roman"/>
          <w:sz w:val="24"/>
          <w:szCs w:val="24"/>
          <w:lang w:val="es-ES"/>
        </w:rPr>
        <w:t xml:space="preserve">las personas que </w:t>
      </w:r>
      <w:r w:rsidR="001B0BE6" w:rsidRPr="00F84EA4">
        <w:rPr>
          <w:rFonts w:ascii="Times New Roman" w:hAnsi="Times New Roman" w:cs="Times New Roman"/>
          <w:sz w:val="24"/>
          <w:szCs w:val="24"/>
          <w:lang w:val="es-ES"/>
        </w:rPr>
        <w:lastRenderedPageBreak/>
        <w:t>viven en zonas de riesgo de inundación, entre más cercano esté su domicilio a un río, la percepción del riesgo será más elevada (Botzen, Aerts</w:t>
      </w:r>
      <w:r w:rsidR="00DE33E0">
        <w:rPr>
          <w:rFonts w:ascii="Times New Roman" w:hAnsi="Times New Roman" w:cs="Times New Roman"/>
          <w:sz w:val="24"/>
          <w:szCs w:val="24"/>
          <w:lang w:val="es-ES"/>
        </w:rPr>
        <w:t xml:space="preserve"> </w:t>
      </w:r>
      <w:r w:rsidR="001B0BE6" w:rsidRPr="00F84EA4">
        <w:rPr>
          <w:rFonts w:ascii="Times New Roman" w:hAnsi="Times New Roman" w:cs="Times New Roman"/>
          <w:iCs/>
          <w:sz w:val="24"/>
          <w:szCs w:val="24"/>
          <w:lang w:val="es-ES"/>
        </w:rPr>
        <w:t>&amp; Van den Bergh</w:t>
      </w:r>
      <w:r w:rsidR="001B0BE6" w:rsidRPr="004F2FF0">
        <w:rPr>
          <w:rFonts w:ascii="Times New Roman" w:hAnsi="Times New Roman" w:cs="Times New Roman"/>
          <w:sz w:val="24"/>
          <w:szCs w:val="24"/>
          <w:lang w:val="es-ES"/>
        </w:rPr>
        <w:t>, 2009; Burningham</w:t>
      </w:r>
      <w:r w:rsidR="001B0BE6">
        <w:rPr>
          <w:rFonts w:ascii="Times New Roman" w:hAnsi="Times New Roman" w:cs="Times New Roman"/>
          <w:sz w:val="24"/>
          <w:szCs w:val="24"/>
          <w:lang w:val="es-ES"/>
        </w:rPr>
        <w:t xml:space="preserve">, </w:t>
      </w:r>
      <w:r w:rsidR="001B0BE6" w:rsidRPr="009E2782">
        <w:rPr>
          <w:rFonts w:ascii="Times New Roman" w:hAnsi="Times New Roman" w:cs="Times New Roman"/>
          <w:sz w:val="24"/>
          <w:szCs w:val="24"/>
          <w:lang w:val="es-ES"/>
        </w:rPr>
        <w:t>Fielding</w:t>
      </w:r>
      <w:r w:rsidR="00DE33E0">
        <w:rPr>
          <w:rFonts w:ascii="Times New Roman" w:hAnsi="Times New Roman" w:cs="Times New Roman"/>
          <w:sz w:val="24"/>
          <w:szCs w:val="24"/>
          <w:lang w:val="es-ES"/>
        </w:rPr>
        <w:t xml:space="preserve"> &amp; </w:t>
      </w:r>
      <w:r w:rsidR="001B0BE6" w:rsidRPr="009E2782">
        <w:rPr>
          <w:rFonts w:ascii="Times New Roman" w:hAnsi="Times New Roman" w:cs="Times New Roman"/>
          <w:sz w:val="24"/>
          <w:szCs w:val="24"/>
          <w:lang w:val="es-ES"/>
        </w:rPr>
        <w:t>Thrush</w:t>
      </w:r>
      <w:r w:rsidR="001B0BE6" w:rsidRPr="004F2FF0">
        <w:rPr>
          <w:rFonts w:ascii="Times New Roman" w:hAnsi="Times New Roman" w:cs="Times New Roman"/>
          <w:sz w:val="24"/>
          <w:szCs w:val="24"/>
          <w:lang w:val="es-ES"/>
        </w:rPr>
        <w:t>, 2008; Zhang</w:t>
      </w:r>
      <w:r w:rsidR="001B0BE6">
        <w:rPr>
          <w:rFonts w:ascii="Times New Roman" w:hAnsi="Times New Roman" w:cs="Times New Roman"/>
          <w:sz w:val="24"/>
          <w:szCs w:val="24"/>
          <w:lang w:val="es-ES"/>
        </w:rPr>
        <w:t xml:space="preserve">, </w:t>
      </w:r>
      <w:r w:rsidR="001B0BE6" w:rsidRPr="009E2782">
        <w:rPr>
          <w:rFonts w:ascii="Times New Roman" w:hAnsi="Times New Roman" w:cs="Times New Roman"/>
          <w:sz w:val="24"/>
          <w:szCs w:val="24"/>
          <w:lang w:val="es-ES"/>
        </w:rPr>
        <w:t>Hwang</w:t>
      </w:r>
      <w:r w:rsidR="00DE33E0">
        <w:rPr>
          <w:rFonts w:ascii="Times New Roman" w:hAnsi="Times New Roman" w:cs="Times New Roman"/>
          <w:sz w:val="24"/>
          <w:szCs w:val="24"/>
          <w:lang w:val="es-ES"/>
        </w:rPr>
        <w:t xml:space="preserve"> </w:t>
      </w:r>
      <w:r w:rsidR="001B0BE6">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r w:rsidR="001B0BE6" w:rsidRPr="009E2782">
        <w:rPr>
          <w:rFonts w:ascii="Times New Roman" w:hAnsi="Times New Roman" w:cs="Times New Roman"/>
          <w:sz w:val="24"/>
          <w:szCs w:val="24"/>
          <w:lang w:val="es-ES"/>
        </w:rPr>
        <w:t>Lindell</w:t>
      </w:r>
      <w:r w:rsidR="001B0BE6">
        <w:rPr>
          <w:rFonts w:ascii="Times New Roman" w:hAnsi="Times New Roman" w:cs="Times New Roman"/>
          <w:sz w:val="24"/>
          <w:szCs w:val="24"/>
          <w:lang w:val="es-ES"/>
        </w:rPr>
        <w:t>, 2010)</w:t>
      </w:r>
      <w:r w:rsidR="00A2121D">
        <w:rPr>
          <w:rFonts w:ascii="Times New Roman" w:hAnsi="Times New Roman" w:cs="Times New Roman"/>
          <w:sz w:val="24"/>
          <w:szCs w:val="24"/>
          <w:lang w:val="es-ES"/>
        </w:rPr>
        <w:t xml:space="preserve">. </w:t>
      </w:r>
      <w:r w:rsidR="00F84EA4">
        <w:rPr>
          <w:rFonts w:ascii="Times New Roman" w:hAnsi="Times New Roman" w:cs="Times New Roman"/>
          <w:sz w:val="24"/>
          <w:szCs w:val="24"/>
          <w:lang w:val="es-ES"/>
        </w:rPr>
        <w:t>A e</w:t>
      </w:r>
      <w:r w:rsidR="00F84EA4" w:rsidRPr="00372854">
        <w:rPr>
          <w:rFonts w:ascii="Times New Roman" w:hAnsi="Times New Roman" w:cs="Times New Roman"/>
          <w:sz w:val="24"/>
          <w:szCs w:val="24"/>
          <w:lang w:val="es-ES"/>
        </w:rPr>
        <w:t xml:space="preserve">stos factores relacionados a las características de los individuos (vulnerabilidad social o individual, exposición a la amenaza), se les conoce </w:t>
      </w:r>
      <w:r w:rsidR="00F84EA4" w:rsidRPr="007A6E77">
        <w:rPr>
          <w:rFonts w:ascii="Times New Roman" w:hAnsi="Times New Roman" w:cs="Times New Roman"/>
          <w:sz w:val="24"/>
          <w:szCs w:val="24"/>
          <w:lang w:val="es-ES"/>
        </w:rPr>
        <w:t>como determinantes distales del riesgo (Sjöberg, 2003)</w:t>
      </w:r>
      <w:r w:rsidR="007A6E77" w:rsidRPr="007A6E77">
        <w:rPr>
          <w:rFonts w:ascii="Times New Roman" w:hAnsi="Times New Roman" w:cs="Times New Roman"/>
          <w:sz w:val="24"/>
          <w:szCs w:val="24"/>
          <w:lang w:val="es-ES"/>
        </w:rPr>
        <w:t xml:space="preserve">. </w:t>
      </w:r>
    </w:p>
    <w:p w14:paraId="4ADA018A" w14:textId="77777777" w:rsidR="00682D83" w:rsidRPr="007A6E77" w:rsidRDefault="00A2121D" w:rsidP="006965C4">
      <w:pPr>
        <w:pStyle w:val="Cuerpo"/>
        <w:spacing w:after="0" w:line="240" w:lineRule="auto"/>
        <w:ind w:firstLine="708"/>
        <w:rPr>
          <w:rFonts w:ascii="Times New Roman" w:hAnsi="Times New Roman" w:cs="Times New Roman"/>
          <w:sz w:val="24"/>
          <w:szCs w:val="24"/>
          <w:lang w:val="es-ES"/>
        </w:rPr>
      </w:pPr>
      <w:r>
        <w:rPr>
          <w:rFonts w:ascii="Times New Roman" w:hAnsi="Times New Roman" w:cs="Times New Roman"/>
          <w:sz w:val="24"/>
          <w:szCs w:val="24"/>
          <w:lang w:val="es-ES"/>
        </w:rPr>
        <w:t>Además de estos factores, d</w:t>
      </w:r>
      <w:r w:rsidR="009A5CF7" w:rsidRPr="007A6E77">
        <w:rPr>
          <w:rFonts w:ascii="Times New Roman" w:hAnsi="Times New Roman" w:cs="Times New Roman"/>
          <w:sz w:val="24"/>
          <w:szCs w:val="24"/>
          <w:lang w:val="es-ES"/>
        </w:rPr>
        <w:t xml:space="preserve">e acuerdo con </w:t>
      </w:r>
      <w:r w:rsidR="007A6E77" w:rsidRPr="007A6E77">
        <w:rPr>
          <w:rFonts w:ascii="Times New Roman" w:hAnsi="Times New Roman" w:cs="Times New Roman"/>
          <w:sz w:val="24"/>
          <w:szCs w:val="24"/>
          <w:lang w:val="es-ES"/>
        </w:rPr>
        <w:t>el enfoque psicométrico,</w:t>
      </w:r>
      <w:r w:rsidR="009A5CF7" w:rsidRPr="007A6E77">
        <w:rPr>
          <w:rFonts w:ascii="Times New Roman" w:hAnsi="Times New Roman" w:cs="Times New Roman"/>
          <w:sz w:val="24"/>
          <w:szCs w:val="24"/>
          <w:lang w:val="es-ES"/>
        </w:rPr>
        <w:t xml:space="preserve"> el riesgo no existe independiente del pensamiento y la cultura (Slovic</w:t>
      </w:r>
      <w:r w:rsidR="00C875CF">
        <w:rPr>
          <w:rFonts w:ascii="Times New Roman" w:hAnsi="Times New Roman" w:cs="Times New Roman"/>
          <w:sz w:val="24"/>
          <w:szCs w:val="24"/>
          <w:lang w:val="es-ES"/>
        </w:rPr>
        <w:t>,</w:t>
      </w:r>
      <w:r w:rsidR="009A5CF7" w:rsidRPr="007A6E77">
        <w:rPr>
          <w:rFonts w:ascii="Times New Roman" w:hAnsi="Times New Roman" w:cs="Times New Roman"/>
          <w:sz w:val="24"/>
          <w:szCs w:val="24"/>
          <w:lang w:val="es-ES"/>
        </w:rPr>
        <w:t xml:space="preserve"> 1987).</w:t>
      </w:r>
      <w:r>
        <w:rPr>
          <w:rFonts w:ascii="Times New Roman" w:hAnsi="Times New Roman" w:cs="Times New Roman"/>
          <w:sz w:val="24"/>
          <w:szCs w:val="24"/>
          <w:lang w:val="es-ES"/>
        </w:rPr>
        <w:t xml:space="preserve"> U</w:t>
      </w:r>
      <w:r w:rsidR="009A5CF7" w:rsidRPr="007A6E77">
        <w:rPr>
          <w:rFonts w:ascii="Times New Roman" w:hAnsi="Times New Roman" w:cs="Times New Roman"/>
          <w:sz w:val="24"/>
          <w:szCs w:val="24"/>
          <w:lang w:val="es-ES"/>
        </w:rPr>
        <w:t xml:space="preserve">na comparación de los resultados de los estudios realizados </w:t>
      </w:r>
      <w:r>
        <w:rPr>
          <w:rFonts w:ascii="Times New Roman" w:hAnsi="Times New Roman" w:cs="Times New Roman"/>
          <w:sz w:val="24"/>
          <w:szCs w:val="24"/>
          <w:lang w:val="es-ES"/>
        </w:rPr>
        <w:t xml:space="preserve">sobre percepción del riesgo desde el paradigma psicométrico </w:t>
      </w:r>
      <w:r w:rsidR="009A5CF7" w:rsidRPr="007A6E77">
        <w:rPr>
          <w:rFonts w:ascii="Times New Roman" w:hAnsi="Times New Roman" w:cs="Times New Roman"/>
          <w:sz w:val="24"/>
          <w:szCs w:val="24"/>
          <w:lang w:val="es-ES"/>
        </w:rPr>
        <w:t>entre 1978 y 2005 (Chauvin</w:t>
      </w:r>
      <w:r w:rsidR="00DE33E0">
        <w:rPr>
          <w:rFonts w:ascii="Times New Roman" w:hAnsi="Times New Roman" w:cs="Times New Roman"/>
          <w:sz w:val="24"/>
          <w:szCs w:val="24"/>
          <w:lang w:val="es-ES"/>
        </w:rPr>
        <w:t xml:space="preserve"> </w:t>
      </w:r>
      <w:r w:rsidR="00A7571C" w:rsidRPr="007A6E77">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r w:rsidR="009A5CF7" w:rsidRPr="007A6E77">
        <w:rPr>
          <w:rFonts w:ascii="Times New Roman" w:hAnsi="Times New Roman" w:cs="Times New Roman"/>
          <w:sz w:val="24"/>
          <w:szCs w:val="24"/>
          <w:lang w:val="es-ES"/>
        </w:rPr>
        <w:t>Hermand, 2008)</w:t>
      </w:r>
      <w:r>
        <w:rPr>
          <w:rFonts w:ascii="Times New Roman" w:hAnsi="Times New Roman" w:cs="Times New Roman"/>
          <w:sz w:val="24"/>
          <w:szCs w:val="24"/>
          <w:lang w:val="es-ES"/>
        </w:rPr>
        <w:t>,</w:t>
      </w:r>
      <w:r w:rsidR="009A5CF7" w:rsidRPr="007A6E77">
        <w:rPr>
          <w:rFonts w:ascii="Times New Roman" w:hAnsi="Times New Roman" w:cs="Times New Roman"/>
          <w:sz w:val="24"/>
          <w:szCs w:val="24"/>
          <w:lang w:val="es-ES"/>
        </w:rPr>
        <w:t xml:space="preserve"> concluye que u</w:t>
      </w:r>
      <w:r w:rsidR="00F8628B" w:rsidRPr="007A6E77">
        <w:rPr>
          <w:rFonts w:ascii="Times New Roman" w:hAnsi="Times New Roman" w:cs="Times New Roman"/>
          <w:sz w:val="24"/>
          <w:szCs w:val="24"/>
          <w:lang w:val="es-ES"/>
        </w:rPr>
        <w:t>na estructura cognitiva de base</w:t>
      </w:r>
      <w:r w:rsidR="009A5CF7" w:rsidRPr="007A6E77">
        <w:rPr>
          <w:rFonts w:ascii="Times New Roman" w:hAnsi="Times New Roman" w:cs="Times New Roman"/>
          <w:sz w:val="24"/>
          <w:szCs w:val="24"/>
          <w:lang w:val="es-ES"/>
        </w:rPr>
        <w:t xml:space="preserve"> subyace a la percepción del riesgo</w:t>
      </w:r>
      <w:r>
        <w:rPr>
          <w:rFonts w:ascii="Times New Roman" w:hAnsi="Times New Roman" w:cs="Times New Roman"/>
          <w:sz w:val="24"/>
          <w:szCs w:val="24"/>
          <w:lang w:val="es-ES"/>
        </w:rPr>
        <w:t>,</w:t>
      </w:r>
      <w:r w:rsidR="006965C4">
        <w:rPr>
          <w:rFonts w:ascii="Times New Roman" w:hAnsi="Times New Roman" w:cs="Times New Roman"/>
          <w:sz w:val="24"/>
          <w:szCs w:val="24"/>
          <w:lang w:val="es-ES"/>
        </w:rPr>
        <w:t xml:space="preserve"> </w:t>
      </w:r>
      <w:r w:rsidRPr="007A6E77">
        <w:rPr>
          <w:rFonts w:ascii="Times New Roman" w:hAnsi="Times New Roman" w:cs="Times New Roman"/>
          <w:sz w:val="24"/>
          <w:szCs w:val="24"/>
          <w:lang w:val="es-ES"/>
        </w:rPr>
        <w:t>independient</w:t>
      </w:r>
      <w:r w:rsidRPr="00C331C5">
        <w:rPr>
          <w:rFonts w:ascii="Times New Roman" w:hAnsi="Times New Roman" w:cs="Times New Roman"/>
          <w:color w:val="auto"/>
          <w:sz w:val="24"/>
          <w:szCs w:val="24"/>
          <w:lang w:val="es-ES"/>
        </w:rPr>
        <w:t xml:space="preserve">e </w:t>
      </w:r>
      <w:r w:rsidR="00C331C5" w:rsidRPr="00C331C5">
        <w:rPr>
          <w:rFonts w:ascii="Times New Roman" w:hAnsi="Times New Roman" w:cs="Times New Roman"/>
          <w:color w:val="auto"/>
          <w:sz w:val="24"/>
          <w:szCs w:val="24"/>
          <w:lang w:val="es-ES"/>
        </w:rPr>
        <w:t>del</w:t>
      </w:r>
      <w:r w:rsidR="00C331C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país y </w:t>
      </w:r>
      <w:r w:rsidRPr="007A6E77">
        <w:rPr>
          <w:rFonts w:ascii="Times New Roman" w:hAnsi="Times New Roman" w:cs="Times New Roman"/>
          <w:sz w:val="24"/>
          <w:szCs w:val="24"/>
          <w:lang w:val="es-ES"/>
        </w:rPr>
        <w:t>el contexto cultural</w:t>
      </w:r>
      <w:r>
        <w:rPr>
          <w:rFonts w:ascii="Times New Roman" w:hAnsi="Times New Roman" w:cs="Times New Roman"/>
          <w:sz w:val="24"/>
          <w:szCs w:val="24"/>
          <w:lang w:val="es-ES"/>
        </w:rPr>
        <w:t xml:space="preserve"> en donde se desarr</w:t>
      </w:r>
      <w:r w:rsidRPr="00C331C5">
        <w:rPr>
          <w:rFonts w:ascii="Times New Roman" w:hAnsi="Times New Roman" w:cs="Times New Roman"/>
          <w:color w:val="auto"/>
          <w:sz w:val="24"/>
          <w:szCs w:val="24"/>
          <w:lang w:val="es-ES"/>
        </w:rPr>
        <w:t>oll</w:t>
      </w:r>
      <w:r w:rsidR="00C331C5" w:rsidRPr="00C331C5">
        <w:rPr>
          <w:rFonts w:ascii="Times New Roman" w:hAnsi="Times New Roman" w:cs="Times New Roman"/>
          <w:color w:val="auto"/>
          <w:sz w:val="24"/>
          <w:szCs w:val="24"/>
          <w:lang w:val="es-ES"/>
        </w:rPr>
        <w:t>ó</w:t>
      </w:r>
      <w:r>
        <w:rPr>
          <w:rFonts w:ascii="Times New Roman" w:hAnsi="Times New Roman" w:cs="Times New Roman"/>
          <w:sz w:val="24"/>
          <w:szCs w:val="24"/>
          <w:lang w:val="es-ES"/>
        </w:rPr>
        <w:t xml:space="preserve"> el estudio</w:t>
      </w:r>
      <w:r w:rsidR="009A5CF7" w:rsidRPr="007A6E77">
        <w:rPr>
          <w:rFonts w:ascii="Times New Roman" w:hAnsi="Times New Roman" w:cs="Times New Roman"/>
          <w:sz w:val="24"/>
          <w:szCs w:val="24"/>
          <w:lang w:val="es-ES"/>
        </w:rPr>
        <w:t xml:space="preserve">. Esta estructura cognitiva está compuesta por dos factores </w:t>
      </w:r>
      <w:r w:rsidR="0006407B" w:rsidRPr="007A6E77">
        <w:rPr>
          <w:rFonts w:ascii="Times New Roman" w:hAnsi="Times New Roman" w:cs="Times New Roman"/>
          <w:sz w:val="24"/>
          <w:szCs w:val="24"/>
          <w:lang w:val="es-ES"/>
        </w:rPr>
        <w:t xml:space="preserve">fundamentales </w:t>
      </w:r>
      <w:r w:rsidR="009A5CF7" w:rsidRPr="007A6E77">
        <w:rPr>
          <w:rFonts w:ascii="Times New Roman" w:hAnsi="Times New Roman" w:cs="Times New Roman"/>
          <w:sz w:val="24"/>
          <w:szCs w:val="24"/>
          <w:lang w:val="es-ES"/>
        </w:rPr>
        <w:t>(Slovic, Fischhoff</w:t>
      </w:r>
      <w:r w:rsidR="00DE33E0">
        <w:rPr>
          <w:rFonts w:ascii="Times New Roman" w:hAnsi="Times New Roman" w:cs="Times New Roman"/>
          <w:sz w:val="24"/>
          <w:szCs w:val="24"/>
          <w:lang w:val="es-ES"/>
        </w:rPr>
        <w:t xml:space="preserve"> </w:t>
      </w:r>
      <w:r w:rsidR="00A7571C" w:rsidRPr="007A6E77">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r w:rsidR="009A5CF7" w:rsidRPr="007A6E77">
        <w:rPr>
          <w:rFonts w:ascii="Times New Roman" w:hAnsi="Times New Roman" w:cs="Times New Roman"/>
          <w:sz w:val="24"/>
          <w:szCs w:val="24"/>
          <w:lang w:val="es-ES"/>
        </w:rPr>
        <w:t xml:space="preserve">Lichtenstein, 1980): 1) </w:t>
      </w:r>
      <w:r>
        <w:rPr>
          <w:rFonts w:ascii="Times New Roman" w:hAnsi="Times New Roman" w:cs="Times New Roman"/>
          <w:i/>
          <w:sz w:val="24"/>
          <w:szCs w:val="24"/>
          <w:lang w:val="es-ES"/>
        </w:rPr>
        <w:t xml:space="preserve">El </w:t>
      </w:r>
      <w:r w:rsidR="009A5CF7" w:rsidRPr="007A6E77">
        <w:rPr>
          <w:rFonts w:ascii="Times New Roman" w:hAnsi="Times New Roman" w:cs="Times New Roman"/>
          <w:i/>
          <w:iCs/>
          <w:sz w:val="24"/>
          <w:szCs w:val="24"/>
          <w:lang w:val="it-IT"/>
        </w:rPr>
        <w:t>Temor</w:t>
      </w:r>
      <w:r w:rsidR="00623F72" w:rsidRPr="007A6E77">
        <w:rPr>
          <w:rFonts w:ascii="Times New Roman" w:hAnsi="Times New Roman" w:cs="Times New Roman"/>
          <w:i/>
          <w:iCs/>
          <w:sz w:val="24"/>
          <w:szCs w:val="24"/>
          <w:lang w:val="it-IT"/>
        </w:rPr>
        <w:t xml:space="preserve"> a la afectaci</w:t>
      </w:r>
      <w:r w:rsidR="00C331C5">
        <w:rPr>
          <w:rFonts w:ascii="Times New Roman" w:hAnsi="Times New Roman" w:cs="Times New Roman"/>
          <w:i/>
          <w:iCs/>
          <w:sz w:val="24"/>
          <w:szCs w:val="24"/>
          <w:lang w:val="it-IT"/>
        </w:rPr>
        <w:t>ó</w:t>
      </w:r>
      <w:r w:rsidR="00623F72" w:rsidRPr="007A6E77">
        <w:rPr>
          <w:rFonts w:ascii="Times New Roman" w:hAnsi="Times New Roman" w:cs="Times New Roman"/>
          <w:i/>
          <w:iCs/>
          <w:sz w:val="24"/>
          <w:szCs w:val="24"/>
          <w:lang w:val="it-IT"/>
        </w:rPr>
        <w:t xml:space="preserve">n </w:t>
      </w:r>
      <w:r w:rsidR="009A5CF7" w:rsidRPr="007A6E77">
        <w:rPr>
          <w:rFonts w:ascii="Times New Roman" w:hAnsi="Times New Roman" w:cs="Times New Roman"/>
          <w:sz w:val="24"/>
          <w:szCs w:val="24"/>
          <w:lang w:val="es-ES"/>
        </w:rPr>
        <w:t>(</w:t>
      </w:r>
      <w:r w:rsidR="00623F72" w:rsidRPr="007A6E77">
        <w:rPr>
          <w:rFonts w:ascii="Times New Roman" w:hAnsi="Times New Roman" w:cs="Times New Roman"/>
          <w:sz w:val="24"/>
          <w:szCs w:val="24"/>
          <w:lang w:val="es-ES"/>
        </w:rPr>
        <w:t xml:space="preserve">riesgo </w:t>
      </w:r>
      <w:r w:rsidR="009A5CF7" w:rsidRPr="007A6E77">
        <w:rPr>
          <w:rFonts w:ascii="Times New Roman" w:hAnsi="Times New Roman" w:cs="Times New Roman"/>
          <w:sz w:val="24"/>
          <w:szCs w:val="24"/>
          <w:lang w:val="es-ES"/>
        </w:rPr>
        <w:t>incontrolable y temible, fatalidad de las consecuencias, riesgo para las generaciones futuras, exposición involuntaria)</w:t>
      </w:r>
      <w:r w:rsidR="009A27B7" w:rsidRPr="007A6E77">
        <w:rPr>
          <w:rFonts w:ascii="Times New Roman" w:hAnsi="Times New Roman" w:cs="Times New Roman"/>
          <w:sz w:val="24"/>
          <w:szCs w:val="24"/>
          <w:lang w:val="es-ES"/>
        </w:rPr>
        <w:t xml:space="preserve"> que refleja el grado en el cual un riesgo hace experimentar un sentimiento de miedo</w:t>
      </w:r>
      <w:r w:rsidR="009A5CF7" w:rsidRPr="007A6E77">
        <w:rPr>
          <w:rFonts w:ascii="Times New Roman" w:hAnsi="Times New Roman" w:cs="Times New Roman"/>
          <w:sz w:val="24"/>
          <w:szCs w:val="24"/>
          <w:lang w:val="es-ES"/>
        </w:rPr>
        <w:t xml:space="preserve">, y 2) </w:t>
      </w:r>
      <w:r>
        <w:rPr>
          <w:rFonts w:ascii="Times New Roman" w:hAnsi="Times New Roman" w:cs="Times New Roman"/>
          <w:i/>
          <w:sz w:val="24"/>
          <w:szCs w:val="24"/>
          <w:lang w:val="es-ES"/>
        </w:rPr>
        <w:t xml:space="preserve">El </w:t>
      </w:r>
      <w:r w:rsidR="009A5CF7" w:rsidRPr="007A6E77">
        <w:rPr>
          <w:rFonts w:ascii="Times New Roman" w:hAnsi="Times New Roman" w:cs="Times New Roman"/>
          <w:i/>
          <w:sz w:val="24"/>
          <w:szCs w:val="24"/>
          <w:lang w:val="es-ES"/>
        </w:rPr>
        <w:t xml:space="preserve">(des)Conocimiento del </w:t>
      </w:r>
      <w:r w:rsidR="009A5CF7" w:rsidRPr="007A6E77">
        <w:rPr>
          <w:rFonts w:ascii="Times New Roman" w:hAnsi="Times New Roman" w:cs="Times New Roman"/>
          <w:i/>
          <w:iCs/>
          <w:sz w:val="24"/>
          <w:szCs w:val="24"/>
          <w:lang w:val="es-ES"/>
        </w:rPr>
        <w:t xml:space="preserve">riesgo </w:t>
      </w:r>
      <w:r w:rsidR="009A5CF7" w:rsidRPr="007A6E77">
        <w:rPr>
          <w:rFonts w:ascii="Times New Roman" w:hAnsi="Times New Roman" w:cs="Times New Roman"/>
          <w:iCs/>
          <w:sz w:val="24"/>
          <w:szCs w:val="24"/>
          <w:lang w:val="es-ES"/>
        </w:rPr>
        <w:t>(</w:t>
      </w:r>
      <w:r w:rsidR="00623F72" w:rsidRPr="007A6E77">
        <w:rPr>
          <w:rFonts w:ascii="Times New Roman" w:hAnsi="Times New Roman" w:cs="Times New Roman"/>
          <w:iCs/>
          <w:sz w:val="24"/>
          <w:szCs w:val="24"/>
          <w:lang w:val="es-ES"/>
        </w:rPr>
        <w:t xml:space="preserve">riesgo </w:t>
      </w:r>
      <w:r w:rsidR="009A5CF7" w:rsidRPr="007A6E77">
        <w:rPr>
          <w:rFonts w:ascii="Times New Roman" w:hAnsi="Times New Roman" w:cs="Times New Roman"/>
          <w:iCs/>
          <w:sz w:val="24"/>
          <w:szCs w:val="24"/>
          <w:lang w:val="es-ES"/>
        </w:rPr>
        <w:t xml:space="preserve">novedoso, </w:t>
      </w:r>
      <w:r w:rsidR="009A5CF7" w:rsidRPr="007A6E77">
        <w:rPr>
          <w:rFonts w:ascii="Times New Roman" w:hAnsi="Times New Roman" w:cs="Times New Roman"/>
          <w:sz w:val="24"/>
          <w:szCs w:val="24"/>
          <w:lang w:val="es-ES"/>
        </w:rPr>
        <w:t>no observable y desconocido por los expuestos y expertos)</w:t>
      </w:r>
      <w:r w:rsidR="009A27B7" w:rsidRPr="007A6E77">
        <w:rPr>
          <w:rFonts w:ascii="Times New Roman" w:hAnsi="Times New Roman" w:cs="Times New Roman"/>
          <w:sz w:val="24"/>
          <w:szCs w:val="24"/>
          <w:lang w:val="es-ES"/>
        </w:rPr>
        <w:t xml:space="preserve"> que evoca el nivel de conocimiento de un riesgo por las personas implicadas</w:t>
      </w:r>
      <w:r w:rsidR="009A5CF7" w:rsidRPr="007A6E77">
        <w:rPr>
          <w:rFonts w:ascii="Times New Roman" w:hAnsi="Times New Roman" w:cs="Times New Roman"/>
          <w:sz w:val="24"/>
          <w:szCs w:val="24"/>
          <w:lang w:val="es-ES"/>
        </w:rPr>
        <w:t xml:space="preserve">. </w:t>
      </w:r>
      <w:r w:rsidR="00623F72" w:rsidRPr="007A6E77">
        <w:rPr>
          <w:rFonts w:ascii="Times New Roman" w:hAnsi="Times New Roman" w:cs="Times New Roman"/>
          <w:sz w:val="24"/>
          <w:szCs w:val="24"/>
          <w:lang w:val="es-ES"/>
        </w:rPr>
        <w:t>Estos factores constituyen</w:t>
      </w:r>
      <w:r w:rsidR="009A27B7" w:rsidRPr="007A6E77">
        <w:rPr>
          <w:rFonts w:ascii="Times New Roman" w:hAnsi="Times New Roman" w:cs="Times New Roman"/>
          <w:sz w:val="24"/>
          <w:szCs w:val="24"/>
          <w:lang w:val="es-ES"/>
        </w:rPr>
        <w:t xml:space="preserve"> los determinantes proximales (Sjöberg, 2003) de la percepción del riesgo. </w:t>
      </w:r>
      <w:r w:rsidR="00C52220" w:rsidRPr="007A6E77">
        <w:rPr>
          <w:rFonts w:ascii="Times New Roman" w:hAnsi="Times New Roman" w:cs="Times New Roman"/>
          <w:sz w:val="24"/>
          <w:szCs w:val="24"/>
          <w:lang w:val="es-ES"/>
        </w:rPr>
        <w:t xml:space="preserve">Slovic (1987) plantea que la </w:t>
      </w:r>
      <w:r w:rsidR="00F31031" w:rsidRPr="007A6E77">
        <w:rPr>
          <w:rFonts w:ascii="Times New Roman" w:hAnsi="Times New Roman" w:cs="Times New Roman"/>
          <w:sz w:val="24"/>
          <w:szCs w:val="24"/>
          <w:lang w:val="es-ES"/>
        </w:rPr>
        <w:t>percepción del riesgo impacta</w:t>
      </w:r>
      <w:r w:rsidR="00C52220" w:rsidRPr="007A6E77">
        <w:rPr>
          <w:rFonts w:ascii="Times New Roman" w:hAnsi="Times New Roman" w:cs="Times New Roman"/>
          <w:sz w:val="24"/>
          <w:szCs w:val="24"/>
          <w:lang w:val="es-ES"/>
        </w:rPr>
        <w:t xml:space="preserve"> de manera significativa las decisiones que las personas toman.</w:t>
      </w:r>
      <w:r w:rsidR="009D681D" w:rsidRPr="007A6E77">
        <w:rPr>
          <w:rFonts w:ascii="Times New Roman" w:hAnsi="Times New Roman" w:cs="Times New Roman"/>
          <w:sz w:val="24"/>
          <w:szCs w:val="24"/>
          <w:lang w:val="es-ES"/>
        </w:rPr>
        <w:t xml:space="preserve"> Decisiones que están marcadas por s</w:t>
      </w:r>
      <w:r w:rsidR="0011410C" w:rsidRPr="007A6E77">
        <w:rPr>
          <w:rFonts w:ascii="Times New Roman" w:hAnsi="Times New Roman" w:cs="Times New Roman"/>
          <w:sz w:val="24"/>
          <w:szCs w:val="24"/>
          <w:lang w:val="es-ES"/>
        </w:rPr>
        <w:t>entimientos negativos generados por</w:t>
      </w:r>
      <w:r w:rsidR="009D681D" w:rsidRPr="007A6E77">
        <w:rPr>
          <w:rFonts w:ascii="Times New Roman" w:hAnsi="Times New Roman" w:cs="Times New Roman"/>
          <w:sz w:val="24"/>
          <w:szCs w:val="24"/>
          <w:lang w:val="es-ES"/>
        </w:rPr>
        <w:t xml:space="preserve"> la amenaza, pero igualmente por las posibilidades de enfrentar dichas situaciones. </w:t>
      </w:r>
      <w:r w:rsidR="00630A82" w:rsidRPr="007A6E77">
        <w:rPr>
          <w:rFonts w:ascii="Times New Roman" w:hAnsi="Times New Roman" w:cs="Times New Roman"/>
          <w:sz w:val="24"/>
          <w:szCs w:val="24"/>
          <w:lang w:val="es-ES"/>
        </w:rPr>
        <w:t xml:space="preserve">Las emociones negativas asociadas como el miedo o la preocupación, constituyen un factor que puede influenciar la interpretación del riesgo y los comportamientos a adoptar en tales situaciones. </w:t>
      </w:r>
      <w:r w:rsidR="00511E33" w:rsidRPr="007A6E77">
        <w:rPr>
          <w:rFonts w:ascii="Times New Roman" w:hAnsi="Times New Roman" w:cs="Times New Roman"/>
          <w:sz w:val="24"/>
          <w:szCs w:val="24"/>
          <w:lang w:val="es-ES"/>
        </w:rPr>
        <w:t>La percepción del riesgo cambia de acuerdo a las impresiones</w:t>
      </w:r>
      <w:r w:rsidR="006A0AA4" w:rsidRPr="007A6E77">
        <w:rPr>
          <w:rFonts w:ascii="Times New Roman" w:hAnsi="Times New Roman" w:cs="Times New Roman"/>
          <w:sz w:val="24"/>
          <w:szCs w:val="24"/>
          <w:lang w:val="es-ES"/>
        </w:rPr>
        <w:t xml:space="preserve"> de un posible daño directo a la</w:t>
      </w:r>
      <w:r w:rsidR="00511E33" w:rsidRPr="007A6E77">
        <w:rPr>
          <w:rFonts w:ascii="Times New Roman" w:hAnsi="Times New Roman" w:cs="Times New Roman"/>
          <w:sz w:val="24"/>
          <w:szCs w:val="24"/>
          <w:lang w:val="es-ES"/>
        </w:rPr>
        <w:t xml:space="preserve"> propia vida y </w:t>
      </w:r>
      <w:r w:rsidR="006A0AA4" w:rsidRPr="007A6E77">
        <w:rPr>
          <w:rFonts w:ascii="Times New Roman" w:hAnsi="Times New Roman" w:cs="Times New Roman"/>
          <w:sz w:val="24"/>
          <w:szCs w:val="24"/>
          <w:lang w:val="es-ES"/>
        </w:rPr>
        <w:t xml:space="preserve">a la propiedad, </w:t>
      </w:r>
      <w:r w:rsidR="00682D83" w:rsidRPr="007A6E77">
        <w:rPr>
          <w:rFonts w:ascii="Times New Roman" w:hAnsi="Times New Roman" w:cs="Times New Roman"/>
          <w:sz w:val="24"/>
          <w:szCs w:val="24"/>
          <w:lang w:val="es-ES"/>
        </w:rPr>
        <w:t xml:space="preserve">al hecho de considerarse implicado o involucrado por la amenaza, </w:t>
      </w:r>
      <w:r w:rsidR="00511E33" w:rsidRPr="007A6E77">
        <w:rPr>
          <w:rStyle w:val="hps"/>
          <w:rFonts w:ascii="Times New Roman" w:hAnsi="Times New Roman" w:cs="Times New Roman"/>
          <w:sz w:val="24"/>
          <w:szCs w:val="24"/>
          <w:lang w:val="es-ES"/>
        </w:rPr>
        <w:t>influ</w:t>
      </w:r>
      <w:r w:rsidR="00682D83" w:rsidRPr="007A6E77">
        <w:rPr>
          <w:rStyle w:val="hps"/>
          <w:rFonts w:ascii="Times New Roman" w:hAnsi="Times New Roman" w:cs="Times New Roman"/>
          <w:sz w:val="24"/>
          <w:szCs w:val="24"/>
          <w:lang w:val="es-ES"/>
        </w:rPr>
        <w:t xml:space="preserve">enciando </w:t>
      </w:r>
      <w:r w:rsidR="00511E33" w:rsidRPr="007A6E77">
        <w:rPr>
          <w:rStyle w:val="hps"/>
          <w:rFonts w:ascii="Times New Roman" w:hAnsi="Times New Roman" w:cs="Times New Roman"/>
          <w:sz w:val="24"/>
          <w:szCs w:val="24"/>
          <w:lang w:val="es-ES"/>
        </w:rPr>
        <w:t xml:space="preserve">tanto </w:t>
      </w:r>
      <w:r w:rsidR="006A0AA4" w:rsidRPr="007A6E77">
        <w:rPr>
          <w:rStyle w:val="hps"/>
          <w:rFonts w:ascii="Times New Roman" w:hAnsi="Times New Roman" w:cs="Times New Roman"/>
          <w:sz w:val="24"/>
          <w:szCs w:val="24"/>
          <w:lang w:val="es-ES"/>
        </w:rPr>
        <w:t xml:space="preserve">en </w:t>
      </w:r>
      <w:r w:rsidR="00511E33" w:rsidRPr="007A6E77">
        <w:rPr>
          <w:rStyle w:val="hps"/>
          <w:rFonts w:ascii="Times New Roman" w:hAnsi="Times New Roman" w:cs="Times New Roman"/>
          <w:sz w:val="24"/>
          <w:szCs w:val="24"/>
          <w:lang w:val="es-ES"/>
        </w:rPr>
        <w:t>el estrés</w:t>
      </w:r>
      <w:r w:rsidR="00DE33E0">
        <w:rPr>
          <w:rStyle w:val="hps"/>
          <w:rFonts w:ascii="Times New Roman" w:hAnsi="Times New Roman" w:cs="Times New Roman"/>
          <w:sz w:val="24"/>
          <w:szCs w:val="24"/>
          <w:lang w:val="es-ES"/>
        </w:rPr>
        <w:t xml:space="preserve"> </w:t>
      </w:r>
      <w:r w:rsidR="006B16F9" w:rsidRPr="007A6E77">
        <w:rPr>
          <w:rFonts w:ascii="Times New Roman" w:hAnsi="Times New Roman" w:cs="Times New Roman"/>
          <w:sz w:val="24"/>
          <w:szCs w:val="24"/>
          <w:lang w:val="es-ES"/>
        </w:rPr>
        <w:t>como</w:t>
      </w:r>
      <w:r w:rsidR="006A0AA4" w:rsidRPr="007A6E77">
        <w:rPr>
          <w:rFonts w:ascii="Times New Roman" w:hAnsi="Times New Roman" w:cs="Times New Roman"/>
          <w:sz w:val="24"/>
          <w:szCs w:val="24"/>
          <w:lang w:val="es-ES"/>
        </w:rPr>
        <w:t xml:space="preserve"> en</w:t>
      </w:r>
      <w:r w:rsidR="00511E33" w:rsidRPr="007A6E77">
        <w:rPr>
          <w:rStyle w:val="hps"/>
          <w:rFonts w:ascii="Times New Roman" w:hAnsi="Times New Roman" w:cs="Times New Roman"/>
          <w:sz w:val="24"/>
          <w:szCs w:val="24"/>
          <w:lang w:val="es-ES"/>
        </w:rPr>
        <w:t xml:space="preserve"> las respuestas</w:t>
      </w:r>
      <w:r w:rsidR="00DE33E0">
        <w:rPr>
          <w:rStyle w:val="hps"/>
          <w:rFonts w:ascii="Times New Roman" w:hAnsi="Times New Roman" w:cs="Times New Roman"/>
          <w:sz w:val="24"/>
          <w:szCs w:val="24"/>
          <w:lang w:val="es-ES"/>
        </w:rPr>
        <w:t xml:space="preserve"> </w:t>
      </w:r>
      <w:r w:rsidR="00511E33" w:rsidRPr="007A6E77">
        <w:rPr>
          <w:rStyle w:val="hps"/>
          <w:rFonts w:ascii="Times New Roman" w:hAnsi="Times New Roman" w:cs="Times New Roman"/>
          <w:sz w:val="24"/>
          <w:szCs w:val="24"/>
          <w:lang w:val="es-ES"/>
        </w:rPr>
        <w:t>de afrontamiento</w:t>
      </w:r>
      <w:r w:rsidR="00DE33E0">
        <w:rPr>
          <w:rStyle w:val="hps"/>
          <w:rFonts w:ascii="Times New Roman" w:hAnsi="Times New Roman" w:cs="Times New Roman"/>
          <w:sz w:val="24"/>
          <w:szCs w:val="24"/>
          <w:lang w:val="es-ES"/>
        </w:rPr>
        <w:t xml:space="preserve"> </w:t>
      </w:r>
      <w:r w:rsidR="007467F4" w:rsidRPr="007A6E77">
        <w:rPr>
          <w:rFonts w:ascii="Times New Roman" w:hAnsi="Times New Roman" w:cs="Times New Roman"/>
          <w:sz w:val="24"/>
          <w:szCs w:val="24"/>
          <w:lang w:val="es-ES"/>
        </w:rPr>
        <w:t>a</w:t>
      </w:r>
      <w:r w:rsidR="00511E33" w:rsidRPr="007A6E77">
        <w:rPr>
          <w:rStyle w:val="hps"/>
          <w:rFonts w:ascii="Times New Roman" w:hAnsi="Times New Roman" w:cs="Times New Roman"/>
          <w:sz w:val="24"/>
          <w:szCs w:val="24"/>
          <w:lang w:val="es-ES"/>
        </w:rPr>
        <w:t xml:space="preserve"> una situación</w:t>
      </w:r>
      <w:r w:rsidR="00DE33E0">
        <w:rPr>
          <w:rStyle w:val="hps"/>
          <w:rFonts w:ascii="Times New Roman" w:hAnsi="Times New Roman" w:cs="Times New Roman"/>
          <w:sz w:val="24"/>
          <w:szCs w:val="24"/>
          <w:lang w:val="es-ES"/>
        </w:rPr>
        <w:t xml:space="preserve"> </w:t>
      </w:r>
      <w:r>
        <w:rPr>
          <w:rStyle w:val="hps"/>
          <w:rFonts w:ascii="Times New Roman" w:hAnsi="Times New Roman" w:cs="Times New Roman"/>
          <w:sz w:val="24"/>
          <w:szCs w:val="24"/>
          <w:lang w:val="es-ES"/>
        </w:rPr>
        <w:t>amenazante</w:t>
      </w:r>
      <w:r w:rsidR="00DE33E0">
        <w:rPr>
          <w:rStyle w:val="hps"/>
          <w:rFonts w:ascii="Times New Roman" w:hAnsi="Times New Roman" w:cs="Times New Roman"/>
          <w:sz w:val="24"/>
          <w:szCs w:val="24"/>
          <w:lang w:val="es-ES"/>
        </w:rPr>
        <w:t xml:space="preserve"> </w:t>
      </w:r>
      <w:r w:rsidR="00511E33" w:rsidRPr="007A6E77">
        <w:rPr>
          <w:rStyle w:val="hps"/>
          <w:rFonts w:ascii="Times New Roman" w:hAnsi="Times New Roman" w:cs="Times New Roman"/>
          <w:sz w:val="24"/>
          <w:szCs w:val="24"/>
          <w:lang w:val="es-ES"/>
        </w:rPr>
        <w:t>(</w:t>
      </w:r>
      <w:r w:rsidR="004A19C0" w:rsidRPr="007A6E77">
        <w:rPr>
          <w:rFonts w:ascii="Times New Roman" w:hAnsi="Times New Roman" w:cs="Times New Roman"/>
          <w:sz w:val="24"/>
          <w:szCs w:val="24"/>
          <w:lang w:val="es-ES"/>
        </w:rPr>
        <w:t>López-Vázquez</w:t>
      </w:r>
      <w:r w:rsidR="006965C4">
        <w:rPr>
          <w:rFonts w:ascii="Times New Roman" w:hAnsi="Times New Roman" w:cs="Times New Roman"/>
          <w:sz w:val="24"/>
          <w:szCs w:val="24"/>
          <w:lang w:val="es-ES"/>
        </w:rPr>
        <w:t xml:space="preserve"> </w:t>
      </w:r>
      <w:r w:rsidR="004A19C0" w:rsidRPr="007A6E77">
        <w:rPr>
          <w:rFonts w:ascii="Times New Roman" w:hAnsi="Times New Roman" w:cs="Times New Roman"/>
          <w:sz w:val="24"/>
          <w:szCs w:val="24"/>
          <w:lang w:val="es-ES"/>
        </w:rPr>
        <w:t>&amp;</w:t>
      </w:r>
      <w:r w:rsidR="00B05053">
        <w:rPr>
          <w:rFonts w:ascii="Times New Roman" w:hAnsi="Times New Roman" w:cs="Times New Roman"/>
          <w:sz w:val="24"/>
          <w:szCs w:val="24"/>
          <w:lang w:val="es-ES"/>
        </w:rPr>
        <w:t xml:space="preserve"> </w:t>
      </w:r>
      <w:r w:rsidR="00511E33" w:rsidRPr="007A6E77">
        <w:rPr>
          <w:rFonts w:ascii="Times New Roman" w:hAnsi="Times New Roman" w:cs="Times New Roman"/>
          <w:sz w:val="24"/>
          <w:szCs w:val="24"/>
          <w:lang w:val="es-ES"/>
        </w:rPr>
        <w:t xml:space="preserve">Marván, 2003). </w:t>
      </w:r>
      <w:r w:rsidR="0006407B" w:rsidRPr="007A6E77">
        <w:rPr>
          <w:rFonts w:ascii="Times New Roman" w:hAnsi="Times New Roman" w:cs="Times New Roman"/>
          <w:sz w:val="24"/>
          <w:szCs w:val="24"/>
          <w:lang w:val="es-ES"/>
        </w:rPr>
        <w:t xml:space="preserve">Es decir que la percepción del riesgo </w:t>
      </w:r>
      <w:r w:rsidR="00682D83" w:rsidRPr="007A6E77">
        <w:rPr>
          <w:rFonts w:ascii="Times New Roman" w:hAnsi="Times New Roman" w:cs="Times New Roman"/>
          <w:sz w:val="24"/>
          <w:szCs w:val="24"/>
          <w:lang w:val="es-ES"/>
        </w:rPr>
        <w:t xml:space="preserve">y la implicación personal </w:t>
      </w:r>
      <w:r w:rsidR="0006407B" w:rsidRPr="007A6E77">
        <w:rPr>
          <w:rFonts w:ascii="Times New Roman" w:hAnsi="Times New Roman" w:cs="Times New Roman"/>
          <w:sz w:val="24"/>
          <w:szCs w:val="24"/>
          <w:lang w:val="es-ES"/>
        </w:rPr>
        <w:t>subyacen al sentimiento de vulnerabilidad experimentado por las personas, pero también estaría</w:t>
      </w:r>
      <w:r w:rsidR="00682D83" w:rsidRPr="007A6E77">
        <w:rPr>
          <w:rFonts w:ascii="Times New Roman" w:hAnsi="Times New Roman" w:cs="Times New Roman"/>
          <w:sz w:val="24"/>
          <w:szCs w:val="24"/>
          <w:lang w:val="es-ES"/>
        </w:rPr>
        <w:t>n</w:t>
      </w:r>
      <w:r w:rsidR="0006407B" w:rsidRPr="007A6E77">
        <w:rPr>
          <w:rFonts w:ascii="Times New Roman" w:hAnsi="Times New Roman" w:cs="Times New Roman"/>
          <w:sz w:val="24"/>
          <w:szCs w:val="24"/>
          <w:lang w:val="es-ES"/>
        </w:rPr>
        <w:t xml:space="preserve"> relacionado</w:t>
      </w:r>
      <w:r w:rsidR="00682D83" w:rsidRPr="007A6E77">
        <w:rPr>
          <w:rFonts w:ascii="Times New Roman" w:hAnsi="Times New Roman" w:cs="Times New Roman"/>
          <w:sz w:val="24"/>
          <w:szCs w:val="24"/>
          <w:lang w:val="es-ES"/>
        </w:rPr>
        <w:t>s</w:t>
      </w:r>
      <w:r w:rsidR="0006407B" w:rsidRPr="007A6E77">
        <w:rPr>
          <w:rFonts w:ascii="Times New Roman" w:hAnsi="Times New Roman" w:cs="Times New Roman"/>
          <w:sz w:val="24"/>
          <w:szCs w:val="24"/>
          <w:lang w:val="es-ES"/>
        </w:rPr>
        <w:t xml:space="preserve"> con las estrategias que estas</w:t>
      </w:r>
      <w:r>
        <w:rPr>
          <w:rFonts w:ascii="Times New Roman" w:hAnsi="Times New Roman" w:cs="Times New Roman"/>
          <w:sz w:val="24"/>
          <w:szCs w:val="24"/>
          <w:lang w:val="es-ES"/>
        </w:rPr>
        <w:t xml:space="preserve"> personas</w:t>
      </w:r>
      <w:r w:rsidR="0006407B" w:rsidRPr="007A6E77">
        <w:rPr>
          <w:rFonts w:ascii="Times New Roman" w:hAnsi="Times New Roman" w:cs="Times New Roman"/>
          <w:sz w:val="24"/>
          <w:szCs w:val="24"/>
          <w:lang w:val="es-ES"/>
        </w:rPr>
        <w:t xml:space="preserve"> definen para enfrentar tales amenazas. </w:t>
      </w:r>
    </w:p>
    <w:p w14:paraId="2879EA72" w14:textId="77777777" w:rsidR="001F1EF5" w:rsidRDefault="0006407B" w:rsidP="006965C4">
      <w:pPr>
        <w:ind w:firstLine="708"/>
        <w:rPr>
          <w:lang w:val="es-ES"/>
        </w:rPr>
      </w:pPr>
      <w:r w:rsidRPr="007A6E77">
        <w:rPr>
          <w:lang w:val="es-ES"/>
        </w:rPr>
        <w:t>En este sentido, e</w:t>
      </w:r>
      <w:r w:rsidR="00511E33" w:rsidRPr="007A6E77">
        <w:rPr>
          <w:lang w:val="es-ES"/>
        </w:rPr>
        <w:t>l afrontamiento</w:t>
      </w:r>
      <w:r w:rsidR="00A2121D">
        <w:rPr>
          <w:lang w:val="es-ES"/>
        </w:rPr>
        <w:t xml:space="preserve"> (</w:t>
      </w:r>
      <w:r w:rsidR="00A2121D" w:rsidRPr="00A2121D">
        <w:rPr>
          <w:i/>
          <w:lang w:val="es-ES"/>
        </w:rPr>
        <w:t>Coping</w:t>
      </w:r>
      <w:r w:rsidR="00A2121D">
        <w:rPr>
          <w:lang w:val="es-ES"/>
        </w:rPr>
        <w:t>, en su expresión en inglés)</w:t>
      </w:r>
      <w:r w:rsidR="00B05053">
        <w:rPr>
          <w:lang w:val="es-ES"/>
        </w:rPr>
        <w:t xml:space="preserve"> </w:t>
      </w:r>
      <w:r w:rsidR="00E76E5E" w:rsidRPr="007A6E77">
        <w:rPr>
          <w:lang w:val="es-ES"/>
        </w:rPr>
        <w:t>es definido como</w:t>
      </w:r>
      <w:r w:rsidR="006965C4">
        <w:rPr>
          <w:lang w:val="es-ES"/>
        </w:rPr>
        <w:t xml:space="preserve"> </w:t>
      </w:r>
      <w:r w:rsidR="009D681D" w:rsidRPr="007A6E77">
        <w:rPr>
          <w:iCs/>
          <w:lang w:val="es-ES" w:eastAsia="fr-FR"/>
        </w:rPr>
        <w:t xml:space="preserve">un conjunto de estrategias </w:t>
      </w:r>
      <w:r w:rsidR="001066D8" w:rsidRPr="007A6E77">
        <w:rPr>
          <w:iCs/>
          <w:lang w:val="es-ES" w:eastAsia="fr-FR"/>
        </w:rPr>
        <w:t>que serán utilizadas para</w:t>
      </w:r>
      <w:r w:rsidR="001066D8" w:rsidRPr="001F1EF5">
        <w:rPr>
          <w:iCs/>
          <w:lang w:val="es-ES" w:eastAsia="fr-FR"/>
        </w:rPr>
        <w:t xml:space="preserve"> hacer frente a la situación estresante</w:t>
      </w:r>
      <w:r w:rsidR="00A2121D">
        <w:rPr>
          <w:iCs/>
          <w:lang w:val="es-ES" w:eastAsia="fr-FR"/>
        </w:rPr>
        <w:t>, a la amenaza</w:t>
      </w:r>
      <w:r w:rsidR="006A0AA4" w:rsidRPr="001F1EF5">
        <w:rPr>
          <w:iCs/>
          <w:lang w:val="es-ES" w:eastAsia="fr-FR"/>
        </w:rPr>
        <w:t>;</w:t>
      </w:r>
      <w:r w:rsidR="009B76E0" w:rsidRPr="001F1EF5">
        <w:rPr>
          <w:lang w:val="es-ES" w:eastAsia="fr-FR"/>
        </w:rPr>
        <w:t xml:space="preserve"> p</w:t>
      </w:r>
      <w:r w:rsidR="006B16F9" w:rsidRPr="001F1EF5">
        <w:rPr>
          <w:lang w:val="es-ES" w:eastAsia="fr-FR"/>
        </w:rPr>
        <w:t xml:space="preserve">uede </w:t>
      </w:r>
      <w:r w:rsidR="001066D8" w:rsidRPr="001F1EF5">
        <w:rPr>
          <w:lang w:val="es-ES" w:eastAsia="fr-FR"/>
        </w:rPr>
        <w:t xml:space="preserve">definirse como </w:t>
      </w:r>
      <w:r w:rsidR="006B16F9" w:rsidRPr="001F1EF5">
        <w:rPr>
          <w:lang w:val="es-ES" w:eastAsia="fr-FR"/>
        </w:rPr>
        <w:t>un</w:t>
      </w:r>
      <w:r w:rsidR="001066D8" w:rsidRPr="001F1EF5">
        <w:rPr>
          <w:lang w:val="es-ES" w:eastAsia="fr-FR"/>
        </w:rPr>
        <w:t xml:space="preserve"> conjunto de “</w:t>
      </w:r>
      <w:r w:rsidR="001066D8" w:rsidRPr="001F1EF5">
        <w:rPr>
          <w:i/>
          <w:lang w:val="es-ES" w:eastAsia="fr-FR"/>
        </w:rPr>
        <w:t xml:space="preserve">esfuerzos cognitivos y comportamentales por los cuales el sujeto </w:t>
      </w:r>
      <w:r w:rsidR="009D681D" w:rsidRPr="001F1EF5">
        <w:rPr>
          <w:i/>
          <w:lang w:val="es-ES" w:eastAsia="fr-FR"/>
        </w:rPr>
        <w:t>está</w:t>
      </w:r>
      <w:r w:rsidR="001066D8" w:rsidRPr="001F1EF5">
        <w:rPr>
          <w:i/>
          <w:lang w:val="es-ES" w:eastAsia="fr-FR"/>
        </w:rPr>
        <w:t xml:space="preserve"> destinado a</w:t>
      </w:r>
      <w:r w:rsidR="001C4354" w:rsidRPr="001F1EF5">
        <w:rPr>
          <w:i/>
          <w:lang w:val="es-ES" w:eastAsia="fr-FR"/>
        </w:rPr>
        <w:t xml:space="preserve"> gestionar las exigencias específicas</w:t>
      </w:r>
      <w:r w:rsidR="001066D8" w:rsidRPr="001F1EF5">
        <w:rPr>
          <w:i/>
          <w:lang w:val="es-ES" w:eastAsia="fr-FR"/>
        </w:rPr>
        <w:t xml:space="preserve"> internas o externas, que ponen a prueba o exceden los recursos de la persona</w:t>
      </w:r>
      <w:r w:rsidR="008C4A00" w:rsidRPr="001F1EF5">
        <w:rPr>
          <w:lang w:val="es-ES" w:eastAsia="fr-FR"/>
        </w:rPr>
        <w:t>” (Lazarus</w:t>
      </w:r>
      <w:r w:rsidR="00DE33E0">
        <w:rPr>
          <w:lang w:val="es-ES" w:eastAsia="fr-FR"/>
        </w:rPr>
        <w:t xml:space="preserve"> </w:t>
      </w:r>
      <w:r w:rsidR="00A7571C" w:rsidRPr="001F1EF5">
        <w:rPr>
          <w:lang w:val="es-ES" w:eastAsia="fr-FR"/>
        </w:rPr>
        <w:t>&amp;</w:t>
      </w:r>
      <w:r w:rsidR="00DE33E0">
        <w:rPr>
          <w:lang w:val="es-ES" w:eastAsia="fr-FR"/>
        </w:rPr>
        <w:t xml:space="preserve"> </w:t>
      </w:r>
      <w:r w:rsidR="001066D8" w:rsidRPr="001F1EF5">
        <w:rPr>
          <w:lang w:val="es-ES" w:eastAsia="fr-FR"/>
        </w:rPr>
        <w:t>Folkman, 198</w:t>
      </w:r>
      <w:r w:rsidR="00CA0039" w:rsidRPr="001F1EF5">
        <w:rPr>
          <w:lang w:val="es-ES" w:eastAsia="fr-FR"/>
        </w:rPr>
        <w:t>6</w:t>
      </w:r>
      <w:r w:rsidR="001066D8" w:rsidRPr="001F1EF5">
        <w:rPr>
          <w:lang w:val="es-ES" w:eastAsia="fr-FR"/>
        </w:rPr>
        <w:t>, p. 141).</w:t>
      </w:r>
      <w:r w:rsidR="00B05053">
        <w:rPr>
          <w:lang w:val="es-ES" w:eastAsia="fr-FR"/>
        </w:rPr>
        <w:t xml:space="preserve"> </w:t>
      </w:r>
      <w:r w:rsidR="001066D8" w:rsidRPr="001F1EF5">
        <w:rPr>
          <w:lang w:val="es-ES" w:eastAsia="fr-FR"/>
        </w:rPr>
        <w:t xml:space="preserve">El afrontamiento es un factor estabilizador que le permite al sujeto mantener una adaptación psicosocial </w:t>
      </w:r>
      <w:r w:rsidR="00511E33" w:rsidRPr="001F1EF5">
        <w:rPr>
          <w:lang w:val="es-ES" w:eastAsia="fr-FR"/>
        </w:rPr>
        <w:t xml:space="preserve">durante los periodos de estrés, producto de una </w:t>
      </w:r>
      <w:r w:rsidR="001066D8" w:rsidRPr="001F1EF5">
        <w:rPr>
          <w:lang w:val="es-ES" w:eastAsia="fr-FR"/>
        </w:rPr>
        <w:t xml:space="preserve">evaluación sobre sus competencias intelectuales </w:t>
      </w:r>
      <w:r w:rsidR="006B16F9" w:rsidRPr="001F1EF5">
        <w:rPr>
          <w:lang w:val="es-ES" w:eastAsia="fr-FR"/>
        </w:rPr>
        <w:t xml:space="preserve">y </w:t>
      </w:r>
      <w:r w:rsidR="001066D8" w:rsidRPr="001F1EF5">
        <w:rPr>
          <w:lang w:val="es-ES" w:eastAsia="fr-FR"/>
        </w:rPr>
        <w:t xml:space="preserve">afectivas </w:t>
      </w:r>
      <w:r w:rsidR="00673122" w:rsidRPr="001F1EF5">
        <w:rPr>
          <w:lang w:val="es-ES" w:eastAsia="fr-FR"/>
        </w:rPr>
        <w:t>(</w:t>
      </w:r>
      <w:r w:rsidR="00673122" w:rsidRPr="001F1EF5">
        <w:rPr>
          <w:lang w:val="es-ES"/>
        </w:rPr>
        <w:t>Sordes, Esparbes</w:t>
      </w:r>
      <w:r w:rsidR="00DE33E0">
        <w:rPr>
          <w:lang w:val="es-ES"/>
        </w:rPr>
        <w:t xml:space="preserve"> </w:t>
      </w:r>
      <w:r w:rsidR="00A7571C" w:rsidRPr="001F1EF5">
        <w:rPr>
          <w:lang w:val="es-ES"/>
        </w:rPr>
        <w:t>&amp;</w:t>
      </w:r>
      <w:r w:rsidR="00DE33E0">
        <w:rPr>
          <w:lang w:val="es-ES"/>
        </w:rPr>
        <w:t xml:space="preserve"> </w:t>
      </w:r>
      <w:r w:rsidR="00673122" w:rsidRPr="001F1EF5">
        <w:rPr>
          <w:lang w:val="es-ES"/>
        </w:rPr>
        <w:t>Tap, 1997)</w:t>
      </w:r>
      <w:r w:rsidR="001066D8" w:rsidRPr="001F1EF5">
        <w:rPr>
          <w:lang w:val="es-ES" w:eastAsia="fr-FR"/>
        </w:rPr>
        <w:t>.</w:t>
      </w:r>
      <w:r w:rsidR="00B05053">
        <w:rPr>
          <w:lang w:val="es-ES" w:eastAsia="fr-FR"/>
        </w:rPr>
        <w:t xml:space="preserve"> </w:t>
      </w:r>
      <w:r w:rsidR="00923E11" w:rsidRPr="001F1EF5">
        <w:rPr>
          <w:lang w:val="es-ES" w:eastAsia="fr-FR"/>
        </w:rPr>
        <w:t>Una tipología de</w:t>
      </w:r>
      <w:r w:rsidR="009B76E0" w:rsidRPr="001F1EF5">
        <w:rPr>
          <w:lang w:val="es-ES" w:eastAsia="fr-FR"/>
        </w:rPr>
        <w:t>l</w:t>
      </w:r>
      <w:r w:rsidR="006965C4">
        <w:rPr>
          <w:lang w:val="es-ES" w:eastAsia="fr-FR"/>
        </w:rPr>
        <w:t xml:space="preserve"> </w:t>
      </w:r>
      <w:r w:rsidR="00511E33" w:rsidRPr="001F1EF5">
        <w:rPr>
          <w:lang w:val="es-ES" w:eastAsia="fr-FR"/>
        </w:rPr>
        <w:t>afrontamiento</w:t>
      </w:r>
      <w:r w:rsidR="00A2121D">
        <w:rPr>
          <w:lang w:val="es-ES" w:eastAsia="fr-FR"/>
        </w:rPr>
        <w:t xml:space="preserve"> establecida según </w:t>
      </w:r>
      <w:r w:rsidR="00A745B6" w:rsidRPr="001F1EF5">
        <w:rPr>
          <w:lang w:val="es-ES"/>
        </w:rPr>
        <w:t>el método utilizado</w:t>
      </w:r>
      <w:r w:rsidR="00A2121D">
        <w:rPr>
          <w:lang w:val="es-ES"/>
        </w:rPr>
        <w:t>,</w:t>
      </w:r>
      <w:r w:rsidR="006965C4">
        <w:rPr>
          <w:lang w:val="es-ES"/>
        </w:rPr>
        <w:t xml:space="preserve"> </w:t>
      </w:r>
      <w:r w:rsidR="00955573" w:rsidRPr="001F1EF5">
        <w:rPr>
          <w:lang w:val="es-ES"/>
        </w:rPr>
        <w:t xml:space="preserve">propone dos </w:t>
      </w:r>
      <w:r w:rsidR="00A2121D">
        <w:rPr>
          <w:lang w:val="es-ES"/>
        </w:rPr>
        <w:t>formas de estrategias</w:t>
      </w:r>
      <w:r w:rsidR="00923E11" w:rsidRPr="001F1EF5">
        <w:rPr>
          <w:lang w:val="es-ES"/>
        </w:rPr>
        <w:t xml:space="preserve">: </w:t>
      </w:r>
      <w:r w:rsidR="00A745B6" w:rsidRPr="001F1EF5">
        <w:rPr>
          <w:lang w:val="es-ES"/>
        </w:rPr>
        <w:t xml:space="preserve">afrontamiento activo y </w:t>
      </w:r>
      <w:r w:rsidR="00923E11" w:rsidRPr="001F1EF5">
        <w:rPr>
          <w:lang w:val="es-ES"/>
        </w:rPr>
        <w:t xml:space="preserve">afrontamiento </w:t>
      </w:r>
      <w:r w:rsidR="00F674D1" w:rsidRPr="001F1EF5">
        <w:rPr>
          <w:lang w:val="es-ES"/>
        </w:rPr>
        <w:t>pasivo</w:t>
      </w:r>
      <w:r w:rsidR="00B05053">
        <w:rPr>
          <w:lang w:val="es-ES"/>
        </w:rPr>
        <w:t xml:space="preserve"> </w:t>
      </w:r>
      <w:r w:rsidR="00955573" w:rsidRPr="001F1EF5">
        <w:rPr>
          <w:lang w:val="es-ES" w:eastAsia="fr-FR"/>
        </w:rPr>
        <w:t>(</w:t>
      </w:r>
      <w:r w:rsidR="00955573" w:rsidRPr="001F1EF5">
        <w:rPr>
          <w:lang w:val="es-ES"/>
        </w:rPr>
        <w:t>Moos</w:t>
      </w:r>
      <w:r w:rsidR="00DE33E0">
        <w:rPr>
          <w:lang w:val="es-ES"/>
        </w:rPr>
        <w:t xml:space="preserve"> </w:t>
      </w:r>
      <w:r w:rsidR="00A7571C" w:rsidRPr="001F1EF5">
        <w:rPr>
          <w:lang w:val="es-ES"/>
        </w:rPr>
        <w:t>&amp;</w:t>
      </w:r>
      <w:r w:rsidR="00DE33E0">
        <w:rPr>
          <w:lang w:val="es-ES"/>
        </w:rPr>
        <w:t xml:space="preserve"> </w:t>
      </w:r>
      <w:r w:rsidR="00955573" w:rsidRPr="001F1EF5">
        <w:rPr>
          <w:lang w:val="es-ES"/>
        </w:rPr>
        <w:t>Billings, 1986)</w:t>
      </w:r>
      <w:r w:rsidR="00923E11" w:rsidRPr="001F1EF5">
        <w:rPr>
          <w:lang w:val="es-ES"/>
        </w:rPr>
        <w:t xml:space="preserve">. </w:t>
      </w:r>
      <w:r w:rsidR="00A745B6" w:rsidRPr="001F1EF5">
        <w:rPr>
          <w:lang w:val="es-ES"/>
        </w:rPr>
        <w:t>El</w:t>
      </w:r>
      <w:r w:rsidR="00923E11" w:rsidRPr="001F1EF5">
        <w:rPr>
          <w:lang w:val="es-ES"/>
        </w:rPr>
        <w:t xml:space="preserve"> primero</w:t>
      </w:r>
      <w:r w:rsidR="00A745B6" w:rsidRPr="001F1EF5">
        <w:rPr>
          <w:lang w:val="es-ES"/>
        </w:rPr>
        <w:t xml:space="preserve"> está dirigido a dar solución al problema </w:t>
      </w:r>
      <w:r w:rsidR="0030342F" w:rsidRPr="001F1EF5">
        <w:rPr>
          <w:lang w:val="es-ES"/>
        </w:rPr>
        <w:t>y</w:t>
      </w:r>
      <w:r w:rsidR="00A745B6" w:rsidRPr="001F1EF5">
        <w:rPr>
          <w:lang w:val="es-ES"/>
        </w:rPr>
        <w:t xml:space="preserve"> el </w:t>
      </w:r>
      <w:r w:rsidR="00923E11" w:rsidRPr="001F1EF5">
        <w:rPr>
          <w:lang w:val="es-ES"/>
        </w:rPr>
        <w:t xml:space="preserve">segundo </w:t>
      </w:r>
      <w:r w:rsidR="00955573" w:rsidRPr="001F1EF5">
        <w:rPr>
          <w:lang w:val="es-ES"/>
        </w:rPr>
        <w:t xml:space="preserve">se dirige a la </w:t>
      </w:r>
      <w:r w:rsidR="00661B7D">
        <w:rPr>
          <w:lang w:val="es-ES"/>
        </w:rPr>
        <w:t>negación o evitación del problema</w:t>
      </w:r>
      <w:r w:rsidR="00F674D1" w:rsidRPr="001F1EF5">
        <w:rPr>
          <w:lang w:val="es-ES"/>
        </w:rPr>
        <w:t xml:space="preserve">. </w:t>
      </w:r>
      <w:r w:rsidR="00955573" w:rsidRPr="001F1EF5">
        <w:rPr>
          <w:lang w:val="es-ES"/>
        </w:rPr>
        <w:t>E</w:t>
      </w:r>
      <w:r w:rsidR="00A745B6" w:rsidRPr="001F1EF5">
        <w:rPr>
          <w:lang w:val="es-ES" w:eastAsia="es-CO"/>
        </w:rPr>
        <w:t>studios realizados</w:t>
      </w:r>
      <w:r w:rsidR="006965C4">
        <w:rPr>
          <w:lang w:val="es-ES" w:eastAsia="es-CO"/>
        </w:rPr>
        <w:t xml:space="preserve"> </w:t>
      </w:r>
      <w:r w:rsidR="00A745B6" w:rsidRPr="001F1EF5">
        <w:rPr>
          <w:lang w:val="es-ES" w:eastAsia="es-CO"/>
        </w:rPr>
        <w:t>en México</w:t>
      </w:r>
      <w:r w:rsidR="006965C4">
        <w:rPr>
          <w:lang w:val="es-ES" w:eastAsia="es-CO"/>
        </w:rPr>
        <w:t xml:space="preserve"> </w:t>
      </w:r>
      <w:r w:rsidR="00661B7D">
        <w:rPr>
          <w:lang w:val="es-ES" w:eastAsia="es-CO"/>
        </w:rPr>
        <w:t xml:space="preserve">han mostrado que las personas </w:t>
      </w:r>
      <w:r w:rsidR="00A745B6" w:rsidRPr="001F1EF5">
        <w:rPr>
          <w:lang w:val="es-ES" w:eastAsia="es-CO"/>
        </w:rPr>
        <w:t>expuesta</w:t>
      </w:r>
      <w:r w:rsidR="00661B7D">
        <w:rPr>
          <w:lang w:val="es-ES" w:eastAsia="es-CO"/>
        </w:rPr>
        <w:t>s</w:t>
      </w:r>
      <w:r w:rsidR="00F674D1" w:rsidRPr="001F1EF5">
        <w:rPr>
          <w:lang w:val="es-ES" w:eastAsia="es-CO"/>
        </w:rPr>
        <w:t xml:space="preserve"> a riesgos</w:t>
      </w:r>
      <w:r w:rsidR="00DC3BD6" w:rsidRPr="001F1EF5">
        <w:rPr>
          <w:lang w:val="es-ES" w:eastAsia="es-CO"/>
        </w:rPr>
        <w:t xml:space="preserve"> ambientales mayores</w:t>
      </w:r>
      <w:r w:rsidR="00A745B6" w:rsidRPr="001F1EF5">
        <w:rPr>
          <w:lang w:val="es-ES" w:eastAsia="es-CO"/>
        </w:rPr>
        <w:t xml:space="preserve"> tiende a utilizar</w:t>
      </w:r>
      <w:r w:rsidR="006965C4">
        <w:rPr>
          <w:lang w:val="es-ES" w:eastAsia="es-CO"/>
        </w:rPr>
        <w:t xml:space="preserve"> </w:t>
      </w:r>
      <w:r w:rsidR="00A745B6" w:rsidRPr="001F1EF5">
        <w:rPr>
          <w:lang w:val="es-ES" w:eastAsia="es-CO"/>
        </w:rPr>
        <w:t>más estrategias pasivas que activas</w:t>
      </w:r>
      <w:r w:rsidR="0030342F" w:rsidRPr="001F1EF5">
        <w:rPr>
          <w:lang w:val="es-ES" w:eastAsia="es-CO"/>
        </w:rPr>
        <w:t>, cuando se trata de riesgos industriales</w:t>
      </w:r>
      <w:r w:rsidR="009B76E0" w:rsidRPr="001F1EF5">
        <w:rPr>
          <w:lang w:val="es-ES" w:eastAsia="es-CO"/>
        </w:rPr>
        <w:t xml:space="preserve"> (López-Vázquez </w:t>
      </w:r>
      <w:r w:rsidR="00A7571C" w:rsidRPr="001F1EF5">
        <w:rPr>
          <w:lang w:val="es-ES" w:eastAsia="es-CO"/>
        </w:rPr>
        <w:t>&amp;</w:t>
      </w:r>
      <w:r w:rsidR="00B05053">
        <w:rPr>
          <w:lang w:val="es-ES" w:eastAsia="es-CO"/>
        </w:rPr>
        <w:t xml:space="preserve"> </w:t>
      </w:r>
      <w:r w:rsidR="009B76E0" w:rsidRPr="001F1EF5">
        <w:rPr>
          <w:lang w:val="es-ES" w:eastAsia="es-CO"/>
        </w:rPr>
        <w:t>Marván, 200</w:t>
      </w:r>
      <w:r w:rsidR="000F51A5" w:rsidRPr="001F1EF5">
        <w:rPr>
          <w:lang w:val="es-ES" w:eastAsia="es-CO"/>
        </w:rPr>
        <w:t>4</w:t>
      </w:r>
      <w:r w:rsidR="009B76E0" w:rsidRPr="001F1EF5">
        <w:rPr>
          <w:lang w:val="es-ES" w:eastAsia="es-CO"/>
        </w:rPr>
        <w:t>)</w:t>
      </w:r>
      <w:r w:rsidR="00C441D7" w:rsidRPr="001F1EF5">
        <w:rPr>
          <w:lang w:val="es-ES" w:eastAsia="es-CO"/>
        </w:rPr>
        <w:t>.</w:t>
      </w:r>
      <w:r w:rsidR="009B76E0" w:rsidRPr="001F1EF5">
        <w:rPr>
          <w:lang w:val="es-ES" w:eastAsia="es-CO"/>
        </w:rPr>
        <w:t xml:space="preserve"> P</w:t>
      </w:r>
      <w:r w:rsidR="00661B7D">
        <w:rPr>
          <w:lang w:val="es-ES" w:eastAsia="es-CO"/>
        </w:rPr>
        <w:t xml:space="preserve">or el contrario, </w:t>
      </w:r>
      <w:r w:rsidR="009B76E0" w:rsidRPr="001F1EF5">
        <w:rPr>
          <w:lang w:val="es-ES" w:eastAsia="es-CO"/>
        </w:rPr>
        <w:t>cuando se trata de</w:t>
      </w:r>
      <w:r w:rsidR="006A0AA4" w:rsidRPr="001F1EF5">
        <w:rPr>
          <w:lang w:val="es-ES"/>
        </w:rPr>
        <w:t xml:space="preserve"> riesgos naturales</w:t>
      </w:r>
      <w:r w:rsidR="00DE33E0">
        <w:rPr>
          <w:lang w:val="es-ES"/>
        </w:rPr>
        <w:t xml:space="preserve"> </w:t>
      </w:r>
      <w:r w:rsidR="00A2304C" w:rsidRPr="001F1EF5">
        <w:rPr>
          <w:rStyle w:val="hps"/>
          <w:lang w:val="es-ES"/>
        </w:rPr>
        <w:t>un alto nivel de</w:t>
      </w:r>
      <w:r w:rsidR="00DE33E0">
        <w:rPr>
          <w:rStyle w:val="hps"/>
          <w:lang w:val="es-ES"/>
        </w:rPr>
        <w:t xml:space="preserve"> </w:t>
      </w:r>
      <w:r w:rsidR="00A2304C" w:rsidRPr="001F1EF5">
        <w:rPr>
          <w:rStyle w:val="hps"/>
          <w:lang w:val="es-ES"/>
        </w:rPr>
        <w:t>estrés psicológico</w:t>
      </w:r>
      <w:r w:rsidR="00DE33E0">
        <w:rPr>
          <w:rStyle w:val="hps"/>
          <w:lang w:val="es-ES"/>
        </w:rPr>
        <w:t xml:space="preserve"> </w:t>
      </w:r>
      <w:r w:rsidR="00A2304C" w:rsidRPr="001F1EF5">
        <w:rPr>
          <w:rStyle w:val="hps"/>
          <w:lang w:val="es-ES"/>
        </w:rPr>
        <w:t>predice</w:t>
      </w:r>
      <w:r w:rsidR="00DE33E0">
        <w:rPr>
          <w:rStyle w:val="hps"/>
          <w:lang w:val="es-ES"/>
        </w:rPr>
        <w:t xml:space="preserve"> </w:t>
      </w:r>
      <w:r w:rsidR="009B76E0" w:rsidRPr="001F1EF5">
        <w:rPr>
          <w:rStyle w:val="hps"/>
          <w:lang w:val="es-ES"/>
        </w:rPr>
        <w:t>el uso de</w:t>
      </w:r>
      <w:r w:rsidR="00A2304C" w:rsidRPr="001F1EF5">
        <w:rPr>
          <w:rStyle w:val="hps"/>
          <w:lang w:val="es-ES"/>
        </w:rPr>
        <w:t xml:space="preserve"> estrategias</w:t>
      </w:r>
      <w:r w:rsidR="00DE33E0">
        <w:rPr>
          <w:rStyle w:val="hps"/>
          <w:lang w:val="es-ES"/>
        </w:rPr>
        <w:t xml:space="preserve"> </w:t>
      </w:r>
      <w:r w:rsidR="00A2304C" w:rsidRPr="001F1EF5">
        <w:rPr>
          <w:rStyle w:val="hps"/>
          <w:lang w:val="es-ES"/>
        </w:rPr>
        <w:t>activas (</w:t>
      </w:r>
      <w:r w:rsidR="002A0D1D" w:rsidRPr="001F1EF5">
        <w:rPr>
          <w:lang w:val="es-ES"/>
        </w:rPr>
        <w:t>Ló</w:t>
      </w:r>
      <w:r w:rsidR="00923E11" w:rsidRPr="001F1EF5">
        <w:rPr>
          <w:lang w:val="es-ES"/>
        </w:rPr>
        <w:t xml:space="preserve">pez-Vázquez </w:t>
      </w:r>
      <w:r w:rsidR="00A7571C" w:rsidRPr="001F1EF5">
        <w:rPr>
          <w:lang w:val="es-ES"/>
        </w:rPr>
        <w:t>&amp;</w:t>
      </w:r>
      <w:r w:rsidR="002A06D5">
        <w:rPr>
          <w:lang w:val="es-ES"/>
        </w:rPr>
        <w:t xml:space="preserve"> </w:t>
      </w:r>
      <w:r w:rsidR="00923E11" w:rsidRPr="001F1EF5">
        <w:rPr>
          <w:lang w:val="es-ES"/>
        </w:rPr>
        <w:t xml:space="preserve">Marván, </w:t>
      </w:r>
      <w:r w:rsidR="002A0D1D" w:rsidRPr="001F1EF5">
        <w:rPr>
          <w:lang w:val="es-ES"/>
        </w:rPr>
        <w:t>2012)</w:t>
      </w:r>
      <w:r w:rsidR="00A2304C" w:rsidRPr="001F1EF5">
        <w:rPr>
          <w:rStyle w:val="hps"/>
          <w:lang w:val="es-ES"/>
        </w:rPr>
        <w:t>.</w:t>
      </w:r>
      <w:r w:rsidR="00B05053">
        <w:rPr>
          <w:rStyle w:val="hps"/>
          <w:lang w:val="es-ES"/>
        </w:rPr>
        <w:t xml:space="preserve"> </w:t>
      </w:r>
      <w:r w:rsidR="00E76E5E" w:rsidRPr="001F1EF5">
        <w:rPr>
          <w:rStyle w:val="hps"/>
          <w:lang w:val="es-ES"/>
        </w:rPr>
        <w:t>La elección de estas estrategias estaría igualmente e</w:t>
      </w:r>
      <w:r w:rsidR="00661B7D">
        <w:rPr>
          <w:rStyle w:val="hps"/>
          <w:lang w:val="es-ES"/>
        </w:rPr>
        <w:t xml:space="preserve">xplicadas por el </w:t>
      </w:r>
      <w:r w:rsidR="00E76E5E" w:rsidRPr="001F1EF5">
        <w:rPr>
          <w:rStyle w:val="hps"/>
          <w:lang w:val="es-ES"/>
        </w:rPr>
        <w:t>sentimiento de implicación de las personas</w:t>
      </w:r>
      <w:r w:rsidR="00682D83" w:rsidRPr="001F1EF5">
        <w:rPr>
          <w:rStyle w:val="hps"/>
          <w:lang w:val="es-ES"/>
        </w:rPr>
        <w:t xml:space="preserve"> frente a la amenaza</w:t>
      </w:r>
      <w:r w:rsidR="00661B7D">
        <w:rPr>
          <w:rStyle w:val="hps"/>
          <w:lang w:val="es-ES"/>
        </w:rPr>
        <w:t xml:space="preserve"> (Baggio &amp;</w:t>
      </w:r>
      <w:r w:rsidR="00DE33E0">
        <w:rPr>
          <w:rStyle w:val="hps"/>
          <w:lang w:val="es-ES"/>
        </w:rPr>
        <w:t xml:space="preserve"> </w:t>
      </w:r>
      <w:r w:rsidR="00661B7D">
        <w:rPr>
          <w:rStyle w:val="hps"/>
          <w:lang w:val="es-ES"/>
        </w:rPr>
        <w:t>Rouquette, 2006</w:t>
      </w:r>
      <w:r w:rsidR="00E961F7">
        <w:rPr>
          <w:rStyle w:val="hps"/>
          <w:lang w:val="es-ES"/>
        </w:rPr>
        <w:t>; Navarro &amp; Michel-Guillou, 2014</w:t>
      </w:r>
      <w:r w:rsidR="00661B7D">
        <w:rPr>
          <w:rStyle w:val="hps"/>
          <w:lang w:val="es-ES"/>
        </w:rPr>
        <w:t>)</w:t>
      </w:r>
      <w:r w:rsidR="00682D83" w:rsidRPr="001F1EF5">
        <w:rPr>
          <w:rStyle w:val="hps"/>
          <w:lang w:val="es-ES"/>
        </w:rPr>
        <w:t xml:space="preserve">. La </w:t>
      </w:r>
      <w:r w:rsidR="00682D83" w:rsidRPr="001F1EF5">
        <w:rPr>
          <w:rStyle w:val="hps"/>
          <w:lang w:val="es-ES"/>
        </w:rPr>
        <w:lastRenderedPageBreak/>
        <w:t xml:space="preserve">implicación personal </w:t>
      </w:r>
      <w:r w:rsidR="001F1EF5" w:rsidRPr="001F1EF5">
        <w:rPr>
          <w:szCs w:val="20"/>
          <w:lang w:val="es-ES" w:eastAsia="fr-FR"/>
        </w:rPr>
        <w:t xml:space="preserve">hace referencia a la distancia </w:t>
      </w:r>
      <w:r w:rsidR="00E961F7">
        <w:rPr>
          <w:szCs w:val="20"/>
          <w:lang w:val="es-ES" w:eastAsia="fr-FR"/>
        </w:rPr>
        <w:t xml:space="preserve">existente </w:t>
      </w:r>
      <w:r w:rsidR="001F1EF5" w:rsidRPr="001F1EF5">
        <w:rPr>
          <w:szCs w:val="20"/>
          <w:lang w:val="es-ES" w:eastAsia="fr-FR"/>
        </w:rPr>
        <w:t>entre el individuo y el riesgo</w:t>
      </w:r>
      <w:r w:rsidR="00E961F7">
        <w:rPr>
          <w:szCs w:val="20"/>
          <w:lang w:val="es-ES" w:eastAsia="fr-FR"/>
        </w:rPr>
        <w:t xml:space="preserve">, y </w:t>
      </w:r>
      <w:r w:rsidR="001F1EF5" w:rsidRPr="001F1EF5">
        <w:rPr>
          <w:lang w:val="es-ES"/>
        </w:rPr>
        <w:t>funciona como un indicad</w:t>
      </w:r>
      <w:r w:rsidR="001F1EF5">
        <w:rPr>
          <w:lang w:val="es-ES"/>
        </w:rPr>
        <w:t>or de la posibilidad de acción,</w:t>
      </w:r>
      <w:r w:rsidR="001F1EF5" w:rsidRPr="001F1EF5">
        <w:rPr>
          <w:lang w:val="es-ES"/>
        </w:rPr>
        <w:t xml:space="preserve"> de la pertinencia y </w:t>
      </w:r>
      <w:r w:rsidR="001F1EF5">
        <w:rPr>
          <w:lang w:val="es-ES"/>
        </w:rPr>
        <w:t xml:space="preserve">la </w:t>
      </w:r>
      <w:r w:rsidR="001F1EF5" w:rsidRPr="001F1EF5">
        <w:rPr>
          <w:lang w:val="es-ES"/>
        </w:rPr>
        <w:t xml:space="preserve">eficacia de la </w:t>
      </w:r>
      <w:r w:rsidR="001F1EF5">
        <w:rPr>
          <w:lang w:val="es-ES"/>
        </w:rPr>
        <w:t>misma, es decir</w:t>
      </w:r>
      <w:r w:rsidR="00E961F7">
        <w:rPr>
          <w:lang w:val="es-ES"/>
        </w:rPr>
        <w:t>, de</w:t>
      </w:r>
      <w:r w:rsidR="00A10D8E">
        <w:rPr>
          <w:lang w:val="es-ES"/>
        </w:rPr>
        <w:t xml:space="preserve"> la</w:t>
      </w:r>
      <w:r w:rsidR="001F1EF5" w:rsidRPr="001F1EF5">
        <w:rPr>
          <w:lang w:val="es-ES"/>
        </w:rPr>
        <w:t xml:space="preserve"> predisposición del sujeto a la acción </w:t>
      </w:r>
      <w:r w:rsidR="00E961F7">
        <w:rPr>
          <w:lang w:val="es-ES"/>
        </w:rPr>
        <w:t>(</w:t>
      </w:r>
      <w:r w:rsidR="00E961F7" w:rsidRPr="001F1EF5">
        <w:rPr>
          <w:lang w:val="es-ES"/>
        </w:rPr>
        <w:t>Flament</w:t>
      </w:r>
      <w:r w:rsidR="006965C4">
        <w:rPr>
          <w:lang w:val="es-ES"/>
        </w:rPr>
        <w:t xml:space="preserve"> </w:t>
      </w:r>
      <w:r w:rsidR="00E961F7">
        <w:rPr>
          <w:lang w:val="es-ES"/>
        </w:rPr>
        <w:t>&amp;</w:t>
      </w:r>
      <w:r w:rsidR="006965C4">
        <w:rPr>
          <w:lang w:val="es-ES"/>
        </w:rPr>
        <w:t xml:space="preserve"> </w:t>
      </w:r>
      <w:r w:rsidR="00E961F7" w:rsidRPr="001F1EF5">
        <w:rPr>
          <w:lang w:val="es-ES"/>
        </w:rPr>
        <w:t>Rouquette 2003</w:t>
      </w:r>
      <w:r w:rsidR="00E961F7">
        <w:rPr>
          <w:lang w:val="es-ES"/>
        </w:rPr>
        <w:t>)</w:t>
      </w:r>
      <w:r w:rsidR="001F1EF5" w:rsidRPr="001F1EF5">
        <w:rPr>
          <w:lang w:val="es-ES"/>
        </w:rPr>
        <w:t xml:space="preserve">. </w:t>
      </w:r>
      <w:r w:rsidR="00BD59F5">
        <w:rPr>
          <w:lang w:val="es-ES"/>
        </w:rPr>
        <w:t>En l</w:t>
      </w:r>
      <w:r w:rsidR="001F1EF5">
        <w:rPr>
          <w:lang w:val="es-ES"/>
        </w:rPr>
        <w:t>os estudios realizados en el campo de los riesgos ambientales</w:t>
      </w:r>
      <w:r w:rsidR="00A10D8E">
        <w:rPr>
          <w:lang w:val="es-ES"/>
        </w:rPr>
        <w:t>, l</w:t>
      </w:r>
      <w:r w:rsidR="001F1EF5" w:rsidRPr="001F1EF5">
        <w:rPr>
          <w:lang w:val="es-ES"/>
        </w:rPr>
        <w:t xml:space="preserve">a implicación </w:t>
      </w:r>
      <w:r w:rsidR="001F1EF5">
        <w:rPr>
          <w:lang w:val="es-ES"/>
        </w:rPr>
        <w:t>es considerada como una variable intermediaria entre los conocimiento</w:t>
      </w:r>
      <w:r w:rsidR="001F1EF5" w:rsidRPr="001F1EF5">
        <w:rPr>
          <w:lang w:val="es-ES"/>
        </w:rPr>
        <w:t>s</w:t>
      </w:r>
      <w:r w:rsidR="001F1EF5">
        <w:rPr>
          <w:lang w:val="es-ES"/>
        </w:rPr>
        <w:t xml:space="preserve"> sociales </w:t>
      </w:r>
      <w:r w:rsidR="00A10D8E">
        <w:rPr>
          <w:lang w:val="es-ES"/>
        </w:rPr>
        <w:t xml:space="preserve">existentes </w:t>
      </w:r>
      <w:r w:rsidR="001F1EF5">
        <w:rPr>
          <w:lang w:val="es-ES"/>
        </w:rPr>
        <w:t>frente al riesgo y la</w:t>
      </w:r>
      <w:r w:rsidR="00E961F7">
        <w:rPr>
          <w:lang w:val="es-ES"/>
        </w:rPr>
        <w:t>s</w:t>
      </w:r>
      <w:r w:rsidR="006965C4">
        <w:rPr>
          <w:lang w:val="es-ES"/>
        </w:rPr>
        <w:t xml:space="preserve"> </w:t>
      </w:r>
      <w:r w:rsidR="00E961F7">
        <w:rPr>
          <w:lang w:val="es-ES"/>
        </w:rPr>
        <w:t>acciones de protección o prevención (Baggio &amp;</w:t>
      </w:r>
      <w:r w:rsidR="006965C4">
        <w:rPr>
          <w:lang w:val="es-ES"/>
        </w:rPr>
        <w:t xml:space="preserve"> </w:t>
      </w:r>
      <w:r w:rsidR="001F1EF5" w:rsidRPr="001F1EF5">
        <w:rPr>
          <w:lang w:val="es-ES"/>
        </w:rPr>
        <w:t xml:space="preserve">Rouquette, 2006; </w:t>
      </w:r>
      <w:r w:rsidR="001F1EF5">
        <w:rPr>
          <w:szCs w:val="20"/>
          <w:lang w:val="es-ES"/>
        </w:rPr>
        <w:t>Gruev</w:t>
      </w:r>
      <w:r w:rsidR="00E961F7">
        <w:rPr>
          <w:szCs w:val="20"/>
          <w:lang w:val="es-ES"/>
        </w:rPr>
        <w:t>-Vintila</w:t>
      </w:r>
      <w:r w:rsidR="006965C4">
        <w:rPr>
          <w:szCs w:val="20"/>
          <w:lang w:val="es-ES"/>
        </w:rPr>
        <w:t xml:space="preserve"> </w:t>
      </w:r>
      <w:r w:rsidR="00E961F7">
        <w:rPr>
          <w:szCs w:val="20"/>
          <w:lang w:val="es-ES"/>
        </w:rPr>
        <w:t>&amp;</w:t>
      </w:r>
      <w:r w:rsidR="006965C4">
        <w:rPr>
          <w:szCs w:val="20"/>
          <w:lang w:val="es-ES"/>
        </w:rPr>
        <w:t xml:space="preserve"> </w:t>
      </w:r>
      <w:r w:rsidR="001F1EF5" w:rsidRPr="001F1EF5">
        <w:rPr>
          <w:szCs w:val="20"/>
          <w:lang w:val="es-ES"/>
        </w:rPr>
        <w:t>Rouquette, 2007</w:t>
      </w:r>
      <w:r w:rsidR="00A10D8E">
        <w:rPr>
          <w:szCs w:val="20"/>
          <w:lang w:val="es-ES"/>
        </w:rPr>
        <w:t>). La implicación personal se</w:t>
      </w:r>
      <w:r w:rsidR="001F1EF5" w:rsidRPr="001F1EF5">
        <w:rPr>
          <w:lang w:val="es-ES"/>
        </w:rPr>
        <w:t xml:space="preserve"> define u operacionalíza a travé</w:t>
      </w:r>
      <w:r w:rsidR="00E961F7">
        <w:rPr>
          <w:lang w:val="es-ES"/>
        </w:rPr>
        <w:t>s de tres dimensiones (Flament</w:t>
      </w:r>
      <w:r w:rsidR="006965C4">
        <w:rPr>
          <w:lang w:val="es-ES"/>
        </w:rPr>
        <w:t xml:space="preserve"> </w:t>
      </w:r>
      <w:r w:rsidR="00E961F7">
        <w:rPr>
          <w:lang w:val="es-ES"/>
        </w:rPr>
        <w:t>&amp;</w:t>
      </w:r>
      <w:r w:rsidR="006965C4">
        <w:rPr>
          <w:lang w:val="es-ES"/>
        </w:rPr>
        <w:t xml:space="preserve"> </w:t>
      </w:r>
      <w:r w:rsidR="001F1EF5" w:rsidRPr="001F1EF5">
        <w:rPr>
          <w:lang w:val="es-ES"/>
        </w:rPr>
        <w:t>Rouquette 2003</w:t>
      </w:r>
      <w:r w:rsidR="00A10D8E">
        <w:rPr>
          <w:lang w:val="es-ES"/>
        </w:rPr>
        <w:t xml:space="preserve">; </w:t>
      </w:r>
      <w:r w:rsidR="00A10D8E" w:rsidRPr="00A10D8E">
        <w:rPr>
          <w:lang w:val="es-ES"/>
        </w:rPr>
        <w:t>Demarque, Lo Monaco, Apostolidis</w:t>
      </w:r>
      <w:r w:rsidR="006965C4">
        <w:rPr>
          <w:lang w:val="es-ES"/>
        </w:rPr>
        <w:t xml:space="preserve"> </w:t>
      </w:r>
      <w:r w:rsidR="00E961F7">
        <w:rPr>
          <w:lang w:val="es-ES"/>
        </w:rPr>
        <w:t>&amp;</w:t>
      </w:r>
      <w:r w:rsidR="006965C4">
        <w:rPr>
          <w:lang w:val="es-ES"/>
        </w:rPr>
        <w:t xml:space="preserve"> </w:t>
      </w:r>
      <w:r w:rsidR="00A10D8E" w:rsidRPr="00A10D8E">
        <w:rPr>
          <w:lang w:val="es-ES"/>
        </w:rPr>
        <w:t xml:space="preserve">Guimelli, </w:t>
      </w:r>
      <w:r w:rsidR="00A10D8E">
        <w:rPr>
          <w:lang w:val="es-ES"/>
        </w:rPr>
        <w:t>2011)</w:t>
      </w:r>
      <w:r w:rsidR="001F1EF5" w:rsidRPr="001F1EF5">
        <w:rPr>
          <w:lang w:val="es-ES"/>
        </w:rPr>
        <w:t>:</w:t>
      </w:r>
      <w:r w:rsidR="006965C4">
        <w:rPr>
          <w:lang w:val="es-ES"/>
        </w:rPr>
        <w:t xml:space="preserve"> </w:t>
      </w:r>
      <w:r w:rsidR="001F1EF5" w:rsidRPr="001F1EF5">
        <w:rPr>
          <w:lang w:val="es-ES"/>
        </w:rPr>
        <w:t>La Valoración</w:t>
      </w:r>
      <w:r w:rsidR="00BD59F5">
        <w:rPr>
          <w:lang w:val="es-ES"/>
        </w:rPr>
        <w:t xml:space="preserve"> del objeto</w:t>
      </w:r>
      <w:r w:rsidR="00A10D8E">
        <w:rPr>
          <w:lang w:val="es-ES"/>
        </w:rPr>
        <w:t xml:space="preserve">, que </w:t>
      </w:r>
      <w:r w:rsidR="00A10D8E" w:rsidRPr="001F1EF5">
        <w:rPr>
          <w:lang w:val="es-ES"/>
        </w:rPr>
        <w:t>evalúa</w:t>
      </w:r>
      <w:r w:rsidR="001F1EF5" w:rsidRPr="001F1EF5">
        <w:rPr>
          <w:lang w:val="es-ES"/>
        </w:rPr>
        <w:t xml:space="preserve"> la importancia </w:t>
      </w:r>
      <w:r w:rsidR="00A10D8E">
        <w:rPr>
          <w:lang w:val="es-ES"/>
        </w:rPr>
        <w:t xml:space="preserve">acordada al problema; </w:t>
      </w:r>
      <w:r w:rsidR="001F1EF5" w:rsidRPr="001F1EF5">
        <w:rPr>
          <w:lang w:val="es-ES"/>
        </w:rPr>
        <w:t>La Identificación</w:t>
      </w:r>
      <w:r w:rsidR="00A10D8E">
        <w:rPr>
          <w:lang w:val="es-ES"/>
        </w:rPr>
        <w:t>, que hace referencia a</w:t>
      </w:r>
      <w:r w:rsidR="001F1EF5" w:rsidRPr="001F1EF5">
        <w:rPr>
          <w:lang w:val="es-ES"/>
        </w:rPr>
        <w:t xml:space="preserve">l grado de identificación del individuo a propósito del </w:t>
      </w:r>
      <w:r w:rsidR="00A10D8E">
        <w:rPr>
          <w:lang w:val="es-ES"/>
        </w:rPr>
        <w:t xml:space="preserve">riesgo; </w:t>
      </w:r>
      <w:r w:rsidR="001F1EF5" w:rsidRPr="001F1EF5">
        <w:rPr>
          <w:lang w:val="es-ES"/>
        </w:rPr>
        <w:t xml:space="preserve">La Percepción de </w:t>
      </w:r>
      <w:r w:rsidR="00BD59F5">
        <w:rPr>
          <w:lang w:val="es-ES"/>
        </w:rPr>
        <w:t xml:space="preserve">la </w:t>
      </w:r>
      <w:r w:rsidR="001F1EF5" w:rsidRPr="001F1EF5">
        <w:rPr>
          <w:lang w:val="es-ES"/>
        </w:rPr>
        <w:t>posibilidad de acción</w:t>
      </w:r>
      <w:r w:rsidR="00A10D8E">
        <w:rPr>
          <w:lang w:val="es-ES"/>
        </w:rPr>
        <w:t xml:space="preserve"> que </w:t>
      </w:r>
      <w:r w:rsidR="00E961F7">
        <w:rPr>
          <w:lang w:val="es-ES"/>
        </w:rPr>
        <w:t>expresa</w:t>
      </w:r>
      <w:r w:rsidR="00A10D8E">
        <w:rPr>
          <w:lang w:val="es-ES"/>
        </w:rPr>
        <w:t xml:space="preserve"> el </w:t>
      </w:r>
      <w:r w:rsidR="001F1EF5" w:rsidRPr="001F1EF5">
        <w:rPr>
          <w:lang w:val="es-ES"/>
        </w:rPr>
        <w:t>sentimiento de control</w:t>
      </w:r>
      <w:r w:rsidR="00A10D8E">
        <w:rPr>
          <w:lang w:val="es-ES"/>
        </w:rPr>
        <w:t xml:space="preserve"> sobre la situación </w:t>
      </w:r>
      <w:r w:rsidR="00E961F7">
        <w:rPr>
          <w:lang w:val="es-ES"/>
        </w:rPr>
        <w:t xml:space="preserve">y de </w:t>
      </w:r>
      <w:r w:rsidR="00A10D8E">
        <w:rPr>
          <w:lang w:val="es-ES"/>
        </w:rPr>
        <w:t>eficacia personal</w:t>
      </w:r>
      <w:r w:rsidR="001F1EF5" w:rsidRPr="001F1EF5">
        <w:rPr>
          <w:lang w:val="es-ES"/>
        </w:rPr>
        <w:t xml:space="preserve">. </w:t>
      </w:r>
    </w:p>
    <w:p w14:paraId="6823CCB0" w14:textId="77777777" w:rsidR="00E961F7" w:rsidRDefault="00E961F7" w:rsidP="006965C4">
      <w:pPr>
        <w:ind w:firstLine="708"/>
        <w:rPr>
          <w:lang w:val="es-ES"/>
        </w:rPr>
      </w:pPr>
      <w:r>
        <w:rPr>
          <w:lang w:val="es-ES"/>
        </w:rPr>
        <w:t xml:space="preserve">Según estos elementos, se considera que las personas </w:t>
      </w:r>
      <w:r w:rsidR="009C1F39">
        <w:rPr>
          <w:lang w:val="es-ES"/>
        </w:rPr>
        <w:t>expuesta</w:t>
      </w:r>
      <w:r>
        <w:rPr>
          <w:lang w:val="es-ES"/>
        </w:rPr>
        <w:t xml:space="preserve"> y no expuesta a la amenaza de inundación, van a percibir diferentemente la amenaza y </w:t>
      </w:r>
      <w:r w:rsidR="009C1F39">
        <w:rPr>
          <w:lang w:val="es-ES"/>
        </w:rPr>
        <w:t>experimentarán</w:t>
      </w:r>
      <w:r>
        <w:rPr>
          <w:lang w:val="es-ES"/>
        </w:rPr>
        <w:t xml:space="preserve"> un sentimiento de vulnerabilidad </w:t>
      </w:r>
      <w:r w:rsidR="009C1F39">
        <w:rPr>
          <w:lang w:val="es-ES"/>
        </w:rPr>
        <w:t>diferente</w:t>
      </w:r>
      <w:r>
        <w:rPr>
          <w:lang w:val="es-ES"/>
        </w:rPr>
        <w:t xml:space="preserve">, según que existe una </w:t>
      </w:r>
      <w:r w:rsidR="009C1F39">
        <w:rPr>
          <w:lang w:val="es-ES"/>
        </w:rPr>
        <w:t>cercanía con la amenaza</w:t>
      </w:r>
      <w:r w:rsidR="00BD59F5">
        <w:rPr>
          <w:lang w:val="es-ES"/>
        </w:rPr>
        <w:t xml:space="preserve"> o no, según que se sientan personalmente implicados o no</w:t>
      </w:r>
      <w:r>
        <w:rPr>
          <w:lang w:val="es-ES"/>
        </w:rPr>
        <w:t xml:space="preserve">. </w:t>
      </w:r>
      <w:r w:rsidR="00BD59F5">
        <w:rPr>
          <w:lang w:val="es-ES"/>
        </w:rPr>
        <w:t xml:space="preserve">Este sentimiento de vulnerabilidad diferenciado va a explicar el hecho que las personas </w:t>
      </w:r>
      <w:r w:rsidR="009C1F39">
        <w:rPr>
          <w:lang w:val="es-ES"/>
        </w:rPr>
        <w:t>identifiquen estrateg</w:t>
      </w:r>
      <w:r w:rsidR="006965C4">
        <w:rPr>
          <w:lang w:val="es-ES"/>
        </w:rPr>
        <w:t>ias de afrontamiento diferentes</w:t>
      </w:r>
      <w:r w:rsidR="009C1F39">
        <w:rPr>
          <w:lang w:val="es-ES"/>
        </w:rPr>
        <w:t>. Estas diferencias pueden intuitivamente ser evidentes entre poblaciones expuestas y no expuestas, pero que pasaría al interior de la</w:t>
      </w:r>
      <w:r w:rsidR="006965C4">
        <w:rPr>
          <w:lang w:val="es-ES"/>
        </w:rPr>
        <w:t xml:space="preserve"> categoría de expuestos</w:t>
      </w:r>
      <w:r w:rsidR="009C1F39">
        <w:rPr>
          <w:lang w:val="es-ES"/>
        </w:rPr>
        <w:t xml:space="preserve">, </w:t>
      </w:r>
      <w:r w:rsidR="006965C4">
        <w:rPr>
          <w:lang w:val="es-ES"/>
        </w:rPr>
        <w:t xml:space="preserve">en dos grupos diferenciados </w:t>
      </w:r>
      <w:r w:rsidR="009C1F39">
        <w:rPr>
          <w:lang w:val="es-ES"/>
        </w:rPr>
        <w:t>por el hecho de haber vivido una experiencia de inundación?</w:t>
      </w:r>
    </w:p>
    <w:p w14:paraId="40705B65" w14:textId="77777777" w:rsidR="006965C4" w:rsidRPr="001F1EF5" w:rsidRDefault="006965C4" w:rsidP="006965C4">
      <w:pPr>
        <w:ind w:firstLine="708"/>
        <w:rPr>
          <w:lang w:val="es-ES"/>
        </w:rPr>
      </w:pPr>
    </w:p>
    <w:p w14:paraId="316F1B44" w14:textId="77777777" w:rsidR="00E76E5E" w:rsidRPr="00E76E5E" w:rsidRDefault="00E76E5E" w:rsidP="006965C4">
      <w:pPr>
        <w:pStyle w:val="Cuerpo"/>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Hipótesis</w:t>
      </w:r>
      <w:r w:rsidR="008E208D">
        <w:rPr>
          <w:rFonts w:ascii="Times New Roman" w:hAnsi="Times New Roman" w:cs="Times New Roman"/>
          <w:b/>
          <w:sz w:val="24"/>
          <w:szCs w:val="24"/>
          <w:lang w:val="es-ES"/>
        </w:rPr>
        <w:t xml:space="preserve">, variables </w:t>
      </w:r>
      <w:r>
        <w:rPr>
          <w:rFonts w:ascii="Times New Roman" w:hAnsi="Times New Roman" w:cs="Times New Roman"/>
          <w:b/>
          <w:sz w:val="24"/>
          <w:szCs w:val="24"/>
          <w:lang w:val="es-ES"/>
        </w:rPr>
        <w:t>y objetivos</w:t>
      </w:r>
    </w:p>
    <w:p w14:paraId="0E75D6EC" w14:textId="77777777" w:rsidR="008E208D" w:rsidRDefault="00156FA0" w:rsidP="006965C4">
      <w:pPr>
        <w:pStyle w:val="Cuerpo"/>
        <w:spacing w:after="0" w:line="240" w:lineRule="auto"/>
        <w:ind w:firstLine="708"/>
        <w:rPr>
          <w:rFonts w:ascii="Times New Roman" w:hAnsi="Times New Roman" w:cs="Times New Roman"/>
          <w:sz w:val="24"/>
          <w:szCs w:val="24"/>
        </w:rPr>
      </w:pPr>
      <w:r w:rsidRPr="00800858">
        <w:rPr>
          <w:rFonts w:ascii="Times New Roman" w:hAnsi="Times New Roman" w:cs="Times New Roman"/>
          <w:sz w:val="24"/>
          <w:szCs w:val="24"/>
        </w:rPr>
        <w:t xml:space="preserve">Esta investigación pretende aportar a la comprensión de la organización cognitiva y afectiva que subyace a </w:t>
      </w:r>
      <w:r>
        <w:rPr>
          <w:rFonts w:ascii="Times New Roman" w:hAnsi="Times New Roman" w:cs="Times New Roman"/>
          <w:sz w:val="24"/>
          <w:szCs w:val="24"/>
        </w:rPr>
        <w:t xml:space="preserve">la </w:t>
      </w:r>
      <w:r w:rsidRPr="00800858">
        <w:rPr>
          <w:rFonts w:ascii="Times New Roman" w:hAnsi="Times New Roman" w:cs="Times New Roman"/>
          <w:sz w:val="24"/>
          <w:szCs w:val="24"/>
        </w:rPr>
        <w:t>percepción</w:t>
      </w:r>
      <w:r>
        <w:rPr>
          <w:rFonts w:ascii="Times New Roman" w:hAnsi="Times New Roman" w:cs="Times New Roman"/>
          <w:sz w:val="24"/>
          <w:szCs w:val="24"/>
        </w:rPr>
        <w:t xml:space="preserve"> del riesgo </w:t>
      </w:r>
      <w:r w:rsidR="0056369B">
        <w:rPr>
          <w:rFonts w:ascii="Times New Roman" w:hAnsi="Times New Roman" w:cs="Times New Roman"/>
          <w:sz w:val="24"/>
          <w:szCs w:val="24"/>
        </w:rPr>
        <w:t xml:space="preserve">y las estrategias de afrontamiento frente a la amenaza </w:t>
      </w:r>
      <w:r>
        <w:rPr>
          <w:rFonts w:ascii="Times New Roman" w:hAnsi="Times New Roman" w:cs="Times New Roman"/>
          <w:sz w:val="24"/>
          <w:szCs w:val="24"/>
        </w:rPr>
        <w:t>de inundación en un país latinoamericano</w:t>
      </w:r>
      <w:r w:rsidRPr="00800858">
        <w:rPr>
          <w:rFonts w:ascii="Times New Roman" w:hAnsi="Times New Roman" w:cs="Times New Roman"/>
          <w:sz w:val="24"/>
          <w:szCs w:val="24"/>
        </w:rPr>
        <w:t>.</w:t>
      </w:r>
      <w:r w:rsidR="006965C4">
        <w:rPr>
          <w:rFonts w:ascii="Times New Roman" w:hAnsi="Times New Roman" w:cs="Times New Roman"/>
          <w:sz w:val="24"/>
          <w:szCs w:val="24"/>
        </w:rPr>
        <w:t xml:space="preserve"> </w:t>
      </w:r>
      <w:r w:rsidR="00BC43A5">
        <w:rPr>
          <w:rFonts w:ascii="Times New Roman" w:hAnsi="Times New Roman" w:cs="Times New Roman"/>
          <w:sz w:val="24"/>
          <w:szCs w:val="24"/>
        </w:rPr>
        <w:t xml:space="preserve">La </w:t>
      </w:r>
      <w:r w:rsidR="008E208D">
        <w:rPr>
          <w:rFonts w:ascii="Times New Roman" w:hAnsi="Times New Roman" w:cs="Times New Roman"/>
          <w:sz w:val="24"/>
          <w:szCs w:val="24"/>
        </w:rPr>
        <w:t xml:space="preserve">primera </w:t>
      </w:r>
      <w:r w:rsidR="00BC43A5">
        <w:rPr>
          <w:rFonts w:ascii="Times New Roman" w:hAnsi="Times New Roman" w:cs="Times New Roman"/>
          <w:sz w:val="24"/>
          <w:szCs w:val="24"/>
        </w:rPr>
        <w:t xml:space="preserve">hipótesis que busca verificar </w:t>
      </w:r>
      <w:r w:rsidR="0056369B">
        <w:rPr>
          <w:rFonts w:ascii="Times New Roman" w:hAnsi="Times New Roman" w:cs="Times New Roman"/>
          <w:sz w:val="24"/>
          <w:szCs w:val="24"/>
        </w:rPr>
        <w:t>este</w:t>
      </w:r>
      <w:r w:rsidR="00404FD7" w:rsidRPr="00800858">
        <w:rPr>
          <w:rFonts w:ascii="Times New Roman" w:hAnsi="Times New Roman" w:cs="Times New Roman"/>
          <w:sz w:val="24"/>
          <w:szCs w:val="24"/>
        </w:rPr>
        <w:t xml:space="preserve"> estudio</w:t>
      </w:r>
      <w:r w:rsidR="00BC43A5">
        <w:rPr>
          <w:rFonts w:ascii="Times New Roman" w:hAnsi="Times New Roman" w:cs="Times New Roman"/>
          <w:sz w:val="24"/>
          <w:szCs w:val="24"/>
        </w:rPr>
        <w:t xml:space="preserve"> es la existe</w:t>
      </w:r>
      <w:r w:rsidR="008E208D">
        <w:rPr>
          <w:rFonts w:ascii="Times New Roman" w:hAnsi="Times New Roman" w:cs="Times New Roman"/>
          <w:sz w:val="24"/>
          <w:szCs w:val="24"/>
        </w:rPr>
        <w:t>ncia</w:t>
      </w:r>
      <w:r w:rsidR="00BC43A5">
        <w:rPr>
          <w:rFonts w:ascii="Times New Roman" w:hAnsi="Times New Roman" w:cs="Times New Roman"/>
          <w:sz w:val="24"/>
          <w:szCs w:val="24"/>
        </w:rPr>
        <w:t xml:space="preserve"> de un</w:t>
      </w:r>
      <w:r w:rsidR="006965C4">
        <w:rPr>
          <w:rFonts w:ascii="Times New Roman" w:hAnsi="Times New Roman" w:cs="Times New Roman"/>
          <w:sz w:val="24"/>
          <w:szCs w:val="24"/>
        </w:rPr>
        <w:t xml:space="preserve"> </w:t>
      </w:r>
      <w:r w:rsidR="00F8628B">
        <w:rPr>
          <w:rFonts w:ascii="Times New Roman" w:hAnsi="Times New Roman" w:cs="Times New Roman"/>
          <w:sz w:val="24"/>
          <w:szCs w:val="24"/>
        </w:rPr>
        <w:t>efecto del tipo de</w:t>
      </w:r>
      <w:r w:rsidR="006965C4">
        <w:rPr>
          <w:rFonts w:ascii="Times New Roman" w:hAnsi="Times New Roman" w:cs="Times New Roman"/>
          <w:sz w:val="24"/>
          <w:szCs w:val="24"/>
        </w:rPr>
        <w:t xml:space="preserve"> </w:t>
      </w:r>
      <w:r w:rsidR="00B31D0A" w:rsidRPr="00800858">
        <w:rPr>
          <w:rFonts w:ascii="Times New Roman" w:hAnsi="Times New Roman" w:cs="Times New Roman"/>
          <w:sz w:val="24"/>
          <w:szCs w:val="24"/>
        </w:rPr>
        <w:t>exposición</w:t>
      </w:r>
      <w:r w:rsidR="006965C4">
        <w:rPr>
          <w:rFonts w:ascii="Times New Roman" w:hAnsi="Times New Roman" w:cs="Times New Roman"/>
          <w:sz w:val="24"/>
          <w:szCs w:val="24"/>
        </w:rPr>
        <w:t xml:space="preserve"> </w:t>
      </w:r>
      <w:r w:rsidR="002D033D">
        <w:rPr>
          <w:rFonts w:ascii="Times New Roman" w:hAnsi="Times New Roman" w:cs="Times New Roman"/>
          <w:sz w:val="24"/>
          <w:szCs w:val="24"/>
        </w:rPr>
        <w:t xml:space="preserve">y </w:t>
      </w:r>
      <w:r w:rsidR="00BC43A5">
        <w:rPr>
          <w:rFonts w:ascii="Times New Roman" w:hAnsi="Times New Roman" w:cs="Times New Roman"/>
          <w:sz w:val="24"/>
          <w:szCs w:val="24"/>
        </w:rPr>
        <w:t xml:space="preserve">la </w:t>
      </w:r>
      <w:r w:rsidR="002D033D">
        <w:rPr>
          <w:rFonts w:ascii="Times New Roman" w:hAnsi="Times New Roman" w:cs="Times New Roman"/>
          <w:sz w:val="24"/>
          <w:szCs w:val="24"/>
        </w:rPr>
        <w:t xml:space="preserve">experiencia </w:t>
      </w:r>
      <w:r w:rsidR="00F8628B">
        <w:rPr>
          <w:rFonts w:ascii="Times New Roman" w:hAnsi="Times New Roman" w:cs="Times New Roman"/>
          <w:sz w:val="24"/>
          <w:szCs w:val="24"/>
        </w:rPr>
        <w:t xml:space="preserve">previa </w:t>
      </w:r>
      <w:r w:rsidR="00F97DD9" w:rsidRPr="00800858">
        <w:rPr>
          <w:rFonts w:ascii="Times New Roman" w:hAnsi="Times New Roman" w:cs="Times New Roman"/>
          <w:sz w:val="24"/>
          <w:szCs w:val="24"/>
        </w:rPr>
        <w:t>de inundación</w:t>
      </w:r>
      <w:r w:rsidR="00BC43A5">
        <w:rPr>
          <w:rFonts w:ascii="Times New Roman" w:hAnsi="Times New Roman" w:cs="Times New Roman"/>
          <w:sz w:val="24"/>
          <w:szCs w:val="24"/>
        </w:rPr>
        <w:t xml:space="preserve"> (VI)</w:t>
      </w:r>
      <w:r w:rsidR="006965C4">
        <w:rPr>
          <w:rFonts w:ascii="Times New Roman" w:hAnsi="Times New Roman" w:cs="Times New Roman"/>
          <w:sz w:val="24"/>
          <w:szCs w:val="24"/>
        </w:rPr>
        <w:t xml:space="preserve"> </w:t>
      </w:r>
      <w:r w:rsidR="006F7CD6">
        <w:rPr>
          <w:rFonts w:ascii="Times New Roman" w:hAnsi="Times New Roman" w:cs="Times New Roman"/>
          <w:sz w:val="24"/>
          <w:szCs w:val="24"/>
        </w:rPr>
        <w:t>sobre</w:t>
      </w:r>
      <w:r w:rsidR="006965C4">
        <w:rPr>
          <w:rFonts w:ascii="Times New Roman" w:hAnsi="Times New Roman" w:cs="Times New Roman"/>
          <w:sz w:val="24"/>
          <w:szCs w:val="24"/>
        </w:rPr>
        <w:t xml:space="preserve"> </w:t>
      </w:r>
      <w:r w:rsidR="009850CD">
        <w:rPr>
          <w:rFonts w:ascii="Times New Roman" w:hAnsi="Times New Roman" w:cs="Times New Roman"/>
          <w:sz w:val="24"/>
          <w:szCs w:val="24"/>
        </w:rPr>
        <w:t>la</w:t>
      </w:r>
      <w:r w:rsidR="008A553C">
        <w:rPr>
          <w:rFonts w:ascii="Times New Roman" w:hAnsi="Times New Roman" w:cs="Times New Roman"/>
          <w:sz w:val="24"/>
          <w:szCs w:val="24"/>
        </w:rPr>
        <w:t xml:space="preserve"> percepción</w:t>
      </w:r>
      <w:r w:rsidR="009850CD">
        <w:rPr>
          <w:rFonts w:ascii="Times New Roman" w:hAnsi="Times New Roman" w:cs="Times New Roman"/>
          <w:sz w:val="24"/>
          <w:szCs w:val="24"/>
        </w:rPr>
        <w:t xml:space="preserve"> del riesgo</w:t>
      </w:r>
      <w:r w:rsidR="008E208D">
        <w:rPr>
          <w:rFonts w:ascii="Times New Roman" w:hAnsi="Times New Roman" w:cs="Times New Roman"/>
          <w:sz w:val="24"/>
          <w:szCs w:val="24"/>
        </w:rPr>
        <w:t>, la implicación</w:t>
      </w:r>
      <w:r w:rsidR="006965C4">
        <w:rPr>
          <w:rFonts w:ascii="Times New Roman" w:hAnsi="Times New Roman" w:cs="Times New Roman"/>
          <w:sz w:val="24"/>
          <w:szCs w:val="24"/>
        </w:rPr>
        <w:t xml:space="preserve"> </w:t>
      </w:r>
      <w:r w:rsidR="008E208D">
        <w:rPr>
          <w:rFonts w:ascii="Times New Roman" w:hAnsi="Times New Roman" w:cs="Times New Roman"/>
          <w:sz w:val="24"/>
          <w:szCs w:val="24"/>
        </w:rPr>
        <w:t xml:space="preserve">personal frente al mismo </w:t>
      </w:r>
      <w:r w:rsidR="009850CD">
        <w:rPr>
          <w:rFonts w:ascii="Times New Roman" w:hAnsi="Times New Roman" w:cs="Times New Roman"/>
          <w:sz w:val="24"/>
          <w:szCs w:val="24"/>
        </w:rPr>
        <w:t>y el tipo de estrategia de afrontamiento</w:t>
      </w:r>
      <w:r w:rsidR="00BC43A5">
        <w:rPr>
          <w:rFonts w:ascii="Times New Roman" w:hAnsi="Times New Roman" w:cs="Times New Roman"/>
          <w:sz w:val="24"/>
          <w:szCs w:val="24"/>
        </w:rPr>
        <w:t xml:space="preserve"> (VD)</w:t>
      </w:r>
      <w:r w:rsidR="00404FD7" w:rsidRPr="00800858">
        <w:rPr>
          <w:rFonts w:ascii="Times New Roman" w:hAnsi="Times New Roman" w:cs="Times New Roman"/>
          <w:sz w:val="24"/>
          <w:szCs w:val="24"/>
        </w:rPr>
        <w:t>.</w:t>
      </w:r>
      <w:r w:rsidR="0091792B">
        <w:rPr>
          <w:rFonts w:ascii="Times New Roman" w:hAnsi="Times New Roman" w:cs="Times New Roman"/>
          <w:sz w:val="24"/>
          <w:szCs w:val="24"/>
        </w:rPr>
        <w:t xml:space="preserve"> </w:t>
      </w:r>
      <w:r w:rsidR="00EE4651">
        <w:rPr>
          <w:rFonts w:ascii="Times New Roman" w:hAnsi="Times New Roman" w:cs="Times New Roman"/>
          <w:sz w:val="24"/>
          <w:szCs w:val="24"/>
        </w:rPr>
        <w:t xml:space="preserve">La exposición </w:t>
      </w:r>
      <w:r w:rsidR="009C2653">
        <w:rPr>
          <w:rFonts w:ascii="Times New Roman" w:hAnsi="Times New Roman" w:cs="Times New Roman"/>
          <w:sz w:val="24"/>
          <w:szCs w:val="24"/>
        </w:rPr>
        <w:t>implica vivir</w:t>
      </w:r>
      <w:r w:rsidR="00EE4651">
        <w:rPr>
          <w:rFonts w:ascii="Times New Roman" w:hAnsi="Times New Roman" w:cs="Times New Roman"/>
          <w:sz w:val="24"/>
          <w:szCs w:val="24"/>
        </w:rPr>
        <w:t xml:space="preserve"> (o no)</w:t>
      </w:r>
      <w:r w:rsidR="006965C4">
        <w:rPr>
          <w:rFonts w:ascii="Times New Roman" w:hAnsi="Times New Roman" w:cs="Times New Roman"/>
          <w:sz w:val="24"/>
          <w:szCs w:val="24"/>
        </w:rPr>
        <w:t xml:space="preserve"> </w:t>
      </w:r>
      <w:r w:rsidR="00795CFF">
        <w:rPr>
          <w:rFonts w:ascii="Times New Roman" w:hAnsi="Times New Roman" w:cs="Times New Roman"/>
          <w:sz w:val="24"/>
          <w:szCs w:val="24"/>
        </w:rPr>
        <w:t>cerca de</w:t>
      </w:r>
      <w:r w:rsidR="009C2653">
        <w:rPr>
          <w:rFonts w:ascii="Times New Roman" w:hAnsi="Times New Roman" w:cs="Times New Roman"/>
          <w:sz w:val="24"/>
          <w:szCs w:val="24"/>
        </w:rPr>
        <w:t xml:space="preserve"> un r</w:t>
      </w:r>
      <w:r w:rsidR="00574C99">
        <w:rPr>
          <w:rFonts w:ascii="Times New Roman" w:hAnsi="Times New Roman" w:cs="Times New Roman"/>
          <w:sz w:val="24"/>
          <w:szCs w:val="24"/>
        </w:rPr>
        <w:t>ío que se desborda</w:t>
      </w:r>
      <w:r w:rsidR="009C2653">
        <w:rPr>
          <w:rFonts w:ascii="Times New Roman" w:hAnsi="Times New Roman" w:cs="Times New Roman"/>
          <w:sz w:val="24"/>
          <w:szCs w:val="24"/>
        </w:rPr>
        <w:t xml:space="preserve"> y </w:t>
      </w:r>
      <w:r w:rsidR="00EE4651">
        <w:rPr>
          <w:rFonts w:ascii="Times New Roman" w:hAnsi="Times New Roman" w:cs="Times New Roman"/>
          <w:sz w:val="24"/>
          <w:szCs w:val="24"/>
        </w:rPr>
        <w:t>l</w:t>
      </w:r>
      <w:r w:rsidR="009C2653">
        <w:rPr>
          <w:rFonts w:ascii="Times New Roman" w:hAnsi="Times New Roman" w:cs="Times New Roman"/>
          <w:sz w:val="24"/>
          <w:szCs w:val="24"/>
        </w:rPr>
        <w:t xml:space="preserve">a experiencia implica haber </w:t>
      </w:r>
      <w:r w:rsidR="00EE4651">
        <w:rPr>
          <w:rFonts w:ascii="Times New Roman" w:hAnsi="Times New Roman" w:cs="Times New Roman"/>
          <w:sz w:val="24"/>
          <w:szCs w:val="24"/>
        </w:rPr>
        <w:t>vivido (o no) una inundación</w:t>
      </w:r>
      <w:r w:rsidR="008E208D">
        <w:rPr>
          <w:rFonts w:ascii="Times New Roman" w:hAnsi="Times New Roman" w:cs="Times New Roman"/>
          <w:sz w:val="24"/>
          <w:szCs w:val="24"/>
        </w:rPr>
        <w:t xml:space="preserve"> previamente</w:t>
      </w:r>
      <w:r w:rsidR="00EE4651">
        <w:rPr>
          <w:rFonts w:ascii="Times New Roman" w:hAnsi="Times New Roman" w:cs="Times New Roman"/>
          <w:sz w:val="24"/>
          <w:szCs w:val="24"/>
        </w:rPr>
        <w:t>.</w:t>
      </w:r>
      <w:r w:rsidR="006965C4">
        <w:rPr>
          <w:rFonts w:ascii="Times New Roman" w:hAnsi="Times New Roman" w:cs="Times New Roman"/>
          <w:sz w:val="24"/>
          <w:szCs w:val="24"/>
        </w:rPr>
        <w:t xml:space="preserve"> </w:t>
      </w:r>
      <w:r w:rsidR="008E208D">
        <w:rPr>
          <w:rFonts w:ascii="Times New Roman" w:hAnsi="Times New Roman" w:cs="Times New Roman"/>
          <w:sz w:val="24"/>
          <w:szCs w:val="24"/>
        </w:rPr>
        <w:t>De esta manera podemos elaborar dos hipótesis:</w:t>
      </w:r>
    </w:p>
    <w:p w14:paraId="59C2DFB1" w14:textId="77777777" w:rsidR="00E35DAB" w:rsidRDefault="008E208D" w:rsidP="006965C4">
      <w:pPr>
        <w:pStyle w:val="Cuerpo"/>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H1A: </w:t>
      </w:r>
      <w:r w:rsidR="00E35DAB">
        <w:rPr>
          <w:rFonts w:ascii="Times New Roman" w:hAnsi="Times New Roman" w:cs="Times New Roman"/>
          <w:sz w:val="24"/>
          <w:szCs w:val="24"/>
        </w:rPr>
        <w:t>L</w:t>
      </w:r>
      <w:r>
        <w:rPr>
          <w:rFonts w:ascii="Times New Roman" w:hAnsi="Times New Roman" w:cs="Times New Roman"/>
          <w:sz w:val="24"/>
          <w:szCs w:val="24"/>
        </w:rPr>
        <w:t xml:space="preserve">as personas expuestas al riesgo de inundación </w:t>
      </w:r>
      <w:r w:rsidR="00E35DAB">
        <w:rPr>
          <w:rFonts w:ascii="Times New Roman" w:hAnsi="Times New Roman" w:cs="Times New Roman"/>
          <w:sz w:val="24"/>
          <w:szCs w:val="24"/>
        </w:rPr>
        <w:t>presentan un nivel mayor de percepción del riesgo (más temor y conocimiento), se sienten más implicadas personalmente y elaboran más estrategias activas, que aquellas que no están expuestas.</w:t>
      </w:r>
    </w:p>
    <w:p w14:paraId="240C7FD7" w14:textId="77777777" w:rsidR="008E208D" w:rsidRDefault="00E35DAB" w:rsidP="006965C4">
      <w:pPr>
        <w:pStyle w:val="Cuerpo"/>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H1B: Las personas que</w:t>
      </w:r>
      <w:r w:rsidR="0056369B">
        <w:rPr>
          <w:rFonts w:ascii="Times New Roman" w:hAnsi="Times New Roman" w:cs="Times New Roman"/>
          <w:sz w:val="24"/>
          <w:szCs w:val="24"/>
        </w:rPr>
        <w:t>,</w:t>
      </w:r>
      <w:r>
        <w:rPr>
          <w:rFonts w:ascii="Times New Roman" w:hAnsi="Times New Roman" w:cs="Times New Roman"/>
          <w:sz w:val="24"/>
          <w:szCs w:val="24"/>
        </w:rPr>
        <w:t xml:space="preserve"> además de estar expuestas han vivido una experiencia anterior de inundación, presentan un nivel mayor de percepción de riesgo, se sienten aun mas implicadas personalmente y reconocen mas estrategias activas para enfrentar la amenaza, que las personas que no han vivido la experiencia de inundación. </w:t>
      </w:r>
    </w:p>
    <w:p w14:paraId="0E911C39" w14:textId="77777777" w:rsidR="008E208D" w:rsidRDefault="00E35DAB" w:rsidP="006965C4">
      <w:pPr>
        <w:pStyle w:val="Cuerpo"/>
        <w:spacing w:after="0" w:line="240" w:lineRule="auto"/>
        <w:ind w:firstLine="708"/>
        <w:rPr>
          <w:rFonts w:ascii="Times New Roman" w:hAnsi="Times New Roman" w:cs="Times New Roman"/>
          <w:sz w:val="24"/>
          <w:szCs w:val="24"/>
          <w:lang w:val="es-ES"/>
        </w:rPr>
      </w:pPr>
      <w:r>
        <w:rPr>
          <w:rFonts w:ascii="Times New Roman" w:hAnsi="Times New Roman" w:cs="Times New Roman"/>
          <w:sz w:val="24"/>
          <w:szCs w:val="24"/>
        </w:rPr>
        <w:t xml:space="preserve">Una segunda hipótesis busca identificar el efecto mediador que tiene la variable implicación personal (IP) entre la percepción de </w:t>
      </w:r>
      <w:r w:rsidR="007D5953">
        <w:rPr>
          <w:rFonts w:ascii="Times New Roman" w:hAnsi="Times New Roman" w:cs="Times New Roman"/>
          <w:sz w:val="24"/>
          <w:szCs w:val="24"/>
        </w:rPr>
        <w:t>riesgo de inundación (PRI) y la estrategia de afrontamiento (AF). Como se planteo en la introducción, la implicación es considerada como una variable intermedia entre el conocimiento y la acción, y particularmente en los est</w:t>
      </w:r>
      <w:r w:rsidR="009C1F39">
        <w:rPr>
          <w:rFonts w:ascii="Times New Roman" w:hAnsi="Times New Roman" w:cs="Times New Roman"/>
          <w:sz w:val="24"/>
          <w:szCs w:val="24"/>
        </w:rPr>
        <w:t>udios sobre inundación (Baggio &amp;</w:t>
      </w:r>
      <w:r w:rsidR="006965C4">
        <w:rPr>
          <w:rFonts w:ascii="Times New Roman" w:hAnsi="Times New Roman" w:cs="Times New Roman"/>
          <w:sz w:val="24"/>
          <w:szCs w:val="24"/>
        </w:rPr>
        <w:t xml:space="preserve"> </w:t>
      </w:r>
      <w:r w:rsidR="007D5953">
        <w:rPr>
          <w:rFonts w:ascii="Times New Roman" w:hAnsi="Times New Roman" w:cs="Times New Roman"/>
          <w:sz w:val="24"/>
          <w:szCs w:val="24"/>
        </w:rPr>
        <w:t>Rouquette, 2006), el hecho de considerarse implicado o concernido por la amenaza, explica una actitud activa frente a</w:t>
      </w:r>
      <w:r w:rsidR="006965C4">
        <w:rPr>
          <w:rFonts w:ascii="Times New Roman" w:hAnsi="Times New Roman" w:cs="Times New Roman"/>
          <w:sz w:val="24"/>
          <w:szCs w:val="24"/>
        </w:rPr>
        <w:t xml:space="preserve"> </w:t>
      </w:r>
      <w:r w:rsidR="007D5953">
        <w:rPr>
          <w:rFonts w:ascii="Times New Roman" w:hAnsi="Times New Roman" w:cs="Times New Roman"/>
          <w:sz w:val="24"/>
          <w:szCs w:val="24"/>
        </w:rPr>
        <w:t>l</w:t>
      </w:r>
      <w:r w:rsidR="009C1F39">
        <w:rPr>
          <w:rFonts w:ascii="Times New Roman" w:hAnsi="Times New Roman" w:cs="Times New Roman"/>
          <w:sz w:val="24"/>
          <w:szCs w:val="24"/>
        </w:rPr>
        <w:t>a misma</w:t>
      </w:r>
      <w:r w:rsidR="007D5953">
        <w:rPr>
          <w:rFonts w:ascii="Times New Roman" w:hAnsi="Times New Roman" w:cs="Times New Roman"/>
          <w:sz w:val="24"/>
          <w:szCs w:val="24"/>
        </w:rPr>
        <w:t xml:space="preserve">, diferente a la de aquellos que no lo están. </w:t>
      </w:r>
      <w:r w:rsidR="00C6072B">
        <w:rPr>
          <w:rFonts w:ascii="Times New Roman" w:hAnsi="Times New Roman" w:cs="Times New Roman"/>
          <w:sz w:val="24"/>
          <w:szCs w:val="24"/>
        </w:rPr>
        <w:t>Además la literatura sobre percepción de riesgos nos indica que las personas que están o se consideran concernidas por la amenaza tienden a implicarse emocional, cognitiva y comportamentalmente</w:t>
      </w:r>
      <w:r w:rsidR="006965C4">
        <w:rPr>
          <w:rFonts w:ascii="Times New Roman" w:hAnsi="Times New Roman" w:cs="Times New Roman"/>
          <w:sz w:val="24"/>
          <w:szCs w:val="24"/>
        </w:rPr>
        <w:t xml:space="preserve"> </w:t>
      </w:r>
      <w:r w:rsidR="0091792B">
        <w:rPr>
          <w:rFonts w:ascii="Times New Roman" w:hAnsi="Times New Roman" w:cs="Times New Roman"/>
          <w:sz w:val="24"/>
          <w:szCs w:val="24"/>
        </w:rPr>
        <w:t>más</w:t>
      </w:r>
      <w:r w:rsidR="00C6072B">
        <w:rPr>
          <w:rFonts w:ascii="Times New Roman" w:hAnsi="Times New Roman" w:cs="Times New Roman"/>
          <w:sz w:val="24"/>
          <w:szCs w:val="24"/>
        </w:rPr>
        <w:t xml:space="preserve"> que los demás </w:t>
      </w:r>
      <w:r w:rsidR="00C6072B" w:rsidRPr="007A6E77">
        <w:rPr>
          <w:rStyle w:val="hps"/>
          <w:rFonts w:ascii="Times New Roman" w:hAnsi="Times New Roman" w:cs="Times New Roman"/>
          <w:sz w:val="24"/>
          <w:szCs w:val="24"/>
          <w:lang w:val="es-ES"/>
        </w:rPr>
        <w:t>(</w:t>
      </w:r>
      <w:r w:rsidR="00C6072B" w:rsidRPr="007A6E77">
        <w:rPr>
          <w:rFonts w:ascii="Times New Roman" w:hAnsi="Times New Roman" w:cs="Times New Roman"/>
          <w:sz w:val="24"/>
          <w:szCs w:val="24"/>
          <w:lang w:val="es-ES"/>
        </w:rPr>
        <w:t>López-Vázquez &amp;</w:t>
      </w:r>
      <w:r w:rsidR="006965C4">
        <w:rPr>
          <w:rFonts w:ascii="Times New Roman" w:hAnsi="Times New Roman" w:cs="Times New Roman"/>
          <w:sz w:val="24"/>
          <w:szCs w:val="24"/>
          <w:lang w:val="es-ES"/>
        </w:rPr>
        <w:t xml:space="preserve"> </w:t>
      </w:r>
      <w:r w:rsidR="00C6072B" w:rsidRPr="007A6E77">
        <w:rPr>
          <w:rFonts w:ascii="Times New Roman" w:hAnsi="Times New Roman" w:cs="Times New Roman"/>
          <w:sz w:val="24"/>
          <w:szCs w:val="24"/>
          <w:lang w:val="es-ES"/>
        </w:rPr>
        <w:t>Marván, 2003)</w:t>
      </w:r>
      <w:r w:rsidR="00C6072B">
        <w:rPr>
          <w:rFonts w:ascii="Times New Roman" w:hAnsi="Times New Roman" w:cs="Times New Roman"/>
          <w:sz w:val="24"/>
          <w:szCs w:val="24"/>
          <w:lang w:val="es-ES"/>
        </w:rPr>
        <w:t>. Según estos elementos, formulamos la siguiente hipótesis:</w:t>
      </w:r>
    </w:p>
    <w:p w14:paraId="6FF46443" w14:textId="77777777" w:rsidR="00C6072B" w:rsidRDefault="00C6072B" w:rsidP="006965C4">
      <w:pPr>
        <w:pStyle w:val="Cuerpo"/>
        <w:spacing w:after="0" w:line="240" w:lineRule="auto"/>
        <w:ind w:firstLine="708"/>
        <w:rPr>
          <w:rFonts w:ascii="Times New Roman" w:hAnsi="Times New Roman" w:cs="Times New Roman"/>
          <w:sz w:val="24"/>
          <w:szCs w:val="24"/>
        </w:rPr>
      </w:pPr>
      <w:r w:rsidRPr="00C6072B">
        <w:rPr>
          <w:rFonts w:ascii="Times New Roman" w:hAnsi="Times New Roman" w:cs="Times New Roman"/>
          <w:sz w:val="24"/>
          <w:szCs w:val="24"/>
          <w:lang w:val="es-ES"/>
        </w:rPr>
        <w:lastRenderedPageBreak/>
        <w:t>H2: La IP tiene</w:t>
      </w:r>
      <w:r>
        <w:rPr>
          <w:rFonts w:ascii="Times New Roman" w:hAnsi="Times New Roman" w:cs="Times New Roman"/>
          <w:sz w:val="24"/>
          <w:szCs w:val="24"/>
          <w:lang w:val="es-ES"/>
        </w:rPr>
        <w:t xml:space="preserve"> un efecto mediador entre la PRI y la elaboración de estrategias </w:t>
      </w:r>
      <w:r>
        <w:rPr>
          <w:rFonts w:ascii="Times New Roman" w:hAnsi="Times New Roman" w:cs="Times New Roman"/>
          <w:sz w:val="24"/>
          <w:szCs w:val="24"/>
        </w:rPr>
        <w:t xml:space="preserve">AFActiva, mejorando así la capacidad predictiva del modelo. </w:t>
      </w:r>
    </w:p>
    <w:p w14:paraId="0DB748F7" w14:textId="77777777" w:rsidR="009C1F39" w:rsidRDefault="009C1F39" w:rsidP="006965C4">
      <w:pPr>
        <w:pStyle w:val="Cuerpo"/>
        <w:tabs>
          <w:tab w:val="left" w:pos="426"/>
        </w:tabs>
        <w:spacing w:after="0" w:line="240" w:lineRule="auto"/>
        <w:jc w:val="both"/>
        <w:rPr>
          <w:rFonts w:ascii="Times New Roman" w:hAnsi="Times New Roman" w:cs="Times New Roman"/>
          <w:b/>
          <w:sz w:val="24"/>
          <w:szCs w:val="24"/>
        </w:rPr>
      </w:pPr>
    </w:p>
    <w:p w14:paraId="4B76F17D" w14:textId="77777777" w:rsidR="00B36CD8" w:rsidRPr="00800858" w:rsidRDefault="00C52220" w:rsidP="006965C4">
      <w:pPr>
        <w:pStyle w:val="Cuerpo"/>
        <w:tabs>
          <w:tab w:val="left" w:pos="426"/>
        </w:tabs>
        <w:spacing w:after="0" w:line="240" w:lineRule="auto"/>
        <w:jc w:val="both"/>
        <w:rPr>
          <w:rFonts w:ascii="Times New Roman" w:eastAsia="Times New Roman Bold" w:hAnsi="Times New Roman" w:cs="Times New Roman"/>
          <w:b/>
          <w:sz w:val="24"/>
          <w:szCs w:val="24"/>
        </w:rPr>
      </w:pPr>
      <w:r w:rsidRPr="00800858">
        <w:rPr>
          <w:rFonts w:ascii="Times New Roman" w:hAnsi="Times New Roman" w:cs="Times New Roman"/>
          <w:b/>
          <w:sz w:val="24"/>
          <w:szCs w:val="24"/>
        </w:rPr>
        <w:t xml:space="preserve">Método </w:t>
      </w:r>
    </w:p>
    <w:p w14:paraId="2D1B265F" w14:textId="77777777" w:rsidR="00C6072B" w:rsidRPr="00497F18" w:rsidRDefault="00C6072B" w:rsidP="006965C4">
      <w:pPr>
        <w:pBdr>
          <w:top w:val="none" w:sz="0" w:space="0" w:color="auto"/>
          <w:left w:val="none" w:sz="0" w:space="0" w:color="auto"/>
          <w:bottom w:val="none" w:sz="0" w:space="0" w:color="auto"/>
          <w:right w:val="none" w:sz="0" w:space="0" w:color="auto"/>
        </w:pBdr>
        <w:rPr>
          <w:lang w:val="es-ES"/>
        </w:rPr>
      </w:pPr>
      <w:r w:rsidRPr="00FA0F46">
        <w:rPr>
          <w:i/>
          <w:lang w:val="es-ES"/>
        </w:rPr>
        <w:t>Participantes</w:t>
      </w:r>
    </w:p>
    <w:p w14:paraId="059BDBD0" w14:textId="77777777" w:rsidR="00C6072B" w:rsidRDefault="00547327" w:rsidP="006965C4">
      <w:pPr>
        <w:pStyle w:val="Cuerpo"/>
        <w:spacing w:after="0" w:line="240" w:lineRule="auto"/>
        <w:ind w:firstLine="709"/>
        <w:rPr>
          <w:rFonts w:ascii="Times New Roman" w:hAnsi="Times New Roman" w:cs="Times New Roman"/>
          <w:sz w:val="24"/>
          <w:szCs w:val="24"/>
        </w:rPr>
      </w:pPr>
      <w:r w:rsidRPr="00547327">
        <w:rPr>
          <w:rFonts w:ascii="Times New Roman" w:hAnsi="Times New Roman" w:cs="Times New Roman"/>
          <w:sz w:val="24"/>
          <w:szCs w:val="24"/>
        </w:rPr>
        <w:t>Se utilizó un muestreo por conveniencia</w:t>
      </w:r>
      <w:r>
        <w:rPr>
          <w:rFonts w:ascii="Times New Roman" w:hAnsi="Times New Roman" w:cs="Times New Roman"/>
          <w:sz w:val="24"/>
          <w:szCs w:val="24"/>
        </w:rPr>
        <w:t>.</w:t>
      </w:r>
      <w:r w:rsidR="00C6072B" w:rsidRPr="00CB7208">
        <w:rPr>
          <w:rFonts w:ascii="Times New Roman" w:hAnsi="Times New Roman" w:cs="Times New Roman"/>
          <w:sz w:val="24"/>
          <w:szCs w:val="24"/>
        </w:rPr>
        <w:t>309 p</w:t>
      </w:r>
      <w:r w:rsidR="00C6072B">
        <w:rPr>
          <w:rFonts w:ascii="Times New Roman" w:hAnsi="Times New Roman" w:cs="Times New Roman"/>
          <w:sz w:val="24"/>
          <w:szCs w:val="24"/>
        </w:rPr>
        <w:t>ersonas, habitantes del Departamento de Antioquia – Colombia, participaron al estudio</w:t>
      </w:r>
      <w:r w:rsidR="00C6072B" w:rsidRPr="008E271E">
        <w:rPr>
          <w:rFonts w:ascii="Times New Roman" w:hAnsi="Times New Roman" w:cs="Times New Roman"/>
          <w:color w:val="auto"/>
          <w:sz w:val="24"/>
          <w:szCs w:val="24"/>
        </w:rPr>
        <w:t>.</w:t>
      </w:r>
      <w:r w:rsidR="00D35BD6" w:rsidRPr="008E271E">
        <w:rPr>
          <w:rFonts w:ascii="Times New Roman" w:hAnsi="Times New Roman" w:cs="Times New Roman"/>
          <w:color w:val="auto"/>
          <w:sz w:val="24"/>
          <w:szCs w:val="24"/>
        </w:rPr>
        <w:t xml:space="preserve"> Esta región montañosa del occidente del país ha conocido, en los últimos años, una multiplicación de fenómenos de inundación debido a las fuertes lluvias. Los participantes fueron contactados e interrogados directamente en sus viviendas, y en función de su exposición al riesgo, fueron organizado</w:t>
      </w:r>
      <w:r w:rsidR="00C6072B" w:rsidRPr="008E271E">
        <w:rPr>
          <w:rFonts w:ascii="Times New Roman" w:hAnsi="Times New Roman" w:cs="Times New Roman"/>
          <w:color w:val="auto"/>
          <w:sz w:val="24"/>
          <w:szCs w:val="24"/>
        </w:rPr>
        <w:t>s en tres grupos</w:t>
      </w:r>
      <w:r w:rsidR="001D0E0F" w:rsidRPr="008E271E">
        <w:rPr>
          <w:rFonts w:ascii="Times New Roman" w:hAnsi="Times New Roman" w:cs="Times New Roman"/>
          <w:color w:val="auto"/>
          <w:sz w:val="24"/>
          <w:szCs w:val="24"/>
        </w:rPr>
        <w:t xml:space="preserve"> que operacionalizan nuestra VI</w:t>
      </w:r>
      <w:r w:rsidR="00C6072B" w:rsidRPr="008E271E">
        <w:rPr>
          <w:rFonts w:ascii="Times New Roman" w:hAnsi="Times New Roman" w:cs="Times New Roman"/>
          <w:color w:val="auto"/>
          <w:sz w:val="24"/>
          <w:szCs w:val="24"/>
        </w:rPr>
        <w:t xml:space="preserve">: </w:t>
      </w:r>
      <w:r w:rsidR="001D0E0F" w:rsidRPr="008E271E">
        <w:rPr>
          <w:rFonts w:ascii="Times New Roman" w:hAnsi="Times New Roman" w:cs="Times New Roman"/>
          <w:color w:val="auto"/>
          <w:sz w:val="24"/>
          <w:szCs w:val="24"/>
        </w:rPr>
        <w:t>l</w:t>
      </w:r>
      <w:r w:rsidR="00C6072B" w:rsidRPr="008E271E">
        <w:rPr>
          <w:rFonts w:ascii="Times New Roman" w:hAnsi="Times New Roman" w:cs="Times New Roman"/>
          <w:color w:val="auto"/>
          <w:sz w:val="24"/>
          <w:szCs w:val="24"/>
        </w:rPr>
        <w:t xml:space="preserve">os expuestos </w:t>
      </w:r>
      <w:r w:rsidR="001D0E0F" w:rsidRPr="008E271E">
        <w:rPr>
          <w:rFonts w:ascii="Times New Roman" w:hAnsi="Times New Roman" w:cs="Times New Roman"/>
          <w:color w:val="auto"/>
          <w:sz w:val="24"/>
          <w:szCs w:val="24"/>
        </w:rPr>
        <w:t>a la amenaza de</w:t>
      </w:r>
      <w:r w:rsidR="001D0E0F">
        <w:rPr>
          <w:rFonts w:ascii="Times New Roman" w:hAnsi="Times New Roman" w:cs="Times New Roman"/>
          <w:sz w:val="24"/>
          <w:szCs w:val="24"/>
        </w:rPr>
        <w:t xml:space="preserve"> inundación, que a su vez se diferencian por el hecho de haber vivido una experiencia de inundación </w:t>
      </w:r>
      <w:r w:rsidR="00C6072B">
        <w:rPr>
          <w:rFonts w:ascii="Times New Roman" w:hAnsi="Times New Roman" w:cs="Times New Roman"/>
          <w:sz w:val="24"/>
          <w:szCs w:val="24"/>
        </w:rPr>
        <w:t xml:space="preserve">(exposición media y alta) y </w:t>
      </w:r>
      <w:r w:rsidR="001D0E0F">
        <w:rPr>
          <w:rFonts w:ascii="Times New Roman" w:hAnsi="Times New Roman" w:cs="Times New Roman"/>
          <w:sz w:val="24"/>
          <w:szCs w:val="24"/>
        </w:rPr>
        <w:t xml:space="preserve">los </w:t>
      </w:r>
      <w:r w:rsidR="00C6072B">
        <w:rPr>
          <w:rFonts w:ascii="Times New Roman" w:hAnsi="Times New Roman" w:cs="Times New Roman"/>
          <w:sz w:val="24"/>
          <w:szCs w:val="24"/>
        </w:rPr>
        <w:t>no expuestos</w:t>
      </w:r>
      <w:r w:rsidR="001D0E0F">
        <w:rPr>
          <w:rFonts w:ascii="Times New Roman" w:hAnsi="Times New Roman" w:cs="Times New Roman"/>
          <w:sz w:val="24"/>
          <w:szCs w:val="24"/>
        </w:rPr>
        <w:t>:</w:t>
      </w:r>
    </w:p>
    <w:p w14:paraId="474C711C" w14:textId="77777777" w:rsidR="00C6072B" w:rsidRDefault="00C6072B" w:rsidP="006965C4">
      <w:pPr>
        <w:pStyle w:val="Cuerpo"/>
        <w:numPr>
          <w:ilvl w:val="0"/>
          <w:numId w:val="1"/>
        </w:numPr>
        <w:spacing w:after="100" w:afterAutospacing="1" w:line="240" w:lineRule="auto"/>
        <w:ind w:left="0" w:firstLine="360"/>
        <w:rPr>
          <w:rFonts w:ascii="Times New Roman" w:eastAsia="Times New Roman" w:hAnsi="Times New Roman" w:cs="Times New Roman"/>
          <w:sz w:val="24"/>
          <w:szCs w:val="24"/>
        </w:rPr>
      </w:pPr>
      <w:r>
        <w:rPr>
          <w:rFonts w:ascii="Times New Roman" w:hAnsi="Times New Roman" w:cs="Times New Roman"/>
          <w:sz w:val="24"/>
          <w:szCs w:val="24"/>
        </w:rPr>
        <w:t>Grupo 1 (n = 119): p</w:t>
      </w:r>
      <w:r w:rsidRPr="00CB7208">
        <w:rPr>
          <w:rFonts w:ascii="Times New Roman" w:hAnsi="Times New Roman" w:cs="Times New Roman"/>
          <w:sz w:val="24"/>
          <w:szCs w:val="24"/>
        </w:rPr>
        <w:t>ersonas con exposición alta al riesgo</w:t>
      </w:r>
      <w:r>
        <w:rPr>
          <w:rFonts w:ascii="Times New Roman" w:hAnsi="Times New Roman" w:cs="Times New Roman"/>
          <w:sz w:val="24"/>
          <w:szCs w:val="24"/>
        </w:rPr>
        <w:t>,</w:t>
      </w:r>
      <w:r w:rsidRPr="00CB7208">
        <w:rPr>
          <w:rFonts w:ascii="Times New Roman" w:hAnsi="Times New Roman" w:cs="Times New Roman"/>
          <w:sz w:val="24"/>
          <w:szCs w:val="24"/>
        </w:rPr>
        <w:t xml:space="preserve"> aquellas </w:t>
      </w:r>
      <w:r w:rsidR="001D0E0F">
        <w:rPr>
          <w:rFonts w:ascii="Times New Roman" w:hAnsi="Times New Roman" w:cs="Times New Roman"/>
          <w:sz w:val="24"/>
          <w:szCs w:val="24"/>
        </w:rPr>
        <w:t xml:space="preserve">que habitan barrios expuestos a la inundación (Bolombolo-Antioquia) y </w:t>
      </w:r>
      <w:r w:rsidRPr="00CB7208">
        <w:rPr>
          <w:rFonts w:ascii="Times New Roman" w:hAnsi="Times New Roman" w:cs="Times New Roman"/>
          <w:sz w:val="24"/>
          <w:szCs w:val="24"/>
        </w:rPr>
        <w:t xml:space="preserve">que </w:t>
      </w:r>
      <w:r w:rsidR="001D0E0F">
        <w:rPr>
          <w:rFonts w:ascii="Times New Roman" w:hAnsi="Times New Roman" w:cs="Times New Roman"/>
          <w:sz w:val="24"/>
          <w:szCs w:val="24"/>
        </w:rPr>
        <w:t xml:space="preserve">además </w:t>
      </w:r>
      <w:r w:rsidRPr="00CB7208">
        <w:rPr>
          <w:rFonts w:ascii="Times New Roman" w:hAnsi="Times New Roman" w:cs="Times New Roman"/>
          <w:sz w:val="24"/>
          <w:szCs w:val="24"/>
        </w:rPr>
        <w:t>han vivido una experiencia de desastre por inundación</w:t>
      </w:r>
      <w:r>
        <w:rPr>
          <w:rFonts w:ascii="Times New Roman" w:hAnsi="Times New Roman" w:cs="Times New Roman"/>
          <w:sz w:val="24"/>
          <w:szCs w:val="24"/>
        </w:rPr>
        <w:t>.</w:t>
      </w:r>
      <w:r w:rsidR="006965C4">
        <w:rPr>
          <w:rFonts w:ascii="Times New Roman" w:hAnsi="Times New Roman" w:cs="Times New Roman"/>
          <w:sz w:val="24"/>
          <w:szCs w:val="24"/>
        </w:rPr>
        <w:t xml:space="preserve"> </w:t>
      </w:r>
      <w:r w:rsidRPr="00CB7208">
        <w:rPr>
          <w:rFonts w:ascii="Times New Roman" w:hAnsi="Times New Roman" w:cs="Times New Roman"/>
          <w:sz w:val="24"/>
          <w:szCs w:val="24"/>
        </w:rPr>
        <w:t xml:space="preserve">El 69% son mujeres </w:t>
      </w:r>
      <w:r>
        <w:rPr>
          <w:rFonts w:ascii="Times New Roman" w:hAnsi="Times New Roman" w:cs="Times New Roman"/>
          <w:sz w:val="24"/>
          <w:szCs w:val="24"/>
        </w:rPr>
        <w:t xml:space="preserve">cuyo </w:t>
      </w:r>
      <w:r w:rsidRPr="00CB7208">
        <w:rPr>
          <w:rFonts w:ascii="Times New Roman" w:hAnsi="Times New Roman" w:cs="Times New Roman"/>
          <w:sz w:val="24"/>
          <w:szCs w:val="24"/>
        </w:rPr>
        <w:t xml:space="preserve">promedio de edad es de 40.6 años. </w:t>
      </w:r>
      <w:r>
        <w:rPr>
          <w:rFonts w:ascii="Times New Roman" w:hAnsi="Times New Roman" w:cs="Times New Roman"/>
          <w:sz w:val="24"/>
          <w:szCs w:val="24"/>
        </w:rPr>
        <w:t>El nivel</w:t>
      </w:r>
      <w:r w:rsidRPr="00CB7208">
        <w:rPr>
          <w:rFonts w:ascii="Times New Roman" w:hAnsi="Times New Roman" w:cs="Times New Roman"/>
          <w:sz w:val="24"/>
          <w:szCs w:val="24"/>
        </w:rPr>
        <w:t xml:space="preserve"> socioeconómico </w:t>
      </w:r>
      <w:r>
        <w:rPr>
          <w:rFonts w:ascii="Times New Roman" w:hAnsi="Times New Roman" w:cs="Times New Roman"/>
          <w:sz w:val="24"/>
          <w:szCs w:val="24"/>
        </w:rPr>
        <w:t xml:space="preserve">es </w:t>
      </w:r>
      <w:r w:rsidRPr="00CB7208">
        <w:rPr>
          <w:rFonts w:ascii="Times New Roman" w:hAnsi="Times New Roman" w:cs="Times New Roman"/>
          <w:sz w:val="24"/>
          <w:szCs w:val="24"/>
        </w:rPr>
        <w:t xml:space="preserve">bajo. El 80% tiene un nivel </w:t>
      </w:r>
      <w:r w:rsidRPr="00CB7208">
        <w:rPr>
          <w:rFonts w:ascii="Times New Roman" w:hAnsi="Times New Roman" w:cs="Times New Roman"/>
          <w:sz w:val="24"/>
          <w:szCs w:val="24"/>
          <w:lang w:val="pt-PT"/>
        </w:rPr>
        <w:t xml:space="preserve">escolar </w:t>
      </w:r>
      <w:r>
        <w:rPr>
          <w:rFonts w:ascii="Times New Roman" w:hAnsi="Times New Roman" w:cs="Times New Roman"/>
          <w:sz w:val="24"/>
          <w:szCs w:val="24"/>
          <w:lang w:val="pt-PT"/>
        </w:rPr>
        <w:t xml:space="preserve">de </w:t>
      </w:r>
      <w:r w:rsidRPr="00CB7208">
        <w:rPr>
          <w:rFonts w:ascii="Times New Roman" w:hAnsi="Times New Roman" w:cs="Times New Roman"/>
          <w:sz w:val="24"/>
          <w:szCs w:val="24"/>
          <w:lang w:val="pt-PT"/>
        </w:rPr>
        <w:t>b</w:t>
      </w:r>
      <w:r w:rsidRPr="00CB7208">
        <w:rPr>
          <w:rFonts w:ascii="Times New Roman" w:hAnsi="Times New Roman" w:cs="Times New Roman"/>
          <w:sz w:val="24"/>
          <w:szCs w:val="24"/>
        </w:rPr>
        <w:t>ásic</w:t>
      </w:r>
      <w:r>
        <w:rPr>
          <w:rFonts w:ascii="Times New Roman" w:hAnsi="Times New Roman" w:cs="Times New Roman"/>
          <w:sz w:val="24"/>
          <w:szCs w:val="24"/>
        </w:rPr>
        <w:t>a</w:t>
      </w:r>
      <w:r w:rsidRPr="00CB7208">
        <w:rPr>
          <w:rFonts w:ascii="Times New Roman" w:hAnsi="Times New Roman" w:cs="Times New Roman"/>
          <w:sz w:val="24"/>
          <w:szCs w:val="24"/>
        </w:rPr>
        <w:t xml:space="preserve"> primari</w:t>
      </w:r>
      <w:r>
        <w:rPr>
          <w:rFonts w:ascii="Times New Roman" w:hAnsi="Times New Roman" w:cs="Times New Roman"/>
          <w:sz w:val="24"/>
          <w:szCs w:val="24"/>
        </w:rPr>
        <w:t>a</w:t>
      </w:r>
      <w:r w:rsidRPr="00CB7208">
        <w:rPr>
          <w:rFonts w:ascii="Times New Roman" w:hAnsi="Times New Roman" w:cs="Times New Roman"/>
          <w:sz w:val="24"/>
          <w:szCs w:val="24"/>
        </w:rPr>
        <w:t xml:space="preserve"> o no han llevado a cabo estudios formales. La mayoría (53%) reside en viviendas propias y el tiempo promedio de residencia en el lugar es de 22 años.</w:t>
      </w:r>
    </w:p>
    <w:p w14:paraId="5A9C2200" w14:textId="77777777" w:rsidR="00C6072B" w:rsidRPr="000C25F2" w:rsidRDefault="00C6072B" w:rsidP="006965C4">
      <w:pPr>
        <w:pStyle w:val="Cuerpo"/>
        <w:widowControl w:val="0"/>
        <w:numPr>
          <w:ilvl w:val="0"/>
          <w:numId w:val="1"/>
        </w:numPr>
        <w:pBdr>
          <w:top w:val="none" w:sz="0" w:space="0" w:color="auto"/>
          <w:left w:val="none" w:sz="0" w:space="0" w:color="auto"/>
          <w:bottom w:val="none" w:sz="0" w:space="0" w:color="auto"/>
          <w:right w:val="none" w:sz="0" w:space="0" w:color="auto"/>
        </w:pBdr>
        <w:spacing w:after="100" w:afterAutospacing="1" w:line="240" w:lineRule="auto"/>
        <w:ind w:left="0" w:firstLine="357"/>
        <w:rPr>
          <w:i/>
          <w:lang w:val="es-ES"/>
        </w:rPr>
      </w:pPr>
      <w:r w:rsidRPr="000C25F2">
        <w:rPr>
          <w:rFonts w:ascii="Times New Roman" w:hAnsi="Times New Roman" w:cs="Times New Roman"/>
          <w:sz w:val="24"/>
          <w:szCs w:val="24"/>
        </w:rPr>
        <w:t xml:space="preserve">Grupo 2 (n=89): La exposición media al riesgo hace referencia a la condición de las personas cuya residencia se encuentra </w:t>
      </w:r>
      <w:r w:rsidR="001E4907">
        <w:rPr>
          <w:rFonts w:ascii="Times New Roman" w:hAnsi="Times New Roman" w:cs="Times New Roman"/>
          <w:sz w:val="24"/>
          <w:szCs w:val="24"/>
        </w:rPr>
        <w:t>en</w:t>
      </w:r>
      <w:r w:rsidRPr="000C25F2">
        <w:rPr>
          <w:rFonts w:ascii="Times New Roman" w:hAnsi="Times New Roman" w:cs="Times New Roman"/>
          <w:sz w:val="24"/>
          <w:szCs w:val="24"/>
        </w:rPr>
        <w:t xml:space="preserve"> una zona de alto riesgo</w:t>
      </w:r>
      <w:r w:rsidR="001E4907">
        <w:rPr>
          <w:rFonts w:ascii="Times New Roman" w:hAnsi="Times New Roman" w:cs="Times New Roman"/>
          <w:sz w:val="24"/>
          <w:szCs w:val="24"/>
        </w:rPr>
        <w:t xml:space="preserve"> de inundación</w:t>
      </w:r>
      <w:r w:rsidRPr="000C25F2">
        <w:rPr>
          <w:rFonts w:ascii="Times New Roman" w:hAnsi="Times New Roman" w:cs="Times New Roman"/>
          <w:sz w:val="24"/>
          <w:szCs w:val="24"/>
        </w:rPr>
        <w:t xml:space="preserve"> (Venecia-Antioquia), considerándose víctimas potenciales. Este grupo de participantes está </w:t>
      </w:r>
      <w:r w:rsidRPr="000C25F2">
        <w:rPr>
          <w:rFonts w:ascii="Times New Roman" w:hAnsi="Times New Roman" w:cs="Times New Roman"/>
          <w:sz w:val="24"/>
          <w:szCs w:val="24"/>
          <w:lang w:val="pt-PT"/>
        </w:rPr>
        <w:t xml:space="preserve">constituido por </w:t>
      </w:r>
      <w:r w:rsidRPr="000C25F2">
        <w:rPr>
          <w:rFonts w:ascii="Times New Roman" w:hAnsi="Times New Roman" w:cs="Times New Roman"/>
          <w:sz w:val="24"/>
          <w:szCs w:val="24"/>
        </w:rPr>
        <w:t>más mujeres que hombres (59.6% y 40.4%, respectivamente), el promedio de edad fue 44.79 años y un estrato socioeconómico en su mayoría bajo (95%). Un 64% de las personas habitan viviendas propias y el tiempo promedio de residencia es de 20 años.  El 48.3% de estas personas tienen un nivel de estudios de básica primaria, un 34.7% consiguió finalizar el nivel de secundaria.</w:t>
      </w:r>
    </w:p>
    <w:p w14:paraId="32D14A3E" w14:textId="77777777" w:rsidR="00C6072B" w:rsidRPr="000C25F2" w:rsidRDefault="00C6072B" w:rsidP="006965C4">
      <w:pPr>
        <w:pStyle w:val="Cuerpo"/>
        <w:widowControl w:val="0"/>
        <w:numPr>
          <w:ilvl w:val="0"/>
          <w:numId w:val="1"/>
        </w:numPr>
        <w:pBdr>
          <w:top w:val="none" w:sz="0" w:space="0" w:color="auto"/>
          <w:left w:val="none" w:sz="0" w:space="0" w:color="auto"/>
          <w:bottom w:val="none" w:sz="0" w:space="0" w:color="auto"/>
          <w:right w:val="none" w:sz="0" w:space="0" w:color="auto"/>
        </w:pBdr>
        <w:spacing w:after="100" w:afterAutospacing="1" w:line="240" w:lineRule="auto"/>
        <w:ind w:left="0" w:firstLine="357"/>
        <w:rPr>
          <w:i/>
          <w:lang w:val="es-ES"/>
        </w:rPr>
      </w:pPr>
      <w:r w:rsidRPr="000C25F2">
        <w:rPr>
          <w:rFonts w:ascii="Times New Roman" w:hAnsi="Times New Roman" w:cs="Times New Roman"/>
          <w:sz w:val="24"/>
          <w:szCs w:val="24"/>
        </w:rPr>
        <w:t xml:space="preserve">Grupo 3 (n=101): </w:t>
      </w:r>
      <w:r w:rsidR="005705FB">
        <w:rPr>
          <w:rFonts w:ascii="Times New Roman" w:hAnsi="Times New Roman" w:cs="Times New Roman"/>
          <w:sz w:val="24"/>
          <w:szCs w:val="24"/>
        </w:rPr>
        <w:t>Los no expuestos; grupo</w:t>
      </w:r>
      <w:r w:rsidR="001E4907">
        <w:rPr>
          <w:rFonts w:ascii="Times New Roman" w:hAnsi="Times New Roman" w:cs="Times New Roman"/>
          <w:sz w:val="24"/>
          <w:szCs w:val="24"/>
        </w:rPr>
        <w:t xml:space="preserve"> c</w:t>
      </w:r>
      <w:r w:rsidRPr="000C25F2">
        <w:rPr>
          <w:rFonts w:ascii="Times New Roman" w:hAnsi="Times New Roman" w:cs="Times New Roman"/>
          <w:sz w:val="24"/>
          <w:szCs w:val="24"/>
        </w:rPr>
        <w:t xml:space="preserve">onformado por </w:t>
      </w:r>
      <w:r w:rsidR="001E4907">
        <w:rPr>
          <w:rFonts w:ascii="Times New Roman" w:hAnsi="Times New Roman" w:cs="Times New Roman"/>
          <w:sz w:val="24"/>
          <w:szCs w:val="24"/>
        </w:rPr>
        <w:t xml:space="preserve">habitantes de la ciudad de </w:t>
      </w:r>
      <w:r w:rsidR="005705FB">
        <w:rPr>
          <w:rFonts w:ascii="Times New Roman" w:hAnsi="Times New Roman" w:cs="Times New Roman"/>
          <w:sz w:val="24"/>
          <w:szCs w:val="24"/>
        </w:rPr>
        <w:t>Medellín</w:t>
      </w:r>
      <w:r w:rsidR="001E4907">
        <w:rPr>
          <w:rFonts w:ascii="Times New Roman" w:hAnsi="Times New Roman" w:cs="Times New Roman"/>
          <w:sz w:val="24"/>
          <w:szCs w:val="24"/>
        </w:rPr>
        <w:t>,</w:t>
      </w:r>
      <w:r w:rsidRPr="000C25F2">
        <w:rPr>
          <w:rFonts w:ascii="Times New Roman" w:hAnsi="Times New Roman" w:cs="Times New Roman"/>
          <w:sz w:val="24"/>
          <w:szCs w:val="24"/>
        </w:rPr>
        <w:t xml:space="preserve"> Antioquia que no se encuentran en condición de exposición al riesgo de inundación. Este grupo habita la misma región que los expuestos (Departamento de Antioquia) y está conformado por 52% de hombres y 48% de mujer</w:t>
      </w:r>
      <w:r w:rsidR="005705FB">
        <w:rPr>
          <w:rFonts w:ascii="Times New Roman" w:hAnsi="Times New Roman" w:cs="Times New Roman"/>
          <w:sz w:val="24"/>
          <w:szCs w:val="24"/>
        </w:rPr>
        <w:t>es, con un promedio de edad de 3</w:t>
      </w:r>
      <w:r w:rsidRPr="000C25F2">
        <w:rPr>
          <w:rFonts w:ascii="Times New Roman" w:hAnsi="Times New Roman" w:cs="Times New Roman"/>
          <w:sz w:val="24"/>
          <w:szCs w:val="24"/>
        </w:rPr>
        <w:t xml:space="preserve">2 años. La mayoría, tiene un estrato socioeconómico medio y habitan viviendas familiares. </w:t>
      </w:r>
      <w:r w:rsidR="005705FB">
        <w:rPr>
          <w:rFonts w:ascii="Times New Roman" w:hAnsi="Times New Roman" w:cs="Times New Roman"/>
          <w:sz w:val="24"/>
          <w:szCs w:val="24"/>
        </w:rPr>
        <w:t>El nivel de estudios es variado.</w:t>
      </w:r>
    </w:p>
    <w:p w14:paraId="221A0A1C" w14:textId="77777777" w:rsidR="00FA0F46" w:rsidRDefault="00FA0F46" w:rsidP="006965C4">
      <w:pPr>
        <w:pBdr>
          <w:top w:val="none" w:sz="0" w:space="0" w:color="auto"/>
          <w:left w:val="none" w:sz="0" w:space="0" w:color="auto"/>
          <w:bottom w:val="none" w:sz="0" w:space="0" w:color="auto"/>
          <w:right w:val="none" w:sz="0" w:space="0" w:color="auto"/>
        </w:pBdr>
        <w:jc w:val="both"/>
        <w:rPr>
          <w:i/>
          <w:lang w:val="es-ES"/>
        </w:rPr>
      </w:pPr>
      <w:r w:rsidRPr="00800858">
        <w:rPr>
          <w:i/>
          <w:lang w:val="es-ES"/>
        </w:rPr>
        <w:t>Instrumentos y Procedimiento</w:t>
      </w:r>
    </w:p>
    <w:p w14:paraId="5C02A8FD" w14:textId="77777777" w:rsidR="005705FB" w:rsidRPr="005705FB" w:rsidRDefault="001F2245" w:rsidP="006965C4">
      <w:pPr>
        <w:pBdr>
          <w:top w:val="none" w:sz="0" w:space="0" w:color="auto"/>
          <w:left w:val="none" w:sz="0" w:space="0" w:color="auto"/>
          <w:bottom w:val="none" w:sz="0" w:space="0" w:color="auto"/>
          <w:right w:val="none" w:sz="0" w:space="0" w:color="auto"/>
        </w:pBdr>
        <w:jc w:val="both"/>
        <w:rPr>
          <w:lang w:val="es-ES"/>
        </w:rPr>
      </w:pPr>
      <w:r>
        <w:rPr>
          <w:lang w:val="es-ES"/>
        </w:rPr>
        <w:t>Se utilizó</w:t>
      </w:r>
      <w:r w:rsidR="005705FB">
        <w:rPr>
          <w:lang w:val="es-ES"/>
        </w:rPr>
        <w:t xml:space="preserve"> un cuestionario auto-administrado (20 minutos en promedio de tiempo de aplicación, en el lugar de residencia de los sujetos), compuesto</w:t>
      </w:r>
      <w:r w:rsidR="00D602D6">
        <w:rPr>
          <w:lang w:val="es-ES"/>
        </w:rPr>
        <w:t xml:space="preserve"> por preguntas sobre aspectos de caracterización socio-demográfica</w:t>
      </w:r>
      <w:r w:rsidR="005705FB">
        <w:rPr>
          <w:lang w:val="es-ES"/>
        </w:rPr>
        <w:t>,</w:t>
      </w:r>
      <w:r w:rsidR="00D602D6">
        <w:rPr>
          <w:lang w:val="es-ES"/>
        </w:rPr>
        <w:t xml:space="preserve"> y</w:t>
      </w:r>
      <w:r w:rsidR="005705FB">
        <w:rPr>
          <w:lang w:val="es-ES"/>
        </w:rPr>
        <w:t xml:space="preserve"> por tres escalas</w:t>
      </w:r>
      <w:r w:rsidR="00D602D6">
        <w:rPr>
          <w:lang w:val="es-ES"/>
        </w:rPr>
        <w:t xml:space="preserve"> (todas con opción de respuesta tipo Likert de 5 puntos entre totalmente en desacuerdo y totalmente </w:t>
      </w:r>
      <w:r w:rsidR="00FA3CEE">
        <w:rPr>
          <w:lang w:val="es-ES"/>
        </w:rPr>
        <w:t>de acuerdo</w:t>
      </w:r>
      <w:r w:rsidR="00D602D6">
        <w:rPr>
          <w:lang w:val="es-ES"/>
        </w:rPr>
        <w:t>)</w:t>
      </w:r>
      <w:r w:rsidR="005705FB">
        <w:rPr>
          <w:lang w:val="es-ES"/>
        </w:rPr>
        <w:t>:</w:t>
      </w:r>
    </w:p>
    <w:p w14:paraId="6D19E36D" w14:textId="77777777" w:rsidR="00E747A4" w:rsidRDefault="001F2245" w:rsidP="006965C4">
      <w:pPr>
        <w:tabs>
          <w:tab w:val="left" w:pos="8789"/>
          <w:tab w:val="left" w:pos="8931"/>
        </w:tabs>
        <w:autoSpaceDE w:val="0"/>
        <w:autoSpaceDN w:val="0"/>
        <w:adjustRightInd w:val="0"/>
        <w:ind w:right="60"/>
        <w:rPr>
          <w:lang w:val="es-CO"/>
        </w:rPr>
      </w:pPr>
      <w:r>
        <w:rPr>
          <w:lang w:val="es-ES"/>
        </w:rPr>
        <w:t>-</w:t>
      </w:r>
      <w:r w:rsidR="00C11EF0" w:rsidRPr="00E747A4">
        <w:rPr>
          <w:lang w:val="es-ES"/>
        </w:rPr>
        <w:t xml:space="preserve">Escala de </w:t>
      </w:r>
      <w:r w:rsidR="00E747A4">
        <w:rPr>
          <w:lang w:val="es-ES"/>
        </w:rPr>
        <w:t>P</w:t>
      </w:r>
      <w:r w:rsidR="00C11EF0" w:rsidRPr="00E747A4">
        <w:rPr>
          <w:lang w:val="es-ES"/>
        </w:rPr>
        <w:t xml:space="preserve">ercepción del Riesgo de </w:t>
      </w:r>
      <w:r w:rsidR="00E747A4" w:rsidRPr="00E747A4">
        <w:rPr>
          <w:lang w:val="es-ES"/>
        </w:rPr>
        <w:t>Inundación</w:t>
      </w:r>
      <w:r w:rsidR="00C11EF0" w:rsidRPr="00E747A4">
        <w:rPr>
          <w:lang w:val="es-ES"/>
        </w:rPr>
        <w:t xml:space="preserve"> (PRI</w:t>
      </w:r>
      <w:r>
        <w:rPr>
          <w:lang w:val="es-ES"/>
        </w:rPr>
        <w:t>): Se realizó</w:t>
      </w:r>
      <w:r w:rsidR="005705FB">
        <w:rPr>
          <w:lang w:val="es-ES"/>
        </w:rPr>
        <w:t xml:space="preserve"> una adaptación lingüística al contexto de aplicación de la escala </w:t>
      </w:r>
      <w:r w:rsidR="0056369B">
        <w:rPr>
          <w:lang w:val="es-ES"/>
        </w:rPr>
        <w:t>validada</w:t>
      </w:r>
      <w:r w:rsidR="005705FB">
        <w:rPr>
          <w:lang w:val="es-ES"/>
        </w:rPr>
        <w:t xml:space="preserve"> por </w:t>
      </w:r>
      <w:r w:rsidR="00C11EF0" w:rsidRPr="00E747A4">
        <w:rPr>
          <w:lang w:val="es-ES"/>
        </w:rPr>
        <w:t>Terpstra et al.</w:t>
      </w:r>
      <w:r w:rsidR="005705FB">
        <w:rPr>
          <w:lang w:val="es-ES"/>
        </w:rPr>
        <w:t xml:space="preserve"> (</w:t>
      </w:r>
      <w:r w:rsidR="00C52220" w:rsidRPr="00E747A4">
        <w:rPr>
          <w:lang w:val="es-ES"/>
        </w:rPr>
        <w:t>2005</w:t>
      </w:r>
      <w:r w:rsidR="00A05BD8" w:rsidRPr="00E747A4">
        <w:rPr>
          <w:lang w:val="es-ES"/>
        </w:rPr>
        <w:t>)</w:t>
      </w:r>
      <w:r w:rsidR="00A05BD8">
        <w:rPr>
          <w:lang w:val="es-ES"/>
        </w:rPr>
        <w:t>.</w:t>
      </w:r>
      <w:r w:rsidR="002F2646">
        <w:rPr>
          <w:lang w:val="es-ES"/>
        </w:rPr>
        <w:t xml:space="preserve"> </w:t>
      </w:r>
      <w:r w:rsidR="005705FB">
        <w:rPr>
          <w:lang w:val="es-ES"/>
        </w:rPr>
        <w:t>Esta escala, en su versión original, c</w:t>
      </w:r>
      <w:r w:rsidR="00793A11">
        <w:rPr>
          <w:lang w:val="pt-PT"/>
        </w:rPr>
        <w:t xml:space="preserve">onsta de </w:t>
      </w:r>
      <w:r w:rsidR="006B2ABB">
        <w:rPr>
          <w:lang w:val="pt-PT"/>
        </w:rPr>
        <w:t xml:space="preserve">ocho factores y </w:t>
      </w:r>
      <w:r w:rsidR="00793A11">
        <w:rPr>
          <w:lang w:val="pt-PT"/>
        </w:rPr>
        <w:t>23 ítems que evalúan</w:t>
      </w:r>
      <w:r w:rsidR="00A75C89" w:rsidRPr="00A75C89">
        <w:rPr>
          <w:lang w:val="es-ES"/>
        </w:rPr>
        <w:t xml:space="preserve"> percepción del riesgo</w:t>
      </w:r>
      <w:r w:rsidR="006965C4">
        <w:rPr>
          <w:lang w:val="es-ES"/>
        </w:rPr>
        <w:t xml:space="preserve"> </w:t>
      </w:r>
      <w:r w:rsidR="0056369B">
        <w:rPr>
          <w:lang w:val="es-ES"/>
        </w:rPr>
        <w:t>de inundación (</w:t>
      </w:r>
      <w:r>
        <w:rPr>
          <w:lang w:val="es-ES"/>
        </w:rPr>
        <w:t>c</w:t>
      </w:r>
      <w:r w:rsidR="00776D30">
        <w:rPr>
          <w:lang w:val="es-ES"/>
        </w:rPr>
        <w:t>onfiabilidad entre</w:t>
      </w:r>
      <w:r w:rsidR="006965C4">
        <w:rPr>
          <w:lang w:val="es-ES"/>
        </w:rPr>
        <w:t xml:space="preserve"> </w:t>
      </w:r>
      <w:r w:rsidR="00C47D26">
        <w:rPr>
          <w:lang w:val="es-ES"/>
        </w:rPr>
        <w:t>α = .</w:t>
      </w:r>
      <w:r w:rsidR="00C31025">
        <w:rPr>
          <w:lang w:val="es-ES"/>
        </w:rPr>
        <w:t>54</w:t>
      </w:r>
      <w:r w:rsidR="00A75C89">
        <w:rPr>
          <w:lang w:val="es-ES"/>
        </w:rPr>
        <w:t>y</w:t>
      </w:r>
      <w:r w:rsidR="00C47D26">
        <w:rPr>
          <w:lang w:val="es-ES"/>
        </w:rPr>
        <w:t>.</w:t>
      </w:r>
      <w:r w:rsidR="00A75C89" w:rsidRPr="00E747A4">
        <w:rPr>
          <w:lang w:val="es-ES"/>
        </w:rPr>
        <w:t>82</w:t>
      </w:r>
      <w:r>
        <w:rPr>
          <w:lang w:val="es-ES"/>
        </w:rPr>
        <w:t xml:space="preserve">, </w:t>
      </w:r>
      <w:r w:rsidR="00A75C89" w:rsidRPr="00A75C89">
        <w:rPr>
          <w:lang w:val="es-ES"/>
        </w:rPr>
        <w:t>varianza</w:t>
      </w:r>
      <w:r w:rsidR="006965C4">
        <w:rPr>
          <w:lang w:val="es-ES"/>
        </w:rPr>
        <w:t xml:space="preserve"> </w:t>
      </w:r>
      <w:r>
        <w:rPr>
          <w:lang w:val="es-ES"/>
        </w:rPr>
        <w:t xml:space="preserve">total </w:t>
      </w:r>
      <w:r w:rsidR="008E015D">
        <w:rPr>
          <w:lang w:val="es-ES"/>
        </w:rPr>
        <w:t>explicada de</w:t>
      </w:r>
      <w:r w:rsidR="00A75C89">
        <w:rPr>
          <w:lang w:val="es-ES"/>
        </w:rPr>
        <w:t xml:space="preserve"> 74%</w:t>
      </w:r>
      <w:r>
        <w:rPr>
          <w:lang w:val="es-ES"/>
        </w:rPr>
        <w:t>)</w:t>
      </w:r>
      <w:r w:rsidR="00A05BD8">
        <w:rPr>
          <w:lang w:val="es-ES"/>
        </w:rPr>
        <w:t>.</w:t>
      </w:r>
    </w:p>
    <w:p w14:paraId="1536AD8F" w14:textId="77777777" w:rsidR="00924B5F" w:rsidRPr="00FA3CEE" w:rsidRDefault="001F2245" w:rsidP="006965C4">
      <w:pPr>
        <w:rPr>
          <w:lang w:val="es-ES"/>
        </w:rPr>
      </w:pPr>
      <w:r>
        <w:rPr>
          <w:lang w:val="es-CO"/>
        </w:rPr>
        <w:t>-Escala de Implicación personal (IP):</w:t>
      </w:r>
      <w:r w:rsidR="00203453">
        <w:rPr>
          <w:lang w:val="es-CO"/>
        </w:rPr>
        <w:t xml:space="preserve"> Esta escala corresponde a una adaptación lingüística y temática realizada por los autores, sobre la escala utilizada por </w:t>
      </w:r>
      <w:r w:rsidR="00924B5F" w:rsidRPr="00FA3CEE">
        <w:rPr>
          <w:lang w:val="es-ES"/>
        </w:rPr>
        <w:t xml:space="preserve">Demarque, Lo Monaco, </w:t>
      </w:r>
      <w:r w:rsidR="00924B5F" w:rsidRPr="00924B5F">
        <w:rPr>
          <w:lang w:val="es-ES"/>
        </w:rPr>
        <w:t>Apostolidis</w:t>
      </w:r>
      <w:r w:rsidR="006965C4">
        <w:rPr>
          <w:lang w:val="es-ES"/>
        </w:rPr>
        <w:t xml:space="preserve"> </w:t>
      </w:r>
      <w:r w:rsidR="0056369B">
        <w:rPr>
          <w:lang w:val="es-ES"/>
        </w:rPr>
        <w:t>&amp;</w:t>
      </w:r>
      <w:r w:rsidR="006965C4">
        <w:rPr>
          <w:lang w:val="es-ES"/>
        </w:rPr>
        <w:t xml:space="preserve"> </w:t>
      </w:r>
      <w:r w:rsidR="0056369B">
        <w:rPr>
          <w:lang w:val="es-ES"/>
        </w:rPr>
        <w:t>Guimelli (2011) y</w:t>
      </w:r>
      <w:r w:rsidR="006965C4">
        <w:rPr>
          <w:lang w:val="es-ES"/>
        </w:rPr>
        <w:t xml:space="preserve"> </w:t>
      </w:r>
      <w:r w:rsidR="00924B5F" w:rsidRPr="00FA3CEE">
        <w:rPr>
          <w:lang w:val="es-ES"/>
        </w:rPr>
        <w:t>Lheureux, Lo Monaco</w:t>
      </w:r>
      <w:r w:rsidR="006965C4">
        <w:rPr>
          <w:lang w:val="es-ES"/>
        </w:rPr>
        <w:t xml:space="preserve"> </w:t>
      </w:r>
      <w:r w:rsidR="00924B5F" w:rsidRPr="00FA3CEE">
        <w:rPr>
          <w:lang w:val="es-ES"/>
        </w:rPr>
        <w:t>&amp;</w:t>
      </w:r>
      <w:r w:rsidR="006965C4">
        <w:rPr>
          <w:lang w:val="es-ES"/>
        </w:rPr>
        <w:t xml:space="preserve"> </w:t>
      </w:r>
      <w:r w:rsidR="00924B5F" w:rsidRPr="00FA3CEE">
        <w:rPr>
          <w:lang w:val="es-ES"/>
        </w:rPr>
        <w:t xml:space="preserve">Guimelli (2011) </w:t>
      </w:r>
      <w:r w:rsidR="00924B5F" w:rsidRPr="00145584">
        <w:rPr>
          <w:lang w:val="es-ES"/>
        </w:rPr>
        <w:t>que</w:t>
      </w:r>
      <w:r w:rsidR="006965C4">
        <w:rPr>
          <w:lang w:val="es-ES"/>
        </w:rPr>
        <w:t xml:space="preserve"> </w:t>
      </w:r>
      <w:r w:rsidR="00FA3CEE" w:rsidRPr="00FA3CEE">
        <w:rPr>
          <w:lang w:val="es-ES"/>
        </w:rPr>
        <w:t>evalúa</w:t>
      </w:r>
      <w:r w:rsidR="00924B5F" w:rsidRPr="00FA3CEE">
        <w:rPr>
          <w:lang w:val="es-ES"/>
        </w:rPr>
        <w:t xml:space="preserve"> las</w:t>
      </w:r>
      <w:r w:rsidR="006965C4">
        <w:rPr>
          <w:lang w:val="es-ES"/>
        </w:rPr>
        <w:t xml:space="preserve"> </w:t>
      </w:r>
      <w:r w:rsidR="00924B5F" w:rsidRPr="00FA3CEE">
        <w:rPr>
          <w:lang w:val="es-ES"/>
        </w:rPr>
        <w:t xml:space="preserve">tres </w:t>
      </w:r>
      <w:r w:rsidR="00924B5F" w:rsidRPr="00FA3CEE">
        <w:rPr>
          <w:lang w:val="es-ES"/>
        </w:rPr>
        <w:lastRenderedPageBreak/>
        <w:t>dimensiones expuestas anteriormente (</w:t>
      </w:r>
      <w:r w:rsidR="00FA3CEE" w:rsidRPr="00FA3CEE">
        <w:rPr>
          <w:lang w:val="es-ES"/>
        </w:rPr>
        <w:t>valorización</w:t>
      </w:r>
      <w:r w:rsidR="00924B5F" w:rsidRPr="00FA3CEE">
        <w:rPr>
          <w:lang w:val="es-ES"/>
        </w:rPr>
        <w:t xml:space="preserve">, </w:t>
      </w:r>
      <w:r w:rsidR="00FA3CEE" w:rsidRPr="00FA3CEE">
        <w:rPr>
          <w:lang w:val="es-ES"/>
        </w:rPr>
        <w:t>identificación</w:t>
      </w:r>
      <w:r w:rsidR="00924B5F" w:rsidRPr="00FA3CEE">
        <w:rPr>
          <w:lang w:val="es-ES"/>
        </w:rPr>
        <w:t xml:space="preserve"> y </w:t>
      </w:r>
      <w:r w:rsidR="00FA3CEE" w:rsidRPr="00FA3CEE">
        <w:rPr>
          <w:lang w:val="es-ES"/>
        </w:rPr>
        <w:t>percepción</w:t>
      </w:r>
      <w:r w:rsidR="00924B5F" w:rsidRPr="00FA3CEE">
        <w:rPr>
          <w:lang w:val="es-ES"/>
        </w:rPr>
        <w:t xml:space="preserve"> de la posibilidad de </w:t>
      </w:r>
      <w:r w:rsidR="00FA3CEE" w:rsidRPr="00FA3CEE">
        <w:rPr>
          <w:lang w:val="es-ES"/>
        </w:rPr>
        <w:t>acción</w:t>
      </w:r>
      <w:r w:rsidR="00924B5F" w:rsidRPr="00FA3CEE">
        <w:rPr>
          <w:lang w:val="es-ES"/>
        </w:rPr>
        <w:t xml:space="preserve">). </w:t>
      </w:r>
      <w:r w:rsidR="00145584" w:rsidRPr="00145584">
        <w:rPr>
          <w:lang w:val="es-ES"/>
        </w:rPr>
        <w:t>Está</w:t>
      </w:r>
      <w:r w:rsidR="006965C4">
        <w:rPr>
          <w:lang w:val="es-ES"/>
        </w:rPr>
        <w:t xml:space="preserve"> </w:t>
      </w:r>
      <w:r w:rsidR="00924B5F" w:rsidRPr="00145584">
        <w:rPr>
          <w:lang w:val="es-ES"/>
        </w:rPr>
        <w:t>compuesta</w:t>
      </w:r>
      <w:r w:rsidR="00924B5F" w:rsidRPr="00FA3CEE">
        <w:rPr>
          <w:lang w:val="es-ES"/>
        </w:rPr>
        <w:t xml:space="preserve"> por 9 reactivos, tres por cada </w:t>
      </w:r>
      <w:r w:rsidR="00FA3CEE" w:rsidRPr="00FA3CEE">
        <w:rPr>
          <w:lang w:val="es-ES"/>
        </w:rPr>
        <w:t>dimensión</w:t>
      </w:r>
      <w:r w:rsidR="00924B5F" w:rsidRPr="00FA3CEE">
        <w:rPr>
          <w:lang w:val="es-ES"/>
        </w:rPr>
        <w:t xml:space="preserve">. </w:t>
      </w:r>
    </w:p>
    <w:p w14:paraId="6DACFC39" w14:textId="77777777" w:rsidR="00F674D1" w:rsidRDefault="001F2245" w:rsidP="006965C4">
      <w:pPr>
        <w:tabs>
          <w:tab w:val="left" w:pos="8789"/>
          <w:tab w:val="left" w:pos="8931"/>
        </w:tabs>
        <w:autoSpaceDE w:val="0"/>
        <w:autoSpaceDN w:val="0"/>
        <w:adjustRightInd w:val="0"/>
        <w:ind w:right="60"/>
        <w:rPr>
          <w:lang w:val="es-ES" w:eastAsia="es-CO"/>
        </w:rPr>
      </w:pPr>
      <w:r>
        <w:rPr>
          <w:lang w:val="es-ES"/>
        </w:rPr>
        <w:t>-</w:t>
      </w:r>
      <w:r w:rsidR="00E747A4" w:rsidRPr="00D000C2">
        <w:rPr>
          <w:lang w:val="es-ES"/>
        </w:rPr>
        <w:t>E</w:t>
      </w:r>
      <w:r w:rsidR="00F674D1" w:rsidRPr="00D000C2">
        <w:rPr>
          <w:lang w:val="es-ES" w:eastAsia="es-CO"/>
        </w:rPr>
        <w:t>scala de afrontamiento</w:t>
      </w:r>
      <w:r>
        <w:rPr>
          <w:lang w:val="es-ES" w:eastAsia="es-CO"/>
        </w:rPr>
        <w:t xml:space="preserve"> (AF): Se utilizó la escala de afrontamiento validada por </w:t>
      </w:r>
      <w:r w:rsidR="007D0B09" w:rsidRPr="00D000C2">
        <w:rPr>
          <w:lang w:val="es-ES"/>
        </w:rPr>
        <w:t xml:space="preserve">López </w:t>
      </w:r>
      <w:r w:rsidR="0056369B">
        <w:rPr>
          <w:lang w:val="es-ES"/>
        </w:rPr>
        <w:t>y</w:t>
      </w:r>
      <w:r w:rsidR="00C875CF">
        <w:rPr>
          <w:lang w:val="es-ES"/>
        </w:rPr>
        <w:t xml:space="preserve"> </w:t>
      </w:r>
      <w:r w:rsidR="007D0B09" w:rsidRPr="00D000C2">
        <w:rPr>
          <w:lang w:val="es-ES"/>
        </w:rPr>
        <w:t>Marván</w:t>
      </w:r>
      <w:r>
        <w:rPr>
          <w:lang w:val="es-ES"/>
        </w:rPr>
        <w:t xml:space="preserve"> (</w:t>
      </w:r>
      <w:r w:rsidR="007D0B09" w:rsidRPr="00D000C2">
        <w:rPr>
          <w:lang w:val="es-ES"/>
        </w:rPr>
        <w:t>2004</w:t>
      </w:r>
      <w:r w:rsidR="0001320D" w:rsidRPr="00D000C2">
        <w:rPr>
          <w:lang w:val="es-ES"/>
        </w:rPr>
        <w:t xml:space="preserve">) </w:t>
      </w:r>
      <w:r w:rsidR="0001320D" w:rsidRPr="00D000C2">
        <w:rPr>
          <w:lang w:val="es-ES" w:eastAsia="es-CO"/>
        </w:rPr>
        <w:t>en México</w:t>
      </w:r>
      <w:r w:rsidR="0056369B">
        <w:rPr>
          <w:lang w:val="es-ES" w:eastAsia="es-CO"/>
        </w:rPr>
        <w:t xml:space="preserve">, </w:t>
      </w:r>
      <w:r>
        <w:rPr>
          <w:lang w:val="es-ES" w:eastAsia="es-CO"/>
        </w:rPr>
        <w:t>basada</w:t>
      </w:r>
      <w:r w:rsidR="002F2646">
        <w:rPr>
          <w:lang w:val="es-ES" w:eastAsia="es-CO"/>
        </w:rPr>
        <w:t xml:space="preserve"> </w:t>
      </w:r>
      <w:r w:rsidR="0001320D" w:rsidRPr="00D000C2">
        <w:rPr>
          <w:lang w:val="es-ES"/>
        </w:rPr>
        <w:t>e</w:t>
      </w:r>
      <w:r w:rsidR="00F3219A">
        <w:rPr>
          <w:lang w:val="es-ES"/>
        </w:rPr>
        <w:t>n</w:t>
      </w:r>
      <w:r w:rsidR="006965C4">
        <w:rPr>
          <w:lang w:val="es-ES" w:eastAsia="es-CO"/>
        </w:rPr>
        <w:t xml:space="preserve"> la escala francesa </w:t>
      </w:r>
      <w:r w:rsidR="00F674D1" w:rsidRPr="006965C4">
        <w:rPr>
          <w:i/>
          <w:lang w:val="es-ES" w:eastAsia="es-CO"/>
        </w:rPr>
        <w:t>ÉchelleToulousaine de Coping</w:t>
      </w:r>
      <w:r w:rsidR="00F674D1" w:rsidRPr="00D000C2">
        <w:rPr>
          <w:lang w:val="es-ES" w:eastAsia="es-CO"/>
        </w:rPr>
        <w:t xml:space="preserve"> </w:t>
      </w:r>
      <w:r w:rsidR="00756E4C">
        <w:rPr>
          <w:lang w:val="es-ES" w:eastAsia="es-CO"/>
        </w:rPr>
        <w:t>(</w:t>
      </w:r>
      <w:r w:rsidR="00756E4C" w:rsidRPr="00756E4C">
        <w:rPr>
          <w:bCs/>
          <w:lang w:val="es-ES"/>
        </w:rPr>
        <w:t>Sordes</w:t>
      </w:r>
      <w:r w:rsidR="00B1619B">
        <w:rPr>
          <w:bCs/>
          <w:lang w:val="es-ES"/>
        </w:rPr>
        <w:t xml:space="preserve"> et al.</w:t>
      </w:r>
      <w:r w:rsidR="00756E4C">
        <w:rPr>
          <w:bCs/>
          <w:lang w:val="es-ES"/>
        </w:rPr>
        <w:t>, 1997)</w:t>
      </w:r>
      <w:r w:rsidR="0056369B">
        <w:rPr>
          <w:bCs/>
          <w:lang w:val="es-ES"/>
        </w:rPr>
        <w:t>,</w:t>
      </w:r>
      <w:r>
        <w:rPr>
          <w:bCs/>
          <w:lang w:val="es-ES"/>
        </w:rPr>
        <w:t xml:space="preserve"> pero utilizada en condición de exposición a riesgos ambientales mayores (erupción volcánica y accidentes industriales)</w:t>
      </w:r>
      <w:r w:rsidR="00756E4C">
        <w:rPr>
          <w:lang w:val="es-ES" w:eastAsia="es-CO"/>
        </w:rPr>
        <w:t xml:space="preserve">. </w:t>
      </w:r>
      <w:r w:rsidR="0001320D" w:rsidRPr="00D000C2">
        <w:rPr>
          <w:lang w:val="es-ES"/>
        </w:rPr>
        <w:t>E</w:t>
      </w:r>
      <w:r>
        <w:rPr>
          <w:lang w:val="es-ES"/>
        </w:rPr>
        <w:t>sta escala consta de 2</w:t>
      </w:r>
      <w:r w:rsidR="00FA0A0A">
        <w:rPr>
          <w:lang w:val="es-ES"/>
        </w:rPr>
        <w:t>6</w:t>
      </w:r>
      <w:r>
        <w:rPr>
          <w:lang w:val="es-ES"/>
        </w:rPr>
        <w:t xml:space="preserve">reactivos organizados en </w:t>
      </w:r>
      <w:r w:rsidR="00E44403">
        <w:rPr>
          <w:lang w:val="es-ES"/>
        </w:rPr>
        <w:t>dos factores</w:t>
      </w:r>
      <w:r w:rsidR="006B2ABB">
        <w:rPr>
          <w:lang w:val="es-ES"/>
        </w:rPr>
        <w:t>: a</w:t>
      </w:r>
      <w:r w:rsidR="00776D30">
        <w:rPr>
          <w:lang w:val="es-ES"/>
        </w:rPr>
        <w:t xml:space="preserve">frontamiento activo </w:t>
      </w:r>
      <w:r>
        <w:rPr>
          <w:lang w:val="es-ES"/>
        </w:rPr>
        <w:t>(</w:t>
      </w:r>
      <w:r w:rsidR="00E747A4" w:rsidRPr="00D000C2">
        <w:rPr>
          <w:lang w:val="es-ES"/>
        </w:rPr>
        <w:t>14 ítems</w:t>
      </w:r>
      <w:r w:rsidR="00CB100A">
        <w:rPr>
          <w:lang w:val="es-ES"/>
        </w:rPr>
        <w:t>,</w:t>
      </w:r>
      <w:r w:rsidR="002F2646">
        <w:rPr>
          <w:lang w:val="es-ES"/>
        </w:rPr>
        <w:t xml:space="preserve"> </w:t>
      </w:r>
      <w:r w:rsidR="007D0B09" w:rsidRPr="00E747A4">
        <w:t>α</w:t>
      </w:r>
      <w:r w:rsidR="007D0B09" w:rsidRPr="00D000C2">
        <w:rPr>
          <w:rFonts w:eastAsiaTheme="minorHAnsi"/>
          <w:lang w:val="es-ES"/>
        </w:rPr>
        <w:t>= .83</w:t>
      </w:r>
      <w:r w:rsidR="004C127F">
        <w:rPr>
          <w:rFonts w:eastAsiaTheme="minorHAnsi"/>
          <w:lang w:val="es-ES"/>
        </w:rPr>
        <w:t>,</w:t>
      </w:r>
      <w:r w:rsidR="002F2646">
        <w:rPr>
          <w:rFonts w:eastAsiaTheme="minorHAnsi"/>
          <w:lang w:val="es-ES"/>
        </w:rPr>
        <w:t xml:space="preserve"> </w:t>
      </w:r>
      <w:r w:rsidR="00776D30">
        <w:rPr>
          <w:rFonts w:eastAsiaTheme="minorHAnsi"/>
          <w:lang w:val="es-ES"/>
        </w:rPr>
        <w:t>v</w:t>
      </w:r>
      <w:r w:rsidR="006B2ABB" w:rsidRPr="00776D30">
        <w:rPr>
          <w:rFonts w:eastAsiaTheme="minorHAnsi"/>
          <w:lang w:val="es-ES"/>
        </w:rPr>
        <w:t>arianza explicada</w:t>
      </w:r>
      <w:r w:rsidR="00EA0067" w:rsidRPr="00776D30">
        <w:rPr>
          <w:rFonts w:eastAsiaTheme="minorHAnsi"/>
          <w:lang w:val="es-ES"/>
        </w:rPr>
        <w:t>17.71</w:t>
      </w:r>
      <w:r w:rsidR="00EA0067">
        <w:rPr>
          <w:rFonts w:eastAsiaTheme="minorHAnsi"/>
          <w:lang w:val="es-ES"/>
        </w:rPr>
        <w:t>%</w:t>
      </w:r>
      <w:r>
        <w:rPr>
          <w:rFonts w:eastAsiaTheme="minorHAnsi"/>
          <w:lang w:val="es-ES"/>
        </w:rPr>
        <w:t>)</w:t>
      </w:r>
      <w:r w:rsidR="00E747A4" w:rsidRPr="00D000C2">
        <w:rPr>
          <w:lang w:val="es-ES"/>
        </w:rPr>
        <w:t xml:space="preserve"> y afrontamiento pasivo </w:t>
      </w:r>
      <w:r>
        <w:rPr>
          <w:lang w:val="es-ES"/>
        </w:rPr>
        <w:t>(</w:t>
      </w:r>
      <w:r w:rsidR="00E747A4" w:rsidRPr="00D000C2">
        <w:rPr>
          <w:lang w:val="es-ES"/>
        </w:rPr>
        <w:t>12 ítems</w:t>
      </w:r>
      <w:r w:rsidR="00DE2ACC">
        <w:rPr>
          <w:lang w:val="es-ES"/>
        </w:rPr>
        <w:t>,</w:t>
      </w:r>
      <w:r w:rsidR="002F2646">
        <w:rPr>
          <w:lang w:val="es-ES"/>
        </w:rPr>
        <w:t xml:space="preserve"> </w:t>
      </w:r>
      <w:r w:rsidR="007D0B09" w:rsidRPr="00D000C2">
        <w:rPr>
          <w:rFonts w:eastAsiaTheme="minorHAnsi"/>
        </w:rPr>
        <w:t>α</w:t>
      </w:r>
      <w:r w:rsidR="007D0B09" w:rsidRPr="00D000C2">
        <w:rPr>
          <w:rFonts w:eastAsiaTheme="minorHAnsi"/>
          <w:lang w:val="es-ES"/>
        </w:rPr>
        <w:t>= .77</w:t>
      </w:r>
      <w:r w:rsidR="00DE2ACC">
        <w:rPr>
          <w:rFonts w:eastAsiaTheme="minorHAnsi"/>
          <w:lang w:val="es-ES"/>
        </w:rPr>
        <w:t>,</w:t>
      </w:r>
      <w:r w:rsidR="002F2646">
        <w:rPr>
          <w:rFonts w:eastAsiaTheme="minorHAnsi"/>
          <w:lang w:val="es-ES"/>
        </w:rPr>
        <w:t xml:space="preserve"> </w:t>
      </w:r>
      <w:r w:rsidR="00DE2ACC">
        <w:rPr>
          <w:rFonts w:eastAsiaTheme="minorHAnsi"/>
          <w:lang w:val="es-ES"/>
        </w:rPr>
        <w:t>v</w:t>
      </w:r>
      <w:r w:rsidR="006B2ABB">
        <w:rPr>
          <w:rFonts w:eastAsiaTheme="minorHAnsi"/>
          <w:lang w:val="es-ES"/>
        </w:rPr>
        <w:t xml:space="preserve">arianza </w:t>
      </w:r>
      <w:r w:rsidR="00DE2ACC">
        <w:rPr>
          <w:rFonts w:eastAsiaTheme="minorHAnsi"/>
          <w:lang w:val="es-ES"/>
        </w:rPr>
        <w:t>e</w:t>
      </w:r>
      <w:r w:rsidR="006B2ABB">
        <w:rPr>
          <w:rFonts w:eastAsiaTheme="minorHAnsi"/>
          <w:lang w:val="es-ES"/>
        </w:rPr>
        <w:t>xplicada</w:t>
      </w:r>
      <w:r w:rsidR="00EA0067">
        <w:rPr>
          <w:rFonts w:eastAsiaTheme="minorHAnsi"/>
          <w:lang w:val="es-ES"/>
        </w:rPr>
        <w:t xml:space="preserve"> 13.93%</w:t>
      </w:r>
      <w:r w:rsidR="00CB100A">
        <w:rPr>
          <w:rFonts w:eastAsiaTheme="minorHAnsi"/>
          <w:lang w:val="es-ES"/>
        </w:rPr>
        <w:t>)</w:t>
      </w:r>
      <w:r w:rsidR="00E747A4" w:rsidRPr="00D000C2">
        <w:rPr>
          <w:lang w:val="es-ES"/>
        </w:rPr>
        <w:t>.</w:t>
      </w:r>
    </w:p>
    <w:p w14:paraId="2054F62B" w14:textId="77777777" w:rsidR="00CB100A" w:rsidRDefault="00CB100A" w:rsidP="006965C4">
      <w:pPr>
        <w:pStyle w:val="Cuerpo"/>
        <w:spacing w:after="0" w:line="240" w:lineRule="auto"/>
        <w:ind w:firstLine="708"/>
        <w:rPr>
          <w:rFonts w:ascii="Times New Roman" w:hAnsi="Times New Roman" w:cs="Times New Roman"/>
          <w:sz w:val="24"/>
          <w:szCs w:val="24"/>
        </w:rPr>
      </w:pPr>
      <w:r w:rsidRPr="00CB100A">
        <w:rPr>
          <w:rFonts w:ascii="Times New Roman" w:hAnsi="Times New Roman" w:cs="Times New Roman"/>
          <w:sz w:val="24"/>
          <w:szCs w:val="24"/>
        </w:rPr>
        <w:t xml:space="preserve">Con los datos </w:t>
      </w:r>
      <w:r>
        <w:rPr>
          <w:rFonts w:ascii="Times New Roman" w:hAnsi="Times New Roman" w:cs="Times New Roman"/>
          <w:sz w:val="24"/>
          <w:szCs w:val="24"/>
        </w:rPr>
        <w:t>del estudio se procedió, en un primer momento, al análisis de la validez y confiabilidad de las escalas. En un segundo momento se procedió a la validación de las hipótesis a través de análisis de comparación de medias</w:t>
      </w:r>
      <w:r w:rsidR="0056369B">
        <w:rPr>
          <w:rFonts w:ascii="Times New Roman" w:hAnsi="Times New Roman" w:cs="Times New Roman"/>
          <w:sz w:val="24"/>
          <w:szCs w:val="24"/>
        </w:rPr>
        <w:t xml:space="preserve"> (ANOVA)</w:t>
      </w:r>
      <w:r>
        <w:rPr>
          <w:rFonts w:ascii="Times New Roman" w:hAnsi="Times New Roman" w:cs="Times New Roman"/>
          <w:sz w:val="24"/>
          <w:szCs w:val="24"/>
        </w:rPr>
        <w:t xml:space="preserve">, </w:t>
      </w:r>
      <w:r w:rsidR="0056369B">
        <w:rPr>
          <w:rFonts w:ascii="Times New Roman" w:hAnsi="Times New Roman" w:cs="Times New Roman"/>
          <w:sz w:val="24"/>
          <w:szCs w:val="24"/>
        </w:rPr>
        <w:t>correlaciones entre variables,</w:t>
      </w:r>
      <w:r>
        <w:rPr>
          <w:rFonts w:ascii="Times New Roman" w:hAnsi="Times New Roman" w:cs="Times New Roman"/>
          <w:sz w:val="24"/>
          <w:szCs w:val="24"/>
        </w:rPr>
        <w:t xml:space="preserve"> regresiones lineares</w:t>
      </w:r>
      <w:r w:rsidR="0056369B">
        <w:rPr>
          <w:rFonts w:ascii="Times New Roman" w:hAnsi="Times New Roman" w:cs="Times New Roman"/>
          <w:sz w:val="24"/>
          <w:szCs w:val="24"/>
        </w:rPr>
        <w:t xml:space="preserve"> y de mediación</w:t>
      </w:r>
      <w:r>
        <w:rPr>
          <w:rFonts w:ascii="Times New Roman" w:hAnsi="Times New Roman" w:cs="Times New Roman"/>
          <w:sz w:val="24"/>
          <w:szCs w:val="24"/>
        </w:rPr>
        <w:t xml:space="preserve">. </w:t>
      </w:r>
    </w:p>
    <w:p w14:paraId="767492FB" w14:textId="77777777" w:rsidR="00CB100A" w:rsidRPr="00CB100A" w:rsidRDefault="00CB100A" w:rsidP="006965C4">
      <w:pPr>
        <w:pStyle w:val="Cuerpo"/>
        <w:spacing w:after="0" w:line="240" w:lineRule="auto"/>
        <w:rPr>
          <w:rFonts w:ascii="Times New Roman" w:hAnsi="Times New Roman" w:cs="Times New Roman"/>
          <w:sz w:val="24"/>
          <w:szCs w:val="24"/>
        </w:rPr>
      </w:pPr>
    </w:p>
    <w:p w14:paraId="71378C56" w14:textId="77777777" w:rsidR="00B36CD8" w:rsidRDefault="00C52220" w:rsidP="006965C4">
      <w:pPr>
        <w:pStyle w:val="Cuerpo"/>
        <w:spacing w:after="0" w:line="240" w:lineRule="auto"/>
        <w:jc w:val="both"/>
        <w:rPr>
          <w:rFonts w:ascii="Times New Roman" w:hAnsi="Times New Roman" w:cs="Times New Roman"/>
          <w:b/>
          <w:sz w:val="24"/>
          <w:szCs w:val="24"/>
        </w:rPr>
      </w:pPr>
      <w:r w:rsidRPr="00CB7208">
        <w:rPr>
          <w:rFonts w:ascii="Times New Roman" w:hAnsi="Times New Roman" w:cs="Times New Roman"/>
          <w:b/>
          <w:sz w:val="24"/>
          <w:szCs w:val="24"/>
        </w:rPr>
        <w:t>Resultados</w:t>
      </w:r>
    </w:p>
    <w:p w14:paraId="7B0FA178" w14:textId="77777777" w:rsidR="009B63CB" w:rsidRDefault="0056369B" w:rsidP="006965C4">
      <w:pPr>
        <w:tabs>
          <w:tab w:val="left" w:pos="709"/>
          <w:tab w:val="left" w:pos="8931"/>
        </w:tabs>
        <w:autoSpaceDE w:val="0"/>
        <w:autoSpaceDN w:val="0"/>
        <w:adjustRightInd w:val="0"/>
        <w:ind w:right="62"/>
        <w:rPr>
          <w:lang w:val="es-ES" w:eastAsia="es-CO"/>
        </w:rPr>
      </w:pPr>
      <w:r>
        <w:rPr>
          <w:lang w:val="es-ES"/>
        </w:rPr>
        <w:tab/>
      </w:r>
      <w:r w:rsidR="00610FBD">
        <w:rPr>
          <w:lang w:val="es-ES"/>
        </w:rPr>
        <w:t xml:space="preserve">El análisis factorial </w:t>
      </w:r>
      <w:r w:rsidR="00610FBD" w:rsidRPr="00B92458">
        <w:rPr>
          <w:lang w:val="es-ES" w:eastAsia="es-CO"/>
        </w:rPr>
        <w:t>exploratorio de</w:t>
      </w:r>
      <w:r w:rsidR="006965C4">
        <w:rPr>
          <w:lang w:val="es-ES" w:eastAsia="es-CO"/>
        </w:rPr>
        <w:t xml:space="preserve"> </w:t>
      </w:r>
      <w:r w:rsidR="00610FBD" w:rsidRPr="00B92458">
        <w:rPr>
          <w:lang w:val="es-ES" w:eastAsia="es-CO"/>
        </w:rPr>
        <w:t xml:space="preserve">componentes principales y rotación </w:t>
      </w:r>
      <w:r w:rsidR="00610FBD" w:rsidRPr="00B92458">
        <w:rPr>
          <w:i/>
          <w:lang w:val="es-ES" w:eastAsia="es-CO"/>
        </w:rPr>
        <w:t>varimax</w:t>
      </w:r>
      <w:r w:rsidR="00610FBD">
        <w:rPr>
          <w:lang w:val="es-ES"/>
        </w:rPr>
        <w:t xml:space="preserve"> de la</w:t>
      </w:r>
      <w:r w:rsidR="006965C4">
        <w:rPr>
          <w:lang w:val="es-ES"/>
        </w:rPr>
        <w:t xml:space="preserve"> </w:t>
      </w:r>
      <w:r w:rsidR="00610FBD">
        <w:rPr>
          <w:lang w:val="es-ES"/>
        </w:rPr>
        <w:t>E</w:t>
      </w:r>
      <w:r w:rsidR="00E33385">
        <w:rPr>
          <w:lang w:val="es-ES"/>
        </w:rPr>
        <w:t>scala</w:t>
      </w:r>
      <w:r w:rsidR="00440F7D">
        <w:rPr>
          <w:lang w:val="es-ES"/>
        </w:rPr>
        <w:t xml:space="preserve"> PRI</w:t>
      </w:r>
      <w:r w:rsidR="006965C4">
        <w:rPr>
          <w:lang w:val="es-ES"/>
        </w:rPr>
        <w:t xml:space="preserve"> </w:t>
      </w:r>
      <w:r w:rsidR="00610FBD">
        <w:rPr>
          <w:lang w:val="es-ES"/>
        </w:rPr>
        <w:t>mostró una</w:t>
      </w:r>
      <w:r w:rsidR="00610FBD" w:rsidRPr="00B92458">
        <w:rPr>
          <w:lang w:val="es-ES" w:eastAsia="es-CO"/>
        </w:rPr>
        <w:t xml:space="preserve"> estructura</w:t>
      </w:r>
      <w:r w:rsidR="00610FBD">
        <w:rPr>
          <w:lang w:val="es-ES" w:eastAsia="es-CO"/>
        </w:rPr>
        <w:t xml:space="preserve"> compuesta por </w:t>
      </w:r>
      <w:r w:rsidR="00610FBD" w:rsidRPr="00B92458">
        <w:rPr>
          <w:lang w:val="es-ES" w:eastAsia="es-CO"/>
        </w:rPr>
        <w:t>ocho factores que explican el 6</w:t>
      </w:r>
      <w:r w:rsidR="00610FBD">
        <w:rPr>
          <w:lang w:val="es-ES" w:eastAsia="es-CO"/>
        </w:rPr>
        <w:t xml:space="preserve">6% de la </w:t>
      </w:r>
      <w:r w:rsidR="00610FBD" w:rsidRPr="00A36B27">
        <w:rPr>
          <w:lang w:val="es-ES" w:eastAsia="es-CO"/>
        </w:rPr>
        <w:t>varianza</w:t>
      </w:r>
      <w:r w:rsidR="00897568">
        <w:rPr>
          <w:lang w:val="es-ES" w:eastAsia="es-CO"/>
        </w:rPr>
        <w:t>,</w:t>
      </w:r>
      <w:r w:rsidR="002F2646">
        <w:rPr>
          <w:lang w:val="es-ES" w:eastAsia="es-CO"/>
        </w:rPr>
        <w:t xml:space="preserve"> </w:t>
      </w:r>
      <w:r w:rsidR="007036EA">
        <w:rPr>
          <w:lang w:val="es-ES" w:eastAsia="es-CO"/>
        </w:rPr>
        <w:t>KMO = .</w:t>
      </w:r>
      <w:r w:rsidR="004C127F">
        <w:rPr>
          <w:lang w:val="es-ES" w:eastAsia="es-CO"/>
        </w:rPr>
        <w:t>606,</w:t>
      </w:r>
      <w:r w:rsidR="002F2646">
        <w:rPr>
          <w:lang w:val="es-ES" w:eastAsia="es-CO"/>
        </w:rPr>
        <w:t xml:space="preserve"> </w:t>
      </w:r>
      <w:r w:rsidR="00897568" w:rsidRPr="00897568">
        <w:rPr>
          <w:lang w:val="es-ES" w:eastAsia="es-CO"/>
        </w:rPr>
        <w:t>nivel de significancia obtenido en la</w:t>
      </w:r>
      <w:r w:rsidR="006965C4">
        <w:rPr>
          <w:lang w:val="es-ES" w:eastAsia="es-CO"/>
        </w:rPr>
        <w:t xml:space="preserve"> </w:t>
      </w:r>
      <w:r w:rsidR="00897568" w:rsidRPr="00897568">
        <w:rPr>
          <w:lang w:val="es-ES" w:eastAsia="es-CO"/>
        </w:rPr>
        <w:t xml:space="preserve">prueba de esfericidad de Bartlett </w:t>
      </w:r>
      <w:r w:rsidR="00897568">
        <w:rPr>
          <w:lang w:val="es-ES" w:eastAsia="es-CO"/>
        </w:rPr>
        <w:t>fue</w:t>
      </w:r>
      <w:r w:rsidR="00897568" w:rsidRPr="00897568">
        <w:rPr>
          <w:lang w:val="es-ES" w:eastAsia="es-CO"/>
        </w:rPr>
        <w:t xml:space="preserve"> de .001</w:t>
      </w:r>
      <w:r w:rsidR="00610FBD" w:rsidRPr="00B92458">
        <w:rPr>
          <w:lang w:val="es-ES" w:eastAsia="es-CO"/>
        </w:rPr>
        <w:t xml:space="preserve">. </w:t>
      </w:r>
      <w:r w:rsidR="002B4645">
        <w:rPr>
          <w:lang w:val="es-ES"/>
        </w:rPr>
        <w:t>El</w:t>
      </w:r>
      <w:r w:rsidR="006965C4">
        <w:rPr>
          <w:lang w:val="es-ES"/>
        </w:rPr>
        <w:t xml:space="preserve"> </w:t>
      </w:r>
      <w:r w:rsidR="00D25B8B">
        <w:rPr>
          <w:lang w:val="es-ES"/>
        </w:rPr>
        <w:t>alfa</w:t>
      </w:r>
      <w:r w:rsidR="00E33385" w:rsidRPr="00E33385">
        <w:rPr>
          <w:lang w:val="es-ES"/>
        </w:rPr>
        <w:t xml:space="preserve"> de Cronbach total</w:t>
      </w:r>
      <w:r w:rsidR="002B4645">
        <w:rPr>
          <w:lang w:val="es-ES"/>
        </w:rPr>
        <w:t xml:space="preserve"> fue</w:t>
      </w:r>
      <w:r w:rsidR="004C127F">
        <w:rPr>
          <w:lang w:val="es-ES"/>
        </w:rPr>
        <w:t xml:space="preserve"> de </w:t>
      </w:r>
      <w:r w:rsidR="00E33385" w:rsidRPr="00E33385">
        <w:rPr>
          <w:lang w:val="es-ES"/>
        </w:rPr>
        <w:t>.43</w:t>
      </w:r>
      <w:r w:rsidR="00E33385">
        <w:rPr>
          <w:lang w:val="es-ES"/>
        </w:rPr>
        <w:t xml:space="preserve">. </w:t>
      </w:r>
      <w:r w:rsidR="002B4645">
        <w:rPr>
          <w:lang w:val="es-ES" w:eastAsia="es-CO"/>
        </w:rPr>
        <w:t xml:space="preserve">Debido a su baja </w:t>
      </w:r>
      <w:r w:rsidR="00E33385" w:rsidRPr="00A36B27">
        <w:rPr>
          <w:lang w:val="es-ES"/>
        </w:rPr>
        <w:t xml:space="preserve">consistencia </w:t>
      </w:r>
      <w:r w:rsidR="002B4645">
        <w:rPr>
          <w:lang w:val="es-ES"/>
        </w:rPr>
        <w:t>varios ítems fueron eliminados siguiendo el criterio de carga factorial</w:t>
      </w:r>
      <w:r w:rsidR="00716A42" w:rsidRPr="00A36B27">
        <w:rPr>
          <w:lang w:val="es-ES"/>
        </w:rPr>
        <w:t>. Finalmente</w:t>
      </w:r>
      <w:r w:rsidR="00F3219A" w:rsidRPr="00A36B27">
        <w:rPr>
          <w:lang w:val="es-ES"/>
        </w:rPr>
        <w:t>,</w:t>
      </w:r>
      <w:r w:rsidR="006965C4">
        <w:rPr>
          <w:lang w:val="es-ES"/>
        </w:rPr>
        <w:t xml:space="preserve"> </w:t>
      </w:r>
      <w:r w:rsidR="007374B3">
        <w:rPr>
          <w:lang w:val="es-ES"/>
        </w:rPr>
        <w:t>fueron conservados</w:t>
      </w:r>
      <w:r w:rsidR="00716A42" w:rsidRPr="00A36B27">
        <w:rPr>
          <w:lang w:val="es-ES"/>
        </w:rPr>
        <w:t xml:space="preserve"> los factores teóricamente más explicativos</w:t>
      </w:r>
      <w:r w:rsidR="00F3219A">
        <w:rPr>
          <w:lang w:val="es-ES"/>
        </w:rPr>
        <w:t xml:space="preserve"> de acuerdo con</w:t>
      </w:r>
      <w:r w:rsidR="005A3AED">
        <w:rPr>
          <w:lang w:val="es-ES"/>
        </w:rPr>
        <w:t xml:space="preserve"> la literatura</w:t>
      </w:r>
      <w:r w:rsidR="00716A42">
        <w:rPr>
          <w:lang w:val="es-ES"/>
        </w:rPr>
        <w:t xml:space="preserve">. </w:t>
      </w:r>
      <w:r w:rsidR="007374B3">
        <w:rPr>
          <w:lang w:val="es-ES"/>
        </w:rPr>
        <w:t xml:space="preserve">Los ítems eliminados corresponden </w:t>
      </w:r>
      <w:r w:rsidR="00705A26">
        <w:rPr>
          <w:lang w:val="es-ES"/>
        </w:rPr>
        <w:t xml:space="preserve">a </w:t>
      </w:r>
      <w:r w:rsidR="00705A26" w:rsidRPr="00705A26">
        <w:rPr>
          <w:lang w:val="es-ES"/>
        </w:rPr>
        <w:t xml:space="preserve">los factores </w:t>
      </w:r>
      <w:r w:rsidR="00705A26" w:rsidRPr="00705A26">
        <w:rPr>
          <w:i/>
          <w:lang w:val="es-ES"/>
        </w:rPr>
        <w:t>renuncia a los beneficios de la situación actual</w:t>
      </w:r>
      <w:r w:rsidR="00705A26" w:rsidRPr="00705A26">
        <w:rPr>
          <w:lang w:val="es-ES"/>
        </w:rPr>
        <w:t xml:space="preserve"> (ítems </w:t>
      </w:r>
      <w:r w:rsidR="00F95601">
        <w:rPr>
          <w:lang w:val="es-ES"/>
        </w:rPr>
        <w:t>8</w:t>
      </w:r>
      <w:r w:rsidR="00705A26" w:rsidRPr="00705A26">
        <w:rPr>
          <w:lang w:val="es-ES"/>
        </w:rPr>
        <w:t xml:space="preserve">, </w:t>
      </w:r>
      <w:r w:rsidR="00F95601">
        <w:rPr>
          <w:lang w:val="es-ES"/>
        </w:rPr>
        <w:t>13</w:t>
      </w:r>
      <w:r w:rsidR="00705A26" w:rsidRPr="00705A26">
        <w:rPr>
          <w:lang w:val="es-ES"/>
        </w:rPr>
        <w:t xml:space="preserve"> y </w:t>
      </w:r>
      <w:r w:rsidR="00F95601">
        <w:rPr>
          <w:lang w:val="es-ES"/>
        </w:rPr>
        <w:t>22</w:t>
      </w:r>
      <w:r w:rsidR="00705A26" w:rsidRPr="00705A26">
        <w:rPr>
          <w:lang w:val="es-ES"/>
        </w:rPr>
        <w:t xml:space="preserve">), </w:t>
      </w:r>
      <w:r w:rsidR="00705A26" w:rsidRPr="00705A26">
        <w:rPr>
          <w:i/>
          <w:lang w:val="es-ES"/>
        </w:rPr>
        <w:t>situación (in)controlable</w:t>
      </w:r>
      <w:r w:rsidR="00705A26" w:rsidRPr="00705A26">
        <w:rPr>
          <w:lang w:val="es-ES"/>
        </w:rPr>
        <w:t xml:space="preserve"> (ítems </w:t>
      </w:r>
      <w:r w:rsidR="00F95601">
        <w:rPr>
          <w:lang w:val="es-ES"/>
        </w:rPr>
        <w:t>1</w:t>
      </w:r>
      <w:r w:rsidR="00705A26" w:rsidRPr="00705A26">
        <w:rPr>
          <w:lang w:val="es-ES"/>
        </w:rPr>
        <w:t xml:space="preserve"> y </w:t>
      </w:r>
      <w:r w:rsidR="00F95601">
        <w:rPr>
          <w:lang w:val="es-ES"/>
        </w:rPr>
        <w:t>2</w:t>
      </w:r>
      <w:r w:rsidR="00705A26" w:rsidRPr="00705A26">
        <w:rPr>
          <w:lang w:val="es-ES"/>
        </w:rPr>
        <w:t xml:space="preserve">), </w:t>
      </w:r>
      <w:r w:rsidR="00705A26" w:rsidRPr="00705A26">
        <w:rPr>
          <w:i/>
          <w:lang w:val="es-ES"/>
        </w:rPr>
        <w:t>personas expuestas</w:t>
      </w:r>
      <w:r w:rsidR="00705A26" w:rsidRPr="00705A26">
        <w:rPr>
          <w:lang w:val="es-ES"/>
        </w:rPr>
        <w:t xml:space="preserve"> (ítems </w:t>
      </w:r>
      <w:r w:rsidR="00F95601">
        <w:rPr>
          <w:lang w:val="es-ES"/>
        </w:rPr>
        <w:t>20</w:t>
      </w:r>
      <w:r w:rsidR="00705A26" w:rsidRPr="00705A26">
        <w:rPr>
          <w:lang w:val="es-ES"/>
        </w:rPr>
        <w:t xml:space="preserve"> y </w:t>
      </w:r>
      <w:r w:rsidR="00F95601">
        <w:rPr>
          <w:lang w:val="es-ES"/>
        </w:rPr>
        <w:t>21</w:t>
      </w:r>
      <w:r w:rsidR="00705A26" w:rsidRPr="00705A26">
        <w:rPr>
          <w:lang w:val="es-ES"/>
        </w:rPr>
        <w:t xml:space="preserve">) y </w:t>
      </w:r>
      <w:r w:rsidR="00705A26" w:rsidRPr="00705A26">
        <w:rPr>
          <w:i/>
          <w:lang w:val="es-ES"/>
        </w:rPr>
        <w:t>compromiso público</w:t>
      </w:r>
      <w:r w:rsidR="00705A26" w:rsidRPr="00705A26">
        <w:rPr>
          <w:lang w:val="es-ES"/>
        </w:rPr>
        <w:t xml:space="preserve"> (ítem </w:t>
      </w:r>
      <w:r w:rsidR="00F95601">
        <w:rPr>
          <w:lang w:val="es-ES"/>
        </w:rPr>
        <w:t>12</w:t>
      </w:r>
      <w:r w:rsidR="00705A26">
        <w:rPr>
          <w:lang w:val="es-ES"/>
        </w:rPr>
        <w:t>)</w:t>
      </w:r>
      <w:r w:rsidR="00705A26" w:rsidRPr="00705A26">
        <w:rPr>
          <w:lang w:val="es-ES"/>
        </w:rPr>
        <w:t>.</w:t>
      </w:r>
      <w:r w:rsidR="002F2646">
        <w:rPr>
          <w:lang w:val="es-ES"/>
        </w:rPr>
        <w:t xml:space="preserve"> </w:t>
      </w:r>
      <w:r w:rsidR="00E33385" w:rsidRPr="00E33385">
        <w:rPr>
          <w:lang w:val="es-ES"/>
        </w:rPr>
        <w:t xml:space="preserve">Con </w:t>
      </w:r>
      <w:r w:rsidR="00716A42">
        <w:rPr>
          <w:lang w:val="es-ES"/>
        </w:rPr>
        <w:t xml:space="preserve">la nueva </w:t>
      </w:r>
      <w:r w:rsidR="00716A42" w:rsidRPr="00483810">
        <w:rPr>
          <w:lang w:val="es-ES"/>
        </w:rPr>
        <w:t>versión d</w:t>
      </w:r>
      <w:r w:rsidR="00E33385" w:rsidRPr="00483810">
        <w:rPr>
          <w:lang w:val="es-ES"/>
        </w:rPr>
        <w:t>e 15 ítems</w:t>
      </w:r>
      <w:r w:rsidR="007374B3">
        <w:rPr>
          <w:lang w:val="es-ES"/>
        </w:rPr>
        <w:t xml:space="preserve"> la </w:t>
      </w:r>
      <w:r w:rsidR="00E33385" w:rsidRPr="00B92458">
        <w:rPr>
          <w:lang w:val="es-ES"/>
        </w:rPr>
        <w:t xml:space="preserve">confiabilidad </w:t>
      </w:r>
      <w:r w:rsidR="00D36598">
        <w:rPr>
          <w:lang w:val="es-ES"/>
        </w:rPr>
        <w:t>aument</w:t>
      </w:r>
      <w:r w:rsidR="002F2646">
        <w:rPr>
          <w:lang w:val="es-ES"/>
        </w:rPr>
        <w:t>ó</w:t>
      </w:r>
      <w:r w:rsidR="00D36598">
        <w:rPr>
          <w:lang w:val="es-ES"/>
        </w:rPr>
        <w:t xml:space="preserve"> (</w:t>
      </w:r>
      <w:r w:rsidR="00897568">
        <w:rPr>
          <w:lang w:val="es-ES"/>
        </w:rPr>
        <w:t>α =</w:t>
      </w:r>
      <w:r w:rsidR="00D25B8B">
        <w:rPr>
          <w:lang w:val="es-ES"/>
        </w:rPr>
        <w:t xml:space="preserve"> .75</w:t>
      </w:r>
      <w:r w:rsidR="00D36598">
        <w:rPr>
          <w:lang w:val="es-ES"/>
        </w:rPr>
        <w:t>)</w:t>
      </w:r>
      <w:r w:rsidR="00E33385" w:rsidRPr="00B92458">
        <w:rPr>
          <w:lang w:val="es-ES"/>
        </w:rPr>
        <w:t xml:space="preserve">. </w:t>
      </w:r>
      <w:r w:rsidR="00C84E5F">
        <w:rPr>
          <w:lang w:val="es-ES"/>
        </w:rPr>
        <w:t xml:space="preserve">Se procedió nuevamente a los análisis factoriales </w:t>
      </w:r>
      <w:r w:rsidR="00D36598">
        <w:rPr>
          <w:lang w:val="es-ES"/>
        </w:rPr>
        <w:t>(</w:t>
      </w:r>
      <w:r w:rsidR="00C84E5F" w:rsidRPr="00B92458">
        <w:rPr>
          <w:lang w:val="es-ES" w:eastAsia="es-CO"/>
        </w:rPr>
        <w:t xml:space="preserve">KMO = </w:t>
      </w:r>
      <w:r w:rsidR="00897568">
        <w:rPr>
          <w:lang w:val="es-ES" w:eastAsia="es-CO"/>
        </w:rPr>
        <w:t>.</w:t>
      </w:r>
      <w:r w:rsidR="00C84E5F" w:rsidRPr="00C84E5F">
        <w:rPr>
          <w:lang w:val="es-ES" w:eastAsia="es-CO"/>
        </w:rPr>
        <w:t>702</w:t>
      </w:r>
      <w:r w:rsidR="00971678">
        <w:rPr>
          <w:lang w:val="es-ES" w:eastAsia="es-CO"/>
        </w:rPr>
        <w:t>,</w:t>
      </w:r>
      <w:r w:rsidR="006965C4">
        <w:rPr>
          <w:lang w:val="es-ES" w:eastAsia="es-CO"/>
        </w:rPr>
        <w:t xml:space="preserve"> </w:t>
      </w:r>
      <w:r w:rsidR="00897568" w:rsidRPr="00897568">
        <w:rPr>
          <w:lang w:val="es-ES" w:eastAsia="es-CO"/>
        </w:rPr>
        <w:t xml:space="preserve">nivel de significancia en la prueba de esfericidad de Bartlett </w:t>
      </w:r>
      <w:r w:rsidR="00897568">
        <w:rPr>
          <w:lang w:val="es-ES" w:eastAsia="es-CO"/>
        </w:rPr>
        <w:t>fue</w:t>
      </w:r>
      <w:r w:rsidR="00897568" w:rsidRPr="00897568">
        <w:rPr>
          <w:lang w:val="es-ES" w:eastAsia="es-CO"/>
        </w:rPr>
        <w:t xml:space="preserve"> de .00</w:t>
      </w:r>
      <w:r w:rsidR="00D25B8B">
        <w:rPr>
          <w:lang w:val="es-ES" w:eastAsia="es-CO"/>
        </w:rPr>
        <w:t>0</w:t>
      </w:r>
      <w:r w:rsidR="00D36598">
        <w:rPr>
          <w:lang w:val="es-ES" w:eastAsia="es-CO"/>
        </w:rPr>
        <w:t>)</w:t>
      </w:r>
      <w:r w:rsidR="00897568">
        <w:rPr>
          <w:lang w:val="es-ES" w:eastAsia="es-CO"/>
        </w:rPr>
        <w:t>,</w:t>
      </w:r>
      <w:r w:rsidR="00740C95" w:rsidRPr="00897568">
        <w:rPr>
          <w:lang w:val="es-ES" w:eastAsia="es-CO"/>
        </w:rPr>
        <w:t xml:space="preserve"> que </w:t>
      </w:r>
      <w:r w:rsidR="00740C95">
        <w:rPr>
          <w:lang w:val="es-ES" w:eastAsia="es-CO"/>
        </w:rPr>
        <w:t>evidenciaron cuatro factores explican</w:t>
      </w:r>
      <w:r w:rsidR="00D36598">
        <w:rPr>
          <w:lang w:val="es-ES" w:eastAsia="es-CO"/>
        </w:rPr>
        <w:t>do</w:t>
      </w:r>
      <w:r w:rsidR="00740C95">
        <w:rPr>
          <w:lang w:val="es-ES" w:eastAsia="es-CO"/>
        </w:rPr>
        <w:t xml:space="preserve"> el </w:t>
      </w:r>
      <w:r w:rsidR="009B3587">
        <w:rPr>
          <w:lang w:val="es-ES" w:eastAsia="es-CO"/>
        </w:rPr>
        <w:t>58</w:t>
      </w:r>
      <w:r w:rsidR="00740C95">
        <w:rPr>
          <w:lang w:val="es-ES" w:eastAsia="es-CO"/>
        </w:rPr>
        <w:t>.78% de la varianza</w:t>
      </w:r>
      <w:r w:rsidR="009B63CB">
        <w:rPr>
          <w:lang w:val="es-ES" w:eastAsia="es-CO"/>
        </w:rPr>
        <w:t xml:space="preserve">: </w:t>
      </w:r>
      <w:r w:rsidR="009B63CB" w:rsidRPr="00804200">
        <w:rPr>
          <w:i/>
          <w:lang w:val="es-ES"/>
        </w:rPr>
        <w:t>temor-afectación</w:t>
      </w:r>
      <w:r w:rsidR="009B63CB" w:rsidRPr="00804200">
        <w:rPr>
          <w:lang w:val="es-ES"/>
        </w:rPr>
        <w:t>,</w:t>
      </w:r>
      <w:r w:rsidR="006965C4">
        <w:rPr>
          <w:lang w:val="es-ES"/>
        </w:rPr>
        <w:t xml:space="preserve"> </w:t>
      </w:r>
      <w:r w:rsidR="009B63CB" w:rsidRPr="00804200">
        <w:rPr>
          <w:i/>
          <w:lang w:val="es-ES"/>
        </w:rPr>
        <w:t>conoci</w:t>
      </w:r>
      <w:r w:rsidR="009B63CB">
        <w:rPr>
          <w:i/>
          <w:lang w:val="es-ES"/>
        </w:rPr>
        <w:t>miento del</w:t>
      </w:r>
      <w:r w:rsidR="006965C4">
        <w:rPr>
          <w:i/>
          <w:lang w:val="es-ES"/>
        </w:rPr>
        <w:t xml:space="preserve"> </w:t>
      </w:r>
      <w:r w:rsidR="009B63CB">
        <w:rPr>
          <w:i/>
          <w:lang w:val="es-ES"/>
        </w:rPr>
        <w:t>riesgo</w:t>
      </w:r>
      <w:r w:rsidR="009B63CB" w:rsidRPr="00804200">
        <w:rPr>
          <w:lang w:val="es-ES"/>
        </w:rPr>
        <w:t xml:space="preserve">, </w:t>
      </w:r>
      <w:r w:rsidR="009B63CB" w:rsidRPr="00804200">
        <w:rPr>
          <w:i/>
          <w:lang w:val="es-ES"/>
        </w:rPr>
        <w:t>riesgo impredecible</w:t>
      </w:r>
      <w:r w:rsidR="009B63CB" w:rsidRPr="00804200">
        <w:rPr>
          <w:lang w:val="es-ES"/>
        </w:rPr>
        <w:t xml:space="preserve"> y </w:t>
      </w:r>
      <w:r w:rsidR="009B63CB" w:rsidRPr="00804200">
        <w:rPr>
          <w:i/>
          <w:lang w:val="es-ES"/>
        </w:rPr>
        <w:t>aumento global del riesgo</w:t>
      </w:r>
      <w:r w:rsidR="009B63CB" w:rsidRPr="00804200">
        <w:rPr>
          <w:lang w:val="es-ES"/>
        </w:rPr>
        <w:t xml:space="preserve">. </w:t>
      </w:r>
      <w:r w:rsidR="009B63CB">
        <w:rPr>
          <w:lang w:val="es-ES"/>
        </w:rPr>
        <w:t xml:space="preserve">Al estar formado por un solo ítem, el factor </w:t>
      </w:r>
      <w:r w:rsidR="009B63CB" w:rsidRPr="005A3AED">
        <w:rPr>
          <w:lang w:val="es-ES"/>
        </w:rPr>
        <w:t>4</w:t>
      </w:r>
      <w:r w:rsidR="009B63CB">
        <w:rPr>
          <w:lang w:val="es-ES"/>
        </w:rPr>
        <w:t xml:space="preserve"> fue rechazado</w:t>
      </w:r>
      <w:r w:rsidR="00740C95">
        <w:rPr>
          <w:lang w:val="es-ES" w:eastAsia="es-CO"/>
        </w:rPr>
        <w:t xml:space="preserve"> (ver tabla 1)</w:t>
      </w:r>
      <w:r w:rsidR="000F6C0E">
        <w:rPr>
          <w:lang w:val="es-ES" w:eastAsia="es-CO"/>
        </w:rPr>
        <w:t>.</w:t>
      </w:r>
    </w:p>
    <w:p w14:paraId="21B27DE5" w14:textId="77777777" w:rsidR="006965C4" w:rsidRDefault="006965C4" w:rsidP="006965C4">
      <w:pPr>
        <w:tabs>
          <w:tab w:val="left" w:pos="709"/>
          <w:tab w:val="left" w:pos="8931"/>
        </w:tabs>
        <w:autoSpaceDE w:val="0"/>
        <w:autoSpaceDN w:val="0"/>
        <w:adjustRightInd w:val="0"/>
        <w:ind w:right="62"/>
        <w:rPr>
          <w:lang w:val="es-ES"/>
        </w:rPr>
      </w:pPr>
    </w:p>
    <w:p w14:paraId="57947310" w14:textId="77777777" w:rsidR="00F61F6E" w:rsidRPr="00740C95" w:rsidRDefault="00F61F6E" w:rsidP="006965C4">
      <w:pPr>
        <w:rPr>
          <w:lang w:val="es-ES"/>
        </w:rPr>
      </w:pPr>
      <w:r w:rsidRPr="00740C95">
        <w:rPr>
          <w:lang w:val="es-ES"/>
        </w:rPr>
        <w:t>Tabla 1.</w:t>
      </w:r>
      <w:r>
        <w:rPr>
          <w:lang w:val="es-ES"/>
        </w:rPr>
        <w:t xml:space="preserve">-Análisis factorial exploratorio con rotación ortogonal </w:t>
      </w:r>
      <w:r w:rsidRPr="006C3D06">
        <w:rPr>
          <w:i/>
          <w:lang w:val="es-ES"/>
        </w:rPr>
        <w:t>varimax</w:t>
      </w:r>
      <w:r>
        <w:rPr>
          <w:lang w:val="es-ES"/>
        </w:rPr>
        <w:t xml:space="preserve"> para los ítems de la escala PRI: cargas factoriales y estadísticos descriptivos.</w:t>
      </w:r>
    </w:p>
    <w:tbl>
      <w:tblPr>
        <w:tblW w:w="5000" w:type="pct"/>
        <w:tblCellMar>
          <w:left w:w="70" w:type="dxa"/>
          <w:right w:w="70" w:type="dxa"/>
        </w:tblCellMar>
        <w:tblLook w:val="04A0" w:firstRow="1" w:lastRow="0" w:firstColumn="1" w:lastColumn="0" w:noHBand="0" w:noVBand="1"/>
      </w:tblPr>
      <w:tblGrid>
        <w:gridCol w:w="337"/>
        <w:gridCol w:w="5710"/>
        <w:gridCol w:w="690"/>
        <w:gridCol w:w="690"/>
        <w:gridCol w:w="690"/>
        <w:gridCol w:w="593"/>
        <w:gridCol w:w="790"/>
      </w:tblGrid>
      <w:tr w:rsidR="00F61F6E" w:rsidRPr="009435CD" w14:paraId="32924B78" w14:textId="77777777" w:rsidTr="004D5428">
        <w:trPr>
          <w:trHeight w:val="300"/>
        </w:trPr>
        <w:tc>
          <w:tcPr>
            <w:tcW w:w="178" w:type="pct"/>
            <w:tcBorders>
              <w:top w:val="single" w:sz="4" w:space="0" w:color="auto"/>
              <w:left w:val="nil"/>
              <w:right w:val="nil"/>
            </w:tcBorders>
            <w:shd w:val="clear" w:color="auto" w:fill="auto"/>
            <w:noWrap/>
            <w:vAlign w:val="bottom"/>
            <w:hideMark/>
          </w:tcPr>
          <w:p w14:paraId="750F017B" w14:textId="77777777" w:rsidR="00F61F6E" w:rsidRPr="009435CD" w:rsidRDefault="00F61F6E" w:rsidP="006965C4">
            <w:pPr>
              <w:rPr>
                <w:color w:val="000000"/>
                <w:sz w:val="20"/>
                <w:szCs w:val="20"/>
                <w:lang w:val="es-ES"/>
              </w:rPr>
            </w:pPr>
          </w:p>
        </w:tc>
        <w:tc>
          <w:tcPr>
            <w:tcW w:w="3005" w:type="pct"/>
            <w:vMerge w:val="restart"/>
            <w:tcBorders>
              <w:top w:val="single" w:sz="4" w:space="0" w:color="auto"/>
              <w:left w:val="nil"/>
              <w:right w:val="nil"/>
            </w:tcBorders>
            <w:shd w:val="clear" w:color="000000" w:fill="FFFFFF"/>
            <w:vAlign w:val="center"/>
            <w:hideMark/>
          </w:tcPr>
          <w:p w14:paraId="5BB8AF43" w14:textId="77777777" w:rsidR="00F61F6E" w:rsidRPr="009435CD" w:rsidRDefault="00F61F6E" w:rsidP="006965C4">
            <w:pPr>
              <w:jc w:val="center"/>
              <w:rPr>
                <w:color w:val="000000"/>
                <w:sz w:val="20"/>
                <w:szCs w:val="20"/>
                <w:lang w:val="es-ES"/>
              </w:rPr>
            </w:pPr>
            <w:r w:rsidRPr="009435CD">
              <w:rPr>
                <w:color w:val="000000"/>
                <w:sz w:val="20"/>
                <w:szCs w:val="20"/>
                <w:lang w:val="es-ES"/>
              </w:rPr>
              <w:t>Ítems</w:t>
            </w:r>
          </w:p>
        </w:tc>
        <w:tc>
          <w:tcPr>
            <w:tcW w:w="1401" w:type="pct"/>
            <w:gridSpan w:val="4"/>
            <w:tcBorders>
              <w:top w:val="single" w:sz="4" w:space="0" w:color="auto"/>
              <w:left w:val="nil"/>
              <w:right w:val="nil"/>
            </w:tcBorders>
            <w:shd w:val="clear" w:color="000000" w:fill="FFFFFF"/>
            <w:vAlign w:val="center"/>
            <w:hideMark/>
          </w:tcPr>
          <w:p w14:paraId="5728869D" w14:textId="77777777" w:rsidR="00F61F6E" w:rsidRPr="009435CD" w:rsidRDefault="00F61F6E" w:rsidP="006965C4">
            <w:pPr>
              <w:jc w:val="center"/>
              <w:rPr>
                <w:color w:val="000000"/>
                <w:sz w:val="20"/>
                <w:szCs w:val="20"/>
              </w:rPr>
            </w:pPr>
            <w:r w:rsidRPr="009435CD">
              <w:rPr>
                <w:color w:val="000000"/>
                <w:sz w:val="20"/>
                <w:szCs w:val="20"/>
                <w:lang w:val="es-CO"/>
              </w:rPr>
              <w:t>Componente</w:t>
            </w:r>
          </w:p>
        </w:tc>
        <w:tc>
          <w:tcPr>
            <w:tcW w:w="416" w:type="pct"/>
            <w:tcBorders>
              <w:top w:val="single" w:sz="4" w:space="0" w:color="auto"/>
              <w:left w:val="nil"/>
              <w:right w:val="nil"/>
            </w:tcBorders>
            <w:shd w:val="clear" w:color="auto" w:fill="auto"/>
            <w:noWrap/>
            <w:vAlign w:val="center"/>
            <w:hideMark/>
          </w:tcPr>
          <w:p w14:paraId="48C116BE" w14:textId="77777777" w:rsidR="00F61F6E" w:rsidRPr="009435CD" w:rsidRDefault="00F61F6E" w:rsidP="006965C4">
            <w:pPr>
              <w:rPr>
                <w:color w:val="000000"/>
                <w:sz w:val="20"/>
                <w:szCs w:val="20"/>
              </w:rPr>
            </w:pPr>
          </w:p>
        </w:tc>
      </w:tr>
      <w:tr w:rsidR="00F61F6E" w:rsidRPr="009435CD" w14:paraId="35FE75F8" w14:textId="77777777" w:rsidTr="004D5428">
        <w:trPr>
          <w:trHeight w:val="315"/>
        </w:trPr>
        <w:tc>
          <w:tcPr>
            <w:tcW w:w="178" w:type="pct"/>
            <w:tcBorders>
              <w:top w:val="nil"/>
              <w:left w:val="nil"/>
              <w:bottom w:val="single" w:sz="4" w:space="0" w:color="auto"/>
              <w:right w:val="nil"/>
            </w:tcBorders>
            <w:shd w:val="clear" w:color="auto" w:fill="auto"/>
            <w:noWrap/>
            <w:vAlign w:val="bottom"/>
            <w:hideMark/>
          </w:tcPr>
          <w:p w14:paraId="31660945" w14:textId="77777777" w:rsidR="00F61F6E" w:rsidRPr="009435CD" w:rsidRDefault="00F61F6E" w:rsidP="006965C4">
            <w:pPr>
              <w:rPr>
                <w:color w:val="000000"/>
                <w:sz w:val="20"/>
                <w:szCs w:val="20"/>
              </w:rPr>
            </w:pPr>
          </w:p>
        </w:tc>
        <w:tc>
          <w:tcPr>
            <w:tcW w:w="3005" w:type="pct"/>
            <w:vMerge/>
            <w:tcBorders>
              <w:top w:val="nil"/>
              <w:left w:val="nil"/>
              <w:bottom w:val="single" w:sz="4" w:space="0" w:color="auto"/>
              <w:right w:val="nil"/>
            </w:tcBorders>
            <w:vAlign w:val="center"/>
            <w:hideMark/>
          </w:tcPr>
          <w:p w14:paraId="327E6B44" w14:textId="77777777" w:rsidR="00F61F6E" w:rsidRPr="009435CD" w:rsidRDefault="00F61F6E" w:rsidP="006965C4">
            <w:pPr>
              <w:rPr>
                <w:color w:val="000000"/>
                <w:sz w:val="20"/>
                <w:szCs w:val="20"/>
              </w:rPr>
            </w:pPr>
          </w:p>
        </w:tc>
        <w:tc>
          <w:tcPr>
            <w:tcW w:w="363" w:type="pct"/>
            <w:tcBorders>
              <w:top w:val="nil"/>
              <w:left w:val="nil"/>
              <w:bottom w:val="single" w:sz="4" w:space="0" w:color="auto"/>
              <w:right w:val="nil"/>
            </w:tcBorders>
            <w:shd w:val="clear" w:color="000000" w:fill="FFFFFF"/>
            <w:vAlign w:val="center"/>
            <w:hideMark/>
          </w:tcPr>
          <w:p w14:paraId="36E5E951" w14:textId="77777777" w:rsidR="00F61F6E" w:rsidRPr="009435CD" w:rsidRDefault="00F61F6E" w:rsidP="006965C4">
            <w:pPr>
              <w:jc w:val="center"/>
              <w:rPr>
                <w:color w:val="000000"/>
                <w:sz w:val="20"/>
                <w:szCs w:val="20"/>
              </w:rPr>
            </w:pPr>
            <w:r w:rsidRPr="009435CD">
              <w:rPr>
                <w:color w:val="000000"/>
                <w:sz w:val="20"/>
                <w:szCs w:val="20"/>
                <w:lang w:val="es-CO"/>
              </w:rPr>
              <w:t>1</w:t>
            </w:r>
          </w:p>
        </w:tc>
        <w:tc>
          <w:tcPr>
            <w:tcW w:w="363" w:type="pct"/>
            <w:tcBorders>
              <w:top w:val="nil"/>
              <w:left w:val="nil"/>
              <w:bottom w:val="single" w:sz="4" w:space="0" w:color="auto"/>
              <w:right w:val="nil"/>
            </w:tcBorders>
            <w:shd w:val="clear" w:color="000000" w:fill="FFFFFF"/>
            <w:vAlign w:val="center"/>
            <w:hideMark/>
          </w:tcPr>
          <w:p w14:paraId="2D34AB8F" w14:textId="77777777" w:rsidR="00F61F6E" w:rsidRPr="009435CD" w:rsidRDefault="00F61F6E" w:rsidP="006965C4">
            <w:pPr>
              <w:jc w:val="center"/>
              <w:rPr>
                <w:color w:val="000000"/>
                <w:sz w:val="20"/>
                <w:szCs w:val="20"/>
              </w:rPr>
            </w:pPr>
            <w:r w:rsidRPr="009435CD">
              <w:rPr>
                <w:color w:val="000000"/>
                <w:sz w:val="20"/>
                <w:szCs w:val="20"/>
                <w:lang w:val="es-CO"/>
              </w:rPr>
              <w:t>2</w:t>
            </w:r>
          </w:p>
        </w:tc>
        <w:tc>
          <w:tcPr>
            <w:tcW w:w="363" w:type="pct"/>
            <w:tcBorders>
              <w:top w:val="nil"/>
              <w:left w:val="nil"/>
              <w:bottom w:val="single" w:sz="4" w:space="0" w:color="auto"/>
              <w:right w:val="nil"/>
            </w:tcBorders>
            <w:shd w:val="clear" w:color="000000" w:fill="FFFFFF"/>
            <w:vAlign w:val="center"/>
            <w:hideMark/>
          </w:tcPr>
          <w:p w14:paraId="58A64C56" w14:textId="77777777" w:rsidR="00F61F6E" w:rsidRPr="009435CD" w:rsidRDefault="00F61F6E" w:rsidP="006965C4">
            <w:pPr>
              <w:jc w:val="center"/>
              <w:rPr>
                <w:color w:val="000000"/>
                <w:sz w:val="20"/>
                <w:szCs w:val="20"/>
              </w:rPr>
            </w:pPr>
            <w:r w:rsidRPr="009435CD">
              <w:rPr>
                <w:color w:val="000000"/>
                <w:sz w:val="20"/>
                <w:szCs w:val="20"/>
                <w:lang w:val="es-CO"/>
              </w:rPr>
              <w:t>3</w:t>
            </w:r>
          </w:p>
        </w:tc>
        <w:tc>
          <w:tcPr>
            <w:tcW w:w="311" w:type="pct"/>
            <w:tcBorders>
              <w:top w:val="nil"/>
              <w:left w:val="nil"/>
              <w:bottom w:val="single" w:sz="4" w:space="0" w:color="auto"/>
              <w:right w:val="nil"/>
            </w:tcBorders>
            <w:shd w:val="clear" w:color="000000" w:fill="FFFFFF"/>
            <w:vAlign w:val="center"/>
            <w:hideMark/>
          </w:tcPr>
          <w:p w14:paraId="7ECB72B4" w14:textId="77777777" w:rsidR="00F61F6E" w:rsidRPr="009435CD" w:rsidRDefault="00F61F6E" w:rsidP="006965C4">
            <w:pPr>
              <w:jc w:val="center"/>
              <w:rPr>
                <w:color w:val="000000"/>
                <w:sz w:val="20"/>
                <w:szCs w:val="20"/>
              </w:rPr>
            </w:pPr>
            <w:r w:rsidRPr="009435CD">
              <w:rPr>
                <w:color w:val="000000"/>
                <w:sz w:val="20"/>
                <w:szCs w:val="20"/>
                <w:lang w:val="es-CO"/>
              </w:rPr>
              <w:t>4</w:t>
            </w:r>
          </w:p>
        </w:tc>
        <w:tc>
          <w:tcPr>
            <w:tcW w:w="416" w:type="pct"/>
            <w:tcBorders>
              <w:top w:val="nil"/>
              <w:left w:val="nil"/>
              <w:bottom w:val="single" w:sz="4" w:space="0" w:color="auto"/>
              <w:right w:val="nil"/>
            </w:tcBorders>
            <w:shd w:val="clear" w:color="auto" w:fill="auto"/>
            <w:noWrap/>
            <w:vAlign w:val="center"/>
            <w:hideMark/>
          </w:tcPr>
          <w:p w14:paraId="5DFC6012" w14:textId="77777777" w:rsidR="00F61F6E" w:rsidRPr="009435CD" w:rsidRDefault="00F61F6E" w:rsidP="006965C4">
            <w:pPr>
              <w:jc w:val="center"/>
              <w:rPr>
                <w:color w:val="000000"/>
                <w:sz w:val="20"/>
                <w:szCs w:val="20"/>
              </w:rPr>
            </w:pPr>
            <w:r w:rsidRPr="009435CD">
              <w:rPr>
                <w:color w:val="000000"/>
                <w:sz w:val="20"/>
                <w:szCs w:val="20"/>
              </w:rPr>
              <w:t>α *</w:t>
            </w:r>
          </w:p>
        </w:tc>
      </w:tr>
      <w:tr w:rsidR="00F61F6E" w:rsidRPr="009435CD" w14:paraId="78B1C5D3" w14:textId="77777777" w:rsidTr="004D5428">
        <w:trPr>
          <w:trHeight w:val="300"/>
        </w:trPr>
        <w:tc>
          <w:tcPr>
            <w:tcW w:w="178" w:type="pct"/>
            <w:tcBorders>
              <w:top w:val="single" w:sz="4" w:space="0" w:color="auto"/>
              <w:left w:val="nil"/>
              <w:bottom w:val="nil"/>
              <w:right w:val="nil"/>
            </w:tcBorders>
            <w:shd w:val="clear" w:color="auto" w:fill="auto"/>
            <w:noWrap/>
            <w:vAlign w:val="center"/>
            <w:hideMark/>
          </w:tcPr>
          <w:p w14:paraId="7E00865A" w14:textId="77777777" w:rsidR="00F61F6E" w:rsidRPr="009435CD" w:rsidRDefault="00F61F6E" w:rsidP="006965C4">
            <w:pPr>
              <w:rPr>
                <w:color w:val="000000"/>
                <w:sz w:val="16"/>
                <w:szCs w:val="16"/>
              </w:rPr>
            </w:pPr>
            <w:r w:rsidRPr="009435CD">
              <w:rPr>
                <w:color w:val="000000"/>
                <w:sz w:val="16"/>
                <w:szCs w:val="16"/>
                <w:lang w:val="es-CO"/>
              </w:rPr>
              <w:t>14</w:t>
            </w:r>
          </w:p>
        </w:tc>
        <w:tc>
          <w:tcPr>
            <w:tcW w:w="3005" w:type="pct"/>
            <w:tcBorders>
              <w:top w:val="single" w:sz="4" w:space="0" w:color="auto"/>
              <w:left w:val="nil"/>
              <w:bottom w:val="nil"/>
              <w:right w:val="nil"/>
            </w:tcBorders>
            <w:shd w:val="clear" w:color="000000" w:fill="FFFFFF"/>
            <w:vAlign w:val="center"/>
            <w:hideMark/>
          </w:tcPr>
          <w:p w14:paraId="752F3409" w14:textId="77777777" w:rsidR="00F61F6E" w:rsidRPr="009435CD" w:rsidRDefault="00F61F6E" w:rsidP="006965C4">
            <w:pPr>
              <w:rPr>
                <w:color w:val="000000"/>
                <w:sz w:val="20"/>
                <w:szCs w:val="20"/>
                <w:lang w:val="es-ES"/>
              </w:rPr>
            </w:pPr>
            <w:r w:rsidRPr="009435CD">
              <w:rPr>
                <w:color w:val="000000"/>
                <w:sz w:val="20"/>
                <w:szCs w:val="20"/>
                <w:lang w:val="es-CO"/>
              </w:rPr>
              <w:t>El momento en que ocurre una inundación, es conocido con antelación</w:t>
            </w:r>
          </w:p>
        </w:tc>
        <w:tc>
          <w:tcPr>
            <w:tcW w:w="363" w:type="pct"/>
            <w:tcBorders>
              <w:top w:val="single" w:sz="4" w:space="0" w:color="auto"/>
              <w:left w:val="nil"/>
              <w:bottom w:val="nil"/>
              <w:right w:val="nil"/>
            </w:tcBorders>
            <w:shd w:val="clear" w:color="000000" w:fill="FFFFFF"/>
            <w:vAlign w:val="center"/>
            <w:hideMark/>
          </w:tcPr>
          <w:p w14:paraId="2EEC3B86"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642</w:t>
            </w:r>
          </w:p>
        </w:tc>
        <w:tc>
          <w:tcPr>
            <w:tcW w:w="363" w:type="pct"/>
            <w:tcBorders>
              <w:top w:val="single" w:sz="4" w:space="0" w:color="auto"/>
              <w:left w:val="nil"/>
              <w:bottom w:val="nil"/>
              <w:right w:val="nil"/>
            </w:tcBorders>
            <w:shd w:val="clear" w:color="000000" w:fill="FFFFFF"/>
            <w:vAlign w:val="center"/>
            <w:hideMark/>
          </w:tcPr>
          <w:p w14:paraId="37B46011"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09</w:t>
            </w:r>
          </w:p>
        </w:tc>
        <w:tc>
          <w:tcPr>
            <w:tcW w:w="363" w:type="pct"/>
            <w:tcBorders>
              <w:top w:val="single" w:sz="4" w:space="0" w:color="auto"/>
              <w:left w:val="nil"/>
              <w:bottom w:val="nil"/>
              <w:right w:val="nil"/>
            </w:tcBorders>
            <w:shd w:val="clear" w:color="000000" w:fill="FFFFFF"/>
            <w:vAlign w:val="center"/>
            <w:hideMark/>
          </w:tcPr>
          <w:p w14:paraId="1DD64498"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109</w:t>
            </w:r>
          </w:p>
        </w:tc>
        <w:tc>
          <w:tcPr>
            <w:tcW w:w="311" w:type="pct"/>
            <w:tcBorders>
              <w:top w:val="single" w:sz="4" w:space="0" w:color="auto"/>
              <w:left w:val="nil"/>
              <w:bottom w:val="nil"/>
              <w:right w:val="nil"/>
            </w:tcBorders>
            <w:shd w:val="clear" w:color="000000" w:fill="FFFFFF"/>
            <w:vAlign w:val="center"/>
            <w:hideMark/>
          </w:tcPr>
          <w:p w14:paraId="40123B95"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05</w:t>
            </w:r>
          </w:p>
        </w:tc>
        <w:tc>
          <w:tcPr>
            <w:tcW w:w="416" w:type="pct"/>
            <w:tcBorders>
              <w:top w:val="single" w:sz="4" w:space="0" w:color="auto"/>
              <w:left w:val="nil"/>
              <w:bottom w:val="nil"/>
              <w:right w:val="nil"/>
            </w:tcBorders>
            <w:shd w:val="clear" w:color="000000" w:fill="FFFFFF"/>
            <w:vAlign w:val="center"/>
            <w:hideMark/>
          </w:tcPr>
          <w:p w14:paraId="16849E18"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734</w:t>
            </w:r>
          </w:p>
        </w:tc>
      </w:tr>
      <w:tr w:rsidR="00F61F6E" w:rsidRPr="009435CD" w14:paraId="349B405E" w14:textId="77777777" w:rsidTr="004D5428">
        <w:trPr>
          <w:cantSplit/>
          <w:trHeight w:val="300"/>
        </w:trPr>
        <w:tc>
          <w:tcPr>
            <w:tcW w:w="178" w:type="pct"/>
            <w:tcBorders>
              <w:top w:val="nil"/>
              <w:left w:val="nil"/>
              <w:bottom w:val="nil"/>
              <w:right w:val="nil"/>
            </w:tcBorders>
            <w:shd w:val="clear" w:color="auto" w:fill="auto"/>
            <w:noWrap/>
            <w:vAlign w:val="center"/>
            <w:hideMark/>
          </w:tcPr>
          <w:p w14:paraId="56FF17F4" w14:textId="77777777" w:rsidR="00F61F6E" w:rsidRPr="009435CD" w:rsidRDefault="00F61F6E" w:rsidP="006965C4">
            <w:pPr>
              <w:rPr>
                <w:color w:val="000000"/>
                <w:sz w:val="16"/>
                <w:szCs w:val="16"/>
              </w:rPr>
            </w:pPr>
            <w:r w:rsidRPr="009435CD">
              <w:rPr>
                <w:color w:val="000000"/>
                <w:sz w:val="16"/>
                <w:szCs w:val="16"/>
                <w:lang w:val="es-CO"/>
              </w:rPr>
              <w:t>15</w:t>
            </w:r>
          </w:p>
        </w:tc>
        <w:tc>
          <w:tcPr>
            <w:tcW w:w="3005" w:type="pct"/>
            <w:tcBorders>
              <w:top w:val="nil"/>
              <w:left w:val="nil"/>
              <w:bottom w:val="nil"/>
              <w:right w:val="nil"/>
            </w:tcBorders>
            <w:shd w:val="clear" w:color="000000" w:fill="FFFFFF"/>
            <w:vAlign w:val="center"/>
            <w:hideMark/>
          </w:tcPr>
          <w:p w14:paraId="1346BF7D" w14:textId="77777777" w:rsidR="00F61F6E" w:rsidRPr="009435CD" w:rsidRDefault="00F61F6E" w:rsidP="006965C4">
            <w:pPr>
              <w:rPr>
                <w:color w:val="000000"/>
                <w:sz w:val="20"/>
                <w:szCs w:val="20"/>
                <w:lang w:val="es-ES"/>
              </w:rPr>
            </w:pPr>
            <w:r w:rsidRPr="009435CD">
              <w:rPr>
                <w:color w:val="000000"/>
                <w:sz w:val="20"/>
                <w:szCs w:val="20"/>
                <w:lang w:val="es-CO"/>
              </w:rPr>
              <w:t>Para la gente como yo, los riesgos de inundación en esta región, son bien conocidos</w:t>
            </w:r>
          </w:p>
        </w:tc>
        <w:tc>
          <w:tcPr>
            <w:tcW w:w="363" w:type="pct"/>
            <w:tcBorders>
              <w:top w:val="nil"/>
              <w:left w:val="nil"/>
              <w:bottom w:val="nil"/>
              <w:right w:val="nil"/>
            </w:tcBorders>
            <w:shd w:val="clear" w:color="000000" w:fill="FFFFFF"/>
            <w:vAlign w:val="center"/>
            <w:hideMark/>
          </w:tcPr>
          <w:p w14:paraId="1C2CDBB4" w14:textId="77777777" w:rsidR="00F61F6E" w:rsidRPr="009435CD" w:rsidRDefault="00F61F6E" w:rsidP="006965C4">
            <w:pPr>
              <w:jc w:val="center"/>
              <w:rPr>
                <w:b/>
                <w:bCs/>
                <w:color w:val="000000"/>
                <w:sz w:val="20"/>
                <w:szCs w:val="20"/>
              </w:rPr>
            </w:pPr>
            <w:r>
              <w:rPr>
                <w:b/>
                <w:color w:val="000000"/>
                <w:sz w:val="20"/>
                <w:szCs w:val="20"/>
                <w:lang w:val="es-CO"/>
              </w:rPr>
              <w:t>.</w:t>
            </w:r>
            <w:r w:rsidRPr="009435CD">
              <w:rPr>
                <w:b/>
                <w:color w:val="000000"/>
                <w:sz w:val="20"/>
                <w:szCs w:val="20"/>
                <w:lang w:val="es-CO"/>
              </w:rPr>
              <w:t>394</w:t>
            </w:r>
          </w:p>
        </w:tc>
        <w:tc>
          <w:tcPr>
            <w:tcW w:w="363" w:type="pct"/>
            <w:tcBorders>
              <w:top w:val="nil"/>
              <w:left w:val="nil"/>
              <w:bottom w:val="nil"/>
              <w:right w:val="nil"/>
            </w:tcBorders>
            <w:shd w:val="clear" w:color="000000" w:fill="FFFFFF"/>
            <w:vAlign w:val="center"/>
            <w:hideMark/>
          </w:tcPr>
          <w:p w14:paraId="7FF55231"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188</w:t>
            </w:r>
          </w:p>
        </w:tc>
        <w:tc>
          <w:tcPr>
            <w:tcW w:w="363" w:type="pct"/>
            <w:tcBorders>
              <w:top w:val="nil"/>
              <w:left w:val="nil"/>
              <w:bottom w:val="nil"/>
              <w:right w:val="nil"/>
            </w:tcBorders>
            <w:shd w:val="clear" w:color="000000" w:fill="FFFFFF"/>
            <w:vAlign w:val="center"/>
            <w:hideMark/>
          </w:tcPr>
          <w:p w14:paraId="015F1EC9"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041</w:t>
            </w:r>
          </w:p>
        </w:tc>
        <w:tc>
          <w:tcPr>
            <w:tcW w:w="311" w:type="pct"/>
            <w:tcBorders>
              <w:top w:val="nil"/>
              <w:left w:val="nil"/>
              <w:bottom w:val="nil"/>
              <w:right w:val="nil"/>
            </w:tcBorders>
            <w:shd w:val="clear" w:color="000000" w:fill="FFFFFF"/>
            <w:vAlign w:val="center"/>
            <w:hideMark/>
          </w:tcPr>
          <w:p w14:paraId="392CB799" w14:textId="77777777" w:rsidR="00F61F6E" w:rsidRPr="009435CD" w:rsidRDefault="00F61F6E" w:rsidP="006965C4">
            <w:pPr>
              <w:jc w:val="center"/>
              <w:rPr>
                <w:color w:val="000000"/>
                <w:sz w:val="20"/>
                <w:szCs w:val="20"/>
              </w:rPr>
            </w:pPr>
            <w:r>
              <w:rPr>
                <w:bCs/>
                <w:color w:val="000000"/>
                <w:sz w:val="20"/>
                <w:szCs w:val="20"/>
                <w:lang w:val="es-CO"/>
              </w:rPr>
              <w:t>.</w:t>
            </w:r>
            <w:r w:rsidRPr="009435CD">
              <w:rPr>
                <w:bCs/>
                <w:color w:val="000000"/>
                <w:sz w:val="20"/>
                <w:szCs w:val="20"/>
                <w:lang w:val="es-CO"/>
              </w:rPr>
              <w:t>36</w:t>
            </w:r>
            <w:r w:rsidRPr="009435CD">
              <w:rPr>
                <w:bCs/>
                <w:color w:val="000000"/>
                <w:sz w:val="20"/>
                <w:szCs w:val="20"/>
              </w:rPr>
              <w:t>1</w:t>
            </w:r>
          </w:p>
        </w:tc>
        <w:tc>
          <w:tcPr>
            <w:tcW w:w="416" w:type="pct"/>
            <w:tcBorders>
              <w:top w:val="nil"/>
              <w:left w:val="nil"/>
              <w:bottom w:val="nil"/>
              <w:right w:val="nil"/>
            </w:tcBorders>
            <w:shd w:val="clear" w:color="000000" w:fill="FFFFFF"/>
            <w:vAlign w:val="center"/>
            <w:hideMark/>
          </w:tcPr>
          <w:p w14:paraId="038C335E"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731</w:t>
            </w:r>
          </w:p>
        </w:tc>
      </w:tr>
      <w:tr w:rsidR="00F61F6E" w:rsidRPr="009435CD" w14:paraId="50A0AEEB" w14:textId="77777777" w:rsidTr="004D5428">
        <w:trPr>
          <w:cantSplit/>
          <w:trHeight w:val="300"/>
        </w:trPr>
        <w:tc>
          <w:tcPr>
            <w:tcW w:w="178" w:type="pct"/>
            <w:tcBorders>
              <w:top w:val="nil"/>
              <w:left w:val="nil"/>
              <w:bottom w:val="nil"/>
              <w:right w:val="nil"/>
            </w:tcBorders>
            <w:shd w:val="clear" w:color="auto" w:fill="auto"/>
            <w:noWrap/>
            <w:vAlign w:val="center"/>
            <w:hideMark/>
          </w:tcPr>
          <w:p w14:paraId="430117DC" w14:textId="77777777" w:rsidR="00F61F6E" w:rsidRPr="009435CD" w:rsidRDefault="00F61F6E" w:rsidP="006965C4">
            <w:pPr>
              <w:rPr>
                <w:color w:val="000000"/>
                <w:sz w:val="16"/>
                <w:szCs w:val="16"/>
              </w:rPr>
            </w:pPr>
            <w:r w:rsidRPr="009435CD">
              <w:rPr>
                <w:color w:val="000000"/>
                <w:sz w:val="16"/>
                <w:szCs w:val="16"/>
                <w:lang w:val="es-CO"/>
              </w:rPr>
              <w:t>16</w:t>
            </w:r>
          </w:p>
        </w:tc>
        <w:tc>
          <w:tcPr>
            <w:tcW w:w="3005" w:type="pct"/>
            <w:tcBorders>
              <w:top w:val="nil"/>
              <w:left w:val="nil"/>
              <w:bottom w:val="nil"/>
              <w:right w:val="nil"/>
            </w:tcBorders>
            <w:shd w:val="clear" w:color="000000" w:fill="FFFFFF"/>
            <w:vAlign w:val="center"/>
            <w:hideMark/>
          </w:tcPr>
          <w:p w14:paraId="1BFD383A" w14:textId="77777777" w:rsidR="00F61F6E" w:rsidRPr="009435CD" w:rsidRDefault="00F61F6E" w:rsidP="006965C4">
            <w:pPr>
              <w:rPr>
                <w:color w:val="000000"/>
                <w:sz w:val="20"/>
                <w:szCs w:val="20"/>
                <w:lang w:val="es-ES"/>
              </w:rPr>
            </w:pPr>
            <w:r w:rsidRPr="009435CD">
              <w:rPr>
                <w:color w:val="000000"/>
                <w:sz w:val="20"/>
                <w:szCs w:val="20"/>
                <w:lang w:val="es-CO"/>
              </w:rPr>
              <w:t>Yo puedo calcular bien la posibilidad de una inundación</w:t>
            </w:r>
          </w:p>
        </w:tc>
        <w:tc>
          <w:tcPr>
            <w:tcW w:w="363" w:type="pct"/>
            <w:tcBorders>
              <w:top w:val="nil"/>
              <w:left w:val="nil"/>
              <w:bottom w:val="nil"/>
              <w:right w:val="nil"/>
            </w:tcBorders>
            <w:shd w:val="clear" w:color="000000" w:fill="FFFFFF"/>
            <w:vAlign w:val="center"/>
            <w:hideMark/>
          </w:tcPr>
          <w:p w14:paraId="5C62D2B9"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753</w:t>
            </w:r>
          </w:p>
        </w:tc>
        <w:tc>
          <w:tcPr>
            <w:tcW w:w="363" w:type="pct"/>
            <w:tcBorders>
              <w:top w:val="nil"/>
              <w:left w:val="nil"/>
              <w:bottom w:val="nil"/>
              <w:right w:val="nil"/>
            </w:tcBorders>
            <w:shd w:val="clear" w:color="000000" w:fill="FFFFFF"/>
            <w:vAlign w:val="center"/>
            <w:hideMark/>
          </w:tcPr>
          <w:p w14:paraId="563AF240" w14:textId="77777777"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007</w:t>
            </w:r>
          </w:p>
        </w:tc>
        <w:tc>
          <w:tcPr>
            <w:tcW w:w="363" w:type="pct"/>
            <w:tcBorders>
              <w:top w:val="nil"/>
              <w:left w:val="nil"/>
              <w:bottom w:val="nil"/>
              <w:right w:val="nil"/>
            </w:tcBorders>
            <w:shd w:val="clear" w:color="000000" w:fill="FFFFFF"/>
            <w:vAlign w:val="center"/>
            <w:hideMark/>
          </w:tcPr>
          <w:p w14:paraId="2E6C626F"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183</w:t>
            </w:r>
          </w:p>
        </w:tc>
        <w:tc>
          <w:tcPr>
            <w:tcW w:w="311" w:type="pct"/>
            <w:tcBorders>
              <w:top w:val="nil"/>
              <w:left w:val="nil"/>
              <w:bottom w:val="nil"/>
              <w:right w:val="nil"/>
            </w:tcBorders>
            <w:shd w:val="clear" w:color="000000" w:fill="FFFFFF"/>
            <w:vAlign w:val="center"/>
            <w:hideMark/>
          </w:tcPr>
          <w:p w14:paraId="0F09065B"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048</w:t>
            </w:r>
          </w:p>
        </w:tc>
        <w:tc>
          <w:tcPr>
            <w:tcW w:w="416" w:type="pct"/>
            <w:tcBorders>
              <w:top w:val="nil"/>
              <w:left w:val="nil"/>
              <w:bottom w:val="nil"/>
              <w:right w:val="nil"/>
            </w:tcBorders>
            <w:shd w:val="clear" w:color="000000" w:fill="FFFFFF"/>
            <w:vAlign w:val="center"/>
            <w:hideMark/>
          </w:tcPr>
          <w:p w14:paraId="68459637"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741</w:t>
            </w:r>
          </w:p>
        </w:tc>
      </w:tr>
      <w:tr w:rsidR="00F61F6E" w:rsidRPr="009435CD" w14:paraId="4575E033" w14:textId="77777777" w:rsidTr="004D5428">
        <w:trPr>
          <w:cantSplit/>
          <w:trHeight w:val="300"/>
        </w:trPr>
        <w:tc>
          <w:tcPr>
            <w:tcW w:w="178" w:type="pct"/>
            <w:tcBorders>
              <w:top w:val="nil"/>
              <w:left w:val="nil"/>
              <w:bottom w:val="nil"/>
              <w:right w:val="nil"/>
            </w:tcBorders>
            <w:shd w:val="clear" w:color="auto" w:fill="auto"/>
            <w:noWrap/>
            <w:vAlign w:val="center"/>
            <w:hideMark/>
          </w:tcPr>
          <w:p w14:paraId="3F635FA3" w14:textId="77777777" w:rsidR="00F61F6E" w:rsidRPr="009435CD" w:rsidRDefault="00F61F6E" w:rsidP="006965C4">
            <w:pPr>
              <w:rPr>
                <w:color w:val="000000"/>
                <w:sz w:val="16"/>
                <w:szCs w:val="16"/>
              </w:rPr>
            </w:pPr>
            <w:r w:rsidRPr="009435CD">
              <w:rPr>
                <w:color w:val="000000"/>
                <w:sz w:val="16"/>
                <w:szCs w:val="16"/>
                <w:lang w:val="es-CO"/>
              </w:rPr>
              <w:t>18</w:t>
            </w:r>
          </w:p>
        </w:tc>
        <w:tc>
          <w:tcPr>
            <w:tcW w:w="3005" w:type="pct"/>
            <w:tcBorders>
              <w:top w:val="nil"/>
              <w:left w:val="nil"/>
              <w:bottom w:val="nil"/>
              <w:right w:val="nil"/>
            </w:tcBorders>
            <w:shd w:val="clear" w:color="000000" w:fill="FFFFFF"/>
            <w:vAlign w:val="center"/>
            <w:hideMark/>
          </w:tcPr>
          <w:p w14:paraId="6258CA21" w14:textId="77777777" w:rsidR="00F61F6E" w:rsidRPr="009435CD" w:rsidRDefault="00F61F6E" w:rsidP="006965C4">
            <w:pPr>
              <w:rPr>
                <w:color w:val="000000"/>
                <w:sz w:val="20"/>
                <w:szCs w:val="20"/>
                <w:lang w:val="es-ES"/>
              </w:rPr>
            </w:pPr>
            <w:r w:rsidRPr="009435CD">
              <w:rPr>
                <w:color w:val="000000"/>
                <w:sz w:val="20"/>
                <w:szCs w:val="20"/>
                <w:lang w:val="es-CO"/>
              </w:rPr>
              <w:t>Los expertos y personal calificado en este tipo de riesgos de inundación, son bien conocidos</w:t>
            </w:r>
          </w:p>
        </w:tc>
        <w:tc>
          <w:tcPr>
            <w:tcW w:w="363" w:type="pct"/>
            <w:tcBorders>
              <w:top w:val="nil"/>
              <w:left w:val="nil"/>
              <w:bottom w:val="nil"/>
              <w:right w:val="nil"/>
            </w:tcBorders>
            <w:shd w:val="clear" w:color="000000" w:fill="FFFFFF"/>
            <w:vAlign w:val="center"/>
            <w:hideMark/>
          </w:tcPr>
          <w:p w14:paraId="034F2CA2"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765</w:t>
            </w:r>
          </w:p>
        </w:tc>
        <w:tc>
          <w:tcPr>
            <w:tcW w:w="363" w:type="pct"/>
            <w:tcBorders>
              <w:top w:val="nil"/>
              <w:left w:val="nil"/>
              <w:bottom w:val="nil"/>
              <w:right w:val="nil"/>
            </w:tcBorders>
            <w:shd w:val="clear" w:color="000000" w:fill="FFFFFF"/>
            <w:vAlign w:val="center"/>
            <w:hideMark/>
          </w:tcPr>
          <w:p w14:paraId="0F6FF1C3"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016</w:t>
            </w:r>
          </w:p>
        </w:tc>
        <w:tc>
          <w:tcPr>
            <w:tcW w:w="363" w:type="pct"/>
            <w:tcBorders>
              <w:top w:val="nil"/>
              <w:left w:val="nil"/>
              <w:bottom w:val="nil"/>
              <w:right w:val="nil"/>
            </w:tcBorders>
            <w:shd w:val="clear" w:color="000000" w:fill="FFFFFF"/>
            <w:vAlign w:val="center"/>
            <w:hideMark/>
          </w:tcPr>
          <w:p w14:paraId="549A6E14" w14:textId="77777777"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063</w:t>
            </w:r>
          </w:p>
        </w:tc>
        <w:tc>
          <w:tcPr>
            <w:tcW w:w="311" w:type="pct"/>
            <w:tcBorders>
              <w:top w:val="nil"/>
              <w:left w:val="nil"/>
              <w:bottom w:val="nil"/>
              <w:right w:val="nil"/>
            </w:tcBorders>
            <w:shd w:val="clear" w:color="000000" w:fill="FFFFFF"/>
            <w:vAlign w:val="center"/>
            <w:hideMark/>
          </w:tcPr>
          <w:p w14:paraId="437DD480"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136</w:t>
            </w:r>
          </w:p>
        </w:tc>
        <w:tc>
          <w:tcPr>
            <w:tcW w:w="416" w:type="pct"/>
            <w:tcBorders>
              <w:top w:val="nil"/>
              <w:left w:val="nil"/>
              <w:bottom w:val="nil"/>
              <w:right w:val="nil"/>
            </w:tcBorders>
            <w:shd w:val="clear" w:color="000000" w:fill="FFFFFF"/>
            <w:vAlign w:val="center"/>
            <w:hideMark/>
          </w:tcPr>
          <w:p w14:paraId="4D4E072B" w14:textId="77777777" w:rsidR="00F61F6E" w:rsidRPr="009435CD" w:rsidRDefault="00F61F6E" w:rsidP="006965C4">
            <w:pPr>
              <w:jc w:val="center"/>
              <w:rPr>
                <w:color w:val="000000"/>
                <w:sz w:val="20"/>
                <w:szCs w:val="20"/>
              </w:rPr>
            </w:pPr>
            <w:r>
              <w:rPr>
                <w:color w:val="000000"/>
                <w:sz w:val="20"/>
                <w:szCs w:val="20"/>
              </w:rPr>
              <w:t>.</w:t>
            </w:r>
            <w:r w:rsidRPr="009435CD">
              <w:rPr>
                <w:color w:val="000000"/>
                <w:sz w:val="20"/>
                <w:szCs w:val="20"/>
              </w:rPr>
              <w:t>728</w:t>
            </w:r>
          </w:p>
        </w:tc>
      </w:tr>
      <w:tr w:rsidR="00F61F6E" w:rsidRPr="009435CD" w14:paraId="424CE65A" w14:textId="77777777" w:rsidTr="004D5428">
        <w:trPr>
          <w:cantSplit/>
          <w:trHeight w:val="300"/>
        </w:trPr>
        <w:tc>
          <w:tcPr>
            <w:tcW w:w="178" w:type="pct"/>
            <w:tcBorders>
              <w:top w:val="nil"/>
              <w:left w:val="nil"/>
              <w:bottom w:val="nil"/>
              <w:right w:val="nil"/>
            </w:tcBorders>
            <w:shd w:val="clear" w:color="auto" w:fill="auto"/>
            <w:noWrap/>
            <w:vAlign w:val="center"/>
            <w:hideMark/>
          </w:tcPr>
          <w:p w14:paraId="5626EDBA" w14:textId="77777777" w:rsidR="00F61F6E" w:rsidRPr="009435CD" w:rsidRDefault="00F61F6E" w:rsidP="006965C4">
            <w:pPr>
              <w:rPr>
                <w:color w:val="000000"/>
                <w:sz w:val="16"/>
                <w:szCs w:val="16"/>
              </w:rPr>
            </w:pPr>
            <w:r w:rsidRPr="009435CD">
              <w:rPr>
                <w:color w:val="000000"/>
                <w:sz w:val="16"/>
                <w:szCs w:val="16"/>
                <w:lang w:val="es-CO"/>
              </w:rPr>
              <w:t>19</w:t>
            </w:r>
          </w:p>
        </w:tc>
        <w:tc>
          <w:tcPr>
            <w:tcW w:w="3005" w:type="pct"/>
            <w:tcBorders>
              <w:top w:val="nil"/>
              <w:left w:val="nil"/>
              <w:bottom w:val="nil"/>
              <w:right w:val="nil"/>
            </w:tcBorders>
            <w:shd w:val="clear" w:color="000000" w:fill="FFFFFF"/>
            <w:vAlign w:val="center"/>
            <w:hideMark/>
          </w:tcPr>
          <w:p w14:paraId="2E7AD34F" w14:textId="77777777" w:rsidR="00F61F6E" w:rsidRPr="009435CD" w:rsidRDefault="00F61F6E" w:rsidP="006965C4">
            <w:pPr>
              <w:rPr>
                <w:color w:val="000000"/>
                <w:sz w:val="20"/>
                <w:szCs w:val="20"/>
                <w:lang w:val="es-ES"/>
              </w:rPr>
            </w:pPr>
            <w:r w:rsidRPr="009435CD">
              <w:rPr>
                <w:color w:val="000000"/>
                <w:sz w:val="20"/>
                <w:szCs w:val="20"/>
                <w:lang w:val="es-CO"/>
              </w:rPr>
              <w:t>Los expertos saben exactamente cuándo las obras de protección de inundaciones fallan</w:t>
            </w:r>
          </w:p>
        </w:tc>
        <w:tc>
          <w:tcPr>
            <w:tcW w:w="363" w:type="pct"/>
            <w:tcBorders>
              <w:top w:val="nil"/>
              <w:left w:val="nil"/>
              <w:bottom w:val="nil"/>
              <w:right w:val="nil"/>
            </w:tcBorders>
            <w:shd w:val="clear" w:color="000000" w:fill="FFFFFF"/>
            <w:vAlign w:val="center"/>
            <w:hideMark/>
          </w:tcPr>
          <w:p w14:paraId="39095644"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763</w:t>
            </w:r>
          </w:p>
        </w:tc>
        <w:tc>
          <w:tcPr>
            <w:tcW w:w="363" w:type="pct"/>
            <w:tcBorders>
              <w:top w:val="nil"/>
              <w:left w:val="nil"/>
              <w:bottom w:val="nil"/>
              <w:right w:val="nil"/>
            </w:tcBorders>
            <w:shd w:val="clear" w:color="000000" w:fill="FFFFFF"/>
            <w:vAlign w:val="center"/>
            <w:hideMark/>
          </w:tcPr>
          <w:p w14:paraId="363F3D01"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083</w:t>
            </w:r>
          </w:p>
        </w:tc>
        <w:tc>
          <w:tcPr>
            <w:tcW w:w="363" w:type="pct"/>
            <w:tcBorders>
              <w:top w:val="nil"/>
              <w:left w:val="nil"/>
              <w:bottom w:val="nil"/>
              <w:right w:val="nil"/>
            </w:tcBorders>
            <w:shd w:val="clear" w:color="000000" w:fill="FFFFFF"/>
            <w:vAlign w:val="center"/>
            <w:hideMark/>
          </w:tcPr>
          <w:p w14:paraId="33142216" w14:textId="77777777"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061</w:t>
            </w:r>
          </w:p>
        </w:tc>
        <w:tc>
          <w:tcPr>
            <w:tcW w:w="311" w:type="pct"/>
            <w:tcBorders>
              <w:top w:val="nil"/>
              <w:left w:val="nil"/>
              <w:bottom w:val="nil"/>
              <w:right w:val="nil"/>
            </w:tcBorders>
            <w:shd w:val="clear" w:color="000000" w:fill="FFFFFF"/>
            <w:vAlign w:val="center"/>
            <w:hideMark/>
          </w:tcPr>
          <w:p w14:paraId="266C6DDA"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123</w:t>
            </w:r>
          </w:p>
        </w:tc>
        <w:tc>
          <w:tcPr>
            <w:tcW w:w="416" w:type="pct"/>
            <w:tcBorders>
              <w:top w:val="nil"/>
              <w:left w:val="nil"/>
              <w:bottom w:val="nil"/>
              <w:right w:val="nil"/>
            </w:tcBorders>
            <w:shd w:val="clear" w:color="000000" w:fill="FFFFFF"/>
            <w:vAlign w:val="center"/>
            <w:hideMark/>
          </w:tcPr>
          <w:p w14:paraId="28BEFF17"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726</w:t>
            </w:r>
          </w:p>
        </w:tc>
      </w:tr>
      <w:tr w:rsidR="00F61F6E" w:rsidRPr="009435CD" w14:paraId="05CF76BB" w14:textId="77777777" w:rsidTr="004D5428">
        <w:trPr>
          <w:cantSplit/>
          <w:trHeight w:val="315"/>
        </w:trPr>
        <w:tc>
          <w:tcPr>
            <w:tcW w:w="178" w:type="pct"/>
            <w:tcBorders>
              <w:top w:val="nil"/>
              <w:left w:val="nil"/>
              <w:bottom w:val="single" w:sz="4" w:space="0" w:color="auto"/>
              <w:right w:val="nil"/>
            </w:tcBorders>
            <w:shd w:val="clear" w:color="auto" w:fill="auto"/>
            <w:noWrap/>
            <w:vAlign w:val="center"/>
            <w:hideMark/>
          </w:tcPr>
          <w:p w14:paraId="1B2DF219" w14:textId="77777777" w:rsidR="00F61F6E" w:rsidRPr="009435CD" w:rsidRDefault="00F61F6E" w:rsidP="006965C4">
            <w:pPr>
              <w:rPr>
                <w:color w:val="000000"/>
                <w:sz w:val="16"/>
                <w:szCs w:val="16"/>
              </w:rPr>
            </w:pPr>
            <w:r w:rsidRPr="009435CD">
              <w:rPr>
                <w:color w:val="000000"/>
                <w:sz w:val="16"/>
                <w:szCs w:val="16"/>
                <w:lang w:val="es-CO"/>
              </w:rPr>
              <w:t>23</w:t>
            </w:r>
          </w:p>
        </w:tc>
        <w:tc>
          <w:tcPr>
            <w:tcW w:w="3005" w:type="pct"/>
            <w:tcBorders>
              <w:top w:val="nil"/>
              <w:left w:val="nil"/>
              <w:bottom w:val="single" w:sz="4" w:space="0" w:color="auto"/>
              <w:right w:val="nil"/>
            </w:tcBorders>
            <w:shd w:val="clear" w:color="000000" w:fill="FFFFFF"/>
            <w:vAlign w:val="center"/>
            <w:hideMark/>
          </w:tcPr>
          <w:p w14:paraId="4CAD7608" w14:textId="77777777" w:rsidR="00F61F6E" w:rsidRPr="009435CD" w:rsidRDefault="00F61F6E" w:rsidP="006965C4">
            <w:pPr>
              <w:rPr>
                <w:color w:val="000000"/>
                <w:sz w:val="20"/>
                <w:szCs w:val="20"/>
                <w:lang w:val="es-ES"/>
              </w:rPr>
            </w:pPr>
            <w:r w:rsidRPr="009435CD">
              <w:rPr>
                <w:color w:val="000000"/>
                <w:sz w:val="20"/>
                <w:szCs w:val="20"/>
                <w:lang w:val="es-CO"/>
              </w:rPr>
              <w:t>Las autoridades me informan bien acerca de los riesgos de inundación en mi región</w:t>
            </w:r>
          </w:p>
        </w:tc>
        <w:tc>
          <w:tcPr>
            <w:tcW w:w="363" w:type="pct"/>
            <w:tcBorders>
              <w:top w:val="nil"/>
              <w:left w:val="nil"/>
              <w:bottom w:val="single" w:sz="4" w:space="0" w:color="auto"/>
              <w:right w:val="nil"/>
            </w:tcBorders>
            <w:shd w:val="clear" w:color="000000" w:fill="FFFFFF"/>
            <w:vAlign w:val="center"/>
            <w:hideMark/>
          </w:tcPr>
          <w:p w14:paraId="3595FFA7"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786</w:t>
            </w:r>
          </w:p>
        </w:tc>
        <w:tc>
          <w:tcPr>
            <w:tcW w:w="363" w:type="pct"/>
            <w:tcBorders>
              <w:top w:val="nil"/>
              <w:left w:val="nil"/>
              <w:bottom w:val="single" w:sz="4" w:space="0" w:color="auto"/>
              <w:right w:val="nil"/>
            </w:tcBorders>
            <w:shd w:val="clear" w:color="000000" w:fill="FFFFFF"/>
            <w:vAlign w:val="center"/>
            <w:hideMark/>
          </w:tcPr>
          <w:p w14:paraId="567D6EFA" w14:textId="77777777"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015</w:t>
            </w:r>
          </w:p>
        </w:tc>
        <w:tc>
          <w:tcPr>
            <w:tcW w:w="363" w:type="pct"/>
            <w:tcBorders>
              <w:top w:val="nil"/>
              <w:left w:val="nil"/>
              <w:bottom w:val="single" w:sz="4" w:space="0" w:color="auto"/>
              <w:right w:val="nil"/>
            </w:tcBorders>
            <w:shd w:val="clear" w:color="000000" w:fill="FFFFFF"/>
            <w:vAlign w:val="center"/>
            <w:hideMark/>
          </w:tcPr>
          <w:p w14:paraId="25174756" w14:textId="77777777"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104</w:t>
            </w:r>
          </w:p>
        </w:tc>
        <w:tc>
          <w:tcPr>
            <w:tcW w:w="311" w:type="pct"/>
            <w:tcBorders>
              <w:top w:val="nil"/>
              <w:left w:val="nil"/>
              <w:bottom w:val="single" w:sz="4" w:space="0" w:color="auto"/>
              <w:right w:val="nil"/>
            </w:tcBorders>
            <w:shd w:val="clear" w:color="000000" w:fill="FFFFFF"/>
            <w:vAlign w:val="center"/>
            <w:hideMark/>
          </w:tcPr>
          <w:p w14:paraId="091871E8"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017</w:t>
            </w:r>
          </w:p>
        </w:tc>
        <w:tc>
          <w:tcPr>
            <w:tcW w:w="416" w:type="pct"/>
            <w:tcBorders>
              <w:top w:val="nil"/>
              <w:left w:val="nil"/>
              <w:bottom w:val="single" w:sz="4" w:space="0" w:color="auto"/>
              <w:right w:val="nil"/>
            </w:tcBorders>
            <w:shd w:val="clear" w:color="000000" w:fill="FFFFFF"/>
            <w:vAlign w:val="center"/>
            <w:hideMark/>
          </w:tcPr>
          <w:p w14:paraId="09D68596"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736</w:t>
            </w:r>
          </w:p>
        </w:tc>
      </w:tr>
      <w:tr w:rsidR="00F61F6E" w:rsidRPr="009435CD" w14:paraId="4FDA66EA" w14:textId="77777777" w:rsidTr="004D5428">
        <w:trPr>
          <w:trHeight w:val="300"/>
        </w:trPr>
        <w:tc>
          <w:tcPr>
            <w:tcW w:w="178" w:type="pct"/>
            <w:tcBorders>
              <w:top w:val="single" w:sz="4" w:space="0" w:color="auto"/>
              <w:left w:val="nil"/>
              <w:bottom w:val="nil"/>
              <w:right w:val="nil"/>
            </w:tcBorders>
            <w:shd w:val="clear" w:color="auto" w:fill="auto"/>
            <w:noWrap/>
            <w:vAlign w:val="center"/>
            <w:hideMark/>
          </w:tcPr>
          <w:p w14:paraId="030A8FFF" w14:textId="77777777" w:rsidR="00F61F6E" w:rsidRPr="009435CD" w:rsidRDefault="00F61F6E" w:rsidP="006965C4">
            <w:pPr>
              <w:rPr>
                <w:color w:val="000000"/>
                <w:sz w:val="16"/>
                <w:szCs w:val="16"/>
              </w:rPr>
            </w:pPr>
            <w:r w:rsidRPr="009435CD">
              <w:rPr>
                <w:color w:val="000000"/>
                <w:sz w:val="16"/>
                <w:szCs w:val="16"/>
              </w:rPr>
              <w:t>3</w:t>
            </w:r>
          </w:p>
        </w:tc>
        <w:tc>
          <w:tcPr>
            <w:tcW w:w="3005" w:type="pct"/>
            <w:tcBorders>
              <w:top w:val="single" w:sz="4" w:space="0" w:color="auto"/>
              <w:left w:val="nil"/>
              <w:bottom w:val="nil"/>
              <w:right w:val="nil"/>
            </w:tcBorders>
            <w:shd w:val="clear" w:color="000000" w:fill="FFFFFF"/>
            <w:vAlign w:val="center"/>
            <w:hideMark/>
          </w:tcPr>
          <w:p w14:paraId="4742D59F" w14:textId="77777777" w:rsidR="00F61F6E" w:rsidRPr="009435CD" w:rsidRDefault="00F61F6E" w:rsidP="006965C4">
            <w:pPr>
              <w:rPr>
                <w:color w:val="000000"/>
                <w:sz w:val="20"/>
                <w:szCs w:val="20"/>
                <w:lang w:val="es-ES"/>
              </w:rPr>
            </w:pPr>
            <w:r w:rsidRPr="009435CD">
              <w:rPr>
                <w:color w:val="000000"/>
                <w:sz w:val="20"/>
                <w:szCs w:val="20"/>
                <w:lang w:val="es-CO"/>
              </w:rPr>
              <w:t>Experimento el vivir cerca de un rio como una amenaza para mi seguridad</w:t>
            </w:r>
          </w:p>
        </w:tc>
        <w:tc>
          <w:tcPr>
            <w:tcW w:w="363" w:type="pct"/>
            <w:tcBorders>
              <w:top w:val="single" w:sz="4" w:space="0" w:color="auto"/>
              <w:left w:val="nil"/>
              <w:bottom w:val="nil"/>
              <w:right w:val="nil"/>
            </w:tcBorders>
            <w:shd w:val="clear" w:color="000000" w:fill="FFFFFF"/>
            <w:vAlign w:val="center"/>
            <w:hideMark/>
          </w:tcPr>
          <w:p w14:paraId="6A0A0024"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061</w:t>
            </w:r>
          </w:p>
        </w:tc>
        <w:tc>
          <w:tcPr>
            <w:tcW w:w="363" w:type="pct"/>
            <w:tcBorders>
              <w:top w:val="single" w:sz="4" w:space="0" w:color="auto"/>
              <w:left w:val="nil"/>
              <w:bottom w:val="nil"/>
              <w:right w:val="nil"/>
            </w:tcBorders>
            <w:shd w:val="clear" w:color="000000" w:fill="FFFFFF"/>
            <w:vAlign w:val="center"/>
            <w:hideMark/>
          </w:tcPr>
          <w:p w14:paraId="1CB44B95"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637</w:t>
            </w:r>
          </w:p>
        </w:tc>
        <w:tc>
          <w:tcPr>
            <w:tcW w:w="363" w:type="pct"/>
            <w:tcBorders>
              <w:top w:val="single" w:sz="4" w:space="0" w:color="auto"/>
              <w:left w:val="nil"/>
              <w:bottom w:val="nil"/>
              <w:right w:val="nil"/>
            </w:tcBorders>
            <w:shd w:val="clear" w:color="000000" w:fill="FFFFFF"/>
            <w:vAlign w:val="center"/>
            <w:hideMark/>
          </w:tcPr>
          <w:p w14:paraId="4BC45930" w14:textId="77777777"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056</w:t>
            </w:r>
          </w:p>
        </w:tc>
        <w:tc>
          <w:tcPr>
            <w:tcW w:w="311" w:type="pct"/>
            <w:tcBorders>
              <w:top w:val="single" w:sz="4" w:space="0" w:color="auto"/>
              <w:left w:val="nil"/>
              <w:bottom w:val="nil"/>
              <w:right w:val="nil"/>
            </w:tcBorders>
            <w:shd w:val="clear" w:color="000000" w:fill="FFFFFF"/>
            <w:vAlign w:val="center"/>
            <w:hideMark/>
          </w:tcPr>
          <w:p w14:paraId="469E59E8"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319</w:t>
            </w:r>
          </w:p>
        </w:tc>
        <w:tc>
          <w:tcPr>
            <w:tcW w:w="416" w:type="pct"/>
            <w:tcBorders>
              <w:top w:val="single" w:sz="4" w:space="0" w:color="auto"/>
              <w:left w:val="nil"/>
              <w:bottom w:val="nil"/>
              <w:right w:val="nil"/>
            </w:tcBorders>
            <w:shd w:val="clear" w:color="000000" w:fill="FFFFFF"/>
            <w:vAlign w:val="center"/>
            <w:hideMark/>
          </w:tcPr>
          <w:p w14:paraId="43EC0075"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735</w:t>
            </w:r>
          </w:p>
        </w:tc>
      </w:tr>
      <w:tr w:rsidR="00F61F6E" w:rsidRPr="009435CD" w14:paraId="7E5E0979" w14:textId="77777777" w:rsidTr="004D5428">
        <w:trPr>
          <w:trHeight w:val="300"/>
        </w:trPr>
        <w:tc>
          <w:tcPr>
            <w:tcW w:w="178" w:type="pct"/>
            <w:tcBorders>
              <w:top w:val="nil"/>
              <w:left w:val="nil"/>
              <w:right w:val="nil"/>
            </w:tcBorders>
            <w:shd w:val="clear" w:color="auto" w:fill="auto"/>
            <w:noWrap/>
            <w:vAlign w:val="center"/>
            <w:hideMark/>
          </w:tcPr>
          <w:p w14:paraId="08AAF3C1" w14:textId="77777777" w:rsidR="00F61F6E" w:rsidRPr="009435CD" w:rsidRDefault="00F61F6E" w:rsidP="006965C4">
            <w:pPr>
              <w:rPr>
                <w:color w:val="000000"/>
                <w:sz w:val="16"/>
                <w:szCs w:val="16"/>
              </w:rPr>
            </w:pPr>
            <w:r w:rsidRPr="009435CD">
              <w:rPr>
                <w:color w:val="000000"/>
                <w:sz w:val="16"/>
                <w:szCs w:val="16"/>
              </w:rPr>
              <w:t>4</w:t>
            </w:r>
          </w:p>
        </w:tc>
        <w:tc>
          <w:tcPr>
            <w:tcW w:w="3005" w:type="pct"/>
            <w:tcBorders>
              <w:top w:val="nil"/>
              <w:left w:val="nil"/>
              <w:right w:val="nil"/>
            </w:tcBorders>
            <w:shd w:val="clear" w:color="000000" w:fill="FFFFFF"/>
            <w:vAlign w:val="center"/>
            <w:hideMark/>
          </w:tcPr>
          <w:p w14:paraId="2155F74D" w14:textId="77777777" w:rsidR="00F61F6E" w:rsidRPr="009435CD" w:rsidRDefault="00F61F6E" w:rsidP="006965C4">
            <w:pPr>
              <w:rPr>
                <w:color w:val="000000"/>
                <w:sz w:val="20"/>
                <w:szCs w:val="20"/>
                <w:lang w:val="es-ES"/>
              </w:rPr>
            </w:pPr>
            <w:r w:rsidRPr="009435CD">
              <w:rPr>
                <w:color w:val="000000"/>
                <w:sz w:val="20"/>
                <w:szCs w:val="20"/>
                <w:lang w:val="es-CO"/>
              </w:rPr>
              <w:t>El riesgo de inundación, me incomoda</w:t>
            </w:r>
          </w:p>
        </w:tc>
        <w:tc>
          <w:tcPr>
            <w:tcW w:w="363" w:type="pct"/>
            <w:tcBorders>
              <w:top w:val="nil"/>
              <w:left w:val="nil"/>
              <w:right w:val="nil"/>
            </w:tcBorders>
            <w:shd w:val="clear" w:color="000000" w:fill="FFFFFF"/>
            <w:vAlign w:val="center"/>
            <w:hideMark/>
          </w:tcPr>
          <w:p w14:paraId="79FD03AF"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049</w:t>
            </w:r>
          </w:p>
        </w:tc>
        <w:tc>
          <w:tcPr>
            <w:tcW w:w="363" w:type="pct"/>
            <w:tcBorders>
              <w:top w:val="nil"/>
              <w:left w:val="nil"/>
              <w:right w:val="nil"/>
            </w:tcBorders>
            <w:shd w:val="clear" w:color="000000" w:fill="FFFFFF"/>
            <w:vAlign w:val="center"/>
            <w:hideMark/>
          </w:tcPr>
          <w:p w14:paraId="7A83520C"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821</w:t>
            </w:r>
          </w:p>
        </w:tc>
        <w:tc>
          <w:tcPr>
            <w:tcW w:w="363" w:type="pct"/>
            <w:tcBorders>
              <w:top w:val="nil"/>
              <w:left w:val="nil"/>
              <w:right w:val="nil"/>
            </w:tcBorders>
            <w:shd w:val="clear" w:color="000000" w:fill="FFFFFF"/>
            <w:vAlign w:val="center"/>
            <w:hideMark/>
          </w:tcPr>
          <w:p w14:paraId="1AEF91C5" w14:textId="77777777"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089</w:t>
            </w:r>
          </w:p>
        </w:tc>
        <w:tc>
          <w:tcPr>
            <w:tcW w:w="311" w:type="pct"/>
            <w:tcBorders>
              <w:top w:val="nil"/>
              <w:left w:val="nil"/>
              <w:right w:val="nil"/>
            </w:tcBorders>
            <w:shd w:val="clear" w:color="000000" w:fill="FFFFFF"/>
            <w:vAlign w:val="center"/>
            <w:hideMark/>
          </w:tcPr>
          <w:p w14:paraId="73B7EC55"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182</w:t>
            </w:r>
          </w:p>
        </w:tc>
        <w:tc>
          <w:tcPr>
            <w:tcW w:w="416" w:type="pct"/>
            <w:tcBorders>
              <w:top w:val="nil"/>
              <w:left w:val="nil"/>
              <w:right w:val="nil"/>
            </w:tcBorders>
            <w:shd w:val="clear" w:color="000000" w:fill="FFFFFF"/>
            <w:vAlign w:val="center"/>
            <w:hideMark/>
          </w:tcPr>
          <w:p w14:paraId="71F27ACD"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734</w:t>
            </w:r>
          </w:p>
        </w:tc>
      </w:tr>
      <w:tr w:rsidR="00F61F6E" w:rsidRPr="009435CD" w14:paraId="78B39DCF" w14:textId="77777777" w:rsidTr="004D5428">
        <w:trPr>
          <w:trHeight w:val="315"/>
        </w:trPr>
        <w:tc>
          <w:tcPr>
            <w:tcW w:w="178" w:type="pct"/>
            <w:tcBorders>
              <w:top w:val="nil"/>
              <w:left w:val="nil"/>
              <w:bottom w:val="single" w:sz="4" w:space="0" w:color="auto"/>
              <w:right w:val="nil"/>
            </w:tcBorders>
            <w:shd w:val="clear" w:color="auto" w:fill="auto"/>
            <w:noWrap/>
            <w:vAlign w:val="center"/>
            <w:hideMark/>
          </w:tcPr>
          <w:p w14:paraId="789E62A9" w14:textId="77777777" w:rsidR="00F61F6E" w:rsidRPr="009435CD" w:rsidRDefault="00F61F6E" w:rsidP="006965C4">
            <w:pPr>
              <w:rPr>
                <w:color w:val="000000"/>
                <w:sz w:val="16"/>
                <w:szCs w:val="16"/>
              </w:rPr>
            </w:pPr>
            <w:r w:rsidRPr="009435CD">
              <w:rPr>
                <w:color w:val="000000"/>
                <w:sz w:val="16"/>
                <w:szCs w:val="16"/>
              </w:rPr>
              <w:t>5</w:t>
            </w:r>
          </w:p>
        </w:tc>
        <w:tc>
          <w:tcPr>
            <w:tcW w:w="3005" w:type="pct"/>
            <w:tcBorders>
              <w:top w:val="nil"/>
              <w:left w:val="nil"/>
              <w:bottom w:val="single" w:sz="4" w:space="0" w:color="auto"/>
              <w:right w:val="nil"/>
            </w:tcBorders>
            <w:shd w:val="clear" w:color="000000" w:fill="FFFFFF"/>
            <w:vAlign w:val="center"/>
            <w:hideMark/>
          </w:tcPr>
          <w:p w14:paraId="6F3BE966" w14:textId="77777777" w:rsidR="00F61F6E" w:rsidRPr="009435CD" w:rsidRDefault="00F61F6E" w:rsidP="006965C4">
            <w:pPr>
              <w:rPr>
                <w:color w:val="000000"/>
                <w:sz w:val="20"/>
                <w:szCs w:val="20"/>
                <w:lang w:val="es-ES"/>
              </w:rPr>
            </w:pPr>
            <w:r w:rsidRPr="009435CD">
              <w:rPr>
                <w:color w:val="000000"/>
                <w:sz w:val="20"/>
                <w:szCs w:val="20"/>
                <w:lang w:val="es-CO"/>
              </w:rPr>
              <w:t>Cuando pienso en inundaciones, tengo sentimientos de ansiedad</w:t>
            </w:r>
          </w:p>
        </w:tc>
        <w:tc>
          <w:tcPr>
            <w:tcW w:w="363" w:type="pct"/>
            <w:tcBorders>
              <w:top w:val="nil"/>
              <w:left w:val="nil"/>
              <w:bottom w:val="single" w:sz="4" w:space="0" w:color="auto"/>
              <w:right w:val="nil"/>
            </w:tcBorders>
            <w:shd w:val="clear" w:color="000000" w:fill="FFFFFF"/>
            <w:vAlign w:val="center"/>
            <w:hideMark/>
          </w:tcPr>
          <w:p w14:paraId="6875DF92"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179</w:t>
            </w:r>
          </w:p>
        </w:tc>
        <w:tc>
          <w:tcPr>
            <w:tcW w:w="363" w:type="pct"/>
            <w:tcBorders>
              <w:top w:val="nil"/>
              <w:left w:val="nil"/>
              <w:bottom w:val="single" w:sz="4" w:space="0" w:color="auto"/>
              <w:right w:val="nil"/>
            </w:tcBorders>
            <w:shd w:val="clear" w:color="000000" w:fill="FFFFFF"/>
            <w:vAlign w:val="center"/>
            <w:hideMark/>
          </w:tcPr>
          <w:p w14:paraId="0D0EC513"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748</w:t>
            </w:r>
          </w:p>
        </w:tc>
        <w:tc>
          <w:tcPr>
            <w:tcW w:w="363" w:type="pct"/>
            <w:tcBorders>
              <w:top w:val="nil"/>
              <w:left w:val="nil"/>
              <w:bottom w:val="single" w:sz="4" w:space="0" w:color="auto"/>
              <w:right w:val="nil"/>
            </w:tcBorders>
            <w:shd w:val="clear" w:color="000000" w:fill="FFFFFF"/>
            <w:vAlign w:val="center"/>
            <w:hideMark/>
          </w:tcPr>
          <w:p w14:paraId="0AAB2600"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091</w:t>
            </w:r>
          </w:p>
        </w:tc>
        <w:tc>
          <w:tcPr>
            <w:tcW w:w="311" w:type="pct"/>
            <w:tcBorders>
              <w:top w:val="nil"/>
              <w:left w:val="nil"/>
              <w:bottom w:val="single" w:sz="4" w:space="0" w:color="auto"/>
              <w:right w:val="nil"/>
            </w:tcBorders>
            <w:shd w:val="clear" w:color="000000" w:fill="FFFFFF"/>
            <w:vAlign w:val="center"/>
            <w:hideMark/>
          </w:tcPr>
          <w:p w14:paraId="62DD7509"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053</w:t>
            </w:r>
          </w:p>
        </w:tc>
        <w:tc>
          <w:tcPr>
            <w:tcW w:w="416" w:type="pct"/>
            <w:tcBorders>
              <w:top w:val="nil"/>
              <w:left w:val="nil"/>
              <w:bottom w:val="single" w:sz="4" w:space="0" w:color="auto"/>
              <w:right w:val="nil"/>
            </w:tcBorders>
            <w:shd w:val="clear" w:color="000000" w:fill="FFFFFF"/>
            <w:vAlign w:val="center"/>
            <w:hideMark/>
          </w:tcPr>
          <w:p w14:paraId="64DFCC75"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728</w:t>
            </w:r>
          </w:p>
        </w:tc>
      </w:tr>
      <w:tr w:rsidR="00F61F6E" w:rsidRPr="009435CD" w14:paraId="4CB4DD09" w14:textId="77777777" w:rsidTr="004D5428">
        <w:trPr>
          <w:trHeight w:val="300"/>
        </w:trPr>
        <w:tc>
          <w:tcPr>
            <w:tcW w:w="178" w:type="pct"/>
            <w:tcBorders>
              <w:top w:val="single" w:sz="4" w:space="0" w:color="auto"/>
              <w:left w:val="nil"/>
              <w:bottom w:val="nil"/>
              <w:right w:val="nil"/>
            </w:tcBorders>
            <w:shd w:val="clear" w:color="auto" w:fill="auto"/>
            <w:noWrap/>
            <w:vAlign w:val="center"/>
            <w:hideMark/>
          </w:tcPr>
          <w:p w14:paraId="1DBA1153" w14:textId="77777777" w:rsidR="00F61F6E" w:rsidRPr="009435CD" w:rsidRDefault="00F61F6E" w:rsidP="006965C4">
            <w:pPr>
              <w:rPr>
                <w:color w:val="000000"/>
                <w:sz w:val="16"/>
                <w:szCs w:val="16"/>
              </w:rPr>
            </w:pPr>
            <w:r w:rsidRPr="009435CD">
              <w:rPr>
                <w:color w:val="000000"/>
                <w:sz w:val="16"/>
                <w:szCs w:val="16"/>
              </w:rPr>
              <w:t>6</w:t>
            </w:r>
          </w:p>
        </w:tc>
        <w:tc>
          <w:tcPr>
            <w:tcW w:w="3005" w:type="pct"/>
            <w:tcBorders>
              <w:top w:val="single" w:sz="4" w:space="0" w:color="auto"/>
              <w:left w:val="nil"/>
              <w:bottom w:val="nil"/>
              <w:right w:val="nil"/>
            </w:tcBorders>
            <w:shd w:val="clear" w:color="000000" w:fill="FFFFFF"/>
            <w:vAlign w:val="center"/>
            <w:hideMark/>
          </w:tcPr>
          <w:p w14:paraId="06377233" w14:textId="77777777" w:rsidR="00F61F6E" w:rsidRPr="009435CD" w:rsidRDefault="00F61F6E" w:rsidP="006965C4">
            <w:pPr>
              <w:rPr>
                <w:color w:val="000000"/>
                <w:sz w:val="20"/>
                <w:szCs w:val="20"/>
                <w:lang w:val="es-ES"/>
              </w:rPr>
            </w:pPr>
            <w:r w:rsidRPr="009435CD">
              <w:rPr>
                <w:color w:val="000000"/>
                <w:sz w:val="20"/>
                <w:szCs w:val="20"/>
                <w:lang w:val="es-CO"/>
              </w:rPr>
              <w:t xml:space="preserve">En el mundo, las personas que viven en zonas tropicales están </w:t>
            </w:r>
            <w:r w:rsidRPr="009435CD">
              <w:rPr>
                <w:color w:val="000000"/>
                <w:sz w:val="20"/>
                <w:szCs w:val="20"/>
                <w:lang w:val="es-CO"/>
              </w:rPr>
              <w:lastRenderedPageBreak/>
              <w:t>expuestas a crecientes riesgos de inundación</w:t>
            </w:r>
          </w:p>
        </w:tc>
        <w:tc>
          <w:tcPr>
            <w:tcW w:w="363" w:type="pct"/>
            <w:tcBorders>
              <w:top w:val="single" w:sz="4" w:space="0" w:color="auto"/>
              <w:left w:val="nil"/>
              <w:bottom w:val="nil"/>
              <w:right w:val="nil"/>
            </w:tcBorders>
            <w:shd w:val="clear" w:color="000000" w:fill="FFFFFF"/>
            <w:vAlign w:val="center"/>
            <w:hideMark/>
          </w:tcPr>
          <w:p w14:paraId="1824C83A" w14:textId="77777777" w:rsidR="00F61F6E" w:rsidRPr="009435CD" w:rsidRDefault="00F61F6E" w:rsidP="006965C4">
            <w:pPr>
              <w:jc w:val="center"/>
              <w:rPr>
                <w:color w:val="000000"/>
                <w:sz w:val="20"/>
                <w:szCs w:val="20"/>
              </w:rPr>
            </w:pPr>
            <w:r w:rsidRPr="009435CD">
              <w:rPr>
                <w:color w:val="000000"/>
                <w:sz w:val="20"/>
                <w:szCs w:val="20"/>
                <w:lang w:val="es-CO"/>
              </w:rPr>
              <w:lastRenderedPageBreak/>
              <w:t>-</w:t>
            </w:r>
            <w:r>
              <w:rPr>
                <w:color w:val="000000"/>
                <w:sz w:val="20"/>
                <w:szCs w:val="20"/>
                <w:lang w:val="es-CO"/>
              </w:rPr>
              <w:t>.</w:t>
            </w:r>
            <w:r w:rsidRPr="009435CD">
              <w:rPr>
                <w:color w:val="000000"/>
                <w:sz w:val="20"/>
                <w:szCs w:val="20"/>
                <w:lang w:val="es-CO"/>
              </w:rPr>
              <w:t>022</w:t>
            </w:r>
          </w:p>
        </w:tc>
        <w:tc>
          <w:tcPr>
            <w:tcW w:w="363" w:type="pct"/>
            <w:tcBorders>
              <w:top w:val="single" w:sz="4" w:space="0" w:color="auto"/>
              <w:left w:val="nil"/>
              <w:bottom w:val="nil"/>
              <w:right w:val="nil"/>
            </w:tcBorders>
            <w:shd w:val="clear" w:color="000000" w:fill="FFFFFF"/>
            <w:vAlign w:val="center"/>
            <w:hideMark/>
          </w:tcPr>
          <w:p w14:paraId="5622074D"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192</w:t>
            </w:r>
          </w:p>
        </w:tc>
        <w:tc>
          <w:tcPr>
            <w:tcW w:w="363" w:type="pct"/>
            <w:tcBorders>
              <w:top w:val="single" w:sz="4" w:space="0" w:color="auto"/>
              <w:left w:val="nil"/>
              <w:bottom w:val="nil"/>
              <w:right w:val="nil"/>
            </w:tcBorders>
            <w:shd w:val="clear" w:color="000000" w:fill="FFFFFF"/>
            <w:vAlign w:val="center"/>
            <w:hideMark/>
          </w:tcPr>
          <w:p w14:paraId="727EF195"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513</w:t>
            </w:r>
          </w:p>
        </w:tc>
        <w:tc>
          <w:tcPr>
            <w:tcW w:w="311" w:type="pct"/>
            <w:tcBorders>
              <w:top w:val="single" w:sz="4" w:space="0" w:color="auto"/>
              <w:left w:val="nil"/>
              <w:bottom w:val="nil"/>
              <w:right w:val="nil"/>
            </w:tcBorders>
            <w:shd w:val="clear" w:color="000000" w:fill="FFFFFF"/>
            <w:vAlign w:val="center"/>
            <w:hideMark/>
          </w:tcPr>
          <w:p w14:paraId="0B06CE74"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313</w:t>
            </w:r>
          </w:p>
        </w:tc>
        <w:tc>
          <w:tcPr>
            <w:tcW w:w="416" w:type="pct"/>
            <w:tcBorders>
              <w:top w:val="single" w:sz="4" w:space="0" w:color="auto"/>
              <w:left w:val="nil"/>
              <w:bottom w:val="nil"/>
              <w:right w:val="nil"/>
            </w:tcBorders>
            <w:shd w:val="clear" w:color="000000" w:fill="FFFFFF"/>
            <w:vAlign w:val="center"/>
            <w:hideMark/>
          </w:tcPr>
          <w:p w14:paraId="1F2AEC38" w14:textId="77777777" w:rsidR="00F61F6E" w:rsidRPr="009435CD" w:rsidRDefault="00F61F6E" w:rsidP="006965C4">
            <w:pPr>
              <w:jc w:val="center"/>
              <w:rPr>
                <w:color w:val="000000"/>
                <w:sz w:val="20"/>
                <w:szCs w:val="20"/>
              </w:rPr>
            </w:pPr>
            <w:r>
              <w:rPr>
                <w:color w:val="000000"/>
                <w:sz w:val="20"/>
                <w:szCs w:val="20"/>
              </w:rPr>
              <w:t>.</w:t>
            </w:r>
            <w:r w:rsidRPr="009435CD">
              <w:rPr>
                <w:color w:val="000000"/>
                <w:sz w:val="20"/>
                <w:szCs w:val="20"/>
              </w:rPr>
              <w:t>733</w:t>
            </w:r>
          </w:p>
        </w:tc>
      </w:tr>
      <w:tr w:rsidR="00F61F6E" w:rsidRPr="009435CD" w14:paraId="052194A2" w14:textId="77777777" w:rsidTr="004D5428">
        <w:trPr>
          <w:trHeight w:val="300"/>
        </w:trPr>
        <w:tc>
          <w:tcPr>
            <w:tcW w:w="178" w:type="pct"/>
            <w:tcBorders>
              <w:top w:val="nil"/>
              <w:left w:val="nil"/>
              <w:bottom w:val="nil"/>
              <w:right w:val="nil"/>
            </w:tcBorders>
            <w:shd w:val="clear" w:color="auto" w:fill="auto"/>
            <w:noWrap/>
            <w:vAlign w:val="center"/>
            <w:hideMark/>
          </w:tcPr>
          <w:p w14:paraId="5190810E" w14:textId="77777777" w:rsidR="00F61F6E" w:rsidRPr="009435CD" w:rsidRDefault="00F61F6E" w:rsidP="006965C4">
            <w:pPr>
              <w:rPr>
                <w:color w:val="000000"/>
                <w:sz w:val="16"/>
                <w:szCs w:val="16"/>
              </w:rPr>
            </w:pPr>
            <w:r w:rsidRPr="009435CD">
              <w:rPr>
                <w:color w:val="000000"/>
                <w:sz w:val="16"/>
                <w:szCs w:val="16"/>
              </w:rPr>
              <w:t>9</w:t>
            </w:r>
          </w:p>
        </w:tc>
        <w:tc>
          <w:tcPr>
            <w:tcW w:w="3005" w:type="pct"/>
            <w:tcBorders>
              <w:top w:val="nil"/>
              <w:left w:val="nil"/>
              <w:bottom w:val="nil"/>
              <w:right w:val="nil"/>
            </w:tcBorders>
            <w:shd w:val="clear" w:color="000000" w:fill="FFFFFF"/>
            <w:vAlign w:val="center"/>
            <w:hideMark/>
          </w:tcPr>
          <w:p w14:paraId="2FB3C74F" w14:textId="77777777" w:rsidR="00F61F6E" w:rsidRPr="009435CD" w:rsidRDefault="00F61F6E" w:rsidP="006965C4">
            <w:pPr>
              <w:rPr>
                <w:color w:val="000000"/>
                <w:sz w:val="20"/>
                <w:szCs w:val="20"/>
                <w:lang w:val="es-ES"/>
              </w:rPr>
            </w:pPr>
            <w:r w:rsidRPr="009435CD">
              <w:rPr>
                <w:color w:val="000000"/>
                <w:sz w:val="20"/>
                <w:szCs w:val="20"/>
                <w:lang w:val="es-CO"/>
              </w:rPr>
              <w:t>Las generaciones futuras estarán expuestas a crecientes riesgos de inundación</w:t>
            </w:r>
          </w:p>
        </w:tc>
        <w:tc>
          <w:tcPr>
            <w:tcW w:w="363" w:type="pct"/>
            <w:tcBorders>
              <w:top w:val="nil"/>
              <w:left w:val="nil"/>
              <w:bottom w:val="nil"/>
              <w:right w:val="nil"/>
            </w:tcBorders>
            <w:shd w:val="clear" w:color="000000" w:fill="FFFFFF"/>
            <w:vAlign w:val="center"/>
            <w:hideMark/>
          </w:tcPr>
          <w:p w14:paraId="1EF1F7A5"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051</w:t>
            </w:r>
          </w:p>
        </w:tc>
        <w:tc>
          <w:tcPr>
            <w:tcW w:w="363" w:type="pct"/>
            <w:tcBorders>
              <w:top w:val="nil"/>
              <w:left w:val="nil"/>
              <w:bottom w:val="nil"/>
              <w:right w:val="nil"/>
            </w:tcBorders>
            <w:shd w:val="clear" w:color="000000" w:fill="FFFFFF"/>
            <w:vAlign w:val="center"/>
            <w:hideMark/>
          </w:tcPr>
          <w:p w14:paraId="43B63588"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032</w:t>
            </w:r>
          </w:p>
        </w:tc>
        <w:tc>
          <w:tcPr>
            <w:tcW w:w="363" w:type="pct"/>
            <w:tcBorders>
              <w:top w:val="nil"/>
              <w:left w:val="nil"/>
              <w:bottom w:val="nil"/>
              <w:right w:val="nil"/>
            </w:tcBorders>
            <w:shd w:val="clear" w:color="000000" w:fill="FFFFFF"/>
            <w:vAlign w:val="center"/>
            <w:hideMark/>
          </w:tcPr>
          <w:p w14:paraId="40306BE9"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823</w:t>
            </w:r>
          </w:p>
        </w:tc>
        <w:tc>
          <w:tcPr>
            <w:tcW w:w="311" w:type="pct"/>
            <w:tcBorders>
              <w:top w:val="nil"/>
              <w:left w:val="nil"/>
              <w:bottom w:val="nil"/>
              <w:right w:val="nil"/>
            </w:tcBorders>
            <w:shd w:val="clear" w:color="000000" w:fill="FFFFFF"/>
            <w:vAlign w:val="center"/>
            <w:hideMark/>
          </w:tcPr>
          <w:p w14:paraId="1CA8AAC1" w14:textId="77777777" w:rsidR="00F61F6E" w:rsidRPr="009435CD" w:rsidRDefault="00F61F6E" w:rsidP="006965C4">
            <w:pPr>
              <w:ind w:right="-76"/>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038</w:t>
            </w:r>
          </w:p>
        </w:tc>
        <w:tc>
          <w:tcPr>
            <w:tcW w:w="416" w:type="pct"/>
            <w:tcBorders>
              <w:top w:val="nil"/>
              <w:left w:val="nil"/>
              <w:bottom w:val="nil"/>
              <w:right w:val="nil"/>
            </w:tcBorders>
            <w:shd w:val="clear" w:color="000000" w:fill="FFFFFF"/>
            <w:vAlign w:val="center"/>
            <w:hideMark/>
          </w:tcPr>
          <w:p w14:paraId="0DAB712D"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745</w:t>
            </w:r>
          </w:p>
        </w:tc>
      </w:tr>
      <w:tr w:rsidR="00F61F6E" w:rsidRPr="009435CD" w14:paraId="4111C64B" w14:textId="77777777" w:rsidTr="004D5428">
        <w:trPr>
          <w:trHeight w:val="300"/>
        </w:trPr>
        <w:tc>
          <w:tcPr>
            <w:tcW w:w="178" w:type="pct"/>
            <w:tcBorders>
              <w:top w:val="nil"/>
              <w:left w:val="nil"/>
              <w:bottom w:val="nil"/>
              <w:right w:val="nil"/>
            </w:tcBorders>
            <w:shd w:val="clear" w:color="auto" w:fill="auto"/>
            <w:noWrap/>
            <w:vAlign w:val="center"/>
            <w:hideMark/>
          </w:tcPr>
          <w:p w14:paraId="744FB0B0" w14:textId="77777777" w:rsidR="00F61F6E" w:rsidRPr="009435CD" w:rsidRDefault="00F61F6E" w:rsidP="006965C4">
            <w:pPr>
              <w:rPr>
                <w:color w:val="000000"/>
                <w:sz w:val="16"/>
                <w:szCs w:val="16"/>
              </w:rPr>
            </w:pPr>
            <w:r w:rsidRPr="009435CD">
              <w:rPr>
                <w:color w:val="000000"/>
                <w:sz w:val="16"/>
                <w:szCs w:val="16"/>
              </w:rPr>
              <w:t>10</w:t>
            </w:r>
          </w:p>
        </w:tc>
        <w:tc>
          <w:tcPr>
            <w:tcW w:w="3005" w:type="pct"/>
            <w:tcBorders>
              <w:top w:val="nil"/>
              <w:left w:val="nil"/>
              <w:bottom w:val="nil"/>
              <w:right w:val="nil"/>
            </w:tcBorders>
            <w:shd w:val="clear" w:color="000000" w:fill="FFFFFF"/>
            <w:vAlign w:val="center"/>
            <w:hideMark/>
          </w:tcPr>
          <w:p w14:paraId="303A45BA" w14:textId="77777777" w:rsidR="00F61F6E" w:rsidRPr="009435CD" w:rsidRDefault="00F61F6E" w:rsidP="006965C4">
            <w:pPr>
              <w:rPr>
                <w:color w:val="000000"/>
                <w:sz w:val="20"/>
                <w:szCs w:val="20"/>
                <w:lang w:val="es-ES"/>
              </w:rPr>
            </w:pPr>
            <w:r w:rsidRPr="009435CD">
              <w:rPr>
                <w:color w:val="000000"/>
                <w:sz w:val="20"/>
                <w:szCs w:val="20"/>
                <w:lang w:val="es-CO"/>
              </w:rPr>
              <w:t>En el futuro, Colombia estará expuesta a crecientes riesgos de inundación</w:t>
            </w:r>
          </w:p>
        </w:tc>
        <w:tc>
          <w:tcPr>
            <w:tcW w:w="363" w:type="pct"/>
            <w:tcBorders>
              <w:top w:val="nil"/>
              <w:left w:val="nil"/>
              <w:bottom w:val="nil"/>
              <w:right w:val="nil"/>
            </w:tcBorders>
            <w:shd w:val="clear" w:color="000000" w:fill="FFFFFF"/>
            <w:vAlign w:val="center"/>
            <w:hideMark/>
          </w:tcPr>
          <w:p w14:paraId="4691B8BA" w14:textId="77777777"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004</w:t>
            </w:r>
          </w:p>
        </w:tc>
        <w:tc>
          <w:tcPr>
            <w:tcW w:w="363" w:type="pct"/>
            <w:tcBorders>
              <w:top w:val="nil"/>
              <w:left w:val="nil"/>
              <w:bottom w:val="nil"/>
              <w:right w:val="nil"/>
            </w:tcBorders>
            <w:shd w:val="clear" w:color="000000" w:fill="FFFFFF"/>
            <w:vAlign w:val="center"/>
            <w:hideMark/>
          </w:tcPr>
          <w:p w14:paraId="5F688E56" w14:textId="77777777"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08</w:t>
            </w:r>
          </w:p>
        </w:tc>
        <w:tc>
          <w:tcPr>
            <w:tcW w:w="363" w:type="pct"/>
            <w:tcBorders>
              <w:top w:val="nil"/>
              <w:left w:val="nil"/>
              <w:bottom w:val="nil"/>
              <w:right w:val="nil"/>
            </w:tcBorders>
            <w:shd w:val="clear" w:color="000000" w:fill="FFFFFF"/>
            <w:vAlign w:val="center"/>
            <w:hideMark/>
          </w:tcPr>
          <w:p w14:paraId="4929601E"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823</w:t>
            </w:r>
          </w:p>
        </w:tc>
        <w:tc>
          <w:tcPr>
            <w:tcW w:w="311" w:type="pct"/>
            <w:tcBorders>
              <w:top w:val="nil"/>
              <w:left w:val="nil"/>
              <w:bottom w:val="nil"/>
              <w:right w:val="nil"/>
            </w:tcBorders>
            <w:shd w:val="clear" w:color="000000" w:fill="FFFFFF"/>
            <w:vAlign w:val="center"/>
            <w:hideMark/>
          </w:tcPr>
          <w:p w14:paraId="535947CC"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032</w:t>
            </w:r>
          </w:p>
        </w:tc>
        <w:tc>
          <w:tcPr>
            <w:tcW w:w="416" w:type="pct"/>
            <w:tcBorders>
              <w:top w:val="nil"/>
              <w:left w:val="nil"/>
              <w:bottom w:val="nil"/>
              <w:right w:val="nil"/>
            </w:tcBorders>
            <w:shd w:val="clear" w:color="000000" w:fill="FFFFFF"/>
            <w:vAlign w:val="center"/>
            <w:hideMark/>
          </w:tcPr>
          <w:p w14:paraId="23244257"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749</w:t>
            </w:r>
          </w:p>
        </w:tc>
      </w:tr>
      <w:tr w:rsidR="00F61F6E" w:rsidRPr="009435CD" w14:paraId="598D0129" w14:textId="77777777" w:rsidTr="004D5428">
        <w:trPr>
          <w:trHeight w:val="300"/>
        </w:trPr>
        <w:tc>
          <w:tcPr>
            <w:tcW w:w="178" w:type="pct"/>
            <w:tcBorders>
              <w:top w:val="nil"/>
              <w:left w:val="nil"/>
              <w:right w:val="nil"/>
            </w:tcBorders>
            <w:shd w:val="clear" w:color="auto" w:fill="auto"/>
            <w:noWrap/>
            <w:vAlign w:val="center"/>
            <w:hideMark/>
          </w:tcPr>
          <w:p w14:paraId="61F0F80C" w14:textId="77777777" w:rsidR="00F61F6E" w:rsidRPr="009435CD" w:rsidRDefault="00F61F6E" w:rsidP="006965C4">
            <w:pPr>
              <w:rPr>
                <w:color w:val="000000"/>
                <w:sz w:val="16"/>
                <w:szCs w:val="16"/>
              </w:rPr>
            </w:pPr>
            <w:r w:rsidRPr="009435CD">
              <w:rPr>
                <w:color w:val="000000"/>
                <w:sz w:val="16"/>
                <w:szCs w:val="16"/>
              </w:rPr>
              <w:t>11</w:t>
            </w:r>
          </w:p>
        </w:tc>
        <w:tc>
          <w:tcPr>
            <w:tcW w:w="3005" w:type="pct"/>
            <w:tcBorders>
              <w:top w:val="nil"/>
              <w:left w:val="nil"/>
              <w:right w:val="nil"/>
            </w:tcBorders>
            <w:shd w:val="clear" w:color="000000" w:fill="FFFFFF"/>
            <w:vAlign w:val="center"/>
            <w:hideMark/>
          </w:tcPr>
          <w:p w14:paraId="7468C52A" w14:textId="77777777" w:rsidR="00F61F6E" w:rsidRPr="009435CD" w:rsidRDefault="00F61F6E" w:rsidP="006965C4">
            <w:pPr>
              <w:rPr>
                <w:color w:val="000000"/>
                <w:sz w:val="20"/>
                <w:szCs w:val="20"/>
                <w:lang w:val="es-ES"/>
              </w:rPr>
            </w:pPr>
            <w:r w:rsidRPr="009435CD">
              <w:rPr>
                <w:color w:val="000000"/>
                <w:sz w:val="20"/>
                <w:szCs w:val="20"/>
                <w:lang w:val="es-CO"/>
              </w:rPr>
              <w:t>Considero que las medidas que apuntan a reducir los riesgos de inundación de manera permanente, son financieramente difíciles de lograr</w:t>
            </w:r>
          </w:p>
        </w:tc>
        <w:tc>
          <w:tcPr>
            <w:tcW w:w="363" w:type="pct"/>
            <w:tcBorders>
              <w:top w:val="nil"/>
              <w:left w:val="nil"/>
              <w:right w:val="nil"/>
            </w:tcBorders>
            <w:shd w:val="clear" w:color="000000" w:fill="FFFFFF"/>
            <w:vAlign w:val="center"/>
            <w:hideMark/>
          </w:tcPr>
          <w:p w14:paraId="7260D02B" w14:textId="77777777"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128</w:t>
            </w:r>
          </w:p>
        </w:tc>
        <w:tc>
          <w:tcPr>
            <w:tcW w:w="363" w:type="pct"/>
            <w:tcBorders>
              <w:top w:val="nil"/>
              <w:left w:val="nil"/>
              <w:right w:val="nil"/>
            </w:tcBorders>
            <w:shd w:val="clear" w:color="000000" w:fill="FFFFFF"/>
            <w:vAlign w:val="center"/>
            <w:hideMark/>
          </w:tcPr>
          <w:p w14:paraId="071F01D4" w14:textId="77777777" w:rsidR="00F61F6E" w:rsidRPr="009435CD" w:rsidRDefault="00F61F6E" w:rsidP="006965C4">
            <w:pPr>
              <w:jc w:val="center"/>
              <w:rPr>
                <w:color w:val="000000"/>
                <w:sz w:val="20"/>
                <w:szCs w:val="20"/>
              </w:rPr>
            </w:pPr>
            <w:r>
              <w:rPr>
                <w:bCs/>
                <w:color w:val="000000"/>
                <w:sz w:val="20"/>
                <w:szCs w:val="20"/>
                <w:lang w:val="es-CO"/>
              </w:rPr>
              <w:t>.</w:t>
            </w:r>
            <w:r w:rsidRPr="009435CD">
              <w:rPr>
                <w:bCs/>
                <w:color w:val="000000"/>
                <w:sz w:val="20"/>
                <w:szCs w:val="20"/>
                <w:lang w:val="es-CO"/>
              </w:rPr>
              <w:t>299</w:t>
            </w:r>
          </w:p>
        </w:tc>
        <w:tc>
          <w:tcPr>
            <w:tcW w:w="363" w:type="pct"/>
            <w:tcBorders>
              <w:top w:val="nil"/>
              <w:left w:val="nil"/>
              <w:right w:val="nil"/>
            </w:tcBorders>
            <w:shd w:val="clear" w:color="000000" w:fill="FFFFFF"/>
            <w:vAlign w:val="center"/>
            <w:hideMark/>
          </w:tcPr>
          <w:p w14:paraId="4B95CD66" w14:textId="77777777" w:rsidR="00F61F6E" w:rsidRPr="009435CD" w:rsidRDefault="00F61F6E" w:rsidP="006965C4">
            <w:pPr>
              <w:jc w:val="center"/>
              <w:rPr>
                <w:b/>
                <w:bCs/>
                <w:color w:val="000000"/>
                <w:sz w:val="20"/>
                <w:szCs w:val="20"/>
              </w:rPr>
            </w:pPr>
            <w:r>
              <w:rPr>
                <w:b/>
                <w:color w:val="000000"/>
                <w:sz w:val="20"/>
                <w:szCs w:val="20"/>
                <w:lang w:val="es-CO"/>
              </w:rPr>
              <w:t>.</w:t>
            </w:r>
            <w:r w:rsidRPr="009435CD">
              <w:rPr>
                <w:b/>
                <w:color w:val="000000"/>
                <w:sz w:val="20"/>
                <w:szCs w:val="20"/>
                <w:lang w:val="es-CO"/>
              </w:rPr>
              <w:t>661</w:t>
            </w:r>
          </w:p>
        </w:tc>
        <w:tc>
          <w:tcPr>
            <w:tcW w:w="311" w:type="pct"/>
            <w:tcBorders>
              <w:top w:val="nil"/>
              <w:left w:val="nil"/>
              <w:right w:val="nil"/>
            </w:tcBorders>
            <w:shd w:val="clear" w:color="000000" w:fill="FFFFFF"/>
            <w:vAlign w:val="center"/>
            <w:hideMark/>
          </w:tcPr>
          <w:p w14:paraId="4CF5A269" w14:textId="77777777" w:rsidR="00F61F6E" w:rsidRPr="009435CD" w:rsidRDefault="00F61F6E" w:rsidP="006965C4">
            <w:pPr>
              <w:ind w:right="-76"/>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226</w:t>
            </w:r>
          </w:p>
        </w:tc>
        <w:tc>
          <w:tcPr>
            <w:tcW w:w="416" w:type="pct"/>
            <w:tcBorders>
              <w:top w:val="nil"/>
              <w:left w:val="nil"/>
              <w:right w:val="nil"/>
            </w:tcBorders>
            <w:shd w:val="clear" w:color="000000" w:fill="FFFFFF"/>
            <w:vAlign w:val="center"/>
            <w:hideMark/>
          </w:tcPr>
          <w:p w14:paraId="0664869E"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754</w:t>
            </w:r>
          </w:p>
        </w:tc>
      </w:tr>
      <w:tr w:rsidR="00F61F6E" w:rsidRPr="009435CD" w14:paraId="2C66B1AB" w14:textId="77777777" w:rsidTr="004D5428">
        <w:trPr>
          <w:trHeight w:val="315"/>
        </w:trPr>
        <w:tc>
          <w:tcPr>
            <w:tcW w:w="178" w:type="pct"/>
            <w:tcBorders>
              <w:top w:val="nil"/>
              <w:left w:val="nil"/>
              <w:bottom w:val="single" w:sz="4" w:space="0" w:color="auto"/>
              <w:right w:val="nil"/>
            </w:tcBorders>
            <w:shd w:val="clear" w:color="auto" w:fill="auto"/>
            <w:noWrap/>
            <w:vAlign w:val="center"/>
            <w:hideMark/>
          </w:tcPr>
          <w:p w14:paraId="117270B7" w14:textId="77777777" w:rsidR="00F61F6E" w:rsidRPr="009435CD" w:rsidRDefault="00F61F6E" w:rsidP="006965C4">
            <w:pPr>
              <w:rPr>
                <w:color w:val="000000"/>
                <w:sz w:val="16"/>
                <w:szCs w:val="16"/>
              </w:rPr>
            </w:pPr>
            <w:r w:rsidRPr="009435CD">
              <w:rPr>
                <w:color w:val="000000"/>
                <w:sz w:val="16"/>
                <w:szCs w:val="16"/>
              </w:rPr>
              <w:t>17</w:t>
            </w:r>
          </w:p>
        </w:tc>
        <w:tc>
          <w:tcPr>
            <w:tcW w:w="3005" w:type="pct"/>
            <w:tcBorders>
              <w:top w:val="nil"/>
              <w:left w:val="nil"/>
              <w:bottom w:val="single" w:sz="4" w:space="0" w:color="auto"/>
              <w:right w:val="nil"/>
            </w:tcBorders>
            <w:shd w:val="clear" w:color="000000" w:fill="FFFFFF"/>
            <w:vAlign w:val="center"/>
            <w:hideMark/>
          </w:tcPr>
          <w:p w14:paraId="6E5AE8C1" w14:textId="77777777" w:rsidR="00F61F6E" w:rsidRPr="009435CD" w:rsidRDefault="00F61F6E" w:rsidP="006965C4">
            <w:pPr>
              <w:rPr>
                <w:color w:val="000000"/>
                <w:sz w:val="20"/>
                <w:szCs w:val="20"/>
                <w:lang w:val="es-ES"/>
              </w:rPr>
            </w:pPr>
            <w:r w:rsidRPr="009435CD">
              <w:rPr>
                <w:color w:val="000000"/>
                <w:sz w:val="20"/>
                <w:szCs w:val="20"/>
                <w:lang w:val="es-CO"/>
              </w:rPr>
              <w:t>Debido al cambio climático, los riesgos de inundación aumentarán sustancialmente</w:t>
            </w:r>
          </w:p>
        </w:tc>
        <w:tc>
          <w:tcPr>
            <w:tcW w:w="363" w:type="pct"/>
            <w:tcBorders>
              <w:top w:val="nil"/>
              <w:left w:val="nil"/>
              <w:bottom w:val="single" w:sz="4" w:space="0" w:color="auto"/>
              <w:right w:val="nil"/>
            </w:tcBorders>
            <w:shd w:val="clear" w:color="000000" w:fill="FFFFFF"/>
            <w:vAlign w:val="center"/>
            <w:hideMark/>
          </w:tcPr>
          <w:p w14:paraId="30A030DF"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102</w:t>
            </w:r>
          </w:p>
        </w:tc>
        <w:tc>
          <w:tcPr>
            <w:tcW w:w="363" w:type="pct"/>
            <w:tcBorders>
              <w:top w:val="nil"/>
              <w:left w:val="nil"/>
              <w:bottom w:val="single" w:sz="4" w:space="0" w:color="auto"/>
              <w:right w:val="nil"/>
            </w:tcBorders>
            <w:shd w:val="clear" w:color="000000" w:fill="FFFFFF"/>
            <w:vAlign w:val="center"/>
            <w:hideMark/>
          </w:tcPr>
          <w:p w14:paraId="0C7F9F20"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157</w:t>
            </w:r>
          </w:p>
        </w:tc>
        <w:tc>
          <w:tcPr>
            <w:tcW w:w="363" w:type="pct"/>
            <w:tcBorders>
              <w:top w:val="nil"/>
              <w:left w:val="nil"/>
              <w:bottom w:val="single" w:sz="4" w:space="0" w:color="auto"/>
              <w:right w:val="nil"/>
            </w:tcBorders>
            <w:shd w:val="clear" w:color="000000" w:fill="FFFFFF"/>
            <w:vAlign w:val="center"/>
            <w:hideMark/>
          </w:tcPr>
          <w:p w14:paraId="17084660"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5</w:t>
            </w:r>
            <w:r w:rsidRPr="009435CD">
              <w:rPr>
                <w:b/>
                <w:bCs/>
                <w:color w:val="000000"/>
                <w:sz w:val="20"/>
                <w:szCs w:val="20"/>
              </w:rPr>
              <w:t>55</w:t>
            </w:r>
          </w:p>
        </w:tc>
        <w:tc>
          <w:tcPr>
            <w:tcW w:w="311" w:type="pct"/>
            <w:tcBorders>
              <w:top w:val="nil"/>
              <w:left w:val="nil"/>
              <w:bottom w:val="single" w:sz="4" w:space="0" w:color="auto"/>
              <w:right w:val="nil"/>
            </w:tcBorders>
            <w:shd w:val="clear" w:color="000000" w:fill="FFFFFF"/>
            <w:vAlign w:val="center"/>
            <w:hideMark/>
          </w:tcPr>
          <w:p w14:paraId="338089BF"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5</w:t>
            </w:r>
            <w:r w:rsidRPr="009435CD">
              <w:rPr>
                <w:color w:val="000000"/>
                <w:sz w:val="20"/>
                <w:szCs w:val="20"/>
              </w:rPr>
              <w:t>41</w:t>
            </w:r>
          </w:p>
        </w:tc>
        <w:tc>
          <w:tcPr>
            <w:tcW w:w="416" w:type="pct"/>
            <w:tcBorders>
              <w:top w:val="nil"/>
              <w:left w:val="nil"/>
              <w:bottom w:val="single" w:sz="4" w:space="0" w:color="auto"/>
              <w:right w:val="nil"/>
            </w:tcBorders>
            <w:shd w:val="clear" w:color="000000" w:fill="FFFFFF"/>
            <w:vAlign w:val="center"/>
            <w:hideMark/>
          </w:tcPr>
          <w:p w14:paraId="6531390E"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727</w:t>
            </w:r>
          </w:p>
        </w:tc>
      </w:tr>
      <w:tr w:rsidR="00F61F6E" w:rsidRPr="009435CD" w14:paraId="34424D1A" w14:textId="77777777" w:rsidTr="004D5428">
        <w:trPr>
          <w:trHeight w:val="315"/>
        </w:trPr>
        <w:tc>
          <w:tcPr>
            <w:tcW w:w="178" w:type="pct"/>
            <w:tcBorders>
              <w:top w:val="single" w:sz="4" w:space="0" w:color="auto"/>
              <w:left w:val="nil"/>
              <w:bottom w:val="single" w:sz="4" w:space="0" w:color="auto"/>
              <w:right w:val="nil"/>
            </w:tcBorders>
            <w:shd w:val="clear" w:color="auto" w:fill="auto"/>
            <w:noWrap/>
            <w:vAlign w:val="center"/>
            <w:hideMark/>
          </w:tcPr>
          <w:p w14:paraId="7ABAAFF4" w14:textId="77777777" w:rsidR="00F61F6E" w:rsidRPr="009435CD" w:rsidRDefault="00F61F6E" w:rsidP="006965C4">
            <w:pPr>
              <w:rPr>
                <w:color w:val="000000"/>
                <w:sz w:val="16"/>
                <w:szCs w:val="16"/>
              </w:rPr>
            </w:pPr>
            <w:r w:rsidRPr="009435CD">
              <w:rPr>
                <w:color w:val="000000"/>
                <w:sz w:val="16"/>
                <w:szCs w:val="16"/>
              </w:rPr>
              <w:t>21</w:t>
            </w:r>
          </w:p>
        </w:tc>
        <w:tc>
          <w:tcPr>
            <w:tcW w:w="3005" w:type="pct"/>
            <w:tcBorders>
              <w:top w:val="single" w:sz="4" w:space="0" w:color="auto"/>
              <w:left w:val="nil"/>
              <w:bottom w:val="single" w:sz="4" w:space="0" w:color="auto"/>
              <w:right w:val="nil"/>
            </w:tcBorders>
            <w:shd w:val="clear" w:color="000000" w:fill="FFFFFF"/>
            <w:vAlign w:val="center"/>
            <w:hideMark/>
          </w:tcPr>
          <w:p w14:paraId="66FD24BD" w14:textId="77777777" w:rsidR="00F61F6E" w:rsidRPr="009435CD" w:rsidRDefault="00F61F6E" w:rsidP="006965C4">
            <w:pPr>
              <w:rPr>
                <w:color w:val="000000"/>
                <w:sz w:val="20"/>
                <w:szCs w:val="20"/>
                <w:lang w:val="es-ES"/>
              </w:rPr>
            </w:pPr>
            <w:r w:rsidRPr="009435CD">
              <w:rPr>
                <w:color w:val="000000"/>
                <w:sz w:val="20"/>
                <w:szCs w:val="20"/>
                <w:lang w:val="es-CO"/>
              </w:rPr>
              <w:t>La falla de una obra de protección rápidamente dará lugar a la inundación de un gran área</w:t>
            </w:r>
          </w:p>
        </w:tc>
        <w:tc>
          <w:tcPr>
            <w:tcW w:w="363" w:type="pct"/>
            <w:tcBorders>
              <w:top w:val="single" w:sz="4" w:space="0" w:color="auto"/>
              <w:left w:val="nil"/>
              <w:bottom w:val="single" w:sz="4" w:space="0" w:color="auto"/>
              <w:right w:val="nil"/>
            </w:tcBorders>
            <w:shd w:val="clear" w:color="000000" w:fill="FFFFFF"/>
            <w:vAlign w:val="center"/>
            <w:hideMark/>
          </w:tcPr>
          <w:p w14:paraId="187765AB"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042</w:t>
            </w:r>
          </w:p>
        </w:tc>
        <w:tc>
          <w:tcPr>
            <w:tcW w:w="363" w:type="pct"/>
            <w:tcBorders>
              <w:top w:val="single" w:sz="4" w:space="0" w:color="auto"/>
              <w:left w:val="nil"/>
              <w:bottom w:val="single" w:sz="4" w:space="0" w:color="auto"/>
              <w:right w:val="nil"/>
            </w:tcBorders>
            <w:shd w:val="clear" w:color="000000" w:fill="FFFFFF"/>
            <w:vAlign w:val="center"/>
            <w:hideMark/>
          </w:tcPr>
          <w:p w14:paraId="37840007"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067</w:t>
            </w:r>
          </w:p>
        </w:tc>
        <w:tc>
          <w:tcPr>
            <w:tcW w:w="363" w:type="pct"/>
            <w:tcBorders>
              <w:top w:val="single" w:sz="4" w:space="0" w:color="auto"/>
              <w:left w:val="nil"/>
              <w:bottom w:val="single" w:sz="4" w:space="0" w:color="auto"/>
              <w:right w:val="nil"/>
            </w:tcBorders>
            <w:shd w:val="clear" w:color="000000" w:fill="FFFFFF"/>
            <w:vAlign w:val="center"/>
            <w:hideMark/>
          </w:tcPr>
          <w:p w14:paraId="5E01DB24"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075</w:t>
            </w:r>
          </w:p>
        </w:tc>
        <w:tc>
          <w:tcPr>
            <w:tcW w:w="311" w:type="pct"/>
            <w:tcBorders>
              <w:top w:val="single" w:sz="4" w:space="0" w:color="auto"/>
              <w:left w:val="nil"/>
              <w:bottom w:val="single" w:sz="4" w:space="0" w:color="auto"/>
              <w:right w:val="nil"/>
            </w:tcBorders>
            <w:shd w:val="clear" w:color="000000" w:fill="FFFFFF"/>
            <w:vAlign w:val="center"/>
            <w:hideMark/>
          </w:tcPr>
          <w:p w14:paraId="0840E2AD" w14:textId="77777777"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879</w:t>
            </w:r>
          </w:p>
        </w:tc>
        <w:tc>
          <w:tcPr>
            <w:tcW w:w="416" w:type="pct"/>
            <w:tcBorders>
              <w:top w:val="single" w:sz="4" w:space="0" w:color="auto"/>
              <w:left w:val="nil"/>
              <w:bottom w:val="single" w:sz="4" w:space="0" w:color="auto"/>
              <w:right w:val="nil"/>
            </w:tcBorders>
            <w:shd w:val="clear" w:color="000000" w:fill="FFFFFF"/>
            <w:vAlign w:val="center"/>
            <w:hideMark/>
          </w:tcPr>
          <w:p w14:paraId="3C44BE38" w14:textId="77777777"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739**</w:t>
            </w:r>
          </w:p>
        </w:tc>
      </w:tr>
      <w:tr w:rsidR="00F61F6E" w:rsidRPr="009435CD" w14:paraId="6DC51FEC" w14:textId="77777777" w:rsidTr="004D5428">
        <w:trPr>
          <w:trHeight w:val="300"/>
        </w:trPr>
        <w:tc>
          <w:tcPr>
            <w:tcW w:w="178" w:type="pct"/>
            <w:tcBorders>
              <w:top w:val="single" w:sz="4" w:space="0" w:color="auto"/>
              <w:left w:val="nil"/>
              <w:bottom w:val="nil"/>
              <w:right w:val="nil"/>
            </w:tcBorders>
            <w:shd w:val="clear" w:color="auto" w:fill="auto"/>
            <w:noWrap/>
            <w:vAlign w:val="center"/>
            <w:hideMark/>
          </w:tcPr>
          <w:p w14:paraId="6E94A15B" w14:textId="77777777" w:rsidR="00F61F6E" w:rsidRPr="009435CD" w:rsidRDefault="00F61F6E" w:rsidP="006965C4">
            <w:pPr>
              <w:rPr>
                <w:color w:val="000000"/>
                <w:sz w:val="16"/>
                <w:szCs w:val="16"/>
              </w:rPr>
            </w:pPr>
          </w:p>
        </w:tc>
        <w:tc>
          <w:tcPr>
            <w:tcW w:w="3005" w:type="pct"/>
            <w:tcBorders>
              <w:top w:val="single" w:sz="4" w:space="0" w:color="auto"/>
              <w:left w:val="nil"/>
              <w:bottom w:val="nil"/>
              <w:right w:val="nil"/>
            </w:tcBorders>
            <w:shd w:val="clear" w:color="auto" w:fill="auto"/>
            <w:noWrap/>
            <w:vAlign w:val="center"/>
            <w:hideMark/>
          </w:tcPr>
          <w:p w14:paraId="56FF01C4" w14:textId="77777777" w:rsidR="00F61F6E" w:rsidRPr="0090627A" w:rsidRDefault="00F61F6E" w:rsidP="006965C4">
            <w:pPr>
              <w:rPr>
                <w:color w:val="000000"/>
                <w:sz w:val="20"/>
                <w:szCs w:val="20"/>
              </w:rPr>
            </w:pPr>
            <w:r w:rsidRPr="0090627A">
              <w:rPr>
                <w:color w:val="000000"/>
                <w:sz w:val="20"/>
                <w:szCs w:val="20"/>
              </w:rPr>
              <w:t>Valor propio</w:t>
            </w:r>
          </w:p>
        </w:tc>
        <w:tc>
          <w:tcPr>
            <w:tcW w:w="363" w:type="pct"/>
            <w:tcBorders>
              <w:top w:val="single" w:sz="4" w:space="0" w:color="auto"/>
              <w:left w:val="nil"/>
              <w:bottom w:val="nil"/>
              <w:right w:val="nil"/>
            </w:tcBorders>
            <w:shd w:val="clear" w:color="000000" w:fill="FFFFFF"/>
            <w:vAlign w:val="center"/>
            <w:hideMark/>
          </w:tcPr>
          <w:p w14:paraId="0FF390A7" w14:textId="77777777" w:rsidR="00F61F6E" w:rsidRPr="009435CD" w:rsidRDefault="00F61F6E" w:rsidP="006965C4">
            <w:pPr>
              <w:jc w:val="center"/>
              <w:rPr>
                <w:color w:val="000000"/>
                <w:sz w:val="20"/>
                <w:szCs w:val="20"/>
              </w:rPr>
            </w:pPr>
            <w:r w:rsidRPr="009435CD">
              <w:rPr>
                <w:color w:val="000000"/>
                <w:sz w:val="20"/>
                <w:szCs w:val="20"/>
                <w:lang w:val="es-CO"/>
              </w:rPr>
              <w:t>3</w:t>
            </w:r>
            <w:r>
              <w:rPr>
                <w:color w:val="000000"/>
                <w:sz w:val="20"/>
                <w:szCs w:val="20"/>
                <w:lang w:val="es-CO"/>
              </w:rPr>
              <w:t>.</w:t>
            </w:r>
            <w:r w:rsidRPr="009435CD">
              <w:rPr>
                <w:color w:val="000000"/>
                <w:sz w:val="20"/>
                <w:szCs w:val="20"/>
                <w:lang w:val="es-CO"/>
              </w:rPr>
              <w:t>45</w:t>
            </w:r>
          </w:p>
        </w:tc>
        <w:tc>
          <w:tcPr>
            <w:tcW w:w="363" w:type="pct"/>
            <w:tcBorders>
              <w:top w:val="single" w:sz="4" w:space="0" w:color="auto"/>
              <w:left w:val="nil"/>
              <w:bottom w:val="nil"/>
              <w:right w:val="nil"/>
            </w:tcBorders>
            <w:shd w:val="clear" w:color="000000" w:fill="FFFFFF"/>
            <w:vAlign w:val="center"/>
            <w:hideMark/>
          </w:tcPr>
          <w:p w14:paraId="0E00FEFC" w14:textId="77777777" w:rsidR="00F61F6E" w:rsidRPr="009435CD" w:rsidRDefault="00F61F6E" w:rsidP="006965C4">
            <w:pPr>
              <w:jc w:val="center"/>
              <w:rPr>
                <w:color w:val="000000"/>
                <w:sz w:val="20"/>
                <w:szCs w:val="20"/>
              </w:rPr>
            </w:pPr>
            <w:r w:rsidRPr="009435CD">
              <w:rPr>
                <w:color w:val="000000"/>
                <w:sz w:val="20"/>
                <w:szCs w:val="20"/>
                <w:lang w:val="es-CO"/>
              </w:rPr>
              <w:t>2</w:t>
            </w:r>
            <w:r>
              <w:rPr>
                <w:color w:val="000000"/>
                <w:sz w:val="20"/>
                <w:szCs w:val="20"/>
                <w:lang w:val="es-CO"/>
              </w:rPr>
              <w:t>.</w:t>
            </w:r>
            <w:r w:rsidRPr="009435CD">
              <w:rPr>
                <w:color w:val="000000"/>
                <w:sz w:val="20"/>
                <w:szCs w:val="20"/>
                <w:lang w:val="es-CO"/>
              </w:rPr>
              <w:t>414</w:t>
            </w:r>
          </w:p>
        </w:tc>
        <w:tc>
          <w:tcPr>
            <w:tcW w:w="363" w:type="pct"/>
            <w:tcBorders>
              <w:top w:val="single" w:sz="4" w:space="0" w:color="auto"/>
              <w:left w:val="nil"/>
              <w:bottom w:val="nil"/>
              <w:right w:val="nil"/>
            </w:tcBorders>
            <w:shd w:val="clear" w:color="000000" w:fill="FFFFFF"/>
            <w:vAlign w:val="center"/>
            <w:hideMark/>
          </w:tcPr>
          <w:p w14:paraId="5742B262" w14:textId="77777777" w:rsidR="00F61F6E" w:rsidRPr="009435CD" w:rsidRDefault="00F61F6E" w:rsidP="006965C4">
            <w:pPr>
              <w:jc w:val="center"/>
              <w:rPr>
                <w:color w:val="000000"/>
                <w:sz w:val="20"/>
                <w:szCs w:val="20"/>
              </w:rPr>
            </w:pPr>
            <w:r w:rsidRPr="009435CD">
              <w:rPr>
                <w:color w:val="000000"/>
                <w:sz w:val="20"/>
                <w:szCs w:val="20"/>
                <w:lang w:val="es-CO"/>
              </w:rPr>
              <w:t>1</w:t>
            </w:r>
            <w:r>
              <w:rPr>
                <w:color w:val="000000"/>
                <w:sz w:val="20"/>
                <w:szCs w:val="20"/>
                <w:lang w:val="es-CO"/>
              </w:rPr>
              <w:t>.</w:t>
            </w:r>
            <w:r w:rsidRPr="009435CD">
              <w:rPr>
                <w:color w:val="000000"/>
                <w:sz w:val="20"/>
                <w:szCs w:val="20"/>
                <w:lang w:val="es-CO"/>
              </w:rPr>
              <w:t>806</w:t>
            </w:r>
          </w:p>
        </w:tc>
        <w:tc>
          <w:tcPr>
            <w:tcW w:w="311" w:type="pct"/>
            <w:tcBorders>
              <w:top w:val="single" w:sz="4" w:space="0" w:color="auto"/>
              <w:left w:val="nil"/>
              <w:bottom w:val="nil"/>
              <w:right w:val="nil"/>
            </w:tcBorders>
            <w:shd w:val="clear" w:color="000000" w:fill="FFFFFF"/>
            <w:vAlign w:val="center"/>
            <w:hideMark/>
          </w:tcPr>
          <w:p w14:paraId="34C23338" w14:textId="77777777" w:rsidR="00F61F6E" w:rsidRPr="009435CD" w:rsidRDefault="00F61F6E" w:rsidP="006965C4">
            <w:pPr>
              <w:jc w:val="center"/>
              <w:rPr>
                <w:color w:val="000000"/>
                <w:sz w:val="20"/>
                <w:szCs w:val="20"/>
              </w:rPr>
            </w:pPr>
            <w:r w:rsidRPr="009435CD">
              <w:rPr>
                <w:color w:val="000000"/>
                <w:sz w:val="20"/>
                <w:szCs w:val="20"/>
                <w:lang w:val="es-CO"/>
              </w:rPr>
              <w:t>1</w:t>
            </w:r>
            <w:r>
              <w:rPr>
                <w:color w:val="000000"/>
                <w:sz w:val="20"/>
                <w:szCs w:val="20"/>
                <w:lang w:val="es-CO"/>
              </w:rPr>
              <w:t>.</w:t>
            </w:r>
            <w:r w:rsidRPr="009435CD">
              <w:rPr>
                <w:color w:val="000000"/>
                <w:sz w:val="20"/>
                <w:szCs w:val="20"/>
                <w:lang w:val="es-CO"/>
              </w:rPr>
              <w:t>147</w:t>
            </w:r>
          </w:p>
        </w:tc>
        <w:tc>
          <w:tcPr>
            <w:tcW w:w="416" w:type="pct"/>
            <w:tcBorders>
              <w:top w:val="single" w:sz="4" w:space="0" w:color="auto"/>
              <w:left w:val="nil"/>
              <w:bottom w:val="nil"/>
              <w:right w:val="nil"/>
            </w:tcBorders>
            <w:shd w:val="clear" w:color="auto" w:fill="auto"/>
            <w:noWrap/>
            <w:vAlign w:val="bottom"/>
            <w:hideMark/>
          </w:tcPr>
          <w:p w14:paraId="1933A81D" w14:textId="77777777" w:rsidR="00F61F6E" w:rsidRPr="009435CD" w:rsidRDefault="00F61F6E" w:rsidP="006965C4">
            <w:pPr>
              <w:rPr>
                <w:color w:val="000000"/>
                <w:sz w:val="20"/>
                <w:szCs w:val="20"/>
              </w:rPr>
            </w:pPr>
          </w:p>
        </w:tc>
      </w:tr>
      <w:tr w:rsidR="00F61F6E" w:rsidRPr="009435CD" w14:paraId="27ED8341" w14:textId="77777777" w:rsidTr="004D5428">
        <w:trPr>
          <w:trHeight w:val="300"/>
        </w:trPr>
        <w:tc>
          <w:tcPr>
            <w:tcW w:w="178" w:type="pct"/>
            <w:tcBorders>
              <w:top w:val="nil"/>
              <w:left w:val="nil"/>
              <w:right w:val="nil"/>
            </w:tcBorders>
            <w:shd w:val="clear" w:color="auto" w:fill="auto"/>
            <w:noWrap/>
            <w:vAlign w:val="center"/>
            <w:hideMark/>
          </w:tcPr>
          <w:p w14:paraId="3E669433" w14:textId="77777777" w:rsidR="00F61F6E" w:rsidRPr="009435CD" w:rsidRDefault="00F61F6E" w:rsidP="006965C4">
            <w:pPr>
              <w:rPr>
                <w:color w:val="000000"/>
                <w:sz w:val="16"/>
                <w:szCs w:val="16"/>
              </w:rPr>
            </w:pPr>
          </w:p>
        </w:tc>
        <w:tc>
          <w:tcPr>
            <w:tcW w:w="3005" w:type="pct"/>
            <w:tcBorders>
              <w:top w:val="nil"/>
              <w:left w:val="nil"/>
              <w:bottom w:val="nil"/>
              <w:right w:val="nil"/>
            </w:tcBorders>
            <w:shd w:val="clear" w:color="auto" w:fill="auto"/>
            <w:noWrap/>
            <w:vAlign w:val="center"/>
            <w:hideMark/>
          </w:tcPr>
          <w:p w14:paraId="00503EED" w14:textId="77777777" w:rsidR="00F61F6E" w:rsidRPr="0090627A" w:rsidRDefault="00F61F6E" w:rsidP="006965C4">
            <w:pPr>
              <w:rPr>
                <w:color w:val="000000"/>
                <w:sz w:val="20"/>
                <w:szCs w:val="20"/>
              </w:rPr>
            </w:pPr>
            <w:r w:rsidRPr="0090627A">
              <w:rPr>
                <w:color w:val="000000"/>
                <w:sz w:val="20"/>
                <w:szCs w:val="20"/>
              </w:rPr>
              <w:t>Varianza</w:t>
            </w:r>
            <w:r w:rsidR="002F2646">
              <w:rPr>
                <w:color w:val="000000"/>
                <w:sz w:val="20"/>
                <w:szCs w:val="20"/>
              </w:rPr>
              <w:t xml:space="preserve"> </w:t>
            </w:r>
            <w:r w:rsidRPr="0090627A">
              <w:rPr>
                <w:color w:val="000000"/>
                <w:sz w:val="20"/>
                <w:szCs w:val="20"/>
              </w:rPr>
              <w:t>explicada</w:t>
            </w:r>
          </w:p>
        </w:tc>
        <w:tc>
          <w:tcPr>
            <w:tcW w:w="363" w:type="pct"/>
            <w:tcBorders>
              <w:top w:val="nil"/>
              <w:left w:val="nil"/>
              <w:bottom w:val="nil"/>
              <w:right w:val="nil"/>
            </w:tcBorders>
            <w:shd w:val="clear" w:color="000000" w:fill="FFFFFF"/>
            <w:vAlign w:val="center"/>
            <w:hideMark/>
          </w:tcPr>
          <w:p w14:paraId="218AA7C5" w14:textId="77777777" w:rsidR="00F61F6E" w:rsidRPr="009435CD" w:rsidRDefault="00F61F6E" w:rsidP="006965C4">
            <w:pPr>
              <w:jc w:val="center"/>
              <w:rPr>
                <w:color w:val="000000"/>
                <w:sz w:val="20"/>
                <w:szCs w:val="20"/>
              </w:rPr>
            </w:pPr>
            <w:r w:rsidRPr="009435CD">
              <w:rPr>
                <w:color w:val="000000"/>
                <w:sz w:val="20"/>
                <w:szCs w:val="20"/>
                <w:lang w:val="es-CO"/>
              </w:rPr>
              <w:t>23</w:t>
            </w:r>
            <w:r>
              <w:rPr>
                <w:color w:val="000000"/>
                <w:sz w:val="20"/>
                <w:szCs w:val="20"/>
                <w:lang w:val="es-CO"/>
              </w:rPr>
              <w:t>.</w:t>
            </w:r>
            <w:r w:rsidRPr="009435CD">
              <w:rPr>
                <w:color w:val="000000"/>
                <w:sz w:val="20"/>
                <w:szCs w:val="20"/>
                <w:lang w:val="es-CO"/>
              </w:rPr>
              <w:t>003</w:t>
            </w:r>
          </w:p>
        </w:tc>
        <w:tc>
          <w:tcPr>
            <w:tcW w:w="363" w:type="pct"/>
            <w:tcBorders>
              <w:top w:val="nil"/>
              <w:left w:val="nil"/>
              <w:bottom w:val="nil"/>
              <w:right w:val="nil"/>
            </w:tcBorders>
            <w:shd w:val="clear" w:color="000000" w:fill="FFFFFF"/>
            <w:vAlign w:val="center"/>
            <w:hideMark/>
          </w:tcPr>
          <w:p w14:paraId="5F5307B5" w14:textId="77777777" w:rsidR="00F61F6E" w:rsidRPr="009435CD" w:rsidRDefault="00F61F6E" w:rsidP="006965C4">
            <w:pPr>
              <w:jc w:val="center"/>
              <w:rPr>
                <w:color w:val="000000"/>
                <w:sz w:val="20"/>
                <w:szCs w:val="20"/>
              </w:rPr>
            </w:pPr>
            <w:r w:rsidRPr="009435CD">
              <w:rPr>
                <w:color w:val="000000"/>
                <w:sz w:val="20"/>
                <w:szCs w:val="20"/>
                <w:lang w:val="es-CO"/>
              </w:rPr>
              <w:t>16</w:t>
            </w:r>
            <w:r>
              <w:rPr>
                <w:color w:val="000000"/>
                <w:sz w:val="20"/>
                <w:szCs w:val="20"/>
                <w:lang w:val="es-CO"/>
              </w:rPr>
              <w:t>.</w:t>
            </w:r>
            <w:r w:rsidRPr="009435CD">
              <w:rPr>
                <w:color w:val="000000"/>
                <w:sz w:val="20"/>
                <w:szCs w:val="20"/>
                <w:lang w:val="es-CO"/>
              </w:rPr>
              <w:t>096</w:t>
            </w:r>
          </w:p>
        </w:tc>
        <w:tc>
          <w:tcPr>
            <w:tcW w:w="363" w:type="pct"/>
            <w:tcBorders>
              <w:top w:val="nil"/>
              <w:left w:val="nil"/>
              <w:bottom w:val="nil"/>
              <w:right w:val="nil"/>
            </w:tcBorders>
            <w:shd w:val="clear" w:color="000000" w:fill="FFFFFF"/>
            <w:vAlign w:val="center"/>
            <w:hideMark/>
          </w:tcPr>
          <w:p w14:paraId="0F5B9C80" w14:textId="77777777" w:rsidR="00F61F6E" w:rsidRPr="009435CD" w:rsidRDefault="00F61F6E" w:rsidP="006965C4">
            <w:pPr>
              <w:jc w:val="center"/>
              <w:rPr>
                <w:color w:val="000000"/>
                <w:sz w:val="20"/>
                <w:szCs w:val="20"/>
              </w:rPr>
            </w:pPr>
            <w:r w:rsidRPr="009435CD">
              <w:rPr>
                <w:color w:val="000000"/>
                <w:sz w:val="20"/>
                <w:szCs w:val="20"/>
                <w:lang w:val="es-CO"/>
              </w:rPr>
              <w:t>12</w:t>
            </w:r>
            <w:r>
              <w:rPr>
                <w:color w:val="000000"/>
                <w:sz w:val="20"/>
                <w:szCs w:val="20"/>
                <w:lang w:val="es-CO"/>
              </w:rPr>
              <w:t>.</w:t>
            </w:r>
            <w:r w:rsidRPr="009435CD">
              <w:rPr>
                <w:color w:val="000000"/>
                <w:sz w:val="20"/>
                <w:szCs w:val="20"/>
                <w:lang w:val="es-CO"/>
              </w:rPr>
              <w:t>041</w:t>
            </w:r>
          </w:p>
        </w:tc>
        <w:tc>
          <w:tcPr>
            <w:tcW w:w="311" w:type="pct"/>
            <w:tcBorders>
              <w:top w:val="nil"/>
              <w:left w:val="nil"/>
              <w:bottom w:val="nil"/>
              <w:right w:val="nil"/>
            </w:tcBorders>
            <w:shd w:val="clear" w:color="000000" w:fill="FFFFFF"/>
            <w:vAlign w:val="center"/>
            <w:hideMark/>
          </w:tcPr>
          <w:p w14:paraId="488F83A3" w14:textId="77777777" w:rsidR="00F61F6E" w:rsidRPr="009435CD" w:rsidRDefault="00F61F6E" w:rsidP="006965C4">
            <w:pPr>
              <w:jc w:val="center"/>
              <w:rPr>
                <w:color w:val="000000"/>
                <w:sz w:val="20"/>
                <w:szCs w:val="20"/>
              </w:rPr>
            </w:pPr>
            <w:r w:rsidRPr="009435CD">
              <w:rPr>
                <w:color w:val="000000"/>
                <w:sz w:val="20"/>
                <w:szCs w:val="20"/>
                <w:lang w:val="es-CO"/>
              </w:rPr>
              <w:t>7</w:t>
            </w:r>
            <w:r>
              <w:rPr>
                <w:color w:val="000000"/>
                <w:sz w:val="20"/>
                <w:szCs w:val="20"/>
                <w:lang w:val="es-CO"/>
              </w:rPr>
              <w:t>.</w:t>
            </w:r>
            <w:r w:rsidRPr="009435CD">
              <w:rPr>
                <w:color w:val="000000"/>
                <w:sz w:val="20"/>
                <w:szCs w:val="20"/>
                <w:lang w:val="es-CO"/>
              </w:rPr>
              <w:t>648</w:t>
            </w:r>
          </w:p>
        </w:tc>
        <w:tc>
          <w:tcPr>
            <w:tcW w:w="416" w:type="pct"/>
            <w:tcBorders>
              <w:top w:val="nil"/>
              <w:left w:val="nil"/>
              <w:bottom w:val="nil"/>
              <w:right w:val="nil"/>
            </w:tcBorders>
            <w:shd w:val="clear" w:color="auto" w:fill="auto"/>
            <w:noWrap/>
            <w:vAlign w:val="bottom"/>
            <w:hideMark/>
          </w:tcPr>
          <w:p w14:paraId="44B9D357" w14:textId="77777777" w:rsidR="00F61F6E" w:rsidRPr="009435CD" w:rsidRDefault="00F61F6E" w:rsidP="006965C4">
            <w:pPr>
              <w:rPr>
                <w:color w:val="000000"/>
                <w:sz w:val="20"/>
                <w:szCs w:val="20"/>
              </w:rPr>
            </w:pPr>
          </w:p>
        </w:tc>
      </w:tr>
      <w:tr w:rsidR="00A242F0" w:rsidRPr="009435CD" w14:paraId="440AD987" w14:textId="77777777" w:rsidTr="004D5428">
        <w:trPr>
          <w:trHeight w:val="300"/>
        </w:trPr>
        <w:tc>
          <w:tcPr>
            <w:tcW w:w="178" w:type="pct"/>
            <w:tcBorders>
              <w:top w:val="nil"/>
              <w:left w:val="nil"/>
              <w:right w:val="nil"/>
            </w:tcBorders>
            <w:shd w:val="clear" w:color="auto" w:fill="auto"/>
            <w:noWrap/>
            <w:vAlign w:val="center"/>
            <w:hideMark/>
          </w:tcPr>
          <w:p w14:paraId="5DD11580" w14:textId="77777777" w:rsidR="00A242F0" w:rsidRPr="009435CD" w:rsidRDefault="00A242F0" w:rsidP="006965C4">
            <w:pPr>
              <w:rPr>
                <w:color w:val="000000"/>
                <w:sz w:val="16"/>
                <w:szCs w:val="16"/>
              </w:rPr>
            </w:pPr>
          </w:p>
        </w:tc>
        <w:tc>
          <w:tcPr>
            <w:tcW w:w="3005" w:type="pct"/>
            <w:tcBorders>
              <w:top w:val="nil"/>
              <w:left w:val="nil"/>
              <w:right w:val="nil"/>
            </w:tcBorders>
            <w:shd w:val="clear" w:color="auto" w:fill="auto"/>
            <w:noWrap/>
            <w:vAlign w:val="center"/>
            <w:hideMark/>
          </w:tcPr>
          <w:p w14:paraId="3932B4E1" w14:textId="77777777" w:rsidR="00A242F0" w:rsidRPr="0090627A" w:rsidRDefault="00A242F0" w:rsidP="006965C4">
            <w:pPr>
              <w:rPr>
                <w:color w:val="000000"/>
                <w:sz w:val="20"/>
                <w:szCs w:val="20"/>
              </w:rPr>
            </w:pPr>
            <w:r>
              <w:rPr>
                <w:color w:val="000000"/>
                <w:sz w:val="20"/>
                <w:szCs w:val="20"/>
              </w:rPr>
              <w:t>α</w:t>
            </w:r>
          </w:p>
        </w:tc>
        <w:tc>
          <w:tcPr>
            <w:tcW w:w="363" w:type="pct"/>
            <w:tcBorders>
              <w:top w:val="nil"/>
              <w:left w:val="nil"/>
              <w:right w:val="nil"/>
            </w:tcBorders>
            <w:shd w:val="clear" w:color="000000" w:fill="FFFFFF"/>
            <w:vAlign w:val="center"/>
            <w:hideMark/>
          </w:tcPr>
          <w:p w14:paraId="6951EC5C" w14:textId="77777777" w:rsidR="00A242F0" w:rsidRPr="009435CD" w:rsidRDefault="001A078F" w:rsidP="006965C4">
            <w:pPr>
              <w:jc w:val="center"/>
              <w:rPr>
                <w:color w:val="000000"/>
                <w:sz w:val="20"/>
                <w:szCs w:val="20"/>
                <w:lang w:val="es-CO"/>
              </w:rPr>
            </w:pPr>
            <w:r>
              <w:rPr>
                <w:color w:val="000000"/>
                <w:sz w:val="20"/>
                <w:szCs w:val="20"/>
                <w:lang w:val="es-CO"/>
              </w:rPr>
              <w:t>.718</w:t>
            </w:r>
          </w:p>
        </w:tc>
        <w:tc>
          <w:tcPr>
            <w:tcW w:w="363" w:type="pct"/>
            <w:tcBorders>
              <w:top w:val="nil"/>
              <w:left w:val="nil"/>
              <w:right w:val="nil"/>
            </w:tcBorders>
            <w:shd w:val="clear" w:color="000000" w:fill="FFFFFF"/>
            <w:vAlign w:val="center"/>
            <w:hideMark/>
          </w:tcPr>
          <w:p w14:paraId="06E57059" w14:textId="77777777" w:rsidR="00A242F0" w:rsidRPr="009435CD" w:rsidRDefault="001A078F" w:rsidP="006965C4">
            <w:pPr>
              <w:jc w:val="center"/>
              <w:rPr>
                <w:color w:val="000000"/>
                <w:sz w:val="20"/>
                <w:szCs w:val="20"/>
                <w:lang w:val="es-CO"/>
              </w:rPr>
            </w:pPr>
            <w:r>
              <w:rPr>
                <w:color w:val="000000"/>
                <w:sz w:val="20"/>
                <w:szCs w:val="20"/>
                <w:lang w:val="es-CO"/>
              </w:rPr>
              <w:t>.787</w:t>
            </w:r>
          </w:p>
        </w:tc>
        <w:tc>
          <w:tcPr>
            <w:tcW w:w="363" w:type="pct"/>
            <w:tcBorders>
              <w:top w:val="nil"/>
              <w:left w:val="nil"/>
              <w:right w:val="nil"/>
            </w:tcBorders>
            <w:shd w:val="clear" w:color="000000" w:fill="FFFFFF"/>
            <w:vAlign w:val="center"/>
            <w:hideMark/>
          </w:tcPr>
          <w:p w14:paraId="2B13C187" w14:textId="77777777" w:rsidR="00A242F0" w:rsidRPr="009435CD" w:rsidRDefault="004D5428" w:rsidP="006965C4">
            <w:pPr>
              <w:jc w:val="center"/>
              <w:rPr>
                <w:color w:val="000000"/>
                <w:sz w:val="20"/>
                <w:szCs w:val="20"/>
                <w:lang w:val="es-CO"/>
              </w:rPr>
            </w:pPr>
            <w:r>
              <w:rPr>
                <w:color w:val="000000"/>
                <w:sz w:val="20"/>
                <w:szCs w:val="20"/>
                <w:lang w:val="es-CO"/>
              </w:rPr>
              <w:t>.631</w:t>
            </w:r>
          </w:p>
        </w:tc>
        <w:tc>
          <w:tcPr>
            <w:tcW w:w="311" w:type="pct"/>
            <w:tcBorders>
              <w:top w:val="nil"/>
              <w:left w:val="nil"/>
              <w:right w:val="nil"/>
            </w:tcBorders>
            <w:shd w:val="clear" w:color="000000" w:fill="FFFFFF"/>
            <w:vAlign w:val="center"/>
            <w:hideMark/>
          </w:tcPr>
          <w:p w14:paraId="2FF41E8D" w14:textId="77777777" w:rsidR="00A242F0" w:rsidRPr="009435CD" w:rsidRDefault="00D25B8B" w:rsidP="006965C4">
            <w:pPr>
              <w:jc w:val="center"/>
              <w:rPr>
                <w:color w:val="000000"/>
                <w:sz w:val="20"/>
                <w:szCs w:val="20"/>
                <w:lang w:val="es-CO"/>
              </w:rPr>
            </w:pPr>
            <w:r>
              <w:rPr>
                <w:color w:val="000000"/>
                <w:sz w:val="20"/>
                <w:szCs w:val="20"/>
                <w:lang w:val="es-CO"/>
              </w:rPr>
              <w:t>-</w:t>
            </w:r>
          </w:p>
        </w:tc>
        <w:tc>
          <w:tcPr>
            <w:tcW w:w="416" w:type="pct"/>
            <w:tcBorders>
              <w:top w:val="nil"/>
              <w:left w:val="nil"/>
              <w:right w:val="nil"/>
            </w:tcBorders>
            <w:shd w:val="clear" w:color="auto" w:fill="auto"/>
            <w:noWrap/>
            <w:vAlign w:val="bottom"/>
            <w:hideMark/>
          </w:tcPr>
          <w:p w14:paraId="4344DE24" w14:textId="77777777" w:rsidR="00A242F0" w:rsidRPr="009435CD" w:rsidRDefault="00A242F0" w:rsidP="006965C4">
            <w:pPr>
              <w:rPr>
                <w:color w:val="000000"/>
                <w:sz w:val="20"/>
                <w:szCs w:val="20"/>
              </w:rPr>
            </w:pPr>
          </w:p>
        </w:tc>
      </w:tr>
      <w:tr w:rsidR="00F61F6E" w:rsidRPr="009435CD" w14:paraId="45FBD5DB" w14:textId="77777777" w:rsidTr="004D5428">
        <w:trPr>
          <w:trHeight w:val="315"/>
        </w:trPr>
        <w:tc>
          <w:tcPr>
            <w:tcW w:w="178" w:type="pct"/>
            <w:tcBorders>
              <w:top w:val="nil"/>
              <w:left w:val="nil"/>
              <w:bottom w:val="single" w:sz="4" w:space="0" w:color="auto"/>
              <w:right w:val="nil"/>
            </w:tcBorders>
            <w:shd w:val="clear" w:color="auto" w:fill="auto"/>
            <w:noWrap/>
            <w:vAlign w:val="center"/>
            <w:hideMark/>
          </w:tcPr>
          <w:p w14:paraId="6F47F0B3" w14:textId="77777777" w:rsidR="00F61F6E" w:rsidRPr="009435CD" w:rsidRDefault="00F61F6E" w:rsidP="006965C4">
            <w:pPr>
              <w:rPr>
                <w:color w:val="000000"/>
                <w:sz w:val="16"/>
                <w:szCs w:val="16"/>
              </w:rPr>
            </w:pPr>
          </w:p>
        </w:tc>
        <w:tc>
          <w:tcPr>
            <w:tcW w:w="3005" w:type="pct"/>
            <w:tcBorders>
              <w:top w:val="nil"/>
              <w:left w:val="nil"/>
              <w:bottom w:val="single" w:sz="4" w:space="0" w:color="auto"/>
              <w:right w:val="nil"/>
            </w:tcBorders>
            <w:shd w:val="clear" w:color="auto" w:fill="auto"/>
            <w:noWrap/>
            <w:vAlign w:val="center"/>
            <w:hideMark/>
          </w:tcPr>
          <w:p w14:paraId="35E9E901" w14:textId="77777777" w:rsidR="00F61F6E" w:rsidRPr="0090627A" w:rsidRDefault="00F61F6E" w:rsidP="006965C4">
            <w:pPr>
              <w:rPr>
                <w:color w:val="000000"/>
                <w:sz w:val="20"/>
                <w:szCs w:val="20"/>
              </w:rPr>
            </w:pPr>
            <w:r w:rsidRPr="0090627A">
              <w:rPr>
                <w:color w:val="000000"/>
                <w:sz w:val="20"/>
                <w:szCs w:val="20"/>
              </w:rPr>
              <w:t>M</w:t>
            </w:r>
          </w:p>
        </w:tc>
        <w:tc>
          <w:tcPr>
            <w:tcW w:w="363" w:type="pct"/>
            <w:tcBorders>
              <w:top w:val="nil"/>
              <w:left w:val="nil"/>
              <w:bottom w:val="single" w:sz="4" w:space="0" w:color="auto"/>
              <w:right w:val="nil"/>
            </w:tcBorders>
            <w:shd w:val="clear" w:color="auto" w:fill="auto"/>
            <w:noWrap/>
            <w:vAlign w:val="center"/>
            <w:hideMark/>
          </w:tcPr>
          <w:p w14:paraId="699CAD71" w14:textId="77777777" w:rsidR="00F61F6E" w:rsidRPr="009435CD" w:rsidRDefault="00F61F6E" w:rsidP="006965C4">
            <w:pPr>
              <w:jc w:val="center"/>
              <w:rPr>
                <w:color w:val="000000"/>
                <w:sz w:val="20"/>
                <w:szCs w:val="20"/>
              </w:rPr>
            </w:pPr>
            <w:r w:rsidRPr="009435CD">
              <w:rPr>
                <w:color w:val="000000"/>
                <w:sz w:val="20"/>
                <w:szCs w:val="20"/>
              </w:rPr>
              <w:t>3</w:t>
            </w:r>
            <w:r>
              <w:rPr>
                <w:color w:val="000000"/>
                <w:sz w:val="20"/>
                <w:szCs w:val="20"/>
              </w:rPr>
              <w:t>.</w:t>
            </w:r>
            <w:r w:rsidRPr="009435CD">
              <w:rPr>
                <w:color w:val="000000"/>
                <w:sz w:val="20"/>
                <w:szCs w:val="20"/>
              </w:rPr>
              <w:t>174</w:t>
            </w:r>
          </w:p>
        </w:tc>
        <w:tc>
          <w:tcPr>
            <w:tcW w:w="363" w:type="pct"/>
            <w:tcBorders>
              <w:top w:val="nil"/>
              <w:left w:val="nil"/>
              <w:bottom w:val="single" w:sz="4" w:space="0" w:color="auto"/>
              <w:right w:val="nil"/>
            </w:tcBorders>
            <w:shd w:val="clear" w:color="auto" w:fill="auto"/>
            <w:noWrap/>
            <w:vAlign w:val="center"/>
            <w:hideMark/>
          </w:tcPr>
          <w:p w14:paraId="3AB6BF56" w14:textId="77777777" w:rsidR="00F61F6E" w:rsidRPr="009435CD" w:rsidRDefault="00F61F6E" w:rsidP="006965C4">
            <w:pPr>
              <w:jc w:val="center"/>
              <w:rPr>
                <w:color w:val="000000"/>
                <w:sz w:val="20"/>
                <w:szCs w:val="20"/>
              </w:rPr>
            </w:pPr>
            <w:r w:rsidRPr="009435CD">
              <w:rPr>
                <w:color w:val="000000"/>
                <w:sz w:val="20"/>
                <w:szCs w:val="20"/>
              </w:rPr>
              <w:t>3</w:t>
            </w:r>
            <w:r>
              <w:rPr>
                <w:color w:val="000000"/>
                <w:sz w:val="20"/>
                <w:szCs w:val="20"/>
              </w:rPr>
              <w:t>.</w:t>
            </w:r>
            <w:r w:rsidRPr="009435CD">
              <w:rPr>
                <w:color w:val="000000"/>
                <w:sz w:val="20"/>
                <w:szCs w:val="20"/>
              </w:rPr>
              <w:t>2276</w:t>
            </w:r>
          </w:p>
        </w:tc>
        <w:tc>
          <w:tcPr>
            <w:tcW w:w="363" w:type="pct"/>
            <w:tcBorders>
              <w:top w:val="nil"/>
              <w:left w:val="nil"/>
              <w:bottom w:val="single" w:sz="4" w:space="0" w:color="auto"/>
              <w:right w:val="nil"/>
            </w:tcBorders>
            <w:shd w:val="clear" w:color="auto" w:fill="auto"/>
            <w:noWrap/>
            <w:vAlign w:val="center"/>
            <w:hideMark/>
          </w:tcPr>
          <w:p w14:paraId="0FD726AE" w14:textId="77777777" w:rsidR="00F61F6E" w:rsidRPr="009435CD" w:rsidRDefault="00F61F6E" w:rsidP="006965C4">
            <w:pPr>
              <w:jc w:val="center"/>
              <w:rPr>
                <w:color w:val="000000"/>
                <w:sz w:val="20"/>
                <w:szCs w:val="20"/>
              </w:rPr>
            </w:pPr>
            <w:r w:rsidRPr="009435CD">
              <w:rPr>
                <w:color w:val="000000"/>
                <w:sz w:val="20"/>
                <w:szCs w:val="20"/>
              </w:rPr>
              <w:t>3</w:t>
            </w:r>
            <w:r>
              <w:rPr>
                <w:color w:val="000000"/>
                <w:sz w:val="20"/>
                <w:szCs w:val="20"/>
              </w:rPr>
              <w:t>.</w:t>
            </w:r>
            <w:r w:rsidRPr="009435CD">
              <w:rPr>
                <w:color w:val="000000"/>
                <w:sz w:val="20"/>
                <w:szCs w:val="20"/>
              </w:rPr>
              <w:t>1685</w:t>
            </w:r>
          </w:p>
        </w:tc>
        <w:tc>
          <w:tcPr>
            <w:tcW w:w="311" w:type="pct"/>
            <w:tcBorders>
              <w:top w:val="nil"/>
              <w:left w:val="nil"/>
              <w:bottom w:val="single" w:sz="4" w:space="0" w:color="auto"/>
              <w:right w:val="nil"/>
            </w:tcBorders>
            <w:shd w:val="clear" w:color="auto" w:fill="auto"/>
            <w:noWrap/>
            <w:vAlign w:val="center"/>
            <w:hideMark/>
          </w:tcPr>
          <w:p w14:paraId="4BF38BEB" w14:textId="77777777" w:rsidR="00F61F6E" w:rsidRPr="009435CD" w:rsidRDefault="00F61F6E" w:rsidP="006965C4">
            <w:pPr>
              <w:jc w:val="center"/>
              <w:rPr>
                <w:color w:val="000000"/>
                <w:sz w:val="20"/>
                <w:szCs w:val="20"/>
              </w:rPr>
            </w:pPr>
            <w:r w:rsidRPr="009435CD">
              <w:rPr>
                <w:color w:val="000000"/>
                <w:sz w:val="20"/>
                <w:szCs w:val="20"/>
              </w:rPr>
              <w:t>3</w:t>
            </w:r>
            <w:r>
              <w:rPr>
                <w:color w:val="000000"/>
                <w:sz w:val="20"/>
                <w:szCs w:val="20"/>
              </w:rPr>
              <w:t>.</w:t>
            </w:r>
            <w:r w:rsidRPr="009435CD">
              <w:rPr>
                <w:color w:val="000000"/>
                <w:sz w:val="20"/>
                <w:szCs w:val="20"/>
              </w:rPr>
              <w:t>182</w:t>
            </w:r>
          </w:p>
        </w:tc>
        <w:tc>
          <w:tcPr>
            <w:tcW w:w="416" w:type="pct"/>
            <w:tcBorders>
              <w:top w:val="nil"/>
              <w:left w:val="nil"/>
              <w:bottom w:val="single" w:sz="4" w:space="0" w:color="auto"/>
              <w:right w:val="nil"/>
            </w:tcBorders>
            <w:shd w:val="clear" w:color="auto" w:fill="auto"/>
            <w:noWrap/>
            <w:vAlign w:val="bottom"/>
            <w:hideMark/>
          </w:tcPr>
          <w:p w14:paraId="594BA4BD" w14:textId="77777777" w:rsidR="00F61F6E" w:rsidRPr="009435CD" w:rsidRDefault="00F61F6E" w:rsidP="006965C4">
            <w:pPr>
              <w:rPr>
                <w:color w:val="000000"/>
                <w:sz w:val="20"/>
                <w:szCs w:val="20"/>
              </w:rPr>
            </w:pPr>
            <w:r w:rsidRPr="009435CD">
              <w:rPr>
                <w:color w:val="000000"/>
                <w:sz w:val="20"/>
                <w:szCs w:val="20"/>
              </w:rPr>
              <w:t> </w:t>
            </w:r>
          </w:p>
        </w:tc>
      </w:tr>
    </w:tbl>
    <w:p w14:paraId="6947FB50" w14:textId="77777777" w:rsidR="00F61F6E" w:rsidRPr="009435CD" w:rsidRDefault="00F61F6E" w:rsidP="006965C4">
      <w:pPr>
        <w:ind w:right="45"/>
        <w:jc w:val="both"/>
        <w:rPr>
          <w:sz w:val="20"/>
          <w:szCs w:val="20"/>
          <w:lang w:val="es-ES"/>
        </w:rPr>
      </w:pPr>
      <w:r w:rsidRPr="0090627A">
        <w:rPr>
          <w:i/>
          <w:sz w:val="20"/>
          <w:szCs w:val="20"/>
          <w:lang w:val="es-ES"/>
        </w:rPr>
        <w:t>*</w:t>
      </w:r>
      <w:r w:rsidRPr="0090627A">
        <w:rPr>
          <w:sz w:val="20"/>
          <w:szCs w:val="20"/>
          <w:lang w:val="es-ES"/>
        </w:rPr>
        <w:t xml:space="preserve"> Valor </w:t>
      </w:r>
      <w:r w:rsidR="00015A8C">
        <w:rPr>
          <w:sz w:val="20"/>
          <w:szCs w:val="20"/>
          <w:lang w:val="es-ES"/>
        </w:rPr>
        <w:t>de alfa</w:t>
      </w:r>
      <w:r w:rsidRPr="0090627A">
        <w:rPr>
          <w:sz w:val="20"/>
          <w:szCs w:val="20"/>
          <w:lang w:val="es-ES"/>
        </w:rPr>
        <w:t xml:space="preserve"> en</w:t>
      </w:r>
      <w:r w:rsidRPr="009435CD">
        <w:rPr>
          <w:sz w:val="20"/>
          <w:szCs w:val="20"/>
          <w:lang w:val="es-ES"/>
        </w:rPr>
        <w:t xml:space="preserve"> cada factor</w:t>
      </w:r>
      <w:r w:rsidR="00015A8C">
        <w:rPr>
          <w:sz w:val="20"/>
          <w:szCs w:val="20"/>
          <w:lang w:val="es-ES"/>
        </w:rPr>
        <w:t>,</w:t>
      </w:r>
      <w:r w:rsidRPr="009435CD">
        <w:rPr>
          <w:sz w:val="20"/>
          <w:szCs w:val="20"/>
          <w:lang w:val="es-ES"/>
        </w:rPr>
        <w:t xml:space="preserve"> si se elimina el ítem. **Factor compuesto sólo por un ítem. </w:t>
      </w:r>
    </w:p>
    <w:p w14:paraId="09811437" w14:textId="77777777" w:rsidR="00F61F6E" w:rsidRDefault="00F61F6E" w:rsidP="006965C4">
      <w:pPr>
        <w:ind w:right="45"/>
        <w:jc w:val="both"/>
        <w:rPr>
          <w:sz w:val="20"/>
          <w:szCs w:val="20"/>
          <w:lang w:val="es-ES"/>
        </w:rPr>
      </w:pPr>
      <w:r w:rsidRPr="00740C95">
        <w:rPr>
          <w:i/>
          <w:sz w:val="20"/>
          <w:szCs w:val="20"/>
          <w:lang w:val="es-ES"/>
        </w:rPr>
        <w:t>Nota</w:t>
      </w:r>
      <w:r w:rsidRPr="00740C95">
        <w:rPr>
          <w:sz w:val="20"/>
          <w:szCs w:val="20"/>
          <w:lang w:val="es-ES"/>
        </w:rPr>
        <w:t xml:space="preserve">. Destacados en negrilla indican mayores cargas factoriales. Factor 1= </w:t>
      </w:r>
      <w:r w:rsidRPr="00740C95">
        <w:rPr>
          <w:i/>
          <w:sz w:val="20"/>
          <w:szCs w:val="20"/>
          <w:lang w:val="es-ES"/>
        </w:rPr>
        <w:t>conocimiento del riesgo</w:t>
      </w:r>
      <w:r w:rsidRPr="00740C95">
        <w:rPr>
          <w:sz w:val="20"/>
          <w:szCs w:val="20"/>
          <w:lang w:val="es-ES"/>
        </w:rPr>
        <w:t xml:space="preserve">; Factor 2= </w:t>
      </w:r>
      <w:r w:rsidRPr="00740C95">
        <w:rPr>
          <w:i/>
          <w:sz w:val="20"/>
          <w:szCs w:val="20"/>
          <w:lang w:val="es-ES"/>
        </w:rPr>
        <w:t>temor afectación</w:t>
      </w:r>
      <w:r w:rsidRPr="00740C95">
        <w:rPr>
          <w:sz w:val="20"/>
          <w:szCs w:val="20"/>
          <w:lang w:val="es-ES"/>
        </w:rPr>
        <w:t xml:space="preserve">; Factor 3= </w:t>
      </w:r>
      <w:r w:rsidRPr="00740C95">
        <w:rPr>
          <w:i/>
          <w:sz w:val="20"/>
          <w:szCs w:val="20"/>
          <w:lang w:val="es-ES"/>
        </w:rPr>
        <w:t>aumento global del riesgo</w:t>
      </w:r>
      <w:r>
        <w:rPr>
          <w:sz w:val="20"/>
          <w:szCs w:val="20"/>
          <w:lang w:val="es-ES"/>
        </w:rPr>
        <w:t>; Factor 4 = Rechazado.</w:t>
      </w:r>
    </w:p>
    <w:p w14:paraId="37F147E4" w14:textId="77777777" w:rsidR="00F61F6E" w:rsidRDefault="00F61F6E" w:rsidP="006965C4">
      <w:pPr>
        <w:tabs>
          <w:tab w:val="left" w:pos="709"/>
          <w:tab w:val="left" w:pos="8931"/>
        </w:tabs>
        <w:autoSpaceDE w:val="0"/>
        <w:autoSpaceDN w:val="0"/>
        <w:adjustRightInd w:val="0"/>
        <w:ind w:right="62"/>
        <w:rPr>
          <w:lang w:val="es-ES"/>
        </w:rPr>
      </w:pPr>
    </w:p>
    <w:p w14:paraId="3E5FBB5D" w14:textId="77777777" w:rsidR="000821C4" w:rsidRDefault="00D36598" w:rsidP="006965C4">
      <w:pPr>
        <w:tabs>
          <w:tab w:val="left" w:pos="709"/>
          <w:tab w:val="left" w:pos="8931"/>
        </w:tabs>
        <w:autoSpaceDE w:val="0"/>
        <w:autoSpaceDN w:val="0"/>
        <w:adjustRightInd w:val="0"/>
        <w:ind w:right="62"/>
        <w:rPr>
          <w:lang w:val="es-ES"/>
        </w:rPr>
      </w:pPr>
      <w:r>
        <w:rPr>
          <w:lang w:val="es-ES"/>
        </w:rPr>
        <w:tab/>
        <w:t>El análisis de la e</w:t>
      </w:r>
      <w:r w:rsidR="005B54F7">
        <w:rPr>
          <w:lang w:val="es-ES"/>
        </w:rPr>
        <w:t xml:space="preserve">scala de </w:t>
      </w:r>
      <w:r>
        <w:rPr>
          <w:lang w:val="es-ES"/>
        </w:rPr>
        <w:t>A</w:t>
      </w:r>
      <w:r w:rsidR="005B54F7">
        <w:rPr>
          <w:lang w:val="es-ES"/>
        </w:rPr>
        <w:t>frontamiento</w:t>
      </w:r>
      <w:r>
        <w:rPr>
          <w:lang w:val="es-ES"/>
        </w:rPr>
        <w:t xml:space="preserve"> (AF)</w:t>
      </w:r>
      <w:r w:rsidR="006965C4">
        <w:rPr>
          <w:lang w:val="es-ES"/>
        </w:rPr>
        <w:t xml:space="preserve"> </w:t>
      </w:r>
      <w:r w:rsidR="00951F77">
        <w:rPr>
          <w:lang w:val="es-ES"/>
        </w:rPr>
        <w:t>muestra</w:t>
      </w:r>
      <w:r w:rsidR="005B54F7">
        <w:rPr>
          <w:lang w:val="es-ES"/>
        </w:rPr>
        <w:t xml:space="preserve"> un alfa de </w:t>
      </w:r>
      <w:r w:rsidR="00D866B6" w:rsidRPr="00843E8B">
        <w:rPr>
          <w:lang w:val="es-ES"/>
        </w:rPr>
        <w:t>.62</w:t>
      </w:r>
      <w:r w:rsidR="00951F77">
        <w:rPr>
          <w:lang w:val="es-ES"/>
        </w:rPr>
        <w:t xml:space="preserve">, </w:t>
      </w:r>
      <w:r w:rsidR="00D866B6" w:rsidRPr="00B92458">
        <w:rPr>
          <w:lang w:val="es-ES" w:eastAsia="es-CO"/>
        </w:rPr>
        <w:t xml:space="preserve">KMO = </w:t>
      </w:r>
      <w:r w:rsidR="00971678">
        <w:rPr>
          <w:lang w:val="es-ES" w:eastAsia="es-CO"/>
        </w:rPr>
        <w:t>.</w:t>
      </w:r>
      <w:r w:rsidR="00D866B6" w:rsidRPr="00C84E5F">
        <w:rPr>
          <w:lang w:val="es-ES" w:eastAsia="es-CO"/>
        </w:rPr>
        <w:t>7</w:t>
      </w:r>
      <w:r w:rsidR="00D866B6">
        <w:rPr>
          <w:lang w:val="es-ES" w:eastAsia="es-CO"/>
        </w:rPr>
        <w:t>20</w:t>
      </w:r>
      <w:r w:rsidR="00971678">
        <w:rPr>
          <w:lang w:val="es-ES" w:eastAsia="es-CO"/>
        </w:rPr>
        <w:t>,</w:t>
      </w:r>
      <w:r w:rsidR="00276509">
        <w:rPr>
          <w:lang w:val="es-ES" w:eastAsia="es-CO"/>
        </w:rPr>
        <w:t xml:space="preserve"> </w:t>
      </w:r>
      <w:r w:rsidR="00252A83" w:rsidRPr="00897568">
        <w:rPr>
          <w:lang w:val="es-ES" w:eastAsia="es-CO"/>
        </w:rPr>
        <w:t>nivel de significancia en la prueba de esfericidad de Bartlett de .001</w:t>
      </w:r>
      <w:r w:rsidR="00951F77">
        <w:rPr>
          <w:lang w:val="es-ES"/>
        </w:rPr>
        <w:t xml:space="preserve"> y</w:t>
      </w:r>
      <w:r w:rsidR="006965C4">
        <w:rPr>
          <w:lang w:val="es-ES"/>
        </w:rPr>
        <w:t xml:space="preserve"> </w:t>
      </w:r>
      <w:r w:rsidR="00026F42">
        <w:rPr>
          <w:lang w:val="es-ES"/>
        </w:rPr>
        <w:t>varianza total explicada</w:t>
      </w:r>
      <w:r w:rsidR="00843E8B" w:rsidRPr="00843E8B">
        <w:rPr>
          <w:lang w:val="es-ES"/>
        </w:rPr>
        <w:t xml:space="preserve"> de 36.6%</w:t>
      </w:r>
      <w:r w:rsidR="000821C4">
        <w:rPr>
          <w:lang w:val="es-ES"/>
        </w:rPr>
        <w:t xml:space="preserve">. </w:t>
      </w:r>
      <w:r w:rsidR="00951F77">
        <w:rPr>
          <w:lang w:val="es-ES"/>
        </w:rPr>
        <w:t xml:space="preserve">Para mejorar las propiedades psicométricas se eliminaron </w:t>
      </w:r>
      <w:r w:rsidR="000821C4" w:rsidRPr="000821C4">
        <w:rPr>
          <w:lang w:val="es-ES"/>
        </w:rPr>
        <w:t xml:space="preserve">algunos </w:t>
      </w:r>
      <w:r w:rsidR="00951F77">
        <w:rPr>
          <w:lang w:val="es-ES"/>
        </w:rPr>
        <w:t xml:space="preserve">ítems siguiendo los </w:t>
      </w:r>
      <w:r w:rsidR="00026F42">
        <w:rPr>
          <w:lang w:val="es-ES"/>
        </w:rPr>
        <w:t xml:space="preserve">criterios </w:t>
      </w:r>
      <w:r>
        <w:rPr>
          <w:lang w:val="es-ES"/>
        </w:rPr>
        <w:t>anteriormente</w:t>
      </w:r>
      <w:r w:rsidR="00951F77">
        <w:rPr>
          <w:lang w:val="es-ES"/>
        </w:rPr>
        <w:t xml:space="preserve"> descritos.</w:t>
      </w:r>
      <w:r w:rsidR="006965C4">
        <w:rPr>
          <w:lang w:val="es-ES"/>
        </w:rPr>
        <w:t xml:space="preserve"> </w:t>
      </w:r>
      <w:r w:rsidR="00951F77">
        <w:rPr>
          <w:lang w:val="es-ES"/>
        </w:rPr>
        <w:t xml:space="preserve">Al </w:t>
      </w:r>
      <w:r w:rsidR="000821C4" w:rsidRPr="000821C4">
        <w:rPr>
          <w:lang w:val="es-ES"/>
        </w:rPr>
        <w:t>elimina</w:t>
      </w:r>
      <w:r w:rsidR="00951F77">
        <w:rPr>
          <w:lang w:val="es-ES"/>
        </w:rPr>
        <w:t>r</w:t>
      </w:r>
      <w:r w:rsidR="00E50911">
        <w:rPr>
          <w:lang w:val="es-ES"/>
        </w:rPr>
        <w:t xml:space="preserve"> </w:t>
      </w:r>
      <w:r w:rsidR="00427F18">
        <w:rPr>
          <w:lang w:val="es-ES"/>
        </w:rPr>
        <w:t>once</w:t>
      </w:r>
      <w:r w:rsidR="000821C4" w:rsidRPr="000821C4">
        <w:rPr>
          <w:lang w:val="es-ES"/>
        </w:rPr>
        <w:t xml:space="preserve"> ítems </w:t>
      </w:r>
      <w:r w:rsidR="00427F18">
        <w:rPr>
          <w:lang w:val="es-ES"/>
        </w:rPr>
        <w:t>(</w:t>
      </w:r>
      <w:r w:rsidR="000821C4" w:rsidRPr="000821C4">
        <w:rPr>
          <w:lang w:val="es-ES"/>
        </w:rPr>
        <w:t>1,</w:t>
      </w:r>
      <w:r w:rsidR="00B10CD9">
        <w:rPr>
          <w:lang w:val="es-ES"/>
        </w:rPr>
        <w:t xml:space="preserve"> 2,</w:t>
      </w:r>
      <w:r w:rsidR="000821C4" w:rsidRPr="000821C4">
        <w:rPr>
          <w:lang w:val="es-ES"/>
        </w:rPr>
        <w:t xml:space="preserve"> 3, 4, 10,</w:t>
      </w:r>
      <w:r w:rsidR="00B10CD9">
        <w:rPr>
          <w:lang w:val="es-ES"/>
        </w:rPr>
        <w:t xml:space="preserve"> 11, 14,</w:t>
      </w:r>
      <w:r w:rsidR="000821C4" w:rsidRPr="000821C4">
        <w:rPr>
          <w:lang w:val="es-ES"/>
        </w:rPr>
        <w:t xml:space="preserve"> 12, 16</w:t>
      </w:r>
      <w:r w:rsidR="00B10CD9">
        <w:rPr>
          <w:lang w:val="es-ES"/>
        </w:rPr>
        <w:t>, 21</w:t>
      </w:r>
      <w:r w:rsidR="000821C4" w:rsidRPr="000821C4">
        <w:rPr>
          <w:lang w:val="es-ES"/>
        </w:rPr>
        <w:t xml:space="preserve"> y 24</w:t>
      </w:r>
      <w:r w:rsidR="00427F18">
        <w:rPr>
          <w:lang w:val="es-ES"/>
        </w:rPr>
        <w:t>)</w:t>
      </w:r>
      <w:r w:rsidR="00951F77">
        <w:rPr>
          <w:lang w:val="es-ES"/>
        </w:rPr>
        <w:t>, se obtiene</w:t>
      </w:r>
      <w:r w:rsidR="00015A8C">
        <w:rPr>
          <w:lang w:val="es-ES"/>
        </w:rPr>
        <w:t xml:space="preserve"> un α </w:t>
      </w:r>
      <w:r w:rsidR="00971678">
        <w:rPr>
          <w:lang w:val="es-ES"/>
        </w:rPr>
        <w:t>=</w:t>
      </w:r>
      <w:r w:rsidR="000821C4" w:rsidRPr="000821C4">
        <w:rPr>
          <w:lang w:val="es-ES"/>
        </w:rPr>
        <w:t>.</w:t>
      </w:r>
      <w:r w:rsidR="000821C4" w:rsidRPr="004D5428">
        <w:rPr>
          <w:lang w:val="es-ES"/>
        </w:rPr>
        <w:t>70</w:t>
      </w:r>
      <w:r w:rsidR="004D5428" w:rsidRPr="004D5428">
        <w:rPr>
          <w:lang w:val="es-ES"/>
        </w:rPr>
        <w:t>7</w:t>
      </w:r>
      <w:r w:rsidR="00951F77">
        <w:rPr>
          <w:lang w:val="es-ES"/>
        </w:rPr>
        <w:t xml:space="preserve">, </w:t>
      </w:r>
      <w:r w:rsidR="00A242F0" w:rsidRPr="009A62A3">
        <w:rPr>
          <w:lang w:val="es-ES"/>
        </w:rPr>
        <w:t xml:space="preserve">KMO = </w:t>
      </w:r>
      <w:r w:rsidR="00A242F0">
        <w:rPr>
          <w:lang w:val="es-ES"/>
        </w:rPr>
        <w:t>.7</w:t>
      </w:r>
      <w:r w:rsidR="004D5428">
        <w:rPr>
          <w:lang w:val="es-ES"/>
        </w:rPr>
        <w:t>91</w:t>
      </w:r>
      <w:r w:rsidR="00A242F0">
        <w:rPr>
          <w:lang w:val="es-ES"/>
        </w:rPr>
        <w:t>,</w:t>
      </w:r>
      <w:r w:rsidR="00276509">
        <w:rPr>
          <w:lang w:val="es-ES"/>
        </w:rPr>
        <w:t xml:space="preserve"> </w:t>
      </w:r>
      <w:r w:rsidR="00A242F0" w:rsidRPr="00897568">
        <w:rPr>
          <w:lang w:val="es-ES" w:eastAsia="es-CO"/>
        </w:rPr>
        <w:t xml:space="preserve">nivel de significancia </w:t>
      </w:r>
      <w:r w:rsidR="00A242F0">
        <w:rPr>
          <w:lang w:val="es-ES" w:eastAsia="es-CO"/>
        </w:rPr>
        <w:t xml:space="preserve">en la </w:t>
      </w:r>
      <w:r w:rsidR="00A242F0" w:rsidRPr="00B97D62">
        <w:rPr>
          <w:lang w:val="es-ES"/>
        </w:rPr>
        <w:t>prueba de</w:t>
      </w:r>
      <w:r w:rsidR="004D5428">
        <w:rPr>
          <w:lang w:val="es-ES"/>
        </w:rPr>
        <w:t xml:space="preserve"> esfericidad de Bartlett de .000</w:t>
      </w:r>
      <w:r w:rsidR="00015A8C">
        <w:rPr>
          <w:lang w:val="es-ES"/>
        </w:rPr>
        <w:t xml:space="preserve"> y una </w:t>
      </w:r>
      <w:r w:rsidR="00A242F0">
        <w:rPr>
          <w:lang w:val="es-ES"/>
        </w:rPr>
        <w:t xml:space="preserve">varianza explicada de </w:t>
      </w:r>
      <w:r w:rsidR="004D5428">
        <w:rPr>
          <w:lang w:val="es-ES"/>
        </w:rPr>
        <w:t>4</w:t>
      </w:r>
      <w:r w:rsidR="00A242F0">
        <w:rPr>
          <w:lang w:val="es-ES"/>
        </w:rPr>
        <w:t>6</w:t>
      </w:r>
      <w:r w:rsidR="00015A8C">
        <w:rPr>
          <w:lang w:val="es-ES"/>
        </w:rPr>
        <w:t>%</w:t>
      </w:r>
      <w:r w:rsidR="00427F18">
        <w:rPr>
          <w:lang w:val="es-ES"/>
        </w:rPr>
        <w:t>.</w:t>
      </w:r>
      <w:r w:rsidR="004514DC">
        <w:rPr>
          <w:lang w:val="es-ES"/>
        </w:rPr>
        <w:t xml:space="preserve"> El análisis de componentes rotados muestra que la estructura factorial propuesta por las autoras de la escala se mantiene</w:t>
      </w:r>
      <w:r w:rsidR="00015A8C">
        <w:rPr>
          <w:lang w:val="es-ES"/>
        </w:rPr>
        <w:t xml:space="preserve">: </w:t>
      </w:r>
      <w:r w:rsidR="00015A8C" w:rsidRPr="00D36598">
        <w:rPr>
          <w:i/>
          <w:lang w:val="es-ES"/>
        </w:rPr>
        <w:t>afrontamiento activo y afrontamiento pasivo</w:t>
      </w:r>
      <w:r w:rsidR="00E50911">
        <w:rPr>
          <w:i/>
          <w:lang w:val="es-ES"/>
        </w:rPr>
        <w:t xml:space="preserve"> </w:t>
      </w:r>
      <w:r w:rsidR="001D2B92">
        <w:rPr>
          <w:lang w:val="es-ES"/>
        </w:rPr>
        <w:t>(ver tabla 2)</w:t>
      </w:r>
      <w:r w:rsidR="004514DC">
        <w:rPr>
          <w:lang w:val="es-ES"/>
        </w:rPr>
        <w:t xml:space="preserve">. </w:t>
      </w:r>
    </w:p>
    <w:p w14:paraId="79A3A7D6" w14:textId="77777777" w:rsidR="00E50911" w:rsidRDefault="00E50911" w:rsidP="006965C4">
      <w:pPr>
        <w:autoSpaceDE w:val="0"/>
        <w:autoSpaceDN w:val="0"/>
        <w:adjustRightInd w:val="0"/>
        <w:ind w:left="60" w:right="60"/>
        <w:rPr>
          <w:bCs/>
          <w:color w:val="000000"/>
          <w:lang w:val="es-ES"/>
        </w:rPr>
      </w:pPr>
    </w:p>
    <w:p w14:paraId="166AC0C5" w14:textId="1CD8E28F" w:rsidR="00F61F6E" w:rsidRDefault="00F61F6E" w:rsidP="006965C4">
      <w:pPr>
        <w:autoSpaceDE w:val="0"/>
        <w:autoSpaceDN w:val="0"/>
        <w:adjustRightInd w:val="0"/>
        <w:ind w:left="60" w:right="60"/>
        <w:rPr>
          <w:bCs/>
          <w:color w:val="000000"/>
          <w:lang w:val="es-ES"/>
        </w:rPr>
      </w:pPr>
      <w:r>
        <w:rPr>
          <w:bCs/>
          <w:color w:val="000000"/>
          <w:lang w:val="es-ES"/>
        </w:rPr>
        <w:t>Tabla 2.</w:t>
      </w:r>
      <w:r w:rsidR="008E271E">
        <w:rPr>
          <w:bCs/>
          <w:color w:val="000000"/>
          <w:lang w:val="es-ES"/>
        </w:rPr>
        <w:t xml:space="preserve"> </w:t>
      </w:r>
      <w:r w:rsidR="00D36598">
        <w:rPr>
          <w:lang w:val="es-ES"/>
        </w:rPr>
        <w:t xml:space="preserve">Análisis factorial exploratorio con rotación ortogonal </w:t>
      </w:r>
      <w:r w:rsidR="00D36598" w:rsidRPr="006C3D06">
        <w:rPr>
          <w:i/>
          <w:lang w:val="es-ES"/>
        </w:rPr>
        <w:t>varimax</w:t>
      </w:r>
      <w:r w:rsidR="00D36598">
        <w:rPr>
          <w:lang w:val="es-ES"/>
        </w:rPr>
        <w:t xml:space="preserve"> para los ítems de la escala AF: cargas factoriales y estadísticos descriptivos</w:t>
      </w:r>
    </w:p>
    <w:tbl>
      <w:tblPr>
        <w:tblW w:w="0" w:type="auto"/>
        <w:jc w:val="center"/>
        <w:tblCellMar>
          <w:left w:w="70" w:type="dxa"/>
          <w:right w:w="70" w:type="dxa"/>
        </w:tblCellMar>
        <w:tblLook w:val="04A0" w:firstRow="1" w:lastRow="0" w:firstColumn="1" w:lastColumn="0" w:noHBand="0" w:noVBand="1"/>
      </w:tblPr>
      <w:tblGrid>
        <w:gridCol w:w="5811"/>
        <w:gridCol w:w="690"/>
        <w:gridCol w:w="690"/>
        <w:gridCol w:w="390"/>
      </w:tblGrid>
      <w:tr w:rsidR="00481E87" w:rsidRPr="00481E87" w14:paraId="7F61767D" w14:textId="77777777" w:rsidTr="00E50911">
        <w:trPr>
          <w:trHeight w:val="283"/>
          <w:jc w:val="center"/>
        </w:trPr>
        <w:tc>
          <w:tcPr>
            <w:tcW w:w="0" w:type="auto"/>
            <w:vMerge w:val="restart"/>
            <w:tcBorders>
              <w:top w:val="single" w:sz="4" w:space="0" w:color="auto"/>
            </w:tcBorders>
            <w:shd w:val="clear" w:color="000000" w:fill="FFFFFF"/>
            <w:vAlign w:val="center"/>
            <w:hideMark/>
          </w:tcPr>
          <w:p w14:paraId="1871FB25"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fr-FR" w:eastAsia="fr-FR"/>
              </w:rPr>
              <w:t>Items</w:t>
            </w:r>
          </w:p>
        </w:tc>
        <w:tc>
          <w:tcPr>
            <w:tcW w:w="0" w:type="auto"/>
            <w:gridSpan w:val="2"/>
            <w:tcBorders>
              <w:top w:val="single" w:sz="4" w:space="0" w:color="auto"/>
            </w:tcBorders>
            <w:shd w:val="clear" w:color="000000" w:fill="FFFFFF"/>
            <w:hideMark/>
          </w:tcPr>
          <w:p w14:paraId="67BC690B"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es-CO" w:eastAsia="fr-FR"/>
              </w:rPr>
            </w:pPr>
            <w:r>
              <w:rPr>
                <w:rFonts w:eastAsia="Times New Roman"/>
                <w:color w:val="000000"/>
                <w:sz w:val="20"/>
                <w:szCs w:val="20"/>
                <w:bdr w:val="none" w:sz="0" w:space="0" w:color="auto"/>
                <w:lang w:val="es-CO" w:eastAsia="fr-FR"/>
              </w:rPr>
              <w:t>Componente</w:t>
            </w:r>
          </w:p>
        </w:tc>
        <w:tc>
          <w:tcPr>
            <w:tcW w:w="0" w:type="auto"/>
            <w:tcBorders>
              <w:top w:val="single" w:sz="4" w:space="0" w:color="auto"/>
            </w:tcBorders>
            <w:shd w:val="clear" w:color="auto" w:fill="auto"/>
            <w:hideMark/>
          </w:tcPr>
          <w:p w14:paraId="4216CA73"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es-ES" w:eastAsia="fr-FR"/>
              </w:rPr>
            </w:pPr>
          </w:p>
        </w:tc>
      </w:tr>
      <w:tr w:rsidR="00481E87" w:rsidRPr="00481E87" w14:paraId="0F221EE3" w14:textId="77777777" w:rsidTr="00E50911">
        <w:trPr>
          <w:trHeight w:val="283"/>
          <w:jc w:val="center"/>
        </w:trPr>
        <w:tc>
          <w:tcPr>
            <w:tcW w:w="0" w:type="auto"/>
            <w:vMerge/>
            <w:tcBorders>
              <w:bottom w:val="single" w:sz="4" w:space="0" w:color="auto"/>
            </w:tcBorders>
            <w:shd w:val="clear" w:color="000000" w:fill="FFFFFF"/>
            <w:hideMark/>
          </w:tcPr>
          <w:p w14:paraId="590B9C02"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p>
        </w:tc>
        <w:tc>
          <w:tcPr>
            <w:tcW w:w="0" w:type="auto"/>
            <w:tcBorders>
              <w:bottom w:val="single" w:sz="4" w:space="0" w:color="auto"/>
            </w:tcBorders>
            <w:shd w:val="clear" w:color="000000" w:fill="FFFFFF"/>
            <w:hideMark/>
          </w:tcPr>
          <w:p w14:paraId="2D6CE9A5"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1</w:t>
            </w:r>
          </w:p>
        </w:tc>
        <w:tc>
          <w:tcPr>
            <w:tcW w:w="0" w:type="auto"/>
            <w:tcBorders>
              <w:bottom w:val="single" w:sz="4" w:space="0" w:color="auto"/>
            </w:tcBorders>
            <w:shd w:val="clear" w:color="000000" w:fill="FFFFFF"/>
            <w:hideMark/>
          </w:tcPr>
          <w:p w14:paraId="464C2E84"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2</w:t>
            </w:r>
          </w:p>
        </w:tc>
        <w:tc>
          <w:tcPr>
            <w:tcW w:w="0" w:type="auto"/>
            <w:tcBorders>
              <w:bottom w:val="single" w:sz="4" w:space="0" w:color="auto"/>
            </w:tcBorders>
            <w:shd w:val="clear" w:color="auto" w:fill="auto"/>
            <w:hideMark/>
          </w:tcPr>
          <w:p w14:paraId="73A1540B"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α*</w:t>
            </w:r>
          </w:p>
        </w:tc>
      </w:tr>
      <w:tr w:rsidR="00481E87" w:rsidRPr="00481E87" w14:paraId="64530358" w14:textId="77777777" w:rsidTr="00E50911">
        <w:trPr>
          <w:trHeight w:val="283"/>
          <w:jc w:val="center"/>
        </w:trPr>
        <w:tc>
          <w:tcPr>
            <w:tcW w:w="0" w:type="auto"/>
            <w:tcBorders>
              <w:top w:val="single" w:sz="4" w:space="0" w:color="auto"/>
            </w:tcBorders>
            <w:shd w:val="clear" w:color="auto" w:fill="auto"/>
            <w:hideMark/>
          </w:tcPr>
          <w:p w14:paraId="2B07ABBB"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13. Hago frente directamente a la situación</w:t>
            </w:r>
          </w:p>
        </w:tc>
        <w:tc>
          <w:tcPr>
            <w:tcW w:w="0" w:type="auto"/>
            <w:tcBorders>
              <w:top w:val="single" w:sz="4" w:space="0" w:color="auto"/>
            </w:tcBorders>
            <w:shd w:val="clear" w:color="000000" w:fill="FFFFFF"/>
            <w:hideMark/>
          </w:tcPr>
          <w:p w14:paraId="6053E06D"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683</w:t>
            </w:r>
          </w:p>
        </w:tc>
        <w:tc>
          <w:tcPr>
            <w:tcW w:w="0" w:type="auto"/>
            <w:tcBorders>
              <w:top w:val="single" w:sz="4" w:space="0" w:color="auto"/>
            </w:tcBorders>
            <w:shd w:val="clear" w:color="000000" w:fill="FFFFFF"/>
            <w:hideMark/>
          </w:tcPr>
          <w:p w14:paraId="0CD597FB"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048</w:t>
            </w:r>
          </w:p>
        </w:tc>
        <w:tc>
          <w:tcPr>
            <w:tcW w:w="0" w:type="auto"/>
            <w:tcBorders>
              <w:top w:val="single" w:sz="4" w:space="0" w:color="auto"/>
            </w:tcBorders>
            <w:shd w:val="clear" w:color="auto" w:fill="auto"/>
            <w:hideMark/>
          </w:tcPr>
          <w:p w14:paraId="79343E9D"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.67</w:t>
            </w:r>
          </w:p>
        </w:tc>
      </w:tr>
      <w:tr w:rsidR="00481E87" w:rsidRPr="00481E87" w14:paraId="6A545A32" w14:textId="77777777" w:rsidTr="00E50911">
        <w:trPr>
          <w:trHeight w:val="283"/>
          <w:jc w:val="center"/>
        </w:trPr>
        <w:tc>
          <w:tcPr>
            <w:tcW w:w="0" w:type="auto"/>
            <w:shd w:val="clear" w:color="auto" w:fill="auto"/>
            <w:hideMark/>
          </w:tcPr>
          <w:p w14:paraId="5FB43FFA"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5. Analizo las circunstancias para saber qué hacer</w:t>
            </w:r>
          </w:p>
        </w:tc>
        <w:tc>
          <w:tcPr>
            <w:tcW w:w="0" w:type="auto"/>
            <w:shd w:val="clear" w:color="000000" w:fill="FFFFFF"/>
            <w:hideMark/>
          </w:tcPr>
          <w:p w14:paraId="21074113"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566</w:t>
            </w:r>
          </w:p>
        </w:tc>
        <w:tc>
          <w:tcPr>
            <w:tcW w:w="0" w:type="auto"/>
            <w:shd w:val="clear" w:color="000000" w:fill="FFFFFF"/>
            <w:hideMark/>
          </w:tcPr>
          <w:p w14:paraId="2E5834EB"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054</w:t>
            </w:r>
          </w:p>
        </w:tc>
        <w:tc>
          <w:tcPr>
            <w:tcW w:w="0" w:type="auto"/>
            <w:shd w:val="clear" w:color="auto" w:fill="auto"/>
            <w:hideMark/>
          </w:tcPr>
          <w:p w14:paraId="08F2EBFF"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.66</w:t>
            </w:r>
          </w:p>
        </w:tc>
      </w:tr>
      <w:tr w:rsidR="00481E87" w:rsidRPr="00481E87" w14:paraId="3CDE8785" w14:textId="77777777" w:rsidTr="00E50911">
        <w:trPr>
          <w:trHeight w:val="283"/>
          <w:jc w:val="center"/>
        </w:trPr>
        <w:tc>
          <w:tcPr>
            <w:tcW w:w="0" w:type="auto"/>
            <w:shd w:val="clear" w:color="auto" w:fill="auto"/>
            <w:hideMark/>
          </w:tcPr>
          <w:p w14:paraId="411511B9"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8. Busco información con personas que saben</w:t>
            </w:r>
          </w:p>
        </w:tc>
        <w:tc>
          <w:tcPr>
            <w:tcW w:w="0" w:type="auto"/>
            <w:shd w:val="clear" w:color="000000" w:fill="FFFFFF"/>
            <w:hideMark/>
          </w:tcPr>
          <w:p w14:paraId="6055ACB7"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21</w:t>
            </w:r>
          </w:p>
        </w:tc>
        <w:tc>
          <w:tcPr>
            <w:tcW w:w="0" w:type="auto"/>
            <w:shd w:val="clear" w:color="000000" w:fill="FFFFFF"/>
            <w:hideMark/>
          </w:tcPr>
          <w:p w14:paraId="51CFBF66"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048</w:t>
            </w:r>
          </w:p>
        </w:tc>
        <w:tc>
          <w:tcPr>
            <w:tcW w:w="0" w:type="auto"/>
            <w:shd w:val="clear" w:color="auto" w:fill="auto"/>
            <w:hideMark/>
          </w:tcPr>
          <w:p w14:paraId="29EE7A82"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.67</w:t>
            </w:r>
          </w:p>
        </w:tc>
      </w:tr>
      <w:tr w:rsidR="00481E87" w:rsidRPr="00481E87" w14:paraId="088F1423" w14:textId="77777777" w:rsidTr="00E50911">
        <w:trPr>
          <w:trHeight w:val="283"/>
          <w:jc w:val="center"/>
        </w:trPr>
        <w:tc>
          <w:tcPr>
            <w:tcW w:w="0" w:type="auto"/>
            <w:shd w:val="clear" w:color="auto" w:fill="auto"/>
            <w:hideMark/>
          </w:tcPr>
          <w:p w14:paraId="4001DF4B"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9. Consulto sobre el problema con profesionales</w:t>
            </w:r>
          </w:p>
        </w:tc>
        <w:tc>
          <w:tcPr>
            <w:tcW w:w="0" w:type="auto"/>
            <w:shd w:val="clear" w:color="000000" w:fill="FFFFFF"/>
            <w:hideMark/>
          </w:tcPr>
          <w:p w14:paraId="22E02241"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674</w:t>
            </w:r>
          </w:p>
        </w:tc>
        <w:tc>
          <w:tcPr>
            <w:tcW w:w="0" w:type="auto"/>
            <w:shd w:val="clear" w:color="000000" w:fill="FFFFFF"/>
            <w:hideMark/>
          </w:tcPr>
          <w:p w14:paraId="0B8EE192"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072</w:t>
            </w:r>
          </w:p>
        </w:tc>
        <w:tc>
          <w:tcPr>
            <w:tcW w:w="0" w:type="auto"/>
            <w:shd w:val="clear" w:color="auto" w:fill="auto"/>
            <w:hideMark/>
          </w:tcPr>
          <w:p w14:paraId="03705C3C"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.70</w:t>
            </w:r>
          </w:p>
        </w:tc>
      </w:tr>
      <w:tr w:rsidR="00481E87" w:rsidRPr="00481E87" w14:paraId="7C77FE1C" w14:textId="77777777" w:rsidTr="00E50911">
        <w:trPr>
          <w:trHeight w:val="283"/>
          <w:jc w:val="center"/>
        </w:trPr>
        <w:tc>
          <w:tcPr>
            <w:tcW w:w="0" w:type="auto"/>
            <w:shd w:val="clear" w:color="auto" w:fill="auto"/>
            <w:hideMark/>
          </w:tcPr>
          <w:p w14:paraId="740427E0"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15. He establecido mi propio plan de prevención y lo pongo en marcha</w:t>
            </w:r>
          </w:p>
        </w:tc>
        <w:tc>
          <w:tcPr>
            <w:tcW w:w="0" w:type="auto"/>
            <w:shd w:val="clear" w:color="000000" w:fill="FFFFFF"/>
            <w:hideMark/>
          </w:tcPr>
          <w:p w14:paraId="5E7AC02C"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604</w:t>
            </w:r>
          </w:p>
        </w:tc>
        <w:tc>
          <w:tcPr>
            <w:tcW w:w="0" w:type="auto"/>
            <w:shd w:val="clear" w:color="000000" w:fill="FFFFFF"/>
            <w:hideMark/>
          </w:tcPr>
          <w:p w14:paraId="262B454F"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217</w:t>
            </w:r>
          </w:p>
        </w:tc>
        <w:tc>
          <w:tcPr>
            <w:tcW w:w="0" w:type="auto"/>
            <w:shd w:val="clear" w:color="auto" w:fill="auto"/>
            <w:hideMark/>
          </w:tcPr>
          <w:p w14:paraId="650E9BB3"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.67</w:t>
            </w:r>
          </w:p>
        </w:tc>
      </w:tr>
      <w:tr w:rsidR="00481E87" w:rsidRPr="00481E87" w14:paraId="404700B9" w14:textId="77777777" w:rsidTr="00E50911">
        <w:trPr>
          <w:trHeight w:val="283"/>
          <w:jc w:val="center"/>
        </w:trPr>
        <w:tc>
          <w:tcPr>
            <w:tcW w:w="0" w:type="auto"/>
            <w:shd w:val="clear" w:color="auto" w:fill="auto"/>
            <w:hideMark/>
          </w:tcPr>
          <w:p w14:paraId="225C8171"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17. Me fijo objetivos y redoblo esfuerzos</w:t>
            </w:r>
          </w:p>
        </w:tc>
        <w:tc>
          <w:tcPr>
            <w:tcW w:w="0" w:type="auto"/>
            <w:shd w:val="clear" w:color="000000" w:fill="FFFFFF"/>
            <w:hideMark/>
          </w:tcPr>
          <w:p w14:paraId="51DE9CE6"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668</w:t>
            </w:r>
          </w:p>
        </w:tc>
        <w:tc>
          <w:tcPr>
            <w:tcW w:w="0" w:type="auto"/>
            <w:shd w:val="clear" w:color="000000" w:fill="FFFFFF"/>
            <w:hideMark/>
          </w:tcPr>
          <w:p w14:paraId="6435FD04"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211</w:t>
            </w:r>
          </w:p>
        </w:tc>
        <w:tc>
          <w:tcPr>
            <w:tcW w:w="0" w:type="auto"/>
            <w:shd w:val="clear" w:color="auto" w:fill="auto"/>
            <w:hideMark/>
          </w:tcPr>
          <w:p w14:paraId="06387E04"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.67</w:t>
            </w:r>
          </w:p>
        </w:tc>
      </w:tr>
      <w:tr w:rsidR="00481E87" w:rsidRPr="00481E87" w14:paraId="004E94DC" w14:textId="77777777" w:rsidTr="00E50911">
        <w:trPr>
          <w:trHeight w:val="283"/>
          <w:jc w:val="center"/>
        </w:trPr>
        <w:tc>
          <w:tcPr>
            <w:tcW w:w="0" w:type="auto"/>
            <w:shd w:val="clear" w:color="auto" w:fill="auto"/>
            <w:hideMark/>
          </w:tcPr>
          <w:p w14:paraId="7EF3858E"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19. Participo más en actividades de prevención civil</w:t>
            </w:r>
          </w:p>
        </w:tc>
        <w:tc>
          <w:tcPr>
            <w:tcW w:w="0" w:type="auto"/>
            <w:shd w:val="clear" w:color="000000" w:fill="FFFFFF"/>
            <w:hideMark/>
          </w:tcPr>
          <w:p w14:paraId="5F579C4F"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577</w:t>
            </w:r>
          </w:p>
        </w:tc>
        <w:tc>
          <w:tcPr>
            <w:tcW w:w="0" w:type="auto"/>
            <w:shd w:val="clear" w:color="000000" w:fill="FFFFFF"/>
            <w:hideMark/>
          </w:tcPr>
          <w:p w14:paraId="3F146920"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222</w:t>
            </w:r>
          </w:p>
        </w:tc>
        <w:tc>
          <w:tcPr>
            <w:tcW w:w="0" w:type="auto"/>
            <w:shd w:val="clear" w:color="auto" w:fill="auto"/>
            <w:hideMark/>
          </w:tcPr>
          <w:p w14:paraId="0D11D615"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.66</w:t>
            </w:r>
          </w:p>
        </w:tc>
      </w:tr>
      <w:tr w:rsidR="00481E87" w:rsidRPr="00481E87" w14:paraId="2549008F" w14:textId="77777777" w:rsidTr="00E50911">
        <w:trPr>
          <w:trHeight w:val="283"/>
          <w:jc w:val="center"/>
        </w:trPr>
        <w:tc>
          <w:tcPr>
            <w:tcW w:w="0" w:type="auto"/>
            <w:shd w:val="clear" w:color="auto" w:fill="auto"/>
            <w:hideMark/>
          </w:tcPr>
          <w:p w14:paraId="61B17C5C"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20. Reflexiono sobre las estrategias a utilizar</w:t>
            </w:r>
          </w:p>
        </w:tc>
        <w:tc>
          <w:tcPr>
            <w:tcW w:w="0" w:type="auto"/>
            <w:shd w:val="clear" w:color="000000" w:fill="FFFFFF"/>
            <w:hideMark/>
          </w:tcPr>
          <w:p w14:paraId="70FCB75A"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725</w:t>
            </w:r>
          </w:p>
        </w:tc>
        <w:tc>
          <w:tcPr>
            <w:tcW w:w="0" w:type="auto"/>
            <w:shd w:val="clear" w:color="000000" w:fill="FFFFFF"/>
            <w:hideMark/>
          </w:tcPr>
          <w:p w14:paraId="2A12EF6F"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,083</w:t>
            </w:r>
          </w:p>
        </w:tc>
        <w:tc>
          <w:tcPr>
            <w:tcW w:w="0" w:type="auto"/>
            <w:shd w:val="clear" w:color="auto" w:fill="auto"/>
            <w:hideMark/>
          </w:tcPr>
          <w:p w14:paraId="337832FE"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.65</w:t>
            </w:r>
          </w:p>
        </w:tc>
      </w:tr>
      <w:tr w:rsidR="00481E87" w:rsidRPr="00481E87" w14:paraId="453CA945" w14:textId="77777777" w:rsidTr="00E50911">
        <w:trPr>
          <w:trHeight w:val="283"/>
          <w:jc w:val="center"/>
        </w:trPr>
        <w:tc>
          <w:tcPr>
            <w:tcW w:w="0" w:type="auto"/>
            <w:shd w:val="clear" w:color="auto" w:fill="auto"/>
            <w:hideMark/>
          </w:tcPr>
          <w:p w14:paraId="7CA72FF5"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22. Tengo un plan preventivo y lo sigo</w:t>
            </w:r>
          </w:p>
        </w:tc>
        <w:tc>
          <w:tcPr>
            <w:tcW w:w="0" w:type="auto"/>
            <w:shd w:val="clear" w:color="000000" w:fill="FFFFFF"/>
            <w:hideMark/>
          </w:tcPr>
          <w:p w14:paraId="34E7CB2E"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714</w:t>
            </w:r>
          </w:p>
        </w:tc>
        <w:tc>
          <w:tcPr>
            <w:tcW w:w="0" w:type="auto"/>
            <w:shd w:val="clear" w:color="000000" w:fill="FFFFFF"/>
            <w:hideMark/>
          </w:tcPr>
          <w:p w14:paraId="3B6A833F"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208</w:t>
            </w:r>
          </w:p>
        </w:tc>
        <w:tc>
          <w:tcPr>
            <w:tcW w:w="0" w:type="auto"/>
            <w:shd w:val="clear" w:color="auto" w:fill="auto"/>
            <w:hideMark/>
          </w:tcPr>
          <w:p w14:paraId="0039D212"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.68</w:t>
            </w:r>
          </w:p>
        </w:tc>
      </w:tr>
      <w:tr w:rsidR="00481E87" w:rsidRPr="00481E87" w14:paraId="33CE7A0F" w14:textId="77777777" w:rsidTr="00E50911">
        <w:trPr>
          <w:trHeight w:val="283"/>
          <w:jc w:val="center"/>
        </w:trPr>
        <w:tc>
          <w:tcPr>
            <w:tcW w:w="0" w:type="auto"/>
            <w:shd w:val="clear" w:color="auto" w:fill="auto"/>
            <w:hideMark/>
          </w:tcPr>
          <w:p w14:paraId="4336A6C4"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23. Trato de cambiar mis hábitos de vida en función del problema</w:t>
            </w:r>
          </w:p>
        </w:tc>
        <w:tc>
          <w:tcPr>
            <w:tcW w:w="0" w:type="auto"/>
            <w:shd w:val="clear" w:color="000000" w:fill="FFFFFF"/>
            <w:hideMark/>
          </w:tcPr>
          <w:p w14:paraId="22A8883E"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552</w:t>
            </w:r>
          </w:p>
        </w:tc>
        <w:tc>
          <w:tcPr>
            <w:tcW w:w="0" w:type="auto"/>
            <w:shd w:val="clear" w:color="000000" w:fill="FFFFFF"/>
            <w:hideMark/>
          </w:tcPr>
          <w:p w14:paraId="367F809A"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327</w:t>
            </w:r>
          </w:p>
        </w:tc>
        <w:tc>
          <w:tcPr>
            <w:tcW w:w="0" w:type="auto"/>
            <w:shd w:val="clear" w:color="auto" w:fill="auto"/>
            <w:hideMark/>
          </w:tcPr>
          <w:p w14:paraId="547551C3"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.76</w:t>
            </w:r>
          </w:p>
        </w:tc>
      </w:tr>
      <w:tr w:rsidR="00481E87" w:rsidRPr="00481E87" w14:paraId="399A571C" w14:textId="77777777" w:rsidTr="00E50911">
        <w:trPr>
          <w:trHeight w:val="283"/>
          <w:jc w:val="center"/>
        </w:trPr>
        <w:tc>
          <w:tcPr>
            <w:tcW w:w="0" w:type="auto"/>
            <w:tcBorders>
              <w:bottom w:val="single" w:sz="4" w:space="0" w:color="auto"/>
            </w:tcBorders>
            <w:shd w:val="clear" w:color="auto" w:fill="auto"/>
            <w:hideMark/>
          </w:tcPr>
          <w:p w14:paraId="132D7196"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25. Trato de no precipitarme y reflexionar sobre los pasos a seguir</w:t>
            </w:r>
          </w:p>
        </w:tc>
        <w:tc>
          <w:tcPr>
            <w:tcW w:w="0" w:type="auto"/>
            <w:tcBorders>
              <w:bottom w:val="single" w:sz="4" w:space="0" w:color="auto"/>
            </w:tcBorders>
            <w:shd w:val="clear" w:color="000000" w:fill="FFFFFF"/>
            <w:hideMark/>
          </w:tcPr>
          <w:p w14:paraId="516B3CB1"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54</w:t>
            </w:r>
          </w:p>
        </w:tc>
        <w:tc>
          <w:tcPr>
            <w:tcW w:w="0" w:type="auto"/>
            <w:tcBorders>
              <w:bottom w:val="single" w:sz="4" w:space="0" w:color="auto"/>
            </w:tcBorders>
            <w:shd w:val="clear" w:color="000000" w:fill="FFFFFF"/>
            <w:hideMark/>
          </w:tcPr>
          <w:p w14:paraId="1A042ACB"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078</w:t>
            </w:r>
          </w:p>
        </w:tc>
        <w:tc>
          <w:tcPr>
            <w:tcW w:w="0" w:type="auto"/>
            <w:tcBorders>
              <w:bottom w:val="single" w:sz="4" w:space="0" w:color="auto"/>
            </w:tcBorders>
            <w:shd w:val="clear" w:color="auto" w:fill="auto"/>
            <w:hideMark/>
          </w:tcPr>
          <w:p w14:paraId="2CEA7514"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.72</w:t>
            </w:r>
          </w:p>
        </w:tc>
      </w:tr>
      <w:tr w:rsidR="00481E87" w:rsidRPr="00481E87" w14:paraId="431329A2" w14:textId="77777777" w:rsidTr="00E50911">
        <w:trPr>
          <w:trHeight w:val="283"/>
          <w:jc w:val="center"/>
        </w:trPr>
        <w:tc>
          <w:tcPr>
            <w:tcW w:w="0" w:type="auto"/>
            <w:tcBorders>
              <w:top w:val="single" w:sz="4" w:space="0" w:color="auto"/>
            </w:tcBorders>
            <w:shd w:val="clear" w:color="auto" w:fill="auto"/>
            <w:hideMark/>
          </w:tcPr>
          <w:p w14:paraId="710C94A7"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6. Trato de no sentir nada</w:t>
            </w:r>
          </w:p>
        </w:tc>
        <w:tc>
          <w:tcPr>
            <w:tcW w:w="0" w:type="auto"/>
            <w:tcBorders>
              <w:top w:val="single" w:sz="4" w:space="0" w:color="auto"/>
            </w:tcBorders>
            <w:shd w:val="clear" w:color="000000" w:fill="FFFFFF"/>
            <w:hideMark/>
          </w:tcPr>
          <w:p w14:paraId="0AAFAF73"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036</w:t>
            </w:r>
          </w:p>
        </w:tc>
        <w:tc>
          <w:tcPr>
            <w:tcW w:w="0" w:type="auto"/>
            <w:tcBorders>
              <w:top w:val="single" w:sz="4" w:space="0" w:color="auto"/>
            </w:tcBorders>
            <w:shd w:val="clear" w:color="000000" w:fill="FFFFFF"/>
            <w:hideMark/>
          </w:tcPr>
          <w:p w14:paraId="10EA8E18"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fr-FR" w:eastAsia="fr-FR"/>
              </w:rPr>
            </w:pPr>
            <w:r>
              <w:rPr>
                <w:rFonts w:eastAsia="Times New Roman"/>
                <w:b/>
                <w:bCs/>
                <w:color w:val="000000"/>
                <w:sz w:val="20"/>
                <w:szCs w:val="20"/>
                <w:bdr w:val="none" w:sz="0" w:space="0" w:color="auto"/>
                <w:lang w:val="es-CO" w:eastAsia="fr-FR"/>
              </w:rPr>
              <w:t>.</w:t>
            </w:r>
            <w:r w:rsidR="00481E87" w:rsidRPr="00481E87">
              <w:rPr>
                <w:rFonts w:eastAsia="Times New Roman"/>
                <w:b/>
                <w:bCs/>
                <w:color w:val="000000"/>
                <w:sz w:val="20"/>
                <w:szCs w:val="20"/>
                <w:bdr w:val="none" w:sz="0" w:space="0" w:color="auto"/>
                <w:lang w:val="es-CO" w:eastAsia="fr-FR"/>
              </w:rPr>
              <w:t>74</w:t>
            </w:r>
          </w:p>
        </w:tc>
        <w:tc>
          <w:tcPr>
            <w:tcW w:w="0" w:type="auto"/>
            <w:tcBorders>
              <w:top w:val="single" w:sz="4" w:space="0" w:color="auto"/>
            </w:tcBorders>
            <w:shd w:val="clear" w:color="auto" w:fill="auto"/>
            <w:hideMark/>
          </w:tcPr>
          <w:p w14:paraId="1159F4DB"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.73</w:t>
            </w:r>
          </w:p>
        </w:tc>
      </w:tr>
      <w:tr w:rsidR="00481E87" w:rsidRPr="00481E87" w14:paraId="788BA5A9" w14:textId="77777777" w:rsidTr="00E50911">
        <w:trPr>
          <w:trHeight w:val="283"/>
          <w:jc w:val="center"/>
        </w:trPr>
        <w:tc>
          <w:tcPr>
            <w:tcW w:w="0" w:type="auto"/>
            <w:shd w:val="clear" w:color="auto" w:fill="auto"/>
            <w:hideMark/>
          </w:tcPr>
          <w:p w14:paraId="51310EE8"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7. Me paseo para distraerme</w:t>
            </w:r>
          </w:p>
        </w:tc>
        <w:tc>
          <w:tcPr>
            <w:tcW w:w="0" w:type="auto"/>
            <w:shd w:val="clear" w:color="000000" w:fill="FFFFFF"/>
            <w:hideMark/>
          </w:tcPr>
          <w:p w14:paraId="6215B910"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136</w:t>
            </w:r>
          </w:p>
        </w:tc>
        <w:tc>
          <w:tcPr>
            <w:tcW w:w="0" w:type="auto"/>
            <w:shd w:val="clear" w:color="000000" w:fill="FFFFFF"/>
            <w:hideMark/>
          </w:tcPr>
          <w:p w14:paraId="76699265"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fr-FR" w:eastAsia="fr-FR"/>
              </w:rPr>
            </w:pPr>
            <w:r>
              <w:rPr>
                <w:rFonts w:eastAsia="Times New Roman"/>
                <w:b/>
                <w:bCs/>
                <w:color w:val="000000"/>
                <w:sz w:val="20"/>
                <w:szCs w:val="20"/>
                <w:bdr w:val="none" w:sz="0" w:space="0" w:color="auto"/>
                <w:lang w:val="es-CO" w:eastAsia="fr-FR"/>
              </w:rPr>
              <w:t>.</w:t>
            </w:r>
            <w:r w:rsidR="00481E87" w:rsidRPr="00481E87">
              <w:rPr>
                <w:rFonts w:eastAsia="Times New Roman"/>
                <w:b/>
                <w:bCs/>
                <w:color w:val="000000"/>
                <w:sz w:val="20"/>
                <w:szCs w:val="20"/>
                <w:bdr w:val="none" w:sz="0" w:space="0" w:color="auto"/>
                <w:lang w:val="es-CO" w:eastAsia="fr-FR"/>
              </w:rPr>
              <w:t>592</w:t>
            </w:r>
          </w:p>
        </w:tc>
        <w:tc>
          <w:tcPr>
            <w:tcW w:w="0" w:type="auto"/>
            <w:shd w:val="clear" w:color="auto" w:fill="auto"/>
            <w:hideMark/>
          </w:tcPr>
          <w:p w14:paraId="4B2228FF"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.72</w:t>
            </w:r>
          </w:p>
        </w:tc>
      </w:tr>
      <w:tr w:rsidR="00481E87" w:rsidRPr="00481E87" w14:paraId="6464615A" w14:textId="77777777" w:rsidTr="00E50911">
        <w:trPr>
          <w:trHeight w:val="283"/>
          <w:jc w:val="center"/>
        </w:trPr>
        <w:tc>
          <w:tcPr>
            <w:tcW w:w="0" w:type="auto"/>
            <w:shd w:val="clear" w:color="auto" w:fill="auto"/>
            <w:hideMark/>
          </w:tcPr>
          <w:p w14:paraId="205F3B3C"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18. Bromeo y tomo las cosas a la ligera</w:t>
            </w:r>
          </w:p>
        </w:tc>
        <w:tc>
          <w:tcPr>
            <w:tcW w:w="0" w:type="auto"/>
            <w:shd w:val="clear" w:color="000000" w:fill="FFFFFF"/>
            <w:hideMark/>
          </w:tcPr>
          <w:p w14:paraId="00702393"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363</w:t>
            </w:r>
          </w:p>
        </w:tc>
        <w:tc>
          <w:tcPr>
            <w:tcW w:w="0" w:type="auto"/>
            <w:shd w:val="clear" w:color="000000" w:fill="FFFFFF"/>
            <w:hideMark/>
          </w:tcPr>
          <w:p w14:paraId="69116969"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fr-FR" w:eastAsia="fr-FR"/>
              </w:rPr>
            </w:pPr>
            <w:r>
              <w:rPr>
                <w:rFonts w:eastAsia="Times New Roman"/>
                <w:b/>
                <w:bCs/>
                <w:color w:val="000000"/>
                <w:sz w:val="20"/>
                <w:szCs w:val="20"/>
                <w:bdr w:val="none" w:sz="0" w:space="0" w:color="auto"/>
                <w:lang w:val="es-CO" w:eastAsia="fr-FR"/>
              </w:rPr>
              <w:t>.</w:t>
            </w:r>
            <w:r w:rsidR="00481E87" w:rsidRPr="00481E87">
              <w:rPr>
                <w:rFonts w:eastAsia="Times New Roman"/>
                <w:b/>
                <w:bCs/>
                <w:color w:val="000000"/>
                <w:sz w:val="20"/>
                <w:szCs w:val="20"/>
                <w:bdr w:val="none" w:sz="0" w:space="0" w:color="auto"/>
                <w:lang w:val="es-CO" w:eastAsia="fr-FR"/>
              </w:rPr>
              <w:t>717</w:t>
            </w:r>
          </w:p>
        </w:tc>
        <w:tc>
          <w:tcPr>
            <w:tcW w:w="0" w:type="auto"/>
            <w:shd w:val="clear" w:color="auto" w:fill="auto"/>
            <w:hideMark/>
          </w:tcPr>
          <w:p w14:paraId="5C05C506"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.67</w:t>
            </w:r>
          </w:p>
        </w:tc>
      </w:tr>
      <w:tr w:rsidR="00481E87" w:rsidRPr="00481E87" w14:paraId="657C0647" w14:textId="77777777" w:rsidTr="00E50911">
        <w:trPr>
          <w:trHeight w:val="283"/>
          <w:jc w:val="center"/>
        </w:trPr>
        <w:tc>
          <w:tcPr>
            <w:tcW w:w="0" w:type="auto"/>
            <w:tcBorders>
              <w:bottom w:val="single" w:sz="4" w:space="0" w:color="auto"/>
            </w:tcBorders>
            <w:shd w:val="clear" w:color="auto" w:fill="auto"/>
            <w:hideMark/>
          </w:tcPr>
          <w:p w14:paraId="79F7A24B" w14:textId="77777777"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26. Busco actividades para pensar en otra cosa</w:t>
            </w:r>
          </w:p>
        </w:tc>
        <w:tc>
          <w:tcPr>
            <w:tcW w:w="0" w:type="auto"/>
            <w:tcBorders>
              <w:bottom w:val="single" w:sz="4" w:space="0" w:color="auto"/>
            </w:tcBorders>
            <w:shd w:val="clear" w:color="000000" w:fill="FFFFFF"/>
            <w:hideMark/>
          </w:tcPr>
          <w:p w14:paraId="2C1A06F7"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003</w:t>
            </w:r>
          </w:p>
        </w:tc>
        <w:tc>
          <w:tcPr>
            <w:tcW w:w="0" w:type="auto"/>
            <w:tcBorders>
              <w:bottom w:val="single" w:sz="4" w:space="0" w:color="auto"/>
            </w:tcBorders>
            <w:shd w:val="clear" w:color="000000" w:fill="FFFFFF"/>
            <w:hideMark/>
          </w:tcPr>
          <w:p w14:paraId="7D8A04F9" w14:textId="77777777"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fr-FR" w:eastAsia="fr-FR"/>
              </w:rPr>
            </w:pPr>
            <w:r>
              <w:rPr>
                <w:rFonts w:eastAsia="Times New Roman"/>
                <w:b/>
                <w:bCs/>
                <w:color w:val="000000"/>
                <w:sz w:val="20"/>
                <w:szCs w:val="20"/>
                <w:bdr w:val="none" w:sz="0" w:space="0" w:color="auto"/>
                <w:lang w:val="es-CO" w:eastAsia="fr-FR"/>
              </w:rPr>
              <w:t>.</w:t>
            </w:r>
            <w:r w:rsidR="00481E87" w:rsidRPr="00481E87">
              <w:rPr>
                <w:rFonts w:eastAsia="Times New Roman"/>
                <w:b/>
                <w:bCs/>
                <w:color w:val="000000"/>
                <w:sz w:val="20"/>
                <w:szCs w:val="20"/>
                <w:bdr w:val="none" w:sz="0" w:space="0" w:color="auto"/>
                <w:lang w:val="es-CO" w:eastAsia="fr-FR"/>
              </w:rPr>
              <w:t>736</w:t>
            </w:r>
          </w:p>
        </w:tc>
        <w:tc>
          <w:tcPr>
            <w:tcW w:w="0" w:type="auto"/>
            <w:tcBorders>
              <w:bottom w:val="single" w:sz="4" w:space="0" w:color="auto"/>
            </w:tcBorders>
            <w:shd w:val="clear" w:color="auto" w:fill="auto"/>
            <w:hideMark/>
          </w:tcPr>
          <w:p w14:paraId="32EDBD18" w14:textId="77777777"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.68</w:t>
            </w:r>
          </w:p>
        </w:tc>
      </w:tr>
      <w:tr w:rsidR="00481E87" w:rsidRPr="00481E87" w14:paraId="2E3E42F7" w14:textId="77777777" w:rsidTr="00E50911">
        <w:trPr>
          <w:trHeight w:val="283"/>
          <w:jc w:val="center"/>
        </w:trPr>
        <w:tc>
          <w:tcPr>
            <w:tcW w:w="0" w:type="auto"/>
            <w:tcBorders>
              <w:top w:val="single" w:sz="4" w:space="0" w:color="auto"/>
            </w:tcBorders>
            <w:shd w:val="clear" w:color="auto" w:fill="auto"/>
            <w:vAlign w:val="center"/>
            <w:hideMark/>
          </w:tcPr>
          <w:p w14:paraId="6209B359" w14:textId="77777777" w:rsidR="00481E87" w:rsidRPr="0090627A" w:rsidRDefault="00481E87" w:rsidP="006965C4">
            <w:pPr>
              <w:rPr>
                <w:color w:val="000000"/>
                <w:sz w:val="20"/>
                <w:szCs w:val="20"/>
              </w:rPr>
            </w:pPr>
            <w:r w:rsidRPr="0090627A">
              <w:rPr>
                <w:color w:val="000000"/>
                <w:sz w:val="20"/>
                <w:szCs w:val="20"/>
              </w:rPr>
              <w:lastRenderedPageBreak/>
              <w:t>Valor propio</w:t>
            </w:r>
          </w:p>
        </w:tc>
        <w:tc>
          <w:tcPr>
            <w:tcW w:w="0" w:type="auto"/>
            <w:tcBorders>
              <w:top w:val="single" w:sz="4" w:space="0" w:color="auto"/>
            </w:tcBorders>
            <w:shd w:val="clear" w:color="000000" w:fill="FFFFFF"/>
            <w:vAlign w:val="center"/>
            <w:hideMark/>
          </w:tcPr>
          <w:p w14:paraId="29324A34" w14:textId="77777777" w:rsidR="00481E87" w:rsidRPr="00E975E8" w:rsidRDefault="00EF6AA9" w:rsidP="006965C4">
            <w:pPr>
              <w:jc w:val="center"/>
              <w:rPr>
                <w:color w:val="000000"/>
                <w:sz w:val="20"/>
                <w:szCs w:val="20"/>
                <w:highlight w:val="yellow"/>
              </w:rPr>
            </w:pPr>
            <w:r>
              <w:rPr>
                <w:color w:val="000000"/>
                <w:sz w:val="20"/>
                <w:szCs w:val="20"/>
              </w:rPr>
              <w:t>5.</w:t>
            </w:r>
            <w:r w:rsidR="00E975E8" w:rsidRPr="00E975E8">
              <w:rPr>
                <w:color w:val="000000"/>
                <w:sz w:val="20"/>
                <w:szCs w:val="20"/>
              </w:rPr>
              <w:t>240</w:t>
            </w:r>
          </w:p>
        </w:tc>
        <w:tc>
          <w:tcPr>
            <w:tcW w:w="0" w:type="auto"/>
            <w:tcBorders>
              <w:top w:val="single" w:sz="4" w:space="0" w:color="auto"/>
            </w:tcBorders>
            <w:shd w:val="clear" w:color="000000" w:fill="FFFFFF"/>
            <w:vAlign w:val="center"/>
            <w:hideMark/>
          </w:tcPr>
          <w:p w14:paraId="095583D0" w14:textId="77777777" w:rsidR="00481E87" w:rsidRPr="00E975E8" w:rsidRDefault="00EF6AA9" w:rsidP="006965C4">
            <w:pPr>
              <w:jc w:val="center"/>
              <w:rPr>
                <w:color w:val="000000"/>
                <w:sz w:val="20"/>
                <w:szCs w:val="20"/>
                <w:highlight w:val="yellow"/>
              </w:rPr>
            </w:pPr>
            <w:r>
              <w:rPr>
                <w:color w:val="000000"/>
                <w:sz w:val="20"/>
                <w:szCs w:val="20"/>
              </w:rPr>
              <w:t>1.</w:t>
            </w:r>
            <w:r w:rsidR="00E975E8" w:rsidRPr="00E975E8">
              <w:rPr>
                <w:color w:val="000000"/>
                <w:sz w:val="20"/>
                <w:szCs w:val="20"/>
              </w:rPr>
              <w:t>718</w:t>
            </w:r>
          </w:p>
        </w:tc>
        <w:tc>
          <w:tcPr>
            <w:tcW w:w="0" w:type="auto"/>
            <w:tcBorders>
              <w:top w:val="single" w:sz="4" w:space="0" w:color="auto"/>
            </w:tcBorders>
            <w:shd w:val="clear" w:color="auto" w:fill="auto"/>
            <w:vAlign w:val="center"/>
            <w:hideMark/>
          </w:tcPr>
          <w:p w14:paraId="30AE6AA7" w14:textId="77777777" w:rsidR="00481E87" w:rsidRPr="0090627A" w:rsidRDefault="00481E87" w:rsidP="006965C4">
            <w:pPr>
              <w:rPr>
                <w:color w:val="000000"/>
                <w:sz w:val="20"/>
                <w:szCs w:val="20"/>
              </w:rPr>
            </w:pPr>
          </w:p>
        </w:tc>
      </w:tr>
      <w:tr w:rsidR="00481E87" w:rsidRPr="00481E87" w14:paraId="63A497BE" w14:textId="77777777" w:rsidTr="00E50911">
        <w:trPr>
          <w:trHeight w:val="283"/>
          <w:jc w:val="center"/>
        </w:trPr>
        <w:tc>
          <w:tcPr>
            <w:tcW w:w="0" w:type="auto"/>
            <w:shd w:val="clear" w:color="auto" w:fill="auto"/>
            <w:vAlign w:val="center"/>
            <w:hideMark/>
          </w:tcPr>
          <w:p w14:paraId="259BBD59" w14:textId="77777777" w:rsidR="00481E87" w:rsidRPr="0090627A" w:rsidRDefault="00481E87" w:rsidP="006965C4">
            <w:pPr>
              <w:rPr>
                <w:color w:val="000000"/>
                <w:sz w:val="20"/>
                <w:szCs w:val="20"/>
              </w:rPr>
            </w:pPr>
            <w:r w:rsidRPr="0090627A">
              <w:rPr>
                <w:color w:val="000000"/>
                <w:sz w:val="20"/>
                <w:szCs w:val="20"/>
              </w:rPr>
              <w:t>Varianza</w:t>
            </w:r>
            <w:r w:rsidR="00276509">
              <w:rPr>
                <w:color w:val="000000"/>
                <w:sz w:val="20"/>
                <w:szCs w:val="20"/>
              </w:rPr>
              <w:t xml:space="preserve"> </w:t>
            </w:r>
            <w:r w:rsidRPr="0090627A">
              <w:rPr>
                <w:color w:val="000000"/>
                <w:sz w:val="20"/>
                <w:szCs w:val="20"/>
              </w:rPr>
              <w:t>explicada</w:t>
            </w:r>
          </w:p>
        </w:tc>
        <w:tc>
          <w:tcPr>
            <w:tcW w:w="0" w:type="auto"/>
            <w:shd w:val="clear" w:color="000000" w:fill="FFFFFF"/>
            <w:vAlign w:val="center"/>
            <w:hideMark/>
          </w:tcPr>
          <w:p w14:paraId="62BBBAF9" w14:textId="77777777" w:rsidR="00481E87" w:rsidRPr="00E975E8" w:rsidRDefault="004D5428" w:rsidP="006965C4">
            <w:pPr>
              <w:jc w:val="center"/>
              <w:rPr>
                <w:color w:val="000000"/>
                <w:sz w:val="20"/>
                <w:szCs w:val="20"/>
                <w:highlight w:val="yellow"/>
              </w:rPr>
            </w:pPr>
            <w:r w:rsidRPr="00E975E8">
              <w:rPr>
                <w:color w:val="000000"/>
                <w:sz w:val="20"/>
                <w:szCs w:val="20"/>
              </w:rPr>
              <w:t>34</w:t>
            </w:r>
            <w:r w:rsidR="00EF6AA9">
              <w:rPr>
                <w:color w:val="000000"/>
                <w:sz w:val="20"/>
                <w:szCs w:val="20"/>
              </w:rPr>
              <w:t>.</w:t>
            </w:r>
            <w:r w:rsidRPr="00E975E8">
              <w:rPr>
                <w:color w:val="000000"/>
                <w:sz w:val="20"/>
                <w:szCs w:val="20"/>
              </w:rPr>
              <w:t>934</w:t>
            </w:r>
          </w:p>
        </w:tc>
        <w:tc>
          <w:tcPr>
            <w:tcW w:w="0" w:type="auto"/>
            <w:shd w:val="clear" w:color="000000" w:fill="FFFFFF"/>
            <w:vAlign w:val="center"/>
            <w:hideMark/>
          </w:tcPr>
          <w:p w14:paraId="5700D2C6" w14:textId="77777777" w:rsidR="00481E87" w:rsidRPr="00E975E8" w:rsidRDefault="004D5428" w:rsidP="006965C4">
            <w:pPr>
              <w:jc w:val="center"/>
              <w:rPr>
                <w:color w:val="000000"/>
                <w:sz w:val="20"/>
                <w:szCs w:val="20"/>
                <w:highlight w:val="yellow"/>
              </w:rPr>
            </w:pPr>
            <w:r w:rsidRPr="00E975E8">
              <w:rPr>
                <w:color w:val="000000"/>
                <w:sz w:val="20"/>
                <w:szCs w:val="20"/>
              </w:rPr>
              <w:t>11</w:t>
            </w:r>
            <w:r w:rsidR="00EF6AA9">
              <w:rPr>
                <w:color w:val="000000"/>
                <w:sz w:val="20"/>
                <w:szCs w:val="20"/>
              </w:rPr>
              <w:t>.</w:t>
            </w:r>
            <w:r w:rsidRPr="00E975E8">
              <w:rPr>
                <w:color w:val="000000"/>
                <w:sz w:val="20"/>
                <w:szCs w:val="20"/>
              </w:rPr>
              <w:t>453</w:t>
            </w:r>
          </w:p>
        </w:tc>
        <w:tc>
          <w:tcPr>
            <w:tcW w:w="0" w:type="auto"/>
            <w:shd w:val="clear" w:color="auto" w:fill="auto"/>
            <w:vAlign w:val="center"/>
            <w:hideMark/>
          </w:tcPr>
          <w:p w14:paraId="55A2DA7C" w14:textId="77777777" w:rsidR="00481E87" w:rsidRPr="0090627A" w:rsidRDefault="00481E87" w:rsidP="006965C4">
            <w:pPr>
              <w:rPr>
                <w:color w:val="000000"/>
                <w:sz w:val="20"/>
                <w:szCs w:val="20"/>
              </w:rPr>
            </w:pPr>
          </w:p>
        </w:tc>
      </w:tr>
      <w:tr w:rsidR="00A242F0" w:rsidRPr="00481E87" w14:paraId="7F79B891" w14:textId="77777777" w:rsidTr="00E50911">
        <w:trPr>
          <w:trHeight w:val="283"/>
          <w:jc w:val="center"/>
        </w:trPr>
        <w:tc>
          <w:tcPr>
            <w:tcW w:w="0" w:type="auto"/>
            <w:shd w:val="clear" w:color="auto" w:fill="auto"/>
            <w:vAlign w:val="center"/>
            <w:hideMark/>
          </w:tcPr>
          <w:p w14:paraId="3C5E45EA" w14:textId="77777777" w:rsidR="00A242F0" w:rsidRPr="0090627A" w:rsidRDefault="00A242F0" w:rsidP="006965C4">
            <w:pPr>
              <w:rPr>
                <w:color w:val="000000"/>
                <w:sz w:val="20"/>
                <w:szCs w:val="20"/>
              </w:rPr>
            </w:pPr>
            <w:r>
              <w:rPr>
                <w:color w:val="000000"/>
                <w:sz w:val="20"/>
                <w:szCs w:val="20"/>
              </w:rPr>
              <w:t>α</w:t>
            </w:r>
          </w:p>
        </w:tc>
        <w:tc>
          <w:tcPr>
            <w:tcW w:w="0" w:type="auto"/>
            <w:shd w:val="clear" w:color="000000" w:fill="FFFFFF"/>
            <w:vAlign w:val="center"/>
            <w:hideMark/>
          </w:tcPr>
          <w:p w14:paraId="07ACFF72" w14:textId="77777777" w:rsidR="00A242F0" w:rsidRPr="00E975E8" w:rsidRDefault="00A242F0" w:rsidP="006965C4">
            <w:pPr>
              <w:jc w:val="center"/>
              <w:rPr>
                <w:color w:val="000000"/>
                <w:sz w:val="20"/>
                <w:szCs w:val="20"/>
                <w:lang w:val="es-CO"/>
              </w:rPr>
            </w:pPr>
            <w:r w:rsidRPr="00E975E8">
              <w:rPr>
                <w:sz w:val="20"/>
                <w:szCs w:val="20"/>
              </w:rPr>
              <w:t>.89</w:t>
            </w:r>
          </w:p>
        </w:tc>
        <w:tc>
          <w:tcPr>
            <w:tcW w:w="0" w:type="auto"/>
            <w:shd w:val="clear" w:color="000000" w:fill="FFFFFF"/>
            <w:vAlign w:val="center"/>
            <w:hideMark/>
          </w:tcPr>
          <w:p w14:paraId="12D07F4D" w14:textId="77777777" w:rsidR="00A242F0" w:rsidRPr="00E975E8" w:rsidRDefault="00A242F0" w:rsidP="006965C4">
            <w:pPr>
              <w:jc w:val="center"/>
              <w:rPr>
                <w:color w:val="000000"/>
                <w:sz w:val="20"/>
                <w:szCs w:val="20"/>
                <w:lang w:val="es-CO"/>
              </w:rPr>
            </w:pPr>
            <w:r w:rsidRPr="00E975E8">
              <w:rPr>
                <w:sz w:val="20"/>
                <w:szCs w:val="20"/>
              </w:rPr>
              <w:t>.72</w:t>
            </w:r>
          </w:p>
        </w:tc>
        <w:tc>
          <w:tcPr>
            <w:tcW w:w="0" w:type="auto"/>
            <w:shd w:val="clear" w:color="auto" w:fill="auto"/>
            <w:vAlign w:val="center"/>
            <w:hideMark/>
          </w:tcPr>
          <w:p w14:paraId="63B05A01" w14:textId="77777777" w:rsidR="00A242F0" w:rsidRPr="0090627A" w:rsidRDefault="00A242F0" w:rsidP="006965C4">
            <w:pPr>
              <w:rPr>
                <w:color w:val="000000"/>
                <w:sz w:val="20"/>
                <w:szCs w:val="20"/>
              </w:rPr>
            </w:pPr>
          </w:p>
        </w:tc>
      </w:tr>
      <w:tr w:rsidR="00481E87" w:rsidRPr="00481E87" w14:paraId="0EC3104A" w14:textId="77777777" w:rsidTr="00E50911">
        <w:trPr>
          <w:trHeight w:val="283"/>
          <w:jc w:val="center"/>
        </w:trPr>
        <w:tc>
          <w:tcPr>
            <w:tcW w:w="0" w:type="auto"/>
            <w:tcBorders>
              <w:bottom w:val="single" w:sz="4" w:space="0" w:color="auto"/>
            </w:tcBorders>
            <w:shd w:val="clear" w:color="auto" w:fill="auto"/>
            <w:vAlign w:val="center"/>
            <w:hideMark/>
          </w:tcPr>
          <w:p w14:paraId="7BAA9B91" w14:textId="77777777" w:rsidR="00481E87" w:rsidRPr="00015A8C" w:rsidRDefault="00481E87" w:rsidP="006965C4">
            <w:pPr>
              <w:rPr>
                <w:color w:val="000000"/>
                <w:sz w:val="20"/>
                <w:szCs w:val="20"/>
              </w:rPr>
            </w:pPr>
            <w:r w:rsidRPr="00015A8C">
              <w:rPr>
                <w:color w:val="000000"/>
                <w:sz w:val="20"/>
                <w:szCs w:val="20"/>
              </w:rPr>
              <w:t>M</w:t>
            </w:r>
          </w:p>
        </w:tc>
        <w:tc>
          <w:tcPr>
            <w:tcW w:w="0" w:type="auto"/>
            <w:tcBorders>
              <w:bottom w:val="single" w:sz="4" w:space="0" w:color="auto"/>
            </w:tcBorders>
            <w:shd w:val="clear" w:color="000000" w:fill="FFFFFF"/>
            <w:vAlign w:val="center"/>
            <w:hideMark/>
          </w:tcPr>
          <w:p w14:paraId="5B1F047B" w14:textId="77777777" w:rsidR="00481E87" w:rsidRPr="00015A8C" w:rsidRDefault="00481E87" w:rsidP="006965C4">
            <w:pPr>
              <w:jc w:val="center"/>
              <w:rPr>
                <w:color w:val="000000"/>
                <w:sz w:val="20"/>
                <w:szCs w:val="20"/>
              </w:rPr>
            </w:pPr>
            <w:r w:rsidRPr="00015A8C">
              <w:rPr>
                <w:color w:val="000000"/>
                <w:sz w:val="20"/>
                <w:szCs w:val="20"/>
              </w:rPr>
              <w:t>3.</w:t>
            </w:r>
            <w:r w:rsidR="00E975E8" w:rsidRPr="00015A8C">
              <w:rPr>
                <w:color w:val="000000"/>
                <w:sz w:val="20"/>
                <w:szCs w:val="20"/>
              </w:rPr>
              <w:t>26</w:t>
            </w:r>
          </w:p>
        </w:tc>
        <w:tc>
          <w:tcPr>
            <w:tcW w:w="0" w:type="auto"/>
            <w:tcBorders>
              <w:bottom w:val="single" w:sz="4" w:space="0" w:color="auto"/>
            </w:tcBorders>
            <w:shd w:val="clear" w:color="000000" w:fill="FFFFFF"/>
            <w:vAlign w:val="center"/>
            <w:hideMark/>
          </w:tcPr>
          <w:p w14:paraId="4FFBD7CC" w14:textId="77777777" w:rsidR="00481E87" w:rsidRPr="00015A8C" w:rsidRDefault="00015A8C" w:rsidP="006965C4">
            <w:pPr>
              <w:jc w:val="center"/>
              <w:rPr>
                <w:color w:val="000000"/>
                <w:sz w:val="20"/>
                <w:szCs w:val="20"/>
              </w:rPr>
            </w:pPr>
            <w:r w:rsidRPr="00015A8C">
              <w:rPr>
                <w:color w:val="000000"/>
                <w:sz w:val="20"/>
                <w:szCs w:val="20"/>
              </w:rPr>
              <w:t>2</w:t>
            </w:r>
            <w:r w:rsidR="00481E87" w:rsidRPr="00015A8C">
              <w:rPr>
                <w:color w:val="000000"/>
                <w:sz w:val="20"/>
                <w:szCs w:val="20"/>
              </w:rPr>
              <w:t>.</w:t>
            </w:r>
            <w:r w:rsidRPr="00015A8C">
              <w:rPr>
                <w:color w:val="000000"/>
                <w:sz w:val="20"/>
                <w:szCs w:val="20"/>
              </w:rPr>
              <w:t>68</w:t>
            </w:r>
          </w:p>
        </w:tc>
        <w:tc>
          <w:tcPr>
            <w:tcW w:w="0" w:type="auto"/>
            <w:tcBorders>
              <w:bottom w:val="single" w:sz="4" w:space="0" w:color="auto"/>
            </w:tcBorders>
            <w:shd w:val="clear" w:color="auto" w:fill="auto"/>
            <w:vAlign w:val="center"/>
            <w:hideMark/>
          </w:tcPr>
          <w:p w14:paraId="0B928348" w14:textId="77777777" w:rsidR="00481E87" w:rsidRPr="0090627A" w:rsidRDefault="00481E87" w:rsidP="006965C4">
            <w:pPr>
              <w:rPr>
                <w:color w:val="000000"/>
                <w:sz w:val="20"/>
                <w:szCs w:val="20"/>
              </w:rPr>
            </w:pPr>
          </w:p>
        </w:tc>
      </w:tr>
    </w:tbl>
    <w:p w14:paraId="6C54A406" w14:textId="77777777" w:rsidR="00F61F6E" w:rsidRPr="00015A8C" w:rsidRDefault="00F61F6E" w:rsidP="006965C4">
      <w:pPr>
        <w:jc w:val="both"/>
        <w:rPr>
          <w:lang w:val="es-ES"/>
        </w:rPr>
      </w:pPr>
      <w:r w:rsidRPr="00015A8C">
        <w:rPr>
          <w:lang w:val="es-ES"/>
        </w:rPr>
        <w:t>*</w:t>
      </w:r>
      <w:r w:rsidRPr="00015A8C">
        <w:rPr>
          <w:sz w:val="20"/>
          <w:szCs w:val="20"/>
          <w:lang w:val="es-ES"/>
        </w:rPr>
        <w:t xml:space="preserve">Valor de </w:t>
      </w:r>
      <w:r w:rsidR="00015A8C" w:rsidRPr="00015A8C">
        <w:rPr>
          <w:sz w:val="20"/>
          <w:szCs w:val="20"/>
          <w:lang w:val="es-ES"/>
        </w:rPr>
        <w:t>alfa</w:t>
      </w:r>
      <w:r w:rsidRPr="00015A8C">
        <w:rPr>
          <w:sz w:val="20"/>
          <w:szCs w:val="20"/>
          <w:lang w:val="es-ES"/>
        </w:rPr>
        <w:t xml:space="preserve"> en cada factor, si se elimina el ítem.</w:t>
      </w:r>
      <w:r w:rsidR="00015A8C" w:rsidRPr="00015A8C">
        <w:rPr>
          <w:sz w:val="20"/>
          <w:szCs w:val="20"/>
          <w:lang w:val="es-ES"/>
        </w:rPr>
        <w:t xml:space="preserve"> Factor 1: </w:t>
      </w:r>
      <w:r w:rsidR="00015A8C" w:rsidRPr="00015A8C">
        <w:rPr>
          <w:i/>
          <w:sz w:val="20"/>
          <w:szCs w:val="20"/>
          <w:lang w:val="es-ES"/>
        </w:rPr>
        <w:t>Coping</w:t>
      </w:r>
      <w:r w:rsidR="00015A8C" w:rsidRPr="00015A8C">
        <w:rPr>
          <w:sz w:val="20"/>
          <w:szCs w:val="20"/>
          <w:lang w:val="es-ES"/>
        </w:rPr>
        <w:t xml:space="preserve"> activo, Factor 2: </w:t>
      </w:r>
      <w:r w:rsidR="00015A8C" w:rsidRPr="00015A8C">
        <w:rPr>
          <w:i/>
          <w:sz w:val="20"/>
          <w:szCs w:val="20"/>
          <w:lang w:val="es-ES"/>
        </w:rPr>
        <w:t>Coping</w:t>
      </w:r>
      <w:r w:rsidR="00015A8C" w:rsidRPr="00015A8C">
        <w:rPr>
          <w:sz w:val="20"/>
          <w:szCs w:val="20"/>
          <w:lang w:val="es-ES"/>
        </w:rPr>
        <w:t xml:space="preserve"> pasivo.</w:t>
      </w:r>
    </w:p>
    <w:p w14:paraId="06255C6A" w14:textId="77777777" w:rsidR="005B54F7" w:rsidRPr="00015A8C" w:rsidRDefault="005B54F7" w:rsidP="006965C4">
      <w:pPr>
        <w:autoSpaceDE w:val="0"/>
        <w:autoSpaceDN w:val="0"/>
        <w:adjustRightInd w:val="0"/>
        <w:ind w:left="60" w:right="60"/>
        <w:jc w:val="both"/>
        <w:rPr>
          <w:bCs/>
          <w:color w:val="000000"/>
          <w:lang w:val="es-ES"/>
        </w:rPr>
      </w:pPr>
    </w:p>
    <w:p w14:paraId="62570714" w14:textId="77777777" w:rsidR="00790A7D" w:rsidRDefault="005B54F7" w:rsidP="006965C4">
      <w:pPr>
        <w:ind w:firstLine="708"/>
        <w:jc w:val="both"/>
        <w:rPr>
          <w:bCs/>
          <w:color w:val="000000"/>
          <w:lang w:val="es-ES"/>
        </w:rPr>
      </w:pPr>
      <w:r>
        <w:rPr>
          <w:bCs/>
          <w:color w:val="000000"/>
          <w:lang w:val="es-ES"/>
        </w:rPr>
        <w:t>El análisis de la escala de Implicación Personal (IP)</w:t>
      </w:r>
      <w:r w:rsidR="009A0253">
        <w:rPr>
          <w:bCs/>
          <w:color w:val="000000"/>
          <w:lang w:val="es-ES"/>
        </w:rPr>
        <w:t xml:space="preserve"> siguió, el mismo procedimiento que las dos anteriores. </w:t>
      </w:r>
      <w:r w:rsidR="009A0253">
        <w:rPr>
          <w:lang w:val="es-ES"/>
        </w:rPr>
        <w:t xml:space="preserve">Muestra un alfa de </w:t>
      </w:r>
      <w:r w:rsidR="009A0253" w:rsidRPr="00843E8B">
        <w:rPr>
          <w:lang w:val="es-ES"/>
        </w:rPr>
        <w:t>.</w:t>
      </w:r>
      <w:r w:rsidR="009A0253">
        <w:rPr>
          <w:lang w:val="es-ES"/>
        </w:rPr>
        <w:t>8</w:t>
      </w:r>
      <w:r w:rsidR="009A0253" w:rsidRPr="00843E8B">
        <w:rPr>
          <w:lang w:val="es-ES"/>
        </w:rPr>
        <w:t>2</w:t>
      </w:r>
      <w:r w:rsidR="009A0253">
        <w:rPr>
          <w:lang w:val="es-ES"/>
        </w:rPr>
        <w:t xml:space="preserve">, </w:t>
      </w:r>
      <w:r w:rsidR="009A0253" w:rsidRPr="00B92458">
        <w:rPr>
          <w:lang w:val="es-ES" w:eastAsia="es-CO"/>
        </w:rPr>
        <w:t xml:space="preserve">KMO = </w:t>
      </w:r>
      <w:r w:rsidR="009A0253">
        <w:rPr>
          <w:lang w:val="es-ES" w:eastAsia="es-CO"/>
        </w:rPr>
        <w:t>.887,</w:t>
      </w:r>
      <w:r w:rsidR="00E50911">
        <w:rPr>
          <w:lang w:val="es-ES" w:eastAsia="es-CO"/>
        </w:rPr>
        <w:t xml:space="preserve"> </w:t>
      </w:r>
      <w:r w:rsidR="009A0253" w:rsidRPr="00897568">
        <w:rPr>
          <w:lang w:val="es-ES" w:eastAsia="es-CO"/>
        </w:rPr>
        <w:t>nivel de significancia en la prueba de esfericidad de Bartlett de .00</w:t>
      </w:r>
      <w:r w:rsidR="009A0253">
        <w:rPr>
          <w:lang w:val="es-ES" w:eastAsia="es-CO"/>
        </w:rPr>
        <w:t>0</w:t>
      </w:r>
      <w:r w:rsidR="009A0253">
        <w:rPr>
          <w:lang w:val="es-ES"/>
        </w:rPr>
        <w:t xml:space="preserve"> y varianza total explicada</w:t>
      </w:r>
      <w:r w:rsidR="009A0253" w:rsidRPr="00843E8B">
        <w:rPr>
          <w:lang w:val="es-ES"/>
        </w:rPr>
        <w:t xml:space="preserve"> de </w:t>
      </w:r>
      <w:r w:rsidR="00687BD9">
        <w:rPr>
          <w:lang w:val="es-ES"/>
        </w:rPr>
        <w:t>60</w:t>
      </w:r>
      <w:r w:rsidR="009A0253" w:rsidRPr="00843E8B">
        <w:rPr>
          <w:lang w:val="es-ES"/>
        </w:rPr>
        <w:t>%</w:t>
      </w:r>
      <w:r w:rsidR="009A0253">
        <w:rPr>
          <w:lang w:val="es-ES"/>
        </w:rPr>
        <w:t xml:space="preserve">. Para mejorar las propiedades psicométricas se eliminaron </w:t>
      </w:r>
      <w:r w:rsidR="00687BD9">
        <w:rPr>
          <w:lang w:val="es-ES"/>
        </w:rPr>
        <w:t>2</w:t>
      </w:r>
      <w:r w:rsidR="009A0253">
        <w:rPr>
          <w:lang w:val="es-ES"/>
        </w:rPr>
        <w:t>ítems</w:t>
      </w:r>
      <w:r w:rsidR="00687BD9">
        <w:rPr>
          <w:lang w:val="es-ES"/>
        </w:rPr>
        <w:t xml:space="preserve"> (2 y 7)</w:t>
      </w:r>
      <w:r w:rsidR="009A0253">
        <w:rPr>
          <w:lang w:val="es-ES"/>
        </w:rPr>
        <w:t xml:space="preserve"> siguiendo los criterios ya descritos</w:t>
      </w:r>
      <w:r w:rsidR="00687BD9">
        <w:rPr>
          <w:lang w:val="es-ES"/>
        </w:rPr>
        <w:t xml:space="preserve"> anteriormente (carga factorial en este caso)</w:t>
      </w:r>
      <w:r w:rsidR="009A0253">
        <w:rPr>
          <w:lang w:val="es-ES"/>
        </w:rPr>
        <w:t>.</w:t>
      </w:r>
      <w:r w:rsidR="00687BD9">
        <w:rPr>
          <w:lang w:val="es-ES"/>
        </w:rPr>
        <w:t xml:space="preserve"> Con esta nueva versión,</w:t>
      </w:r>
      <w:r w:rsidR="009A0253">
        <w:rPr>
          <w:lang w:val="es-ES"/>
        </w:rPr>
        <w:t xml:space="preserve"> se obtiene un α = </w:t>
      </w:r>
      <w:r w:rsidR="009A0253" w:rsidRPr="000821C4">
        <w:rPr>
          <w:lang w:val="es-ES"/>
        </w:rPr>
        <w:t>.</w:t>
      </w:r>
      <w:r w:rsidR="00687BD9">
        <w:rPr>
          <w:lang w:val="es-ES"/>
        </w:rPr>
        <w:t>84</w:t>
      </w:r>
      <w:r w:rsidR="009A0253">
        <w:rPr>
          <w:lang w:val="es-ES"/>
        </w:rPr>
        <w:t xml:space="preserve">, </w:t>
      </w:r>
      <w:r w:rsidR="009A0253" w:rsidRPr="009A62A3">
        <w:rPr>
          <w:lang w:val="es-ES"/>
        </w:rPr>
        <w:t xml:space="preserve">KMO = </w:t>
      </w:r>
      <w:r w:rsidR="009A0253">
        <w:rPr>
          <w:lang w:val="es-ES"/>
        </w:rPr>
        <w:t>.</w:t>
      </w:r>
      <w:r w:rsidR="00687BD9">
        <w:rPr>
          <w:lang w:val="es-ES"/>
        </w:rPr>
        <w:t>872</w:t>
      </w:r>
      <w:r w:rsidR="009A0253">
        <w:rPr>
          <w:lang w:val="es-ES"/>
        </w:rPr>
        <w:t>,</w:t>
      </w:r>
      <w:r w:rsidR="00E50911">
        <w:rPr>
          <w:lang w:val="es-ES"/>
        </w:rPr>
        <w:t xml:space="preserve"> </w:t>
      </w:r>
      <w:r w:rsidR="009A0253" w:rsidRPr="00897568">
        <w:rPr>
          <w:lang w:val="es-ES" w:eastAsia="es-CO"/>
        </w:rPr>
        <w:t xml:space="preserve">nivel de significancia </w:t>
      </w:r>
      <w:r w:rsidR="009A0253">
        <w:rPr>
          <w:lang w:val="es-ES" w:eastAsia="es-CO"/>
        </w:rPr>
        <w:t xml:space="preserve">en la </w:t>
      </w:r>
      <w:r w:rsidR="009A0253" w:rsidRPr="00B97D62">
        <w:rPr>
          <w:lang w:val="es-ES"/>
        </w:rPr>
        <w:t>prueba de</w:t>
      </w:r>
      <w:r w:rsidR="009A0253">
        <w:rPr>
          <w:lang w:val="es-ES"/>
        </w:rPr>
        <w:t xml:space="preserve"> esfericidad de Bartlett de .000 y una varianza </w:t>
      </w:r>
      <w:r w:rsidR="00747F20">
        <w:rPr>
          <w:lang w:val="es-ES"/>
        </w:rPr>
        <w:t xml:space="preserve">total </w:t>
      </w:r>
      <w:r w:rsidR="009A0253">
        <w:rPr>
          <w:lang w:val="es-ES"/>
        </w:rPr>
        <w:t>explicada de 6</w:t>
      </w:r>
      <w:r w:rsidR="00687BD9">
        <w:rPr>
          <w:lang w:val="es-ES"/>
        </w:rPr>
        <w:t>8,86</w:t>
      </w:r>
      <w:r w:rsidR="009A0253">
        <w:rPr>
          <w:lang w:val="es-ES"/>
        </w:rPr>
        <w:t xml:space="preserve">%. </w:t>
      </w:r>
      <w:r w:rsidR="00747F20">
        <w:rPr>
          <w:lang w:val="es-ES"/>
        </w:rPr>
        <w:t>El análisis de componentes rotados (</w:t>
      </w:r>
      <w:r w:rsidR="00747F20" w:rsidRPr="00747F20">
        <w:rPr>
          <w:i/>
          <w:lang w:val="es-ES"/>
        </w:rPr>
        <w:t>varimax</w:t>
      </w:r>
      <w:r w:rsidR="00747F20">
        <w:rPr>
          <w:lang w:val="es-ES"/>
        </w:rPr>
        <w:t>) muestra que los ítems no se agrupan en las tres dimensiones teóricas</w:t>
      </w:r>
      <w:r w:rsidR="00186598">
        <w:rPr>
          <w:lang w:val="es-ES"/>
        </w:rPr>
        <w:t xml:space="preserve"> independientes propuestas por el autor (Rouquette, 1997</w:t>
      </w:r>
      <w:r w:rsidR="00794697">
        <w:rPr>
          <w:lang w:val="es-ES"/>
        </w:rPr>
        <w:t>;</w:t>
      </w:r>
      <w:r w:rsidR="00E50911">
        <w:rPr>
          <w:lang w:val="es-ES"/>
        </w:rPr>
        <w:t xml:space="preserve"> </w:t>
      </w:r>
      <w:r w:rsidR="00794697">
        <w:rPr>
          <w:lang w:val="es-ES"/>
        </w:rPr>
        <w:t>Demarque et al., 2011</w:t>
      </w:r>
      <w:r w:rsidR="00186598">
        <w:rPr>
          <w:lang w:val="es-ES"/>
        </w:rPr>
        <w:t xml:space="preserve">), sino que, tal y como lo propone Lheureux et al. (2011), empíricamente </w:t>
      </w:r>
      <w:r w:rsidR="00747F20">
        <w:rPr>
          <w:lang w:val="es-ES"/>
        </w:rPr>
        <w:t xml:space="preserve">la estructura factorial </w:t>
      </w:r>
      <w:r w:rsidR="00186598">
        <w:rPr>
          <w:lang w:val="es-ES"/>
        </w:rPr>
        <w:t xml:space="preserve">se organiza en dos factores: </w:t>
      </w:r>
      <w:r w:rsidR="00186598" w:rsidRPr="00D36598">
        <w:rPr>
          <w:i/>
          <w:lang w:val="es-ES"/>
        </w:rPr>
        <w:t>identificación/posibilidad percibida de acción</w:t>
      </w:r>
      <w:r w:rsidR="00186598">
        <w:rPr>
          <w:lang w:val="es-ES"/>
        </w:rPr>
        <w:t xml:space="preserve"> y </w:t>
      </w:r>
      <w:r w:rsidR="00D36598" w:rsidRPr="00D36598">
        <w:rPr>
          <w:i/>
          <w:lang w:val="es-ES"/>
        </w:rPr>
        <w:t>valoración</w:t>
      </w:r>
      <w:r w:rsidR="00186598">
        <w:rPr>
          <w:lang w:val="es-ES"/>
        </w:rPr>
        <w:t xml:space="preserve">. </w:t>
      </w:r>
    </w:p>
    <w:p w14:paraId="3FB7696D" w14:textId="77777777" w:rsidR="00E50911" w:rsidRDefault="00E50911" w:rsidP="006965C4">
      <w:pPr>
        <w:autoSpaceDE w:val="0"/>
        <w:autoSpaceDN w:val="0"/>
        <w:adjustRightInd w:val="0"/>
        <w:ind w:left="60" w:right="60"/>
        <w:rPr>
          <w:bCs/>
          <w:color w:val="000000"/>
          <w:lang w:val="es-ES"/>
        </w:rPr>
      </w:pPr>
    </w:p>
    <w:p w14:paraId="7A54484C" w14:textId="6993BB71" w:rsidR="00687BD9" w:rsidRDefault="00687BD9" w:rsidP="006965C4">
      <w:pPr>
        <w:autoSpaceDE w:val="0"/>
        <w:autoSpaceDN w:val="0"/>
        <w:adjustRightInd w:val="0"/>
        <w:ind w:left="60" w:right="60"/>
        <w:rPr>
          <w:bCs/>
          <w:color w:val="000000"/>
          <w:lang w:val="es-ES"/>
        </w:rPr>
      </w:pPr>
      <w:r>
        <w:rPr>
          <w:bCs/>
          <w:color w:val="000000"/>
          <w:lang w:val="es-ES"/>
        </w:rPr>
        <w:t>Tabla 3.</w:t>
      </w:r>
      <w:r w:rsidR="008E271E">
        <w:rPr>
          <w:bCs/>
          <w:color w:val="000000"/>
          <w:lang w:val="es-ES"/>
        </w:rPr>
        <w:t xml:space="preserve"> </w:t>
      </w:r>
      <w:r w:rsidR="00D36598">
        <w:rPr>
          <w:lang w:val="es-ES"/>
        </w:rPr>
        <w:t xml:space="preserve">Análisis factorial exploratorio con rotación ortogonal </w:t>
      </w:r>
      <w:r w:rsidR="00D36598" w:rsidRPr="006C3D06">
        <w:rPr>
          <w:i/>
          <w:lang w:val="es-ES"/>
        </w:rPr>
        <w:t>varimax</w:t>
      </w:r>
      <w:r w:rsidR="00D36598">
        <w:rPr>
          <w:lang w:val="es-ES"/>
        </w:rPr>
        <w:t xml:space="preserve"> para los ítems de la escala PI: cargas factoriales y estadísticos descriptivos</w:t>
      </w:r>
    </w:p>
    <w:tbl>
      <w:tblPr>
        <w:tblW w:w="0" w:type="auto"/>
        <w:shd w:val="clear" w:color="auto" w:fill="FFFFFF" w:themeFill="background1"/>
        <w:tblCellMar>
          <w:left w:w="70" w:type="dxa"/>
          <w:right w:w="70" w:type="dxa"/>
        </w:tblCellMar>
        <w:tblLook w:val="04A0" w:firstRow="1" w:lastRow="0" w:firstColumn="1" w:lastColumn="0" w:noHBand="0" w:noVBand="1"/>
      </w:tblPr>
      <w:tblGrid>
        <w:gridCol w:w="7830"/>
        <w:gridCol w:w="590"/>
        <w:gridCol w:w="590"/>
        <w:gridCol w:w="490"/>
      </w:tblGrid>
      <w:tr w:rsidR="00687BD9" w:rsidRPr="00EF6AA9" w14:paraId="5DCFA0F0" w14:textId="77777777" w:rsidTr="00673899">
        <w:trPr>
          <w:trHeight w:val="227"/>
        </w:trPr>
        <w:tc>
          <w:tcPr>
            <w:tcW w:w="0" w:type="auto"/>
            <w:vMerge w:val="restart"/>
            <w:tcBorders>
              <w:top w:val="single" w:sz="4" w:space="0" w:color="auto"/>
            </w:tcBorders>
            <w:shd w:val="clear" w:color="auto" w:fill="FFFFFF" w:themeFill="background1"/>
            <w:vAlign w:val="center"/>
            <w:hideMark/>
          </w:tcPr>
          <w:p w14:paraId="0E667350" w14:textId="77777777" w:rsidR="00687BD9" w:rsidRPr="00EF6AA9" w:rsidRDefault="00990185" w:rsidP="006965C4">
            <w:pPr>
              <w:jc w:val="center"/>
              <w:rPr>
                <w:rFonts w:eastAsia="Times New Roman"/>
                <w:color w:val="000000"/>
                <w:sz w:val="20"/>
                <w:szCs w:val="20"/>
                <w:lang w:val="es-ES" w:eastAsia="fr-FR"/>
              </w:rPr>
            </w:pPr>
            <w:r w:rsidRPr="00EF6AA9">
              <w:rPr>
                <w:rFonts w:eastAsia="Times New Roman"/>
                <w:color w:val="000000"/>
                <w:sz w:val="20"/>
                <w:szCs w:val="20"/>
                <w:lang w:val="es-ES" w:eastAsia="fr-FR"/>
              </w:rPr>
              <w:t>Ítems</w:t>
            </w:r>
          </w:p>
        </w:tc>
        <w:tc>
          <w:tcPr>
            <w:tcW w:w="0" w:type="auto"/>
            <w:gridSpan w:val="3"/>
            <w:tcBorders>
              <w:top w:val="single" w:sz="4" w:space="0" w:color="auto"/>
            </w:tcBorders>
            <w:shd w:val="clear" w:color="auto" w:fill="FFFFFF" w:themeFill="background1"/>
            <w:hideMark/>
          </w:tcPr>
          <w:p w14:paraId="0B628687" w14:textId="77777777" w:rsidR="00687BD9" w:rsidRPr="00EF6AA9" w:rsidRDefault="00687BD9" w:rsidP="006965C4">
            <w:pPr>
              <w:jc w:val="center"/>
              <w:rPr>
                <w:rFonts w:eastAsia="Times New Roman"/>
                <w:color w:val="000000"/>
                <w:sz w:val="20"/>
                <w:szCs w:val="20"/>
                <w:lang w:eastAsia="fr-FR"/>
              </w:rPr>
            </w:pPr>
            <w:r w:rsidRPr="00EF6AA9">
              <w:rPr>
                <w:rFonts w:eastAsia="Times New Roman"/>
                <w:color w:val="000000"/>
                <w:sz w:val="20"/>
                <w:szCs w:val="20"/>
                <w:lang w:eastAsia="fr-FR"/>
              </w:rPr>
              <w:t>Componente</w:t>
            </w:r>
          </w:p>
        </w:tc>
      </w:tr>
      <w:tr w:rsidR="00687BD9" w:rsidRPr="00EF6AA9" w14:paraId="06322FBA" w14:textId="77777777" w:rsidTr="00673899">
        <w:trPr>
          <w:trHeight w:val="227"/>
        </w:trPr>
        <w:tc>
          <w:tcPr>
            <w:tcW w:w="0" w:type="auto"/>
            <w:vMerge/>
            <w:tcBorders>
              <w:bottom w:val="single" w:sz="4" w:space="0" w:color="auto"/>
            </w:tcBorders>
            <w:shd w:val="clear" w:color="auto" w:fill="FFFFFF" w:themeFill="background1"/>
            <w:hideMark/>
          </w:tcPr>
          <w:p w14:paraId="015E045D" w14:textId="77777777" w:rsidR="00687BD9" w:rsidRPr="00EF6AA9" w:rsidRDefault="00687BD9" w:rsidP="006965C4">
            <w:pPr>
              <w:rPr>
                <w:rFonts w:eastAsia="Times New Roman"/>
                <w:color w:val="000000"/>
                <w:sz w:val="20"/>
                <w:szCs w:val="20"/>
                <w:lang w:eastAsia="fr-FR"/>
              </w:rPr>
            </w:pPr>
          </w:p>
        </w:tc>
        <w:tc>
          <w:tcPr>
            <w:tcW w:w="0" w:type="auto"/>
            <w:tcBorders>
              <w:bottom w:val="single" w:sz="4" w:space="0" w:color="auto"/>
            </w:tcBorders>
            <w:shd w:val="clear" w:color="auto" w:fill="FFFFFF" w:themeFill="background1"/>
            <w:noWrap/>
            <w:hideMark/>
          </w:tcPr>
          <w:p w14:paraId="0EDA09DA" w14:textId="77777777" w:rsidR="00687BD9" w:rsidRPr="00EF6AA9" w:rsidRDefault="00687BD9" w:rsidP="006965C4">
            <w:pPr>
              <w:jc w:val="center"/>
              <w:rPr>
                <w:rFonts w:eastAsia="Times New Roman"/>
                <w:color w:val="000000"/>
                <w:sz w:val="20"/>
                <w:szCs w:val="20"/>
                <w:lang w:eastAsia="fr-FR"/>
              </w:rPr>
            </w:pPr>
            <w:r w:rsidRPr="00EF6AA9">
              <w:rPr>
                <w:rFonts w:eastAsia="Times New Roman"/>
                <w:color w:val="000000"/>
                <w:sz w:val="20"/>
                <w:szCs w:val="20"/>
                <w:lang w:eastAsia="fr-FR"/>
              </w:rPr>
              <w:t>1</w:t>
            </w:r>
          </w:p>
        </w:tc>
        <w:tc>
          <w:tcPr>
            <w:tcW w:w="0" w:type="auto"/>
            <w:tcBorders>
              <w:bottom w:val="single" w:sz="4" w:space="0" w:color="auto"/>
            </w:tcBorders>
            <w:shd w:val="clear" w:color="auto" w:fill="FFFFFF" w:themeFill="background1"/>
            <w:noWrap/>
            <w:hideMark/>
          </w:tcPr>
          <w:p w14:paraId="5DB8AE29" w14:textId="77777777" w:rsidR="00687BD9" w:rsidRPr="00EF6AA9" w:rsidRDefault="00687BD9" w:rsidP="006965C4">
            <w:pPr>
              <w:jc w:val="center"/>
              <w:rPr>
                <w:rFonts w:eastAsia="Times New Roman"/>
                <w:color w:val="000000"/>
                <w:sz w:val="20"/>
                <w:szCs w:val="20"/>
                <w:lang w:eastAsia="fr-FR"/>
              </w:rPr>
            </w:pPr>
            <w:r w:rsidRPr="00EF6AA9">
              <w:rPr>
                <w:rFonts w:eastAsia="Times New Roman"/>
                <w:color w:val="000000"/>
                <w:sz w:val="20"/>
                <w:szCs w:val="20"/>
                <w:lang w:eastAsia="fr-FR"/>
              </w:rPr>
              <w:t>2</w:t>
            </w:r>
          </w:p>
        </w:tc>
        <w:tc>
          <w:tcPr>
            <w:tcW w:w="0" w:type="auto"/>
            <w:tcBorders>
              <w:bottom w:val="single" w:sz="4" w:space="0" w:color="auto"/>
            </w:tcBorders>
            <w:shd w:val="clear" w:color="auto" w:fill="FFFFFF" w:themeFill="background1"/>
          </w:tcPr>
          <w:p w14:paraId="10FE488E" w14:textId="77777777" w:rsidR="00687BD9" w:rsidRPr="00EF6AA9" w:rsidRDefault="00990185" w:rsidP="006965C4">
            <w:pPr>
              <w:jc w:val="center"/>
              <w:rPr>
                <w:rFonts w:eastAsia="Times New Roman"/>
                <w:color w:val="000000"/>
                <w:sz w:val="20"/>
                <w:szCs w:val="20"/>
                <w:lang w:eastAsia="fr-FR"/>
              </w:rPr>
            </w:pPr>
            <w:r w:rsidRPr="00EF6AA9">
              <w:rPr>
                <w:rFonts w:eastAsia="Times New Roman"/>
                <w:color w:val="000000"/>
                <w:sz w:val="20"/>
                <w:szCs w:val="20"/>
                <w:bdr w:val="none" w:sz="0" w:space="0" w:color="auto"/>
                <w:lang w:val="es-ES" w:eastAsia="fr-FR"/>
              </w:rPr>
              <w:t>α*</w:t>
            </w:r>
          </w:p>
        </w:tc>
      </w:tr>
      <w:tr w:rsidR="008F50BE" w:rsidRPr="00EF6AA9" w14:paraId="1BEB35F4" w14:textId="77777777" w:rsidTr="00673899">
        <w:trPr>
          <w:trHeight w:val="227"/>
        </w:trPr>
        <w:tc>
          <w:tcPr>
            <w:tcW w:w="0" w:type="auto"/>
            <w:tcBorders>
              <w:top w:val="single" w:sz="4" w:space="0" w:color="auto"/>
            </w:tcBorders>
            <w:shd w:val="clear" w:color="auto" w:fill="FFFFFF" w:themeFill="background1"/>
            <w:hideMark/>
          </w:tcPr>
          <w:p w14:paraId="4E5DB8A1" w14:textId="77777777"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1 Los problemas relacionados con la inundación me importan más que cualquier cosa</w:t>
            </w:r>
          </w:p>
        </w:tc>
        <w:tc>
          <w:tcPr>
            <w:tcW w:w="0" w:type="auto"/>
            <w:tcBorders>
              <w:top w:val="single" w:sz="4" w:space="0" w:color="auto"/>
            </w:tcBorders>
            <w:shd w:val="clear" w:color="auto" w:fill="FFFFFF" w:themeFill="background1"/>
            <w:noWrap/>
            <w:hideMark/>
          </w:tcPr>
          <w:p w14:paraId="7C80CBF4" w14:textId="77777777"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709</w:t>
            </w:r>
          </w:p>
        </w:tc>
        <w:tc>
          <w:tcPr>
            <w:tcW w:w="0" w:type="auto"/>
            <w:tcBorders>
              <w:top w:val="single" w:sz="4" w:space="0" w:color="auto"/>
            </w:tcBorders>
            <w:shd w:val="clear" w:color="auto" w:fill="FFFFFF" w:themeFill="background1"/>
            <w:hideMark/>
          </w:tcPr>
          <w:p w14:paraId="741D5D2D" w14:textId="77777777"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350</w:t>
            </w:r>
          </w:p>
        </w:tc>
        <w:tc>
          <w:tcPr>
            <w:tcW w:w="0" w:type="auto"/>
            <w:tcBorders>
              <w:top w:val="single" w:sz="4" w:space="0" w:color="auto"/>
            </w:tcBorders>
            <w:shd w:val="clear" w:color="auto" w:fill="FFFFFF" w:themeFill="background1"/>
          </w:tcPr>
          <w:p w14:paraId="258C8C33" w14:textId="77777777"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804</w:t>
            </w:r>
          </w:p>
        </w:tc>
      </w:tr>
      <w:tr w:rsidR="008F50BE" w:rsidRPr="00EF6AA9" w14:paraId="6462613D" w14:textId="77777777" w:rsidTr="00673899">
        <w:trPr>
          <w:trHeight w:val="227"/>
        </w:trPr>
        <w:tc>
          <w:tcPr>
            <w:tcW w:w="0" w:type="auto"/>
            <w:shd w:val="clear" w:color="auto" w:fill="FFFFFF" w:themeFill="background1"/>
            <w:hideMark/>
          </w:tcPr>
          <w:p w14:paraId="298198AD" w14:textId="77777777"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5 Cuando escucho hablar de los problemas relacionados con la inundación, me siento comprometido</w:t>
            </w:r>
          </w:p>
        </w:tc>
        <w:tc>
          <w:tcPr>
            <w:tcW w:w="0" w:type="auto"/>
            <w:shd w:val="clear" w:color="auto" w:fill="FFFFFF" w:themeFill="background1"/>
            <w:noWrap/>
            <w:hideMark/>
          </w:tcPr>
          <w:p w14:paraId="6BCADFD0" w14:textId="77777777"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748</w:t>
            </w:r>
          </w:p>
        </w:tc>
        <w:tc>
          <w:tcPr>
            <w:tcW w:w="0" w:type="auto"/>
            <w:shd w:val="clear" w:color="auto" w:fill="FFFFFF" w:themeFill="background1"/>
            <w:hideMark/>
          </w:tcPr>
          <w:p w14:paraId="60F92CE4" w14:textId="77777777"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365</w:t>
            </w:r>
          </w:p>
        </w:tc>
        <w:tc>
          <w:tcPr>
            <w:tcW w:w="0" w:type="auto"/>
            <w:shd w:val="clear" w:color="auto" w:fill="FFFFFF" w:themeFill="background1"/>
          </w:tcPr>
          <w:p w14:paraId="523C0A42" w14:textId="77777777"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796</w:t>
            </w:r>
          </w:p>
        </w:tc>
      </w:tr>
      <w:tr w:rsidR="008F50BE" w:rsidRPr="00EF6AA9" w14:paraId="1B711CB8" w14:textId="77777777" w:rsidTr="00673899">
        <w:trPr>
          <w:trHeight w:val="227"/>
        </w:trPr>
        <w:tc>
          <w:tcPr>
            <w:tcW w:w="0" w:type="auto"/>
            <w:shd w:val="clear" w:color="auto" w:fill="FFFFFF" w:themeFill="background1"/>
            <w:hideMark/>
          </w:tcPr>
          <w:p w14:paraId="2D394424" w14:textId="77777777"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8 Me siento afectado por los problemas relacionados con la inundación</w:t>
            </w:r>
          </w:p>
        </w:tc>
        <w:tc>
          <w:tcPr>
            <w:tcW w:w="0" w:type="auto"/>
            <w:shd w:val="clear" w:color="auto" w:fill="FFFFFF" w:themeFill="background1"/>
            <w:noWrap/>
            <w:hideMark/>
          </w:tcPr>
          <w:p w14:paraId="08F7F0E6" w14:textId="77777777"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797</w:t>
            </w:r>
          </w:p>
        </w:tc>
        <w:tc>
          <w:tcPr>
            <w:tcW w:w="0" w:type="auto"/>
            <w:shd w:val="clear" w:color="auto" w:fill="FFFFFF" w:themeFill="background1"/>
            <w:hideMark/>
          </w:tcPr>
          <w:p w14:paraId="2AE15689" w14:textId="77777777"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304</w:t>
            </w:r>
          </w:p>
        </w:tc>
        <w:tc>
          <w:tcPr>
            <w:tcW w:w="0" w:type="auto"/>
            <w:shd w:val="clear" w:color="auto" w:fill="FFFFFF" w:themeFill="background1"/>
          </w:tcPr>
          <w:p w14:paraId="21C19B57" w14:textId="77777777"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792</w:t>
            </w:r>
          </w:p>
        </w:tc>
      </w:tr>
      <w:tr w:rsidR="008F50BE" w:rsidRPr="00EF6AA9" w14:paraId="1DD795C1" w14:textId="77777777" w:rsidTr="00673899">
        <w:trPr>
          <w:trHeight w:val="227"/>
        </w:trPr>
        <w:tc>
          <w:tcPr>
            <w:tcW w:w="0" w:type="auto"/>
            <w:shd w:val="clear" w:color="auto" w:fill="FFFFFF" w:themeFill="background1"/>
            <w:hideMark/>
          </w:tcPr>
          <w:p w14:paraId="5D677697" w14:textId="77777777"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3 Mis capacidades para actuar o hacer algo respecto a los problemas de inundación son muy importantes</w:t>
            </w:r>
          </w:p>
        </w:tc>
        <w:tc>
          <w:tcPr>
            <w:tcW w:w="0" w:type="auto"/>
            <w:shd w:val="clear" w:color="auto" w:fill="FFFFFF" w:themeFill="background1"/>
            <w:noWrap/>
            <w:hideMark/>
          </w:tcPr>
          <w:p w14:paraId="653D5E16" w14:textId="77777777"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760</w:t>
            </w:r>
          </w:p>
        </w:tc>
        <w:tc>
          <w:tcPr>
            <w:tcW w:w="0" w:type="auto"/>
            <w:shd w:val="clear" w:color="auto" w:fill="FFFFFF" w:themeFill="background1"/>
            <w:hideMark/>
          </w:tcPr>
          <w:p w14:paraId="7E4F6D05" w14:textId="77777777"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217</w:t>
            </w:r>
          </w:p>
        </w:tc>
        <w:tc>
          <w:tcPr>
            <w:tcW w:w="0" w:type="auto"/>
            <w:shd w:val="clear" w:color="auto" w:fill="FFFFFF" w:themeFill="background1"/>
          </w:tcPr>
          <w:p w14:paraId="481662C2" w14:textId="77777777"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810</w:t>
            </w:r>
          </w:p>
        </w:tc>
      </w:tr>
      <w:tr w:rsidR="008F50BE" w:rsidRPr="00EF6AA9" w14:paraId="51250AC2" w14:textId="77777777" w:rsidTr="00673899">
        <w:trPr>
          <w:trHeight w:val="227"/>
        </w:trPr>
        <w:tc>
          <w:tcPr>
            <w:tcW w:w="0" w:type="auto"/>
            <w:tcBorders>
              <w:bottom w:val="single" w:sz="4" w:space="0" w:color="auto"/>
            </w:tcBorders>
            <w:shd w:val="clear" w:color="auto" w:fill="FFFFFF" w:themeFill="background1"/>
            <w:hideMark/>
          </w:tcPr>
          <w:p w14:paraId="7298C874" w14:textId="77777777"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9 Según mi conocimiento, estoy en capacidad de actuar para solucionar los problemas relacionados con las inundaciones</w:t>
            </w:r>
          </w:p>
        </w:tc>
        <w:tc>
          <w:tcPr>
            <w:tcW w:w="0" w:type="auto"/>
            <w:tcBorders>
              <w:bottom w:val="single" w:sz="4" w:space="0" w:color="auto"/>
            </w:tcBorders>
            <w:shd w:val="clear" w:color="auto" w:fill="FFFFFF" w:themeFill="background1"/>
            <w:noWrap/>
            <w:hideMark/>
          </w:tcPr>
          <w:p w14:paraId="6A4F04F2" w14:textId="77777777"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762</w:t>
            </w:r>
          </w:p>
        </w:tc>
        <w:tc>
          <w:tcPr>
            <w:tcW w:w="0" w:type="auto"/>
            <w:tcBorders>
              <w:bottom w:val="single" w:sz="4" w:space="0" w:color="auto"/>
            </w:tcBorders>
            <w:shd w:val="clear" w:color="auto" w:fill="FFFFFF" w:themeFill="background1"/>
            <w:hideMark/>
          </w:tcPr>
          <w:p w14:paraId="747DAD06" w14:textId="77777777"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091</w:t>
            </w:r>
          </w:p>
        </w:tc>
        <w:tc>
          <w:tcPr>
            <w:tcW w:w="0" w:type="auto"/>
            <w:tcBorders>
              <w:bottom w:val="single" w:sz="4" w:space="0" w:color="auto"/>
            </w:tcBorders>
            <w:shd w:val="clear" w:color="auto" w:fill="FFFFFF" w:themeFill="background1"/>
          </w:tcPr>
          <w:p w14:paraId="1463BBB7" w14:textId="77777777"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839</w:t>
            </w:r>
          </w:p>
        </w:tc>
      </w:tr>
      <w:tr w:rsidR="008F50BE" w:rsidRPr="00EF6AA9" w14:paraId="3CCE1723" w14:textId="77777777" w:rsidTr="00673899">
        <w:trPr>
          <w:trHeight w:val="227"/>
        </w:trPr>
        <w:tc>
          <w:tcPr>
            <w:tcW w:w="0" w:type="auto"/>
            <w:tcBorders>
              <w:top w:val="single" w:sz="4" w:space="0" w:color="auto"/>
            </w:tcBorders>
            <w:shd w:val="clear" w:color="auto" w:fill="FFFFFF" w:themeFill="background1"/>
            <w:hideMark/>
          </w:tcPr>
          <w:p w14:paraId="151AA5EC" w14:textId="77777777"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6 Los problemas relacionados con la inundación tienen un peso considerable en la sociedad</w:t>
            </w:r>
          </w:p>
        </w:tc>
        <w:tc>
          <w:tcPr>
            <w:tcW w:w="0" w:type="auto"/>
            <w:tcBorders>
              <w:top w:val="single" w:sz="4" w:space="0" w:color="auto"/>
            </w:tcBorders>
            <w:shd w:val="clear" w:color="auto" w:fill="FFFFFF" w:themeFill="background1"/>
            <w:hideMark/>
          </w:tcPr>
          <w:p w14:paraId="3A5C025C" w14:textId="77777777"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183</w:t>
            </w:r>
          </w:p>
        </w:tc>
        <w:tc>
          <w:tcPr>
            <w:tcW w:w="0" w:type="auto"/>
            <w:tcBorders>
              <w:top w:val="single" w:sz="4" w:space="0" w:color="auto"/>
            </w:tcBorders>
            <w:shd w:val="clear" w:color="auto" w:fill="FFFFFF" w:themeFill="background1"/>
            <w:noWrap/>
            <w:hideMark/>
          </w:tcPr>
          <w:p w14:paraId="76D36307" w14:textId="77777777"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807</w:t>
            </w:r>
          </w:p>
        </w:tc>
        <w:tc>
          <w:tcPr>
            <w:tcW w:w="0" w:type="auto"/>
            <w:tcBorders>
              <w:top w:val="single" w:sz="4" w:space="0" w:color="auto"/>
            </w:tcBorders>
            <w:shd w:val="clear" w:color="auto" w:fill="FFFFFF" w:themeFill="background1"/>
          </w:tcPr>
          <w:p w14:paraId="268AFB0E" w14:textId="77777777"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837</w:t>
            </w:r>
          </w:p>
        </w:tc>
      </w:tr>
      <w:tr w:rsidR="008F50BE" w:rsidRPr="00EF6AA9" w14:paraId="0BABC6E4" w14:textId="77777777" w:rsidTr="00673899">
        <w:trPr>
          <w:trHeight w:val="227"/>
        </w:trPr>
        <w:tc>
          <w:tcPr>
            <w:tcW w:w="0" w:type="auto"/>
            <w:tcBorders>
              <w:bottom w:val="single" w:sz="4" w:space="0" w:color="auto"/>
            </w:tcBorders>
            <w:shd w:val="clear" w:color="auto" w:fill="FFFFFF" w:themeFill="background1"/>
            <w:hideMark/>
          </w:tcPr>
          <w:p w14:paraId="495A6564" w14:textId="77777777"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4 Pienso que los problemas relacionados con las inundaciones son importantes en nuestra sociedad</w:t>
            </w:r>
          </w:p>
        </w:tc>
        <w:tc>
          <w:tcPr>
            <w:tcW w:w="0" w:type="auto"/>
            <w:tcBorders>
              <w:bottom w:val="single" w:sz="4" w:space="0" w:color="auto"/>
            </w:tcBorders>
            <w:shd w:val="clear" w:color="auto" w:fill="FFFFFF" w:themeFill="background1"/>
            <w:hideMark/>
          </w:tcPr>
          <w:p w14:paraId="2BF098B4" w14:textId="77777777"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167</w:t>
            </w:r>
          </w:p>
        </w:tc>
        <w:tc>
          <w:tcPr>
            <w:tcW w:w="0" w:type="auto"/>
            <w:tcBorders>
              <w:bottom w:val="single" w:sz="4" w:space="0" w:color="auto"/>
            </w:tcBorders>
            <w:shd w:val="clear" w:color="auto" w:fill="FFFFFF" w:themeFill="background1"/>
            <w:noWrap/>
            <w:hideMark/>
          </w:tcPr>
          <w:p w14:paraId="481EF008" w14:textId="77777777"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841</w:t>
            </w:r>
          </w:p>
        </w:tc>
        <w:tc>
          <w:tcPr>
            <w:tcW w:w="0" w:type="auto"/>
            <w:tcBorders>
              <w:bottom w:val="single" w:sz="4" w:space="0" w:color="auto"/>
            </w:tcBorders>
            <w:shd w:val="clear" w:color="auto" w:fill="FFFFFF" w:themeFill="background1"/>
          </w:tcPr>
          <w:p w14:paraId="65EB370C" w14:textId="77777777"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837</w:t>
            </w:r>
          </w:p>
        </w:tc>
      </w:tr>
      <w:tr w:rsidR="00687BD9" w:rsidRPr="00EF6AA9" w14:paraId="7A391B28" w14:textId="77777777" w:rsidTr="00673899">
        <w:trPr>
          <w:trHeight w:val="227"/>
        </w:trPr>
        <w:tc>
          <w:tcPr>
            <w:tcW w:w="0" w:type="auto"/>
            <w:tcBorders>
              <w:top w:val="single" w:sz="4" w:space="0" w:color="auto"/>
            </w:tcBorders>
            <w:shd w:val="clear" w:color="auto" w:fill="FFFFFF" w:themeFill="background1"/>
            <w:hideMark/>
          </w:tcPr>
          <w:p w14:paraId="57F9D226" w14:textId="77777777" w:rsidR="00687BD9" w:rsidRPr="00EF6AA9" w:rsidRDefault="00687BD9" w:rsidP="006965C4">
            <w:pPr>
              <w:rPr>
                <w:color w:val="000000"/>
                <w:sz w:val="20"/>
                <w:szCs w:val="20"/>
              </w:rPr>
            </w:pPr>
            <w:r w:rsidRPr="00EF6AA9">
              <w:rPr>
                <w:color w:val="000000"/>
                <w:sz w:val="20"/>
                <w:szCs w:val="20"/>
              </w:rPr>
              <w:t>Valor propio</w:t>
            </w:r>
          </w:p>
        </w:tc>
        <w:tc>
          <w:tcPr>
            <w:tcW w:w="0" w:type="auto"/>
            <w:tcBorders>
              <w:top w:val="single" w:sz="4" w:space="0" w:color="auto"/>
            </w:tcBorders>
            <w:shd w:val="clear" w:color="auto" w:fill="FFFFFF" w:themeFill="background1"/>
            <w:hideMark/>
          </w:tcPr>
          <w:p w14:paraId="25FFD3EC" w14:textId="77777777" w:rsidR="00687BD9" w:rsidRPr="00EF6AA9" w:rsidRDefault="00990185" w:rsidP="006965C4">
            <w:pPr>
              <w:jc w:val="center"/>
              <w:rPr>
                <w:rFonts w:eastAsia="Times New Roman"/>
                <w:color w:val="000000"/>
                <w:sz w:val="20"/>
                <w:szCs w:val="20"/>
                <w:lang w:val="es-ES" w:eastAsia="fr-FR"/>
              </w:rPr>
            </w:pPr>
            <w:r w:rsidRPr="00EF6AA9">
              <w:rPr>
                <w:rFonts w:eastAsia="Times New Roman"/>
                <w:color w:val="000000"/>
                <w:sz w:val="20"/>
                <w:szCs w:val="20"/>
                <w:lang w:val="es-ES" w:eastAsia="fr-FR"/>
              </w:rPr>
              <w:t>3.625</w:t>
            </w:r>
          </w:p>
        </w:tc>
        <w:tc>
          <w:tcPr>
            <w:tcW w:w="0" w:type="auto"/>
            <w:tcBorders>
              <w:top w:val="single" w:sz="4" w:space="0" w:color="auto"/>
            </w:tcBorders>
            <w:shd w:val="clear" w:color="auto" w:fill="FFFFFF" w:themeFill="background1"/>
            <w:noWrap/>
            <w:hideMark/>
          </w:tcPr>
          <w:p w14:paraId="6271CF96" w14:textId="77777777" w:rsidR="00687BD9" w:rsidRPr="00EF6AA9" w:rsidRDefault="00990185" w:rsidP="006965C4">
            <w:pPr>
              <w:jc w:val="center"/>
              <w:rPr>
                <w:rFonts w:eastAsia="Times New Roman"/>
                <w:color w:val="000000"/>
                <w:sz w:val="20"/>
                <w:szCs w:val="20"/>
                <w:lang w:eastAsia="fr-FR"/>
              </w:rPr>
            </w:pPr>
            <w:r w:rsidRPr="00EF6AA9">
              <w:rPr>
                <w:rFonts w:eastAsia="Times New Roman"/>
                <w:color w:val="000000"/>
                <w:sz w:val="20"/>
                <w:szCs w:val="20"/>
                <w:lang w:eastAsia="fr-FR"/>
              </w:rPr>
              <w:t>1.056</w:t>
            </w:r>
          </w:p>
        </w:tc>
        <w:tc>
          <w:tcPr>
            <w:tcW w:w="0" w:type="auto"/>
            <w:tcBorders>
              <w:top w:val="single" w:sz="4" w:space="0" w:color="auto"/>
            </w:tcBorders>
            <w:shd w:val="clear" w:color="auto" w:fill="FFFFFF" w:themeFill="background1"/>
          </w:tcPr>
          <w:p w14:paraId="433598F1" w14:textId="77777777" w:rsidR="00687BD9" w:rsidRPr="00EF6AA9" w:rsidRDefault="00687BD9" w:rsidP="006965C4">
            <w:pPr>
              <w:jc w:val="center"/>
              <w:rPr>
                <w:rFonts w:eastAsia="Times New Roman"/>
                <w:color w:val="000000"/>
                <w:sz w:val="20"/>
                <w:szCs w:val="20"/>
                <w:lang w:eastAsia="fr-FR"/>
              </w:rPr>
            </w:pPr>
          </w:p>
        </w:tc>
      </w:tr>
      <w:tr w:rsidR="00687BD9" w:rsidRPr="00EF6AA9" w14:paraId="2F7E1DBC" w14:textId="77777777" w:rsidTr="00673899">
        <w:trPr>
          <w:trHeight w:val="227"/>
        </w:trPr>
        <w:tc>
          <w:tcPr>
            <w:tcW w:w="0" w:type="auto"/>
            <w:shd w:val="clear" w:color="auto" w:fill="FFFFFF" w:themeFill="background1"/>
            <w:hideMark/>
          </w:tcPr>
          <w:p w14:paraId="7BD3C3EA" w14:textId="77777777" w:rsidR="00687BD9" w:rsidRPr="00EF6AA9" w:rsidRDefault="00687BD9" w:rsidP="006965C4">
            <w:pPr>
              <w:rPr>
                <w:color w:val="000000"/>
                <w:sz w:val="20"/>
                <w:szCs w:val="20"/>
              </w:rPr>
            </w:pPr>
            <w:r w:rsidRPr="00EF6AA9">
              <w:rPr>
                <w:color w:val="000000"/>
                <w:sz w:val="20"/>
                <w:szCs w:val="20"/>
              </w:rPr>
              <w:t>Varianza</w:t>
            </w:r>
            <w:r w:rsidR="00276509">
              <w:rPr>
                <w:color w:val="000000"/>
                <w:sz w:val="20"/>
                <w:szCs w:val="20"/>
              </w:rPr>
              <w:t xml:space="preserve"> </w:t>
            </w:r>
            <w:r w:rsidRPr="00EF6AA9">
              <w:rPr>
                <w:color w:val="000000"/>
                <w:sz w:val="20"/>
                <w:szCs w:val="20"/>
              </w:rPr>
              <w:t>explicada</w:t>
            </w:r>
          </w:p>
        </w:tc>
        <w:tc>
          <w:tcPr>
            <w:tcW w:w="0" w:type="auto"/>
            <w:shd w:val="clear" w:color="auto" w:fill="FFFFFF" w:themeFill="background1"/>
            <w:hideMark/>
          </w:tcPr>
          <w:p w14:paraId="060FE7EA" w14:textId="77777777" w:rsidR="00687BD9" w:rsidRPr="00EF6AA9" w:rsidRDefault="00EF6AA9" w:rsidP="006965C4">
            <w:pPr>
              <w:jc w:val="center"/>
              <w:rPr>
                <w:rFonts w:eastAsia="Times New Roman"/>
                <w:color w:val="000000"/>
                <w:sz w:val="20"/>
                <w:szCs w:val="20"/>
                <w:lang w:val="es-ES" w:eastAsia="fr-FR"/>
              </w:rPr>
            </w:pPr>
            <w:r w:rsidRPr="00EF6AA9">
              <w:rPr>
                <w:rFonts w:eastAsia="Times New Roman"/>
                <w:color w:val="000000"/>
                <w:sz w:val="20"/>
                <w:szCs w:val="20"/>
                <w:lang w:val="es-ES" w:eastAsia="fr-FR"/>
              </w:rPr>
              <w:t>51.78</w:t>
            </w:r>
          </w:p>
        </w:tc>
        <w:tc>
          <w:tcPr>
            <w:tcW w:w="0" w:type="auto"/>
            <w:shd w:val="clear" w:color="auto" w:fill="FFFFFF" w:themeFill="background1"/>
            <w:noWrap/>
            <w:hideMark/>
          </w:tcPr>
          <w:p w14:paraId="2B40B1E2" w14:textId="77777777" w:rsidR="00687BD9" w:rsidRPr="00EF6AA9" w:rsidRDefault="00EF6AA9" w:rsidP="006965C4">
            <w:pPr>
              <w:jc w:val="center"/>
              <w:rPr>
                <w:rFonts w:eastAsia="Times New Roman"/>
                <w:color w:val="000000"/>
                <w:sz w:val="20"/>
                <w:szCs w:val="20"/>
                <w:lang w:eastAsia="fr-FR"/>
              </w:rPr>
            </w:pPr>
            <w:r w:rsidRPr="00EF6AA9">
              <w:rPr>
                <w:rFonts w:eastAsia="Times New Roman"/>
                <w:color w:val="000000"/>
                <w:sz w:val="20"/>
                <w:szCs w:val="20"/>
                <w:lang w:eastAsia="fr-FR"/>
              </w:rPr>
              <w:t>15.08</w:t>
            </w:r>
          </w:p>
        </w:tc>
        <w:tc>
          <w:tcPr>
            <w:tcW w:w="0" w:type="auto"/>
            <w:shd w:val="clear" w:color="auto" w:fill="FFFFFF" w:themeFill="background1"/>
          </w:tcPr>
          <w:p w14:paraId="6BF4F594" w14:textId="77777777" w:rsidR="00687BD9" w:rsidRPr="00EF6AA9" w:rsidRDefault="00687BD9" w:rsidP="006965C4">
            <w:pPr>
              <w:jc w:val="center"/>
              <w:rPr>
                <w:rFonts w:eastAsia="Times New Roman"/>
                <w:color w:val="000000"/>
                <w:sz w:val="20"/>
                <w:szCs w:val="20"/>
                <w:lang w:eastAsia="fr-FR"/>
              </w:rPr>
            </w:pPr>
          </w:p>
        </w:tc>
      </w:tr>
      <w:tr w:rsidR="00687BD9" w:rsidRPr="00EF6AA9" w14:paraId="5EFC4B7C" w14:textId="77777777" w:rsidTr="00673899">
        <w:trPr>
          <w:trHeight w:val="227"/>
        </w:trPr>
        <w:tc>
          <w:tcPr>
            <w:tcW w:w="0" w:type="auto"/>
            <w:shd w:val="clear" w:color="auto" w:fill="FFFFFF" w:themeFill="background1"/>
            <w:hideMark/>
          </w:tcPr>
          <w:p w14:paraId="14478F97" w14:textId="77777777" w:rsidR="00687BD9" w:rsidRPr="00EF6AA9" w:rsidRDefault="00687BD9" w:rsidP="006965C4">
            <w:pPr>
              <w:rPr>
                <w:color w:val="000000"/>
                <w:sz w:val="20"/>
                <w:szCs w:val="20"/>
              </w:rPr>
            </w:pPr>
            <w:r w:rsidRPr="00EF6AA9">
              <w:rPr>
                <w:color w:val="000000"/>
                <w:sz w:val="20"/>
                <w:szCs w:val="20"/>
              </w:rPr>
              <w:t>α</w:t>
            </w:r>
          </w:p>
        </w:tc>
        <w:tc>
          <w:tcPr>
            <w:tcW w:w="0" w:type="auto"/>
            <w:shd w:val="clear" w:color="auto" w:fill="FFFFFF" w:themeFill="background1"/>
            <w:hideMark/>
          </w:tcPr>
          <w:p w14:paraId="185C429D" w14:textId="77777777" w:rsidR="00687BD9" w:rsidRPr="00EF6AA9" w:rsidRDefault="00EF6AA9" w:rsidP="006965C4">
            <w:pPr>
              <w:jc w:val="center"/>
              <w:rPr>
                <w:rFonts w:eastAsia="Times New Roman"/>
                <w:color w:val="000000"/>
                <w:sz w:val="20"/>
                <w:szCs w:val="20"/>
                <w:lang w:val="es-ES" w:eastAsia="fr-FR"/>
              </w:rPr>
            </w:pPr>
            <w:r>
              <w:rPr>
                <w:rFonts w:eastAsia="Times New Roman"/>
                <w:color w:val="000000"/>
                <w:sz w:val="20"/>
                <w:szCs w:val="20"/>
                <w:lang w:val="es-ES" w:eastAsia="fr-FR"/>
              </w:rPr>
              <w:t>.85</w:t>
            </w:r>
          </w:p>
        </w:tc>
        <w:tc>
          <w:tcPr>
            <w:tcW w:w="0" w:type="auto"/>
            <w:shd w:val="clear" w:color="auto" w:fill="FFFFFF" w:themeFill="background1"/>
            <w:noWrap/>
            <w:hideMark/>
          </w:tcPr>
          <w:p w14:paraId="267441B3" w14:textId="77777777" w:rsidR="00687BD9" w:rsidRPr="00EF6AA9" w:rsidRDefault="00747F20" w:rsidP="006965C4">
            <w:pPr>
              <w:jc w:val="center"/>
              <w:rPr>
                <w:rFonts w:eastAsia="Times New Roman"/>
                <w:color w:val="000000"/>
                <w:sz w:val="20"/>
                <w:szCs w:val="20"/>
                <w:lang w:eastAsia="fr-FR"/>
              </w:rPr>
            </w:pPr>
            <w:r>
              <w:rPr>
                <w:rFonts w:eastAsia="Times New Roman"/>
                <w:color w:val="000000"/>
                <w:sz w:val="20"/>
                <w:szCs w:val="20"/>
                <w:lang w:eastAsia="fr-FR"/>
              </w:rPr>
              <w:t>.66</w:t>
            </w:r>
          </w:p>
        </w:tc>
        <w:tc>
          <w:tcPr>
            <w:tcW w:w="0" w:type="auto"/>
            <w:shd w:val="clear" w:color="auto" w:fill="FFFFFF" w:themeFill="background1"/>
          </w:tcPr>
          <w:p w14:paraId="55094080" w14:textId="77777777" w:rsidR="00687BD9" w:rsidRPr="00EF6AA9" w:rsidRDefault="00687BD9" w:rsidP="006965C4">
            <w:pPr>
              <w:jc w:val="center"/>
              <w:rPr>
                <w:rFonts w:eastAsia="Times New Roman"/>
                <w:color w:val="000000"/>
                <w:sz w:val="20"/>
                <w:szCs w:val="20"/>
                <w:lang w:eastAsia="fr-FR"/>
              </w:rPr>
            </w:pPr>
          </w:p>
        </w:tc>
      </w:tr>
      <w:tr w:rsidR="00687BD9" w:rsidRPr="00EF6AA9" w14:paraId="34F98B5C" w14:textId="77777777" w:rsidTr="00673899">
        <w:trPr>
          <w:trHeight w:val="227"/>
        </w:trPr>
        <w:tc>
          <w:tcPr>
            <w:tcW w:w="0" w:type="auto"/>
            <w:tcBorders>
              <w:bottom w:val="single" w:sz="4" w:space="0" w:color="auto"/>
            </w:tcBorders>
            <w:shd w:val="clear" w:color="auto" w:fill="FFFFFF" w:themeFill="background1"/>
            <w:hideMark/>
          </w:tcPr>
          <w:p w14:paraId="0FE8BDD9" w14:textId="77777777" w:rsidR="00687BD9" w:rsidRPr="00EF6AA9" w:rsidRDefault="00687BD9" w:rsidP="006965C4">
            <w:pPr>
              <w:rPr>
                <w:color w:val="000000"/>
                <w:sz w:val="20"/>
                <w:szCs w:val="20"/>
              </w:rPr>
            </w:pPr>
            <w:r w:rsidRPr="00EF6AA9">
              <w:rPr>
                <w:color w:val="000000"/>
                <w:sz w:val="20"/>
                <w:szCs w:val="20"/>
              </w:rPr>
              <w:t>M</w:t>
            </w:r>
          </w:p>
        </w:tc>
        <w:tc>
          <w:tcPr>
            <w:tcW w:w="0" w:type="auto"/>
            <w:tcBorders>
              <w:bottom w:val="single" w:sz="4" w:space="0" w:color="auto"/>
            </w:tcBorders>
            <w:shd w:val="clear" w:color="auto" w:fill="FFFFFF" w:themeFill="background1"/>
            <w:hideMark/>
          </w:tcPr>
          <w:p w14:paraId="6EC7F396" w14:textId="77777777" w:rsidR="00687BD9" w:rsidRPr="00EF6AA9" w:rsidRDefault="00EF6AA9" w:rsidP="006965C4">
            <w:pPr>
              <w:jc w:val="center"/>
              <w:rPr>
                <w:rFonts w:eastAsia="Times New Roman"/>
                <w:color w:val="000000"/>
                <w:sz w:val="20"/>
                <w:szCs w:val="20"/>
                <w:lang w:val="es-ES" w:eastAsia="fr-FR"/>
              </w:rPr>
            </w:pPr>
            <w:r>
              <w:rPr>
                <w:rFonts w:eastAsia="Times New Roman"/>
                <w:color w:val="000000"/>
                <w:sz w:val="20"/>
                <w:szCs w:val="20"/>
                <w:lang w:val="es-ES" w:eastAsia="fr-FR"/>
              </w:rPr>
              <w:t>3.477</w:t>
            </w:r>
          </w:p>
        </w:tc>
        <w:tc>
          <w:tcPr>
            <w:tcW w:w="0" w:type="auto"/>
            <w:tcBorders>
              <w:bottom w:val="single" w:sz="4" w:space="0" w:color="auto"/>
            </w:tcBorders>
            <w:shd w:val="clear" w:color="auto" w:fill="FFFFFF" w:themeFill="background1"/>
            <w:noWrap/>
            <w:hideMark/>
          </w:tcPr>
          <w:p w14:paraId="07D8C5D2" w14:textId="77777777" w:rsidR="00687BD9" w:rsidRPr="00EF6AA9" w:rsidRDefault="00747F20" w:rsidP="006965C4">
            <w:pPr>
              <w:jc w:val="center"/>
              <w:rPr>
                <w:rFonts w:eastAsia="Times New Roman"/>
                <w:color w:val="000000"/>
                <w:sz w:val="20"/>
                <w:szCs w:val="20"/>
                <w:lang w:eastAsia="fr-FR"/>
              </w:rPr>
            </w:pPr>
            <w:r>
              <w:rPr>
                <w:rFonts w:eastAsia="Times New Roman"/>
                <w:color w:val="000000"/>
                <w:sz w:val="20"/>
                <w:szCs w:val="20"/>
                <w:lang w:eastAsia="fr-FR"/>
              </w:rPr>
              <w:t>.406</w:t>
            </w:r>
          </w:p>
        </w:tc>
        <w:tc>
          <w:tcPr>
            <w:tcW w:w="0" w:type="auto"/>
            <w:tcBorders>
              <w:bottom w:val="single" w:sz="4" w:space="0" w:color="auto"/>
            </w:tcBorders>
            <w:shd w:val="clear" w:color="auto" w:fill="FFFFFF" w:themeFill="background1"/>
          </w:tcPr>
          <w:p w14:paraId="2229B460" w14:textId="77777777" w:rsidR="00687BD9" w:rsidRPr="00EF6AA9" w:rsidRDefault="00687BD9" w:rsidP="006965C4">
            <w:pPr>
              <w:jc w:val="center"/>
              <w:rPr>
                <w:rFonts w:eastAsia="Times New Roman"/>
                <w:color w:val="000000"/>
                <w:sz w:val="20"/>
                <w:szCs w:val="20"/>
                <w:lang w:eastAsia="fr-FR"/>
              </w:rPr>
            </w:pPr>
          </w:p>
        </w:tc>
      </w:tr>
    </w:tbl>
    <w:p w14:paraId="64642302" w14:textId="77777777" w:rsidR="00B210C6" w:rsidRPr="00015A8C" w:rsidRDefault="00B210C6" w:rsidP="006965C4">
      <w:pPr>
        <w:jc w:val="both"/>
        <w:rPr>
          <w:lang w:val="es-ES"/>
        </w:rPr>
      </w:pPr>
      <w:r w:rsidRPr="00015A8C">
        <w:rPr>
          <w:lang w:val="es-ES"/>
        </w:rPr>
        <w:t>*</w:t>
      </w:r>
      <w:r w:rsidRPr="00015A8C">
        <w:rPr>
          <w:sz w:val="20"/>
          <w:szCs w:val="20"/>
          <w:lang w:val="es-ES"/>
        </w:rPr>
        <w:t xml:space="preserve">Valor de alfa en cada factor, si se elimina el ítem. Factor 1: </w:t>
      </w:r>
      <w:r>
        <w:rPr>
          <w:sz w:val="20"/>
          <w:szCs w:val="20"/>
          <w:lang w:val="es-ES"/>
        </w:rPr>
        <w:t>Ident./PPA</w:t>
      </w:r>
      <w:r w:rsidRPr="00015A8C">
        <w:rPr>
          <w:sz w:val="20"/>
          <w:szCs w:val="20"/>
          <w:lang w:val="es-ES"/>
        </w:rPr>
        <w:t xml:space="preserve">, Factor 2: </w:t>
      </w:r>
      <w:r>
        <w:rPr>
          <w:sz w:val="20"/>
          <w:szCs w:val="20"/>
          <w:lang w:val="es-ES"/>
        </w:rPr>
        <w:t>Valoración</w:t>
      </w:r>
      <w:r w:rsidRPr="00015A8C">
        <w:rPr>
          <w:sz w:val="20"/>
          <w:szCs w:val="20"/>
          <w:lang w:val="es-ES"/>
        </w:rPr>
        <w:t>.</w:t>
      </w:r>
    </w:p>
    <w:p w14:paraId="709FF4B7" w14:textId="77777777" w:rsidR="00D36598" w:rsidRDefault="00D36598" w:rsidP="006965C4">
      <w:pPr>
        <w:ind w:firstLine="708"/>
        <w:jc w:val="both"/>
        <w:rPr>
          <w:lang w:val="es-ES"/>
        </w:rPr>
      </w:pPr>
    </w:p>
    <w:p w14:paraId="437C0D63" w14:textId="77777777" w:rsidR="007C78C9" w:rsidRDefault="007C78C9" w:rsidP="006965C4">
      <w:pPr>
        <w:ind w:firstLine="708"/>
        <w:jc w:val="both"/>
        <w:rPr>
          <w:lang w:val="es-ES"/>
        </w:rPr>
      </w:pPr>
      <w:r w:rsidRPr="00520127">
        <w:rPr>
          <w:lang w:val="es-ES"/>
        </w:rPr>
        <w:t xml:space="preserve">Para responder </w:t>
      </w:r>
      <w:r>
        <w:rPr>
          <w:lang w:val="es-ES"/>
        </w:rPr>
        <w:t xml:space="preserve">a la primera hipótesis (H1A y H1B), a propósito del efecto de la exposición/cercanía a la amenaza y </w:t>
      </w:r>
      <w:r w:rsidR="00D36598">
        <w:rPr>
          <w:lang w:val="es-ES"/>
        </w:rPr>
        <w:t xml:space="preserve">de </w:t>
      </w:r>
      <w:r>
        <w:rPr>
          <w:lang w:val="es-ES"/>
        </w:rPr>
        <w:t xml:space="preserve">la experiencia previa de una inundación sobre el sentimiento de vulnerabilidad y las estrategias </w:t>
      </w:r>
      <w:r w:rsidR="00CF48E7">
        <w:rPr>
          <w:lang w:val="es-ES"/>
        </w:rPr>
        <w:t>de afrontamiento</w:t>
      </w:r>
      <w:r>
        <w:rPr>
          <w:lang w:val="es-ES"/>
        </w:rPr>
        <w:t xml:space="preserve">, se </w:t>
      </w:r>
      <w:r w:rsidR="00CF48E7">
        <w:rPr>
          <w:lang w:val="es-ES"/>
        </w:rPr>
        <w:t>realizó</w:t>
      </w:r>
      <w:r>
        <w:rPr>
          <w:lang w:val="es-ES"/>
        </w:rPr>
        <w:t xml:space="preserve"> un </w:t>
      </w:r>
      <w:r w:rsidRPr="00DB589D">
        <w:rPr>
          <w:lang w:val="es-ES"/>
        </w:rPr>
        <w:t xml:space="preserve">análisis de la varianza de un factor </w:t>
      </w:r>
      <w:r>
        <w:rPr>
          <w:lang w:val="es-ES"/>
        </w:rPr>
        <w:t xml:space="preserve">que </w:t>
      </w:r>
      <w:r w:rsidRPr="00DB589D">
        <w:rPr>
          <w:lang w:val="es-ES"/>
        </w:rPr>
        <w:t xml:space="preserve">confirma la existencia de diferencias en las medias de las variables </w:t>
      </w:r>
      <w:r>
        <w:rPr>
          <w:lang w:val="es-ES"/>
        </w:rPr>
        <w:t>PRI, IP y AF, según el tipo de exposición</w:t>
      </w:r>
      <w:r w:rsidR="00E50911">
        <w:rPr>
          <w:lang w:val="es-ES"/>
        </w:rPr>
        <w:t xml:space="preserve"> </w:t>
      </w:r>
      <w:r w:rsidR="00D36598" w:rsidRPr="0034617D">
        <w:rPr>
          <w:lang w:val="es-ES"/>
        </w:rPr>
        <w:t>(</w:t>
      </w:r>
      <w:r w:rsidR="00D36598">
        <w:rPr>
          <w:lang w:val="es-ES"/>
        </w:rPr>
        <w:t>ver t</w:t>
      </w:r>
      <w:r w:rsidR="00D36598" w:rsidRPr="0034617D">
        <w:rPr>
          <w:lang w:val="es-ES"/>
        </w:rPr>
        <w:t xml:space="preserve">abla </w:t>
      </w:r>
      <w:r w:rsidR="00D36598">
        <w:rPr>
          <w:lang w:val="es-ES"/>
        </w:rPr>
        <w:t>4</w:t>
      </w:r>
      <w:r w:rsidR="00D36598" w:rsidRPr="0034617D">
        <w:rPr>
          <w:lang w:val="es-ES"/>
        </w:rPr>
        <w:t>)</w:t>
      </w:r>
      <w:r>
        <w:rPr>
          <w:lang w:val="es-ES"/>
        </w:rPr>
        <w:t xml:space="preserve">. </w:t>
      </w:r>
      <w:r w:rsidR="00B5511D" w:rsidRPr="0034617D">
        <w:rPr>
          <w:lang w:val="es-ES"/>
        </w:rPr>
        <w:t xml:space="preserve">Empleándose los correspondientes contrastes </w:t>
      </w:r>
      <w:r w:rsidR="00B5511D" w:rsidRPr="0034617D">
        <w:rPr>
          <w:i/>
          <w:iCs/>
          <w:lang w:val="es-ES"/>
        </w:rPr>
        <w:t xml:space="preserve">post hoc </w:t>
      </w:r>
      <w:r w:rsidR="00B5511D" w:rsidRPr="0034617D">
        <w:rPr>
          <w:lang w:val="es-ES"/>
        </w:rPr>
        <w:t xml:space="preserve">(corrección de </w:t>
      </w:r>
      <w:r w:rsidR="00B5511D" w:rsidRPr="008E271E">
        <w:rPr>
          <w:lang w:val="es-ES"/>
        </w:rPr>
        <w:t>Bonferroni</w:t>
      </w:r>
      <w:r w:rsidR="002E60F3" w:rsidRPr="008E271E">
        <w:rPr>
          <w:lang w:val="es-ES"/>
        </w:rPr>
        <w:t xml:space="preserve"> y d de Cohen para medir el tamaño del efecto</w:t>
      </w:r>
      <w:r w:rsidR="00B5511D" w:rsidRPr="0034617D">
        <w:rPr>
          <w:lang w:val="es-ES"/>
        </w:rPr>
        <w:t>) para identificar entre qué grupos concretos existen tales diferencias</w:t>
      </w:r>
      <w:r w:rsidR="00B5511D">
        <w:rPr>
          <w:lang w:val="es-ES"/>
        </w:rPr>
        <w:t>. Se observa que, tal y como se esperaba</w:t>
      </w:r>
      <w:r>
        <w:rPr>
          <w:lang w:val="es-ES"/>
        </w:rPr>
        <w:t xml:space="preserve">, </w:t>
      </w:r>
      <w:r w:rsidRPr="00DB589D">
        <w:rPr>
          <w:lang w:val="es-ES"/>
        </w:rPr>
        <w:t>los expuestos (</w:t>
      </w:r>
      <w:r>
        <w:rPr>
          <w:lang w:val="es-ES"/>
        </w:rPr>
        <w:t>grupos 1 y 2</w:t>
      </w:r>
      <w:r w:rsidRPr="00012669">
        <w:rPr>
          <w:lang w:val="es-ES"/>
        </w:rPr>
        <w:t xml:space="preserve">) </w:t>
      </w:r>
      <w:r w:rsidRPr="00852F80">
        <w:rPr>
          <w:lang w:val="es-ES"/>
        </w:rPr>
        <w:t xml:space="preserve">presentan niveles </w:t>
      </w:r>
      <w:r w:rsidR="00D36598" w:rsidRPr="00852F80">
        <w:rPr>
          <w:lang w:val="es-ES"/>
        </w:rPr>
        <w:t xml:space="preserve">más altos </w:t>
      </w:r>
      <w:r w:rsidRPr="00852F80">
        <w:rPr>
          <w:lang w:val="es-ES"/>
        </w:rPr>
        <w:t>de percepción del riesgo</w:t>
      </w:r>
      <w:r w:rsidR="00CF48E7">
        <w:rPr>
          <w:lang w:val="es-ES"/>
        </w:rPr>
        <w:t xml:space="preserve">, se sienten </w:t>
      </w:r>
      <w:r w:rsidR="00477527">
        <w:rPr>
          <w:lang w:val="es-ES"/>
        </w:rPr>
        <w:t>más</w:t>
      </w:r>
      <w:r w:rsidR="00CF48E7">
        <w:rPr>
          <w:lang w:val="es-ES"/>
        </w:rPr>
        <w:t xml:space="preserve"> implicados </w:t>
      </w:r>
      <w:r w:rsidRPr="00852F80">
        <w:rPr>
          <w:lang w:val="es-ES"/>
        </w:rPr>
        <w:t>y evocan más frecuentemente las estrategias de afrontamiento</w:t>
      </w:r>
      <w:r w:rsidR="00477527">
        <w:rPr>
          <w:lang w:val="es-ES"/>
        </w:rPr>
        <w:t xml:space="preserve"> activo</w:t>
      </w:r>
      <w:r w:rsidR="00E50911">
        <w:rPr>
          <w:lang w:val="es-ES"/>
        </w:rPr>
        <w:t xml:space="preserve"> </w:t>
      </w:r>
      <w:r>
        <w:rPr>
          <w:lang w:val="es-ES"/>
        </w:rPr>
        <w:t>que</w:t>
      </w:r>
      <w:r w:rsidRPr="00012669">
        <w:rPr>
          <w:lang w:val="es-ES"/>
        </w:rPr>
        <w:t xml:space="preserve"> los no </w:t>
      </w:r>
      <w:r w:rsidRPr="0034617D">
        <w:rPr>
          <w:lang w:val="es-ES"/>
        </w:rPr>
        <w:t>expuestos</w:t>
      </w:r>
      <w:r w:rsidR="00D36598">
        <w:rPr>
          <w:lang w:val="es-ES"/>
        </w:rPr>
        <w:t xml:space="preserve"> (grupo 3)</w:t>
      </w:r>
      <w:r w:rsidRPr="0034617D">
        <w:rPr>
          <w:lang w:val="es-ES"/>
        </w:rPr>
        <w:t>.</w:t>
      </w:r>
    </w:p>
    <w:p w14:paraId="091A6104" w14:textId="77777777" w:rsidR="00E50911" w:rsidRDefault="00E50911" w:rsidP="006965C4">
      <w:pPr>
        <w:pBdr>
          <w:top w:val="none" w:sz="0" w:space="0" w:color="auto"/>
          <w:left w:val="none" w:sz="0" w:space="0" w:color="auto"/>
          <w:bottom w:val="none" w:sz="0" w:space="0" w:color="auto"/>
          <w:right w:val="none" w:sz="0" w:space="0" w:color="auto"/>
          <w:between w:val="none" w:sz="0" w:space="0" w:color="auto"/>
          <w:bar w:val="none" w:sz="0" w:color="auto"/>
        </w:pBdr>
        <w:spacing w:after="200"/>
        <w:rPr>
          <w:lang w:val="es-ES"/>
        </w:rPr>
      </w:pPr>
    </w:p>
    <w:p w14:paraId="540885F5" w14:textId="77777777" w:rsidR="007C78C9" w:rsidRDefault="00CF48E7" w:rsidP="006965C4">
      <w:pPr>
        <w:pBdr>
          <w:top w:val="none" w:sz="0" w:space="0" w:color="auto"/>
          <w:left w:val="none" w:sz="0" w:space="0" w:color="auto"/>
          <w:bottom w:val="none" w:sz="0" w:space="0" w:color="auto"/>
          <w:right w:val="none" w:sz="0" w:space="0" w:color="auto"/>
          <w:between w:val="none" w:sz="0" w:space="0" w:color="auto"/>
          <w:bar w:val="none" w:sz="0" w:color="auto"/>
        </w:pBdr>
        <w:spacing w:after="200"/>
        <w:rPr>
          <w:lang w:val="es-ES"/>
        </w:rPr>
      </w:pPr>
      <w:r>
        <w:rPr>
          <w:lang w:val="es-ES"/>
        </w:rPr>
        <w:lastRenderedPageBreak/>
        <w:t>Tabla 4</w:t>
      </w:r>
      <w:r w:rsidR="007C78C9" w:rsidRPr="00542970">
        <w:rPr>
          <w:lang w:val="es-ES"/>
        </w:rPr>
        <w:t xml:space="preserve">.- </w:t>
      </w:r>
      <w:r w:rsidR="007C78C9" w:rsidRPr="00AD40AC">
        <w:rPr>
          <w:iCs/>
          <w:lang w:val="pt-PT"/>
        </w:rPr>
        <w:t xml:space="preserve">ANOVA de un factor para la </w:t>
      </w:r>
      <w:r w:rsidR="007C78C9" w:rsidRPr="00542970">
        <w:rPr>
          <w:lang w:val="es-ES"/>
        </w:rPr>
        <w:t>diferencia de medias según tipo de exposición</w:t>
      </w:r>
    </w:p>
    <w:tbl>
      <w:tblPr>
        <w:tblStyle w:val="Grilledutableau"/>
        <w:tblW w:w="50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711"/>
        <w:gridCol w:w="601"/>
        <w:gridCol w:w="711"/>
        <w:gridCol w:w="711"/>
        <w:gridCol w:w="779"/>
        <w:gridCol w:w="601"/>
        <w:gridCol w:w="1161"/>
        <w:gridCol w:w="1328"/>
        <w:gridCol w:w="1068"/>
        <w:gridCol w:w="172"/>
      </w:tblGrid>
      <w:tr w:rsidR="001E5B2F" w:rsidRPr="00CB1C19" w14:paraId="364CBFD2" w14:textId="77777777" w:rsidTr="00164F18">
        <w:trPr>
          <w:gridAfter w:val="1"/>
          <w:wAfter w:w="88" w:type="pct"/>
          <w:trHeight w:val="708"/>
        </w:trPr>
        <w:tc>
          <w:tcPr>
            <w:tcW w:w="976" w:type="pct"/>
            <w:tcBorders>
              <w:top w:val="single" w:sz="4" w:space="0" w:color="auto"/>
              <w:left w:val="nil"/>
              <w:right w:val="nil"/>
            </w:tcBorders>
            <w:vAlign w:val="center"/>
            <w:hideMark/>
          </w:tcPr>
          <w:p w14:paraId="6607E7FC"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Variables</w:t>
            </w:r>
          </w:p>
        </w:tc>
        <w:tc>
          <w:tcPr>
            <w:tcW w:w="673" w:type="pct"/>
            <w:gridSpan w:val="2"/>
            <w:tcBorders>
              <w:top w:val="single" w:sz="4" w:space="0" w:color="auto"/>
              <w:left w:val="nil"/>
              <w:bottom w:val="single" w:sz="4" w:space="0" w:color="auto"/>
              <w:right w:val="nil"/>
            </w:tcBorders>
            <w:vAlign w:val="center"/>
            <w:hideMark/>
          </w:tcPr>
          <w:p w14:paraId="585BA289"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Exposición Alta (G1)</w:t>
            </w:r>
          </w:p>
        </w:tc>
        <w:tc>
          <w:tcPr>
            <w:tcW w:w="729" w:type="pct"/>
            <w:gridSpan w:val="2"/>
            <w:tcBorders>
              <w:top w:val="single" w:sz="4" w:space="0" w:color="auto"/>
              <w:left w:val="nil"/>
              <w:bottom w:val="single" w:sz="4" w:space="0" w:color="auto"/>
              <w:right w:val="nil"/>
            </w:tcBorders>
            <w:vAlign w:val="center"/>
            <w:hideMark/>
          </w:tcPr>
          <w:p w14:paraId="4E774280"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Exposición Media (G2)</w:t>
            </w:r>
          </w:p>
        </w:tc>
        <w:tc>
          <w:tcPr>
            <w:tcW w:w="708" w:type="pct"/>
            <w:gridSpan w:val="2"/>
            <w:tcBorders>
              <w:top w:val="single" w:sz="4" w:space="0" w:color="auto"/>
              <w:left w:val="nil"/>
              <w:bottom w:val="single" w:sz="4" w:space="0" w:color="auto"/>
              <w:right w:val="nil"/>
            </w:tcBorders>
            <w:vAlign w:val="center"/>
            <w:hideMark/>
          </w:tcPr>
          <w:p w14:paraId="503F1572" w14:textId="77777777" w:rsidR="001E5B2F" w:rsidRPr="00CB1C19" w:rsidRDefault="001E5B2F" w:rsidP="006965C4">
            <w:pPr>
              <w:jc w:val="center"/>
              <w:rPr>
                <w:rFonts w:ascii="Times New Roman" w:hAnsi="Times New Roman" w:cs="Times New Roman"/>
                <w:i/>
                <w:lang w:val="es-ES"/>
              </w:rPr>
            </w:pPr>
            <w:r w:rsidRPr="00CB1C19">
              <w:rPr>
                <w:rFonts w:ascii="Times New Roman" w:hAnsi="Times New Roman" w:cs="Times New Roman"/>
                <w:lang w:val="es-ES"/>
              </w:rPr>
              <w:t>Sin Exposición (G3)</w:t>
            </w:r>
          </w:p>
        </w:tc>
        <w:tc>
          <w:tcPr>
            <w:tcW w:w="596" w:type="pct"/>
            <w:tcBorders>
              <w:top w:val="single" w:sz="4" w:space="0" w:color="auto"/>
              <w:left w:val="nil"/>
              <w:right w:val="nil"/>
            </w:tcBorders>
            <w:vAlign w:val="center"/>
          </w:tcPr>
          <w:p w14:paraId="1F26944D" w14:textId="77777777" w:rsidR="001E5B2F" w:rsidRPr="00CB1C19" w:rsidRDefault="001E5B2F" w:rsidP="006965C4">
            <w:pPr>
              <w:jc w:val="center"/>
              <w:rPr>
                <w:rFonts w:ascii="Times New Roman" w:hAnsi="Times New Roman" w:cs="Times New Roman"/>
                <w:lang w:val="es-ES"/>
              </w:rPr>
            </w:pPr>
          </w:p>
        </w:tc>
        <w:tc>
          <w:tcPr>
            <w:tcW w:w="681" w:type="pct"/>
            <w:tcBorders>
              <w:top w:val="single" w:sz="4" w:space="0" w:color="auto"/>
              <w:left w:val="nil"/>
              <w:right w:val="nil"/>
            </w:tcBorders>
            <w:vAlign w:val="center"/>
            <w:hideMark/>
          </w:tcPr>
          <w:p w14:paraId="2614184E" w14:textId="77777777" w:rsidR="001E5B2F" w:rsidRPr="00CB1C19" w:rsidRDefault="001E5B2F" w:rsidP="006965C4">
            <w:pPr>
              <w:jc w:val="center"/>
              <w:rPr>
                <w:rFonts w:ascii="Times New Roman" w:hAnsi="Times New Roman" w:cs="Times New Roman"/>
                <w:lang w:val="es-ES"/>
              </w:rPr>
            </w:pPr>
          </w:p>
        </w:tc>
        <w:tc>
          <w:tcPr>
            <w:tcW w:w="548" w:type="pct"/>
            <w:tcBorders>
              <w:top w:val="single" w:sz="4" w:space="0" w:color="auto"/>
              <w:left w:val="nil"/>
              <w:right w:val="nil"/>
            </w:tcBorders>
          </w:tcPr>
          <w:p w14:paraId="6BF52301" w14:textId="77777777" w:rsidR="001E5B2F" w:rsidRPr="00CB1C19" w:rsidRDefault="001E5B2F" w:rsidP="006965C4">
            <w:pPr>
              <w:jc w:val="center"/>
              <w:rPr>
                <w:lang w:val="es-ES"/>
              </w:rPr>
            </w:pPr>
          </w:p>
        </w:tc>
      </w:tr>
      <w:tr w:rsidR="001E5B2F" w:rsidRPr="00CB1C19" w14:paraId="5ECDE35D" w14:textId="77777777" w:rsidTr="00164F18">
        <w:trPr>
          <w:gridAfter w:val="1"/>
          <w:wAfter w:w="88" w:type="pct"/>
          <w:trHeight w:val="383"/>
        </w:trPr>
        <w:tc>
          <w:tcPr>
            <w:tcW w:w="976" w:type="pct"/>
            <w:tcBorders>
              <w:left w:val="nil"/>
              <w:bottom w:val="single" w:sz="4" w:space="0" w:color="auto"/>
              <w:right w:val="nil"/>
            </w:tcBorders>
            <w:vAlign w:val="center"/>
            <w:hideMark/>
          </w:tcPr>
          <w:p w14:paraId="3967A8D7" w14:textId="77777777" w:rsidR="001E5B2F" w:rsidRPr="00CB1C19" w:rsidRDefault="001E5B2F" w:rsidP="006965C4">
            <w:pPr>
              <w:jc w:val="center"/>
              <w:rPr>
                <w:rFonts w:ascii="Times New Roman" w:hAnsi="Times New Roman" w:cs="Times New Roman"/>
                <w:i/>
                <w:lang w:val="es-ES"/>
              </w:rPr>
            </w:pPr>
          </w:p>
        </w:tc>
        <w:tc>
          <w:tcPr>
            <w:tcW w:w="365" w:type="pct"/>
            <w:tcBorders>
              <w:top w:val="single" w:sz="4" w:space="0" w:color="auto"/>
              <w:left w:val="nil"/>
              <w:bottom w:val="single" w:sz="4" w:space="0" w:color="auto"/>
              <w:right w:val="nil"/>
            </w:tcBorders>
            <w:vAlign w:val="center"/>
            <w:hideMark/>
          </w:tcPr>
          <w:p w14:paraId="58C519DE" w14:textId="77777777" w:rsidR="001E5B2F" w:rsidRPr="00CB1C19" w:rsidRDefault="001E5B2F" w:rsidP="006965C4">
            <w:pPr>
              <w:jc w:val="center"/>
              <w:rPr>
                <w:rFonts w:ascii="Times New Roman" w:hAnsi="Times New Roman" w:cs="Times New Roman"/>
                <w:i/>
                <w:lang w:val="es-ES"/>
              </w:rPr>
            </w:pPr>
            <w:r w:rsidRPr="00CB1C19">
              <w:rPr>
                <w:rFonts w:ascii="Times New Roman" w:hAnsi="Times New Roman" w:cs="Times New Roman"/>
                <w:i/>
                <w:lang w:val="es-ES"/>
              </w:rPr>
              <w:t>M</w:t>
            </w:r>
          </w:p>
        </w:tc>
        <w:tc>
          <w:tcPr>
            <w:tcW w:w="308" w:type="pct"/>
            <w:tcBorders>
              <w:top w:val="single" w:sz="4" w:space="0" w:color="auto"/>
              <w:left w:val="nil"/>
              <w:bottom w:val="single" w:sz="4" w:space="0" w:color="auto"/>
              <w:right w:val="nil"/>
            </w:tcBorders>
            <w:vAlign w:val="center"/>
          </w:tcPr>
          <w:p w14:paraId="1C7E4AB8" w14:textId="77777777" w:rsidR="001E5B2F" w:rsidRPr="00CB1C19" w:rsidRDefault="001E5B2F" w:rsidP="006965C4">
            <w:pPr>
              <w:jc w:val="center"/>
              <w:rPr>
                <w:rFonts w:ascii="Times New Roman" w:hAnsi="Times New Roman" w:cs="Times New Roman"/>
                <w:i/>
                <w:lang w:val="es-ES"/>
              </w:rPr>
            </w:pPr>
            <w:r w:rsidRPr="00CB1C19">
              <w:rPr>
                <w:rFonts w:ascii="Times New Roman" w:hAnsi="Times New Roman" w:cs="Times New Roman"/>
                <w:i/>
                <w:lang w:val="es-ES"/>
              </w:rPr>
              <w:t>DT</w:t>
            </w:r>
          </w:p>
        </w:tc>
        <w:tc>
          <w:tcPr>
            <w:tcW w:w="365" w:type="pct"/>
            <w:tcBorders>
              <w:top w:val="single" w:sz="4" w:space="0" w:color="auto"/>
              <w:left w:val="nil"/>
              <w:bottom w:val="single" w:sz="4" w:space="0" w:color="auto"/>
              <w:right w:val="nil"/>
            </w:tcBorders>
            <w:vAlign w:val="center"/>
            <w:hideMark/>
          </w:tcPr>
          <w:p w14:paraId="34052BFE" w14:textId="77777777" w:rsidR="001E5B2F" w:rsidRPr="00CB1C19" w:rsidRDefault="001E5B2F" w:rsidP="006965C4">
            <w:pPr>
              <w:jc w:val="center"/>
              <w:rPr>
                <w:rFonts w:ascii="Times New Roman" w:hAnsi="Times New Roman" w:cs="Times New Roman"/>
                <w:i/>
                <w:lang w:val="es-ES"/>
              </w:rPr>
            </w:pPr>
            <w:r w:rsidRPr="00CB1C19">
              <w:rPr>
                <w:rFonts w:ascii="Times New Roman" w:hAnsi="Times New Roman" w:cs="Times New Roman"/>
                <w:i/>
                <w:lang w:val="es-ES"/>
              </w:rPr>
              <w:t>M</w:t>
            </w:r>
          </w:p>
        </w:tc>
        <w:tc>
          <w:tcPr>
            <w:tcW w:w="365" w:type="pct"/>
            <w:tcBorders>
              <w:top w:val="single" w:sz="4" w:space="0" w:color="auto"/>
              <w:left w:val="nil"/>
              <w:bottom w:val="single" w:sz="4" w:space="0" w:color="auto"/>
              <w:right w:val="nil"/>
            </w:tcBorders>
            <w:vAlign w:val="center"/>
          </w:tcPr>
          <w:p w14:paraId="45757D20" w14:textId="77777777" w:rsidR="001E5B2F" w:rsidRPr="00CB1C19" w:rsidRDefault="001E5B2F" w:rsidP="006965C4">
            <w:pPr>
              <w:jc w:val="center"/>
              <w:rPr>
                <w:rFonts w:ascii="Times New Roman" w:hAnsi="Times New Roman" w:cs="Times New Roman"/>
                <w:i/>
                <w:lang w:val="es-ES"/>
              </w:rPr>
            </w:pPr>
            <w:r w:rsidRPr="00CB1C19">
              <w:rPr>
                <w:rFonts w:ascii="Times New Roman" w:hAnsi="Times New Roman" w:cs="Times New Roman"/>
                <w:i/>
                <w:lang w:val="es-ES"/>
              </w:rPr>
              <w:t>DT</w:t>
            </w:r>
          </w:p>
        </w:tc>
        <w:tc>
          <w:tcPr>
            <w:tcW w:w="400" w:type="pct"/>
            <w:tcBorders>
              <w:top w:val="single" w:sz="4" w:space="0" w:color="auto"/>
              <w:left w:val="nil"/>
              <w:bottom w:val="single" w:sz="4" w:space="0" w:color="auto"/>
              <w:right w:val="nil"/>
            </w:tcBorders>
            <w:vAlign w:val="center"/>
            <w:hideMark/>
          </w:tcPr>
          <w:p w14:paraId="474E03E6" w14:textId="77777777" w:rsidR="001E5B2F" w:rsidRPr="00CB1C19" w:rsidRDefault="001E5B2F" w:rsidP="006965C4">
            <w:pPr>
              <w:jc w:val="center"/>
              <w:rPr>
                <w:rFonts w:ascii="Times New Roman" w:hAnsi="Times New Roman" w:cs="Times New Roman"/>
                <w:i/>
                <w:lang w:val="es-ES"/>
              </w:rPr>
            </w:pPr>
            <w:r w:rsidRPr="00CB1C19">
              <w:rPr>
                <w:rFonts w:ascii="Times New Roman" w:hAnsi="Times New Roman" w:cs="Times New Roman"/>
                <w:i/>
                <w:lang w:val="es-ES"/>
              </w:rPr>
              <w:t>M</w:t>
            </w:r>
          </w:p>
        </w:tc>
        <w:tc>
          <w:tcPr>
            <w:tcW w:w="308" w:type="pct"/>
            <w:tcBorders>
              <w:top w:val="single" w:sz="4" w:space="0" w:color="auto"/>
              <w:left w:val="nil"/>
              <w:bottom w:val="single" w:sz="4" w:space="0" w:color="auto"/>
              <w:right w:val="nil"/>
            </w:tcBorders>
            <w:vAlign w:val="center"/>
          </w:tcPr>
          <w:p w14:paraId="16F86F24" w14:textId="77777777" w:rsidR="001E5B2F" w:rsidRPr="00CB1C19" w:rsidRDefault="001E5B2F" w:rsidP="006965C4">
            <w:pPr>
              <w:jc w:val="center"/>
              <w:rPr>
                <w:rFonts w:ascii="Times New Roman" w:hAnsi="Times New Roman" w:cs="Times New Roman"/>
                <w:i/>
                <w:lang w:val="es-ES"/>
              </w:rPr>
            </w:pPr>
            <w:r w:rsidRPr="00CB1C19">
              <w:rPr>
                <w:rFonts w:ascii="Times New Roman" w:hAnsi="Times New Roman" w:cs="Times New Roman"/>
                <w:i/>
                <w:lang w:val="es-ES"/>
              </w:rPr>
              <w:t>DT</w:t>
            </w:r>
          </w:p>
        </w:tc>
        <w:tc>
          <w:tcPr>
            <w:tcW w:w="596" w:type="pct"/>
            <w:tcBorders>
              <w:left w:val="nil"/>
              <w:bottom w:val="single" w:sz="4" w:space="0" w:color="auto"/>
              <w:right w:val="nil"/>
            </w:tcBorders>
            <w:vAlign w:val="center"/>
          </w:tcPr>
          <w:p w14:paraId="53CC70B9" w14:textId="77777777" w:rsidR="001E5B2F" w:rsidRPr="00CB1C19" w:rsidRDefault="001E5B2F" w:rsidP="006965C4">
            <w:pPr>
              <w:jc w:val="center"/>
              <w:rPr>
                <w:rFonts w:ascii="Times New Roman" w:hAnsi="Times New Roman" w:cs="Times New Roman"/>
                <w:i/>
                <w:lang w:val="es-ES"/>
              </w:rPr>
            </w:pPr>
            <w:r w:rsidRPr="00CB1C19">
              <w:rPr>
                <w:rFonts w:ascii="Times New Roman" w:hAnsi="Times New Roman" w:cs="Times New Roman"/>
                <w:i/>
                <w:lang w:val="es-ES"/>
              </w:rPr>
              <w:t>F</w:t>
            </w:r>
          </w:p>
        </w:tc>
        <w:tc>
          <w:tcPr>
            <w:tcW w:w="681" w:type="pct"/>
            <w:tcBorders>
              <w:left w:val="nil"/>
              <w:bottom w:val="single" w:sz="4" w:space="0" w:color="auto"/>
              <w:right w:val="nil"/>
            </w:tcBorders>
            <w:vAlign w:val="center"/>
            <w:hideMark/>
          </w:tcPr>
          <w:p w14:paraId="650D4F55" w14:textId="77777777" w:rsidR="001E5B2F" w:rsidRPr="00CB1C19" w:rsidRDefault="001E5B2F" w:rsidP="006965C4">
            <w:pPr>
              <w:jc w:val="center"/>
              <w:rPr>
                <w:rFonts w:ascii="Times New Roman" w:hAnsi="Times New Roman" w:cs="Times New Roman"/>
                <w:i/>
                <w:lang w:val="es-ES"/>
              </w:rPr>
            </w:pPr>
            <w:r w:rsidRPr="00CB1C19">
              <w:rPr>
                <w:rFonts w:ascii="Times New Roman" w:hAnsi="Times New Roman" w:cs="Times New Roman"/>
                <w:lang w:val="es-ES"/>
              </w:rPr>
              <w:t>Post hoc (Bonferroni)</w:t>
            </w:r>
          </w:p>
        </w:tc>
        <w:tc>
          <w:tcPr>
            <w:tcW w:w="548" w:type="pct"/>
            <w:tcBorders>
              <w:left w:val="nil"/>
              <w:bottom w:val="single" w:sz="4" w:space="0" w:color="auto"/>
              <w:right w:val="nil"/>
            </w:tcBorders>
          </w:tcPr>
          <w:p w14:paraId="4AA95FD2" w14:textId="77777777" w:rsidR="001E5B2F" w:rsidRPr="008E271E" w:rsidRDefault="00164F18" w:rsidP="00164F18">
            <w:pPr>
              <w:jc w:val="center"/>
              <w:rPr>
                <w:rFonts w:ascii="Times New Roman" w:hAnsi="Times New Roman" w:cs="Times New Roman"/>
                <w:lang w:val="es-ES"/>
              </w:rPr>
            </w:pPr>
            <w:r w:rsidRPr="008E271E">
              <w:rPr>
                <w:rFonts w:ascii="Times New Roman" w:hAnsi="Times New Roman" w:cs="Times New Roman"/>
                <w:lang w:val="es-ES"/>
              </w:rPr>
              <w:t>Cohen’s d</w:t>
            </w:r>
          </w:p>
        </w:tc>
      </w:tr>
      <w:tr w:rsidR="001E5B2F" w:rsidRPr="00CB1C19" w14:paraId="3E59797A" w14:textId="77777777" w:rsidTr="00164F18">
        <w:tc>
          <w:tcPr>
            <w:tcW w:w="976" w:type="pct"/>
            <w:tcBorders>
              <w:top w:val="single" w:sz="4" w:space="0" w:color="auto"/>
              <w:left w:val="nil"/>
              <w:bottom w:val="single" w:sz="4" w:space="0" w:color="auto"/>
              <w:right w:val="nil"/>
            </w:tcBorders>
            <w:hideMark/>
          </w:tcPr>
          <w:p w14:paraId="1B984C17"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 xml:space="preserve">PRI-Temor a la afectación </w:t>
            </w:r>
          </w:p>
        </w:tc>
        <w:tc>
          <w:tcPr>
            <w:tcW w:w="365" w:type="pct"/>
            <w:tcBorders>
              <w:top w:val="single" w:sz="4" w:space="0" w:color="auto"/>
              <w:left w:val="nil"/>
              <w:bottom w:val="single" w:sz="4" w:space="0" w:color="auto"/>
              <w:right w:val="nil"/>
            </w:tcBorders>
            <w:hideMark/>
          </w:tcPr>
          <w:p w14:paraId="3CABD803"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13.50</w:t>
            </w:r>
          </w:p>
        </w:tc>
        <w:tc>
          <w:tcPr>
            <w:tcW w:w="308" w:type="pct"/>
            <w:tcBorders>
              <w:top w:val="single" w:sz="4" w:space="0" w:color="auto"/>
              <w:left w:val="nil"/>
              <w:bottom w:val="single" w:sz="4" w:space="0" w:color="auto"/>
              <w:right w:val="nil"/>
            </w:tcBorders>
          </w:tcPr>
          <w:p w14:paraId="278AB3C6"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2.27</w:t>
            </w:r>
          </w:p>
        </w:tc>
        <w:tc>
          <w:tcPr>
            <w:tcW w:w="365" w:type="pct"/>
            <w:tcBorders>
              <w:top w:val="single" w:sz="4" w:space="0" w:color="auto"/>
              <w:left w:val="nil"/>
              <w:bottom w:val="single" w:sz="4" w:space="0" w:color="auto"/>
              <w:right w:val="nil"/>
            </w:tcBorders>
            <w:hideMark/>
          </w:tcPr>
          <w:p w14:paraId="0F1F6DC0"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12.28</w:t>
            </w:r>
          </w:p>
        </w:tc>
        <w:tc>
          <w:tcPr>
            <w:tcW w:w="365" w:type="pct"/>
            <w:tcBorders>
              <w:top w:val="single" w:sz="4" w:space="0" w:color="auto"/>
              <w:left w:val="nil"/>
              <w:bottom w:val="single" w:sz="4" w:space="0" w:color="auto"/>
              <w:right w:val="nil"/>
            </w:tcBorders>
          </w:tcPr>
          <w:p w14:paraId="43C228C7"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2.84</w:t>
            </w:r>
          </w:p>
        </w:tc>
        <w:tc>
          <w:tcPr>
            <w:tcW w:w="400" w:type="pct"/>
            <w:tcBorders>
              <w:top w:val="single" w:sz="4" w:space="0" w:color="auto"/>
              <w:left w:val="nil"/>
              <w:bottom w:val="single" w:sz="4" w:space="0" w:color="auto"/>
              <w:right w:val="nil"/>
            </w:tcBorders>
            <w:hideMark/>
          </w:tcPr>
          <w:p w14:paraId="0AA345D2"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8.64</w:t>
            </w:r>
          </w:p>
        </w:tc>
        <w:tc>
          <w:tcPr>
            <w:tcW w:w="308" w:type="pct"/>
            <w:tcBorders>
              <w:top w:val="single" w:sz="4" w:space="0" w:color="auto"/>
              <w:left w:val="nil"/>
              <w:bottom w:val="single" w:sz="4" w:space="0" w:color="auto"/>
              <w:right w:val="nil"/>
            </w:tcBorders>
          </w:tcPr>
          <w:p w14:paraId="34BA2F81"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2.57</w:t>
            </w:r>
          </w:p>
        </w:tc>
        <w:tc>
          <w:tcPr>
            <w:tcW w:w="596" w:type="pct"/>
            <w:tcBorders>
              <w:top w:val="single" w:sz="4" w:space="0" w:color="auto"/>
              <w:left w:val="nil"/>
              <w:bottom w:val="single" w:sz="4" w:space="0" w:color="auto"/>
              <w:right w:val="nil"/>
            </w:tcBorders>
            <w:hideMark/>
          </w:tcPr>
          <w:p w14:paraId="65BD33C3"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103.04***</w:t>
            </w:r>
          </w:p>
        </w:tc>
        <w:tc>
          <w:tcPr>
            <w:tcW w:w="681" w:type="pct"/>
            <w:tcBorders>
              <w:top w:val="single" w:sz="4" w:space="0" w:color="auto"/>
              <w:left w:val="nil"/>
              <w:bottom w:val="single" w:sz="4" w:space="0" w:color="auto"/>
              <w:right w:val="nil"/>
            </w:tcBorders>
            <w:hideMark/>
          </w:tcPr>
          <w:p w14:paraId="2677C01E"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b/>
                <w:lang w:val="es-ES"/>
              </w:rPr>
              <w:t>G1 &gt; G2</w:t>
            </w:r>
            <w:r w:rsidRPr="00CB1C19">
              <w:rPr>
                <w:rFonts w:ascii="Times New Roman" w:hAnsi="Times New Roman" w:cs="Times New Roman"/>
                <w:lang w:val="es-ES"/>
              </w:rPr>
              <w:t>*</w:t>
            </w:r>
          </w:p>
          <w:p w14:paraId="5B12178A"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G2 &gt; G3***</w:t>
            </w:r>
          </w:p>
          <w:p w14:paraId="601DDE66"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G3 &lt; G1***</w:t>
            </w:r>
          </w:p>
        </w:tc>
        <w:tc>
          <w:tcPr>
            <w:tcW w:w="636" w:type="pct"/>
            <w:gridSpan w:val="2"/>
            <w:tcBorders>
              <w:top w:val="single" w:sz="4" w:space="0" w:color="auto"/>
              <w:left w:val="nil"/>
              <w:bottom w:val="single" w:sz="4" w:space="0" w:color="auto"/>
              <w:right w:val="nil"/>
            </w:tcBorders>
          </w:tcPr>
          <w:p w14:paraId="74E9E404" w14:textId="77777777" w:rsidR="001E5B2F" w:rsidRPr="002E60F3" w:rsidRDefault="00164F18" w:rsidP="00164F18">
            <w:pPr>
              <w:jc w:val="center"/>
              <w:rPr>
                <w:rFonts w:ascii="Times New Roman" w:hAnsi="Times New Roman" w:cs="Times New Roman"/>
                <w:b/>
                <w:lang w:val="es-ES"/>
              </w:rPr>
            </w:pPr>
            <w:r w:rsidRPr="002E60F3">
              <w:rPr>
                <w:rFonts w:ascii="Times New Roman" w:hAnsi="Times New Roman" w:cs="Times New Roman"/>
                <w:b/>
                <w:lang w:val="es-ES"/>
              </w:rPr>
              <w:t>.51</w:t>
            </w:r>
          </w:p>
          <w:p w14:paraId="4BDD5C0C" w14:textId="77777777" w:rsidR="00164F18" w:rsidRDefault="00164F18" w:rsidP="00164F18">
            <w:pPr>
              <w:jc w:val="center"/>
              <w:rPr>
                <w:rFonts w:ascii="Times New Roman" w:hAnsi="Times New Roman" w:cs="Times New Roman"/>
                <w:lang w:val="es-ES"/>
              </w:rPr>
            </w:pPr>
            <w:r w:rsidRPr="00164F18">
              <w:rPr>
                <w:rFonts w:ascii="Times New Roman" w:hAnsi="Times New Roman" w:cs="Times New Roman"/>
                <w:lang w:val="es-ES"/>
              </w:rPr>
              <w:t>1.34</w:t>
            </w:r>
          </w:p>
          <w:p w14:paraId="06211619" w14:textId="77777777" w:rsidR="00164F18" w:rsidRPr="00164F18" w:rsidRDefault="00164F18" w:rsidP="00164F18">
            <w:pPr>
              <w:jc w:val="center"/>
              <w:rPr>
                <w:rFonts w:ascii="Times New Roman" w:hAnsi="Times New Roman" w:cs="Times New Roman"/>
                <w:lang w:val="es-ES"/>
              </w:rPr>
            </w:pPr>
            <w:r>
              <w:rPr>
                <w:rFonts w:ascii="Times New Roman" w:hAnsi="Times New Roman" w:cs="Times New Roman"/>
                <w:lang w:val="es-ES"/>
              </w:rPr>
              <w:t>2</w:t>
            </w:r>
          </w:p>
        </w:tc>
      </w:tr>
      <w:tr w:rsidR="001E5B2F" w:rsidRPr="00CB1C19" w14:paraId="3E84B55A" w14:textId="77777777" w:rsidTr="00164F18">
        <w:tc>
          <w:tcPr>
            <w:tcW w:w="976" w:type="pct"/>
            <w:tcBorders>
              <w:top w:val="single" w:sz="4" w:space="0" w:color="auto"/>
              <w:left w:val="nil"/>
              <w:bottom w:val="single" w:sz="4" w:space="0" w:color="auto"/>
              <w:right w:val="nil"/>
            </w:tcBorders>
            <w:hideMark/>
          </w:tcPr>
          <w:p w14:paraId="0996003C"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PRI-Conocimiento del riesgo</w:t>
            </w:r>
          </w:p>
        </w:tc>
        <w:tc>
          <w:tcPr>
            <w:tcW w:w="365" w:type="pct"/>
            <w:tcBorders>
              <w:top w:val="single" w:sz="4" w:space="0" w:color="auto"/>
              <w:left w:val="nil"/>
              <w:bottom w:val="single" w:sz="4" w:space="0" w:color="auto"/>
              <w:right w:val="nil"/>
            </w:tcBorders>
            <w:hideMark/>
          </w:tcPr>
          <w:p w14:paraId="5A93B924"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21.18</w:t>
            </w:r>
          </w:p>
        </w:tc>
        <w:tc>
          <w:tcPr>
            <w:tcW w:w="308" w:type="pct"/>
            <w:tcBorders>
              <w:top w:val="single" w:sz="4" w:space="0" w:color="auto"/>
              <w:left w:val="nil"/>
              <w:bottom w:val="single" w:sz="4" w:space="0" w:color="auto"/>
              <w:right w:val="nil"/>
            </w:tcBorders>
          </w:tcPr>
          <w:p w14:paraId="70326E85"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5.55</w:t>
            </w:r>
          </w:p>
        </w:tc>
        <w:tc>
          <w:tcPr>
            <w:tcW w:w="365" w:type="pct"/>
            <w:tcBorders>
              <w:top w:val="single" w:sz="4" w:space="0" w:color="auto"/>
              <w:left w:val="nil"/>
              <w:bottom w:val="single" w:sz="4" w:space="0" w:color="auto"/>
              <w:right w:val="nil"/>
            </w:tcBorders>
            <w:hideMark/>
          </w:tcPr>
          <w:p w14:paraId="59C6D95A"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22.66</w:t>
            </w:r>
          </w:p>
        </w:tc>
        <w:tc>
          <w:tcPr>
            <w:tcW w:w="365" w:type="pct"/>
            <w:tcBorders>
              <w:top w:val="single" w:sz="4" w:space="0" w:color="auto"/>
              <w:left w:val="nil"/>
              <w:bottom w:val="single" w:sz="4" w:space="0" w:color="auto"/>
              <w:right w:val="nil"/>
            </w:tcBorders>
          </w:tcPr>
          <w:p w14:paraId="3C8D4768"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4.57</w:t>
            </w:r>
          </w:p>
        </w:tc>
        <w:tc>
          <w:tcPr>
            <w:tcW w:w="400" w:type="pct"/>
            <w:tcBorders>
              <w:top w:val="single" w:sz="4" w:space="0" w:color="auto"/>
              <w:left w:val="nil"/>
              <w:bottom w:val="single" w:sz="4" w:space="0" w:color="auto"/>
              <w:right w:val="nil"/>
            </w:tcBorders>
            <w:hideMark/>
          </w:tcPr>
          <w:p w14:paraId="12F94856"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15.12</w:t>
            </w:r>
          </w:p>
        </w:tc>
        <w:tc>
          <w:tcPr>
            <w:tcW w:w="308" w:type="pct"/>
            <w:tcBorders>
              <w:top w:val="single" w:sz="4" w:space="0" w:color="auto"/>
              <w:left w:val="nil"/>
              <w:bottom w:val="single" w:sz="4" w:space="0" w:color="auto"/>
              <w:right w:val="nil"/>
            </w:tcBorders>
          </w:tcPr>
          <w:p w14:paraId="0058BFC5" w14:textId="77777777" w:rsidR="001E5B2F" w:rsidRPr="00CB1C19" w:rsidRDefault="001E5B2F" w:rsidP="006965C4">
            <w:pPr>
              <w:jc w:val="center"/>
              <w:rPr>
                <w:rFonts w:ascii="Times New Roman" w:hAnsi="Times New Roman" w:cs="Times New Roman"/>
                <w:color w:val="000000"/>
                <w:lang w:val="es-ES"/>
              </w:rPr>
            </w:pPr>
            <w:r w:rsidRPr="00CB1C19">
              <w:rPr>
                <w:rFonts w:ascii="Times New Roman" w:hAnsi="Times New Roman" w:cs="Times New Roman"/>
                <w:lang w:val="es-ES"/>
              </w:rPr>
              <w:t>3.69</w:t>
            </w:r>
          </w:p>
        </w:tc>
        <w:tc>
          <w:tcPr>
            <w:tcW w:w="596" w:type="pct"/>
            <w:tcBorders>
              <w:top w:val="single" w:sz="4" w:space="0" w:color="auto"/>
              <w:left w:val="nil"/>
              <w:bottom w:val="single" w:sz="4" w:space="0" w:color="auto"/>
              <w:right w:val="nil"/>
            </w:tcBorders>
            <w:hideMark/>
          </w:tcPr>
          <w:p w14:paraId="67C1A8B4" w14:textId="77777777" w:rsidR="001E5B2F" w:rsidRPr="00CB1C19" w:rsidRDefault="001E5B2F" w:rsidP="006965C4">
            <w:pPr>
              <w:jc w:val="center"/>
              <w:rPr>
                <w:rFonts w:ascii="Times New Roman" w:hAnsi="Times New Roman" w:cs="Times New Roman"/>
                <w:color w:val="000000"/>
                <w:lang w:val="es-ES"/>
              </w:rPr>
            </w:pPr>
            <w:r w:rsidRPr="00CB1C19">
              <w:rPr>
                <w:rFonts w:ascii="Times New Roman" w:hAnsi="Times New Roman" w:cs="Times New Roman"/>
                <w:color w:val="000000"/>
                <w:lang w:val="es-ES"/>
              </w:rPr>
              <w:t>70.38***</w:t>
            </w:r>
          </w:p>
        </w:tc>
        <w:tc>
          <w:tcPr>
            <w:tcW w:w="681" w:type="pct"/>
            <w:tcBorders>
              <w:top w:val="single" w:sz="4" w:space="0" w:color="auto"/>
              <w:left w:val="nil"/>
              <w:bottom w:val="single" w:sz="4" w:space="0" w:color="auto"/>
              <w:right w:val="nil"/>
            </w:tcBorders>
            <w:hideMark/>
          </w:tcPr>
          <w:p w14:paraId="0B71EDD1"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G1&lt; G2</w:t>
            </w:r>
          </w:p>
          <w:p w14:paraId="2CBD266C"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G2 &gt; G3***</w:t>
            </w:r>
          </w:p>
          <w:p w14:paraId="6F77B940"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G3 &lt; G1***</w:t>
            </w:r>
          </w:p>
        </w:tc>
        <w:tc>
          <w:tcPr>
            <w:tcW w:w="636" w:type="pct"/>
            <w:gridSpan w:val="2"/>
            <w:tcBorders>
              <w:top w:val="single" w:sz="4" w:space="0" w:color="auto"/>
              <w:left w:val="nil"/>
              <w:bottom w:val="single" w:sz="4" w:space="0" w:color="auto"/>
              <w:right w:val="nil"/>
            </w:tcBorders>
          </w:tcPr>
          <w:p w14:paraId="5F0AB90B" w14:textId="77777777" w:rsidR="001E5B2F" w:rsidRDefault="00164F18" w:rsidP="00164F18">
            <w:pPr>
              <w:jc w:val="center"/>
              <w:rPr>
                <w:rFonts w:ascii="Times New Roman" w:hAnsi="Times New Roman" w:cs="Times New Roman"/>
                <w:lang w:val="es-ES"/>
              </w:rPr>
            </w:pPr>
            <w:r>
              <w:rPr>
                <w:rFonts w:ascii="Times New Roman" w:hAnsi="Times New Roman" w:cs="Times New Roman"/>
                <w:lang w:val="es-ES"/>
              </w:rPr>
              <w:t>-.29</w:t>
            </w:r>
          </w:p>
          <w:p w14:paraId="3969D14F" w14:textId="77777777" w:rsidR="00AE5153" w:rsidRDefault="00AE5153" w:rsidP="00164F18">
            <w:pPr>
              <w:jc w:val="center"/>
              <w:rPr>
                <w:rFonts w:ascii="Times New Roman" w:hAnsi="Times New Roman" w:cs="Times New Roman"/>
                <w:lang w:val="es-ES"/>
              </w:rPr>
            </w:pPr>
            <w:r>
              <w:rPr>
                <w:rFonts w:ascii="Times New Roman" w:hAnsi="Times New Roman" w:cs="Times New Roman"/>
                <w:lang w:val="es-ES"/>
              </w:rPr>
              <w:t>1.81</w:t>
            </w:r>
          </w:p>
          <w:p w14:paraId="2B8F9646" w14:textId="77777777" w:rsidR="00164F18" w:rsidRPr="00164F18" w:rsidRDefault="00AE5153" w:rsidP="00164F18">
            <w:pPr>
              <w:jc w:val="center"/>
              <w:rPr>
                <w:rFonts w:ascii="Times New Roman" w:hAnsi="Times New Roman" w:cs="Times New Roman"/>
                <w:lang w:val="es-ES"/>
              </w:rPr>
            </w:pPr>
            <w:r>
              <w:rPr>
                <w:rFonts w:ascii="Times New Roman" w:hAnsi="Times New Roman" w:cs="Times New Roman"/>
                <w:lang w:val="es-ES"/>
              </w:rPr>
              <w:t>1.28</w:t>
            </w:r>
          </w:p>
        </w:tc>
      </w:tr>
      <w:tr w:rsidR="001E5B2F" w:rsidRPr="00CB1C19" w14:paraId="66F5495C" w14:textId="77777777" w:rsidTr="00164F18">
        <w:tc>
          <w:tcPr>
            <w:tcW w:w="976" w:type="pct"/>
            <w:tcBorders>
              <w:top w:val="single" w:sz="4" w:space="0" w:color="auto"/>
              <w:left w:val="nil"/>
              <w:bottom w:val="single" w:sz="4" w:space="0" w:color="auto"/>
              <w:right w:val="nil"/>
            </w:tcBorders>
            <w:hideMark/>
          </w:tcPr>
          <w:p w14:paraId="042E00D6"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PRI-Aumento global de riesgo</w:t>
            </w:r>
          </w:p>
        </w:tc>
        <w:tc>
          <w:tcPr>
            <w:tcW w:w="365" w:type="pct"/>
            <w:tcBorders>
              <w:top w:val="single" w:sz="4" w:space="0" w:color="auto"/>
              <w:left w:val="nil"/>
              <w:bottom w:val="single" w:sz="4" w:space="0" w:color="auto"/>
              <w:right w:val="nil"/>
            </w:tcBorders>
            <w:hideMark/>
          </w:tcPr>
          <w:p w14:paraId="73E2BBA0"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20.27</w:t>
            </w:r>
          </w:p>
        </w:tc>
        <w:tc>
          <w:tcPr>
            <w:tcW w:w="308" w:type="pct"/>
            <w:tcBorders>
              <w:top w:val="single" w:sz="4" w:space="0" w:color="auto"/>
              <w:left w:val="nil"/>
              <w:bottom w:val="single" w:sz="4" w:space="0" w:color="auto"/>
              <w:right w:val="nil"/>
            </w:tcBorders>
          </w:tcPr>
          <w:p w14:paraId="5C44D791"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3.20</w:t>
            </w:r>
          </w:p>
        </w:tc>
        <w:tc>
          <w:tcPr>
            <w:tcW w:w="365" w:type="pct"/>
            <w:tcBorders>
              <w:top w:val="single" w:sz="4" w:space="0" w:color="auto"/>
              <w:left w:val="nil"/>
              <w:bottom w:val="single" w:sz="4" w:space="0" w:color="auto"/>
              <w:right w:val="nil"/>
            </w:tcBorders>
            <w:hideMark/>
          </w:tcPr>
          <w:p w14:paraId="580ECBFD"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21.40</w:t>
            </w:r>
          </w:p>
        </w:tc>
        <w:tc>
          <w:tcPr>
            <w:tcW w:w="365" w:type="pct"/>
            <w:tcBorders>
              <w:top w:val="single" w:sz="4" w:space="0" w:color="auto"/>
              <w:left w:val="nil"/>
              <w:bottom w:val="single" w:sz="4" w:space="0" w:color="auto"/>
              <w:right w:val="nil"/>
            </w:tcBorders>
          </w:tcPr>
          <w:p w14:paraId="4AB47B7B"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3.22</w:t>
            </w:r>
          </w:p>
        </w:tc>
        <w:tc>
          <w:tcPr>
            <w:tcW w:w="400" w:type="pct"/>
            <w:tcBorders>
              <w:top w:val="single" w:sz="4" w:space="0" w:color="auto"/>
              <w:left w:val="nil"/>
              <w:bottom w:val="single" w:sz="4" w:space="0" w:color="auto"/>
              <w:right w:val="nil"/>
            </w:tcBorders>
            <w:hideMark/>
          </w:tcPr>
          <w:p w14:paraId="08F1FDF8"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16.51</w:t>
            </w:r>
          </w:p>
        </w:tc>
        <w:tc>
          <w:tcPr>
            <w:tcW w:w="308" w:type="pct"/>
            <w:tcBorders>
              <w:top w:val="single" w:sz="4" w:space="0" w:color="auto"/>
              <w:left w:val="nil"/>
              <w:bottom w:val="single" w:sz="4" w:space="0" w:color="auto"/>
              <w:right w:val="nil"/>
            </w:tcBorders>
          </w:tcPr>
          <w:p w14:paraId="46A8D63B"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3.27</w:t>
            </w:r>
          </w:p>
        </w:tc>
        <w:tc>
          <w:tcPr>
            <w:tcW w:w="596" w:type="pct"/>
            <w:tcBorders>
              <w:top w:val="single" w:sz="4" w:space="0" w:color="auto"/>
              <w:left w:val="nil"/>
              <w:bottom w:val="single" w:sz="4" w:space="0" w:color="auto"/>
              <w:right w:val="nil"/>
            </w:tcBorders>
            <w:hideMark/>
          </w:tcPr>
          <w:p w14:paraId="562F65AE" w14:textId="77777777" w:rsidR="001E5B2F" w:rsidRPr="00CB1C19" w:rsidRDefault="001E5B2F" w:rsidP="006965C4">
            <w:pPr>
              <w:jc w:val="center"/>
              <w:rPr>
                <w:rFonts w:ascii="Times New Roman" w:hAnsi="Times New Roman" w:cs="Times New Roman"/>
                <w:color w:val="000000"/>
                <w:lang w:val="es-ES"/>
              </w:rPr>
            </w:pPr>
            <w:r w:rsidRPr="00CB1C19">
              <w:rPr>
                <w:rFonts w:ascii="Times New Roman" w:hAnsi="Times New Roman" w:cs="Times New Roman"/>
                <w:color w:val="000000"/>
                <w:lang w:val="es-ES"/>
              </w:rPr>
              <w:t>60.268***</w:t>
            </w:r>
          </w:p>
        </w:tc>
        <w:tc>
          <w:tcPr>
            <w:tcW w:w="681" w:type="pct"/>
            <w:tcBorders>
              <w:top w:val="single" w:sz="4" w:space="0" w:color="auto"/>
              <w:left w:val="nil"/>
              <w:bottom w:val="single" w:sz="4" w:space="0" w:color="auto"/>
              <w:right w:val="nil"/>
            </w:tcBorders>
            <w:hideMark/>
          </w:tcPr>
          <w:p w14:paraId="735CB2A7" w14:textId="77777777" w:rsidR="001E5B2F" w:rsidRPr="00073AE8" w:rsidRDefault="001E5B2F" w:rsidP="006965C4">
            <w:pPr>
              <w:rPr>
                <w:rFonts w:ascii="Times New Roman" w:hAnsi="Times New Roman" w:cs="Times New Roman"/>
                <w:b/>
                <w:lang w:val="es-ES"/>
              </w:rPr>
            </w:pPr>
            <w:r w:rsidRPr="00073AE8">
              <w:rPr>
                <w:rFonts w:ascii="Times New Roman" w:hAnsi="Times New Roman" w:cs="Times New Roman"/>
                <w:b/>
                <w:lang w:val="es-ES"/>
              </w:rPr>
              <w:t>G1 &lt; G2*</w:t>
            </w:r>
          </w:p>
          <w:p w14:paraId="463EA6D4"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G2 &gt; G3***</w:t>
            </w:r>
          </w:p>
          <w:p w14:paraId="6C92FE16"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G3 &lt; G1***</w:t>
            </w:r>
          </w:p>
        </w:tc>
        <w:tc>
          <w:tcPr>
            <w:tcW w:w="636" w:type="pct"/>
            <w:gridSpan w:val="2"/>
            <w:tcBorders>
              <w:top w:val="single" w:sz="4" w:space="0" w:color="auto"/>
              <w:left w:val="nil"/>
              <w:bottom w:val="single" w:sz="4" w:space="0" w:color="auto"/>
              <w:right w:val="nil"/>
            </w:tcBorders>
          </w:tcPr>
          <w:p w14:paraId="5E2A817C" w14:textId="77777777" w:rsidR="001E5B2F" w:rsidRPr="00B514B8" w:rsidRDefault="00AE5153" w:rsidP="00164F18">
            <w:pPr>
              <w:jc w:val="center"/>
              <w:rPr>
                <w:rFonts w:ascii="Times New Roman" w:hAnsi="Times New Roman" w:cs="Times New Roman"/>
                <w:lang w:val="es-ES"/>
              </w:rPr>
            </w:pPr>
            <w:r w:rsidRPr="00B514B8">
              <w:rPr>
                <w:rFonts w:ascii="Times New Roman" w:hAnsi="Times New Roman" w:cs="Times New Roman"/>
                <w:lang w:val="es-ES"/>
              </w:rPr>
              <w:t>-.35</w:t>
            </w:r>
          </w:p>
          <w:p w14:paraId="1FB656AE" w14:textId="77777777" w:rsidR="00B514B8" w:rsidRPr="00B514B8" w:rsidRDefault="00B514B8" w:rsidP="00164F18">
            <w:pPr>
              <w:jc w:val="center"/>
              <w:rPr>
                <w:rFonts w:ascii="Times New Roman" w:hAnsi="Times New Roman" w:cs="Times New Roman"/>
                <w:lang w:val="es-ES"/>
              </w:rPr>
            </w:pPr>
            <w:r w:rsidRPr="00B514B8">
              <w:rPr>
                <w:rFonts w:ascii="Times New Roman" w:hAnsi="Times New Roman" w:cs="Times New Roman"/>
                <w:lang w:val="es-ES"/>
              </w:rPr>
              <w:t>1.50</w:t>
            </w:r>
          </w:p>
          <w:p w14:paraId="31280284" w14:textId="77777777" w:rsidR="00B514B8" w:rsidRPr="00164F18" w:rsidRDefault="00B514B8" w:rsidP="00164F18">
            <w:pPr>
              <w:jc w:val="center"/>
              <w:rPr>
                <w:rFonts w:ascii="Times New Roman" w:hAnsi="Times New Roman" w:cs="Times New Roman"/>
                <w:b/>
                <w:lang w:val="es-ES"/>
              </w:rPr>
            </w:pPr>
            <w:r w:rsidRPr="00B514B8">
              <w:rPr>
                <w:rFonts w:ascii="Times New Roman" w:hAnsi="Times New Roman" w:cs="Times New Roman"/>
                <w:lang w:val="es-ES"/>
              </w:rPr>
              <w:t>1.16</w:t>
            </w:r>
          </w:p>
        </w:tc>
      </w:tr>
      <w:tr w:rsidR="001E5B2F" w:rsidRPr="00CB1C19" w14:paraId="21DB5EC2" w14:textId="77777777" w:rsidTr="00164F18">
        <w:tc>
          <w:tcPr>
            <w:tcW w:w="976" w:type="pct"/>
            <w:tcBorders>
              <w:top w:val="single" w:sz="4" w:space="0" w:color="auto"/>
              <w:left w:val="nil"/>
              <w:bottom w:val="single" w:sz="4" w:space="0" w:color="auto"/>
              <w:right w:val="nil"/>
            </w:tcBorders>
            <w:hideMark/>
          </w:tcPr>
          <w:p w14:paraId="6B0C2C3B"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IP-Identificación/PPA</w:t>
            </w:r>
          </w:p>
        </w:tc>
        <w:tc>
          <w:tcPr>
            <w:tcW w:w="365" w:type="pct"/>
            <w:tcBorders>
              <w:top w:val="single" w:sz="4" w:space="0" w:color="auto"/>
              <w:left w:val="nil"/>
              <w:bottom w:val="single" w:sz="4" w:space="0" w:color="auto"/>
              <w:right w:val="nil"/>
            </w:tcBorders>
            <w:hideMark/>
          </w:tcPr>
          <w:p w14:paraId="4D09BD28" w14:textId="77777777" w:rsidR="001E5B2F" w:rsidRPr="00CB1C19" w:rsidRDefault="001E5B2F" w:rsidP="002E60F3">
            <w:pPr>
              <w:jc w:val="center"/>
              <w:rPr>
                <w:rFonts w:ascii="Times New Roman" w:hAnsi="Times New Roman" w:cs="Times New Roman"/>
                <w:lang w:val="es-ES"/>
              </w:rPr>
            </w:pPr>
            <w:r w:rsidRPr="00CB1C19">
              <w:rPr>
                <w:rFonts w:ascii="Times New Roman" w:hAnsi="Times New Roman" w:cs="Times New Roman"/>
                <w:color w:val="000000"/>
                <w:lang w:val="es-ES" w:eastAsia="es-CO"/>
              </w:rPr>
              <w:t>25</w:t>
            </w:r>
            <w:r w:rsidR="002E60F3">
              <w:rPr>
                <w:rFonts w:ascii="Times New Roman" w:hAnsi="Times New Roman" w:cs="Times New Roman"/>
                <w:color w:val="000000"/>
                <w:lang w:val="es-ES" w:eastAsia="es-CO"/>
              </w:rPr>
              <w:t>.</w:t>
            </w:r>
            <w:r w:rsidRPr="00CB1C19">
              <w:rPr>
                <w:rFonts w:ascii="Times New Roman" w:hAnsi="Times New Roman" w:cs="Times New Roman"/>
                <w:color w:val="000000"/>
                <w:lang w:val="es-ES" w:eastAsia="es-CO"/>
              </w:rPr>
              <w:t>46</w:t>
            </w:r>
          </w:p>
        </w:tc>
        <w:tc>
          <w:tcPr>
            <w:tcW w:w="308" w:type="pct"/>
            <w:tcBorders>
              <w:top w:val="single" w:sz="4" w:space="0" w:color="auto"/>
              <w:left w:val="nil"/>
              <w:bottom w:val="single" w:sz="4" w:space="0" w:color="auto"/>
              <w:right w:val="nil"/>
            </w:tcBorders>
          </w:tcPr>
          <w:p w14:paraId="09AA8CC3"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eastAsia="es-CO"/>
              </w:rPr>
              <w:t>3.</w:t>
            </w:r>
            <w:r w:rsidR="001E5B2F" w:rsidRPr="00CB1C19">
              <w:rPr>
                <w:rFonts w:ascii="Times New Roman" w:hAnsi="Times New Roman" w:cs="Times New Roman"/>
                <w:color w:val="000000"/>
                <w:lang w:val="es-ES" w:eastAsia="es-CO"/>
              </w:rPr>
              <w:t>80</w:t>
            </w:r>
          </w:p>
        </w:tc>
        <w:tc>
          <w:tcPr>
            <w:tcW w:w="365" w:type="pct"/>
            <w:tcBorders>
              <w:top w:val="single" w:sz="4" w:space="0" w:color="auto"/>
              <w:left w:val="nil"/>
              <w:bottom w:val="single" w:sz="4" w:space="0" w:color="auto"/>
              <w:right w:val="nil"/>
            </w:tcBorders>
            <w:hideMark/>
          </w:tcPr>
          <w:p w14:paraId="6EE6D786"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eastAsia="es-CO"/>
              </w:rPr>
              <w:t>23.</w:t>
            </w:r>
            <w:r w:rsidR="001E5B2F" w:rsidRPr="00CB1C19">
              <w:rPr>
                <w:rFonts w:ascii="Times New Roman" w:hAnsi="Times New Roman" w:cs="Times New Roman"/>
                <w:color w:val="000000"/>
                <w:lang w:val="es-ES" w:eastAsia="es-CO"/>
              </w:rPr>
              <w:t>51</w:t>
            </w:r>
          </w:p>
        </w:tc>
        <w:tc>
          <w:tcPr>
            <w:tcW w:w="365" w:type="pct"/>
            <w:tcBorders>
              <w:top w:val="single" w:sz="4" w:space="0" w:color="auto"/>
              <w:left w:val="nil"/>
              <w:bottom w:val="single" w:sz="4" w:space="0" w:color="auto"/>
              <w:right w:val="nil"/>
            </w:tcBorders>
          </w:tcPr>
          <w:p w14:paraId="28E722D9"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eastAsia="es-CO"/>
              </w:rPr>
              <w:t>4.</w:t>
            </w:r>
            <w:r w:rsidR="001E5B2F" w:rsidRPr="00CB1C19">
              <w:rPr>
                <w:rFonts w:ascii="Times New Roman" w:hAnsi="Times New Roman" w:cs="Times New Roman"/>
                <w:color w:val="000000"/>
                <w:lang w:val="es-ES" w:eastAsia="es-CO"/>
              </w:rPr>
              <w:t>37</w:t>
            </w:r>
          </w:p>
        </w:tc>
        <w:tc>
          <w:tcPr>
            <w:tcW w:w="400" w:type="pct"/>
            <w:tcBorders>
              <w:top w:val="single" w:sz="4" w:space="0" w:color="auto"/>
              <w:left w:val="nil"/>
              <w:bottom w:val="single" w:sz="4" w:space="0" w:color="auto"/>
              <w:right w:val="nil"/>
            </w:tcBorders>
            <w:hideMark/>
          </w:tcPr>
          <w:p w14:paraId="4630995A"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eastAsia="es-CO"/>
              </w:rPr>
              <w:t>14.</w:t>
            </w:r>
            <w:r w:rsidR="001E5B2F" w:rsidRPr="00CB1C19">
              <w:rPr>
                <w:rFonts w:ascii="Times New Roman" w:hAnsi="Times New Roman" w:cs="Times New Roman"/>
                <w:color w:val="000000"/>
                <w:lang w:val="es-ES" w:eastAsia="es-CO"/>
              </w:rPr>
              <w:t>26</w:t>
            </w:r>
          </w:p>
        </w:tc>
        <w:tc>
          <w:tcPr>
            <w:tcW w:w="308" w:type="pct"/>
            <w:tcBorders>
              <w:top w:val="single" w:sz="4" w:space="0" w:color="auto"/>
              <w:left w:val="nil"/>
              <w:bottom w:val="single" w:sz="4" w:space="0" w:color="auto"/>
              <w:right w:val="nil"/>
            </w:tcBorders>
          </w:tcPr>
          <w:p w14:paraId="5177E637"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eastAsia="es-CO"/>
              </w:rPr>
              <w:t>3.</w:t>
            </w:r>
            <w:r w:rsidR="001E5B2F" w:rsidRPr="00CB1C19">
              <w:rPr>
                <w:rFonts w:ascii="Times New Roman" w:hAnsi="Times New Roman" w:cs="Times New Roman"/>
                <w:color w:val="000000"/>
                <w:lang w:val="es-ES" w:eastAsia="es-CO"/>
              </w:rPr>
              <w:t>66</w:t>
            </w:r>
          </w:p>
        </w:tc>
        <w:tc>
          <w:tcPr>
            <w:tcW w:w="596" w:type="pct"/>
            <w:tcBorders>
              <w:top w:val="single" w:sz="4" w:space="0" w:color="auto"/>
              <w:left w:val="nil"/>
              <w:bottom w:val="single" w:sz="4" w:space="0" w:color="auto"/>
              <w:right w:val="nil"/>
            </w:tcBorders>
            <w:hideMark/>
          </w:tcPr>
          <w:p w14:paraId="7FC7A19F" w14:textId="77777777" w:rsidR="001E5B2F" w:rsidRPr="00CB1C19" w:rsidRDefault="001E5B2F" w:rsidP="006965C4">
            <w:pPr>
              <w:jc w:val="center"/>
              <w:rPr>
                <w:rFonts w:ascii="Times New Roman" w:hAnsi="Times New Roman" w:cs="Times New Roman"/>
                <w:color w:val="000000"/>
                <w:lang w:val="es-ES"/>
              </w:rPr>
            </w:pPr>
            <w:r w:rsidRPr="00CB1C19">
              <w:rPr>
                <w:rFonts w:ascii="Times New Roman" w:hAnsi="Times New Roman" w:cs="Times New Roman"/>
                <w:color w:val="000000"/>
                <w:lang w:val="es-ES"/>
              </w:rPr>
              <w:t>230.91***</w:t>
            </w:r>
          </w:p>
        </w:tc>
        <w:tc>
          <w:tcPr>
            <w:tcW w:w="681" w:type="pct"/>
            <w:tcBorders>
              <w:top w:val="single" w:sz="4" w:space="0" w:color="auto"/>
              <w:left w:val="nil"/>
              <w:bottom w:val="single" w:sz="4" w:space="0" w:color="auto"/>
              <w:right w:val="nil"/>
            </w:tcBorders>
            <w:hideMark/>
          </w:tcPr>
          <w:p w14:paraId="28904234"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b/>
                <w:lang w:val="es-ES"/>
              </w:rPr>
              <w:t>G1 &gt; G2</w:t>
            </w:r>
            <w:r w:rsidRPr="00CB1C19">
              <w:rPr>
                <w:rFonts w:ascii="Times New Roman" w:hAnsi="Times New Roman" w:cs="Times New Roman"/>
                <w:lang w:val="es-ES"/>
              </w:rPr>
              <w:t>**</w:t>
            </w:r>
          </w:p>
          <w:p w14:paraId="41489F08"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G2 &gt; G3***</w:t>
            </w:r>
          </w:p>
          <w:p w14:paraId="1A09BD17"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G3 &lt; G1***</w:t>
            </w:r>
          </w:p>
        </w:tc>
        <w:tc>
          <w:tcPr>
            <w:tcW w:w="636" w:type="pct"/>
            <w:gridSpan w:val="2"/>
            <w:tcBorders>
              <w:top w:val="single" w:sz="4" w:space="0" w:color="auto"/>
              <w:left w:val="nil"/>
              <w:bottom w:val="single" w:sz="4" w:space="0" w:color="auto"/>
              <w:right w:val="nil"/>
            </w:tcBorders>
          </w:tcPr>
          <w:p w14:paraId="02A7E444" w14:textId="77777777" w:rsidR="001E5B2F" w:rsidRPr="002E60F3" w:rsidRDefault="00B514B8" w:rsidP="00164F18">
            <w:pPr>
              <w:jc w:val="center"/>
              <w:rPr>
                <w:rFonts w:ascii="Times New Roman" w:hAnsi="Times New Roman" w:cs="Times New Roman"/>
                <w:b/>
                <w:lang w:val="es-ES"/>
              </w:rPr>
            </w:pPr>
            <w:r w:rsidRPr="002E60F3">
              <w:rPr>
                <w:rFonts w:ascii="Times New Roman" w:hAnsi="Times New Roman" w:cs="Times New Roman"/>
                <w:b/>
                <w:lang w:val="es-ES"/>
              </w:rPr>
              <w:t>.47</w:t>
            </w:r>
          </w:p>
          <w:p w14:paraId="7DECAE0F" w14:textId="77777777" w:rsidR="00B514B8" w:rsidRPr="00B514B8" w:rsidRDefault="00B514B8" w:rsidP="00164F18">
            <w:pPr>
              <w:jc w:val="center"/>
              <w:rPr>
                <w:rFonts w:ascii="Times New Roman" w:hAnsi="Times New Roman" w:cs="Times New Roman"/>
                <w:lang w:val="es-ES"/>
              </w:rPr>
            </w:pPr>
            <w:r w:rsidRPr="00B514B8">
              <w:rPr>
                <w:rFonts w:ascii="Times New Roman" w:hAnsi="Times New Roman" w:cs="Times New Roman"/>
                <w:lang w:val="es-ES"/>
              </w:rPr>
              <w:t>2.29</w:t>
            </w:r>
          </w:p>
          <w:p w14:paraId="7BDE7FD7" w14:textId="77777777" w:rsidR="00B514B8" w:rsidRPr="00164F18" w:rsidRDefault="00B514B8" w:rsidP="00164F18">
            <w:pPr>
              <w:jc w:val="center"/>
              <w:rPr>
                <w:rFonts w:ascii="Times New Roman" w:hAnsi="Times New Roman" w:cs="Times New Roman"/>
                <w:b/>
                <w:lang w:val="es-ES"/>
              </w:rPr>
            </w:pPr>
            <w:r w:rsidRPr="00B514B8">
              <w:rPr>
                <w:rFonts w:ascii="Times New Roman" w:hAnsi="Times New Roman" w:cs="Times New Roman"/>
                <w:lang w:val="es-ES"/>
              </w:rPr>
              <w:t>3</w:t>
            </w:r>
          </w:p>
        </w:tc>
      </w:tr>
      <w:tr w:rsidR="001E5B2F" w:rsidRPr="00CB1C19" w14:paraId="226BE38B" w14:textId="77777777" w:rsidTr="00164F18">
        <w:tc>
          <w:tcPr>
            <w:tcW w:w="976" w:type="pct"/>
            <w:tcBorders>
              <w:top w:val="single" w:sz="4" w:space="0" w:color="auto"/>
              <w:left w:val="nil"/>
              <w:bottom w:val="single" w:sz="4" w:space="0" w:color="auto"/>
              <w:right w:val="nil"/>
            </w:tcBorders>
            <w:hideMark/>
          </w:tcPr>
          <w:p w14:paraId="77CEF17E" w14:textId="77777777" w:rsidR="001E5B2F" w:rsidRPr="00CB1C19" w:rsidRDefault="001E5B2F" w:rsidP="006965C4">
            <w:pPr>
              <w:rPr>
                <w:rFonts w:ascii="Times New Roman" w:hAnsi="Times New Roman" w:cs="Times New Roman"/>
                <w:lang w:val="es-ES"/>
              </w:rPr>
            </w:pPr>
            <w:r w:rsidRPr="00CB1C19">
              <w:rPr>
                <w:rFonts w:ascii="Times New Roman" w:eastAsia="Times New Roman" w:hAnsi="Times New Roman" w:cs="Times New Roman"/>
                <w:color w:val="000000"/>
                <w:lang w:val="es-ES"/>
              </w:rPr>
              <w:t>IP-Valoración</w:t>
            </w:r>
          </w:p>
        </w:tc>
        <w:tc>
          <w:tcPr>
            <w:tcW w:w="365" w:type="pct"/>
            <w:tcBorders>
              <w:top w:val="single" w:sz="4" w:space="0" w:color="auto"/>
              <w:left w:val="nil"/>
              <w:bottom w:val="single" w:sz="4" w:space="0" w:color="auto"/>
              <w:right w:val="nil"/>
            </w:tcBorders>
            <w:hideMark/>
          </w:tcPr>
          <w:p w14:paraId="591377BE"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rPr>
              <w:t>13.</w:t>
            </w:r>
            <w:r w:rsidR="001E5B2F" w:rsidRPr="00CB1C19">
              <w:rPr>
                <w:rFonts w:ascii="Times New Roman" w:hAnsi="Times New Roman" w:cs="Times New Roman"/>
                <w:color w:val="000000"/>
                <w:lang w:val="es-ES"/>
              </w:rPr>
              <w:t>11</w:t>
            </w:r>
          </w:p>
        </w:tc>
        <w:tc>
          <w:tcPr>
            <w:tcW w:w="308" w:type="pct"/>
            <w:tcBorders>
              <w:top w:val="single" w:sz="4" w:space="0" w:color="auto"/>
              <w:left w:val="nil"/>
              <w:bottom w:val="single" w:sz="4" w:space="0" w:color="auto"/>
              <w:right w:val="nil"/>
            </w:tcBorders>
          </w:tcPr>
          <w:p w14:paraId="5AE58F5C"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rPr>
              <w:t>2.</w:t>
            </w:r>
            <w:r w:rsidR="001E5B2F" w:rsidRPr="00CB1C19">
              <w:rPr>
                <w:rFonts w:ascii="Times New Roman" w:hAnsi="Times New Roman" w:cs="Times New Roman"/>
                <w:color w:val="000000"/>
                <w:lang w:val="es-ES"/>
              </w:rPr>
              <w:t>18</w:t>
            </w:r>
          </w:p>
        </w:tc>
        <w:tc>
          <w:tcPr>
            <w:tcW w:w="365" w:type="pct"/>
            <w:tcBorders>
              <w:top w:val="single" w:sz="4" w:space="0" w:color="auto"/>
              <w:left w:val="nil"/>
              <w:bottom w:val="single" w:sz="4" w:space="0" w:color="auto"/>
              <w:right w:val="nil"/>
            </w:tcBorders>
            <w:hideMark/>
          </w:tcPr>
          <w:p w14:paraId="33B9A65F"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rPr>
              <w:t>12.</w:t>
            </w:r>
            <w:r w:rsidR="001E5B2F" w:rsidRPr="00CB1C19">
              <w:rPr>
                <w:rFonts w:ascii="Times New Roman" w:hAnsi="Times New Roman" w:cs="Times New Roman"/>
                <w:color w:val="000000"/>
                <w:lang w:val="es-ES"/>
              </w:rPr>
              <w:t>87</w:t>
            </w:r>
          </w:p>
        </w:tc>
        <w:tc>
          <w:tcPr>
            <w:tcW w:w="365" w:type="pct"/>
            <w:tcBorders>
              <w:top w:val="single" w:sz="4" w:space="0" w:color="auto"/>
              <w:left w:val="nil"/>
              <w:bottom w:val="single" w:sz="4" w:space="0" w:color="auto"/>
              <w:right w:val="nil"/>
            </w:tcBorders>
          </w:tcPr>
          <w:p w14:paraId="74305E34"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rPr>
              <w:t>2.</w:t>
            </w:r>
            <w:r w:rsidR="001E5B2F" w:rsidRPr="00CB1C19">
              <w:rPr>
                <w:rFonts w:ascii="Times New Roman" w:hAnsi="Times New Roman" w:cs="Times New Roman"/>
                <w:color w:val="000000"/>
                <w:lang w:val="es-ES"/>
              </w:rPr>
              <w:t>54</w:t>
            </w:r>
          </w:p>
        </w:tc>
        <w:tc>
          <w:tcPr>
            <w:tcW w:w="400" w:type="pct"/>
            <w:tcBorders>
              <w:top w:val="single" w:sz="4" w:space="0" w:color="auto"/>
              <w:left w:val="nil"/>
              <w:bottom w:val="single" w:sz="4" w:space="0" w:color="auto"/>
              <w:right w:val="nil"/>
            </w:tcBorders>
            <w:hideMark/>
          </w:tcPr>
          <w:p w14:paraId="7E9AECF8"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rPr>
              <w:t>10.</w:t>
            </w:r>
            <w:r w:rsidR="001E5B2F" w:rsidRPr="00CB1C19">
              <w:rPr>
                <w:rFonts w:ascii="Times New Roman" w:hAnsi="Times New Roman" w:cs="Times New Roman"/>
                <w:color w:val="000000"/>
                <w:lang w:val="es-ES"/>
              </w:rPr>
              <w:t>33</w:t>
            </w:r>
          </w:p>
        </w:tc>
        <w:tc>
          <w:tcPr>
            <w:tcW w:w="308" w:type="pct"/>
            <w:tcBorders>
              <w:top w:val="single" w:sz="4" w:space="0" w:color="auto"/>
              <w:left w:val="nil"/>
              <w:bottom w:val="single" w:sz="4" w:space="0" w:color="auto"/>
              <w:right w:val="nil"/>
            </w:tcBorders>
          </w:tcPr>
          <w:p w14:paraId="1881DE82" w14:textId="77777777" w:rsidR="001E5B2F" w:rsidRPr="00CB1C19" w:rsidRDefault="002E60F3" w:rsidP="006965C4">
            <w:pPr>
              <w:jc w:val="center"/>
              <w:rPr>
                <w:rFonts w:ascii="Times New Roman" w:hAnsi="Times New Roman" w:cs="Times New Roman"/>
                <w:lang w:val="es-ES"/>
              </w:rPr>
            </w:pPr>
            <w:r>
              <w:rPr>
                <w:rFonts w:ascii="Times New Roman" w:hAnsi="Times New Roman" w:cs="Times New Roman"/>
                <w:color w:val="000000"/>
                <w:lang w:val="es-ES"/>
              </w:rPr>
              <w:t>2.</w:t>
            </w:r>
            <w:r w:rsidR="001E5B2F" w:rsidRPr="00CB1C19">
              <w:rPr>
                <w:rFonts w:ascii="Times New Roman" w:hAnsi="Times New Roman" w:cs="Times New Roman"/>
                <w:color w:val="000000"/>
                <w:lang w:val="es-ES"/>
              </w:rPr>
              <w:t>33</w:t>
            </w:r>
          </w:p>
        </w:tc>
        <w:tc>
          <w:tcPr>
            <w:tcW w:w="596" w:type="pct"/>
            <w:tcBorders>
              <w:top w:val="single" w:sz="4" w:space="0" w:color="auto"/>
              <w:left w:val="nil"/>
              <w:bottom w:val="single" w:sz="4" w:space="0" w:color="auto"/>
              <w:right w:val="nil"/>
            </w:tcBorders>
            <w:hideMark/>
          </w:tcPr>
          <w:p w14:paraId="4941D0CE" w14:textId="77777777" w:rsidR="001E5B2F" w:rsidRPr="00CB1C19" w:rsidRDefault="002E60F3" w:rsidP="006965C4">
            <w:pPr>
              <w:autoSpaceDE w:val="0"/>
              <w:autoSpaceDN w:val="0"/>
              <w:adjustRightInd w:val="0"/>
              <w:ind w:left="60" w:right="60"/>
              <w:jc w:val="right"/>
              <w:rPr>
                <w:rFonts w:ascii="Times New Roman" w:hAnsi="Times New Roman" w:cs="Times New Roman"/>
                <w:color w:val="000000"/>
                <w:lang w:val="es-ES"/>
              </w:rPr>
            </w:pPr>
            <w:r>
              <w:rPr>
                <w:rFonts w:ascii="Times New Roman" w:hAnsi="Times New Roman" w:cs="Times New Roman"/>
                <w:color w:val="000000"/>
                <w:lang w:val="es-ES"/>
              </w:rPr>
              <w:t>44.</w:t>
            </w:r>
            <w:r w:rsidR="001E5B2F" w:rsidRPr="00CB1C19">
              <w:rPr>
                <w:rFonts w:ascii="Times New Roman" w:hAnsi="Times New Roman" w:cs="Times New Roman"/>
                <w:color w:val="000000"/>
                <w:lang w:val="es-ES"/>
              </w:rPr>
              <w:t>05***</w:t>
            </w:r>
          </w:p>
        </w:tc>
        <w:tc>
          <w:tcPr>
            <w:tcW w:w="681" w:type="pct"/>
            <w:tcBorders>
              <w:top w:val="single" w:sz="4" w:space="0" w:color="auto"/>
              <w:left w:val="nil"/>
              <w:bottom w:val="single" w:sz="4" w:space="0" w:color="auto"/>
              <w:right w:val="nil"/>
            </w:tcBorders>
            <w:hideMark/>
          </w:tcPr>
          <w:p w14:paraId="7CF455C9"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G1 &gt; G2</w:t>
            </w:r>
          </w:p>
          <w:p w14:paraId="448BEFE3"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G2 &gt; G3***</w:t>
            </w:r>
          </w:p>
          <w:p w14:paraId="477EB8A6"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G3 &lt; G1***</w:t>
            </w:r>
          </w:p>
        </w:tc>
        <w:tc>
          <w:tcPr>
            <w:tcW w:w="636" w:type="pct"/>
            <w:gridSpan w:val="2"/>
            <w:tcBorders>
              <w:top w:val="single" w:sz="4" w:space="0" w:color="auto"/>
              <w:left w:val="nil"/>
              <w:bottom w:val="single" w:sz="4" w:space="0" w:color="auto"/>
              <w:right w:val="nil"/>
            </w:tcBorders>
          </w:tcPr>
          <w:p w14:paraId="637E8255" w14:textId="77777777" w:rsidR="001E5B2F" w:rsidRDefault="004A7B74" w:rsidP="00164F18">
            <w:pPr>
              <w:jc w:val="center"/>
              <w:rPr>
                <w:rFonts w:ascii="Times New Roman" w:hAnsi="Times New Roman" w:cs="Times New Roman"/>
                <w:lang w:val="es-ES"/>
              </w:rPr>
            </w:pPr>
            <w:r>
              <w:rPr>
                <w:rFonts w:ascii="Times New Roman" w:hAnsi="Times New Roman" w:cs="Times New Roman"/>
                <w:lang w:val="es-ES"/>
              </w:rPr>
              <w:t>.10</w:t>
            </w:r>
          </w:p>
          <w:p w14:paraId="075AE268" w14:textId="77777777" w:rsidR="004A7B74" w:rsidRDefault="004A7B74" w:rsidP="00164F18">
            <w:pPr>
              <w:jc w:val="center"/>
              <w:rPr>
                <w:rFonts w:ascii="Times New Roman" w:hAnsi="Times New Roman" w:cs="Times New Roman"/>
                <w:lang w:val="es-ES"/>
              </w:rPr>
            </w:pPr>
            <w:r>
              <w:rPr>
                <w:rFonts w:ascii="Times New Roman" w:hAnsi="Times New Roman" w:cs="Times New Roman"/>
                <w:lang w:val="es-ES"/>
              </w:rPr>
              <w:t>1.04</w:t>
            </w:r>
          </w:p>
          <w:p w14:paraId="44AC55FF" w14:textId="77777777" w:rsidR="004A7B74" w:rsidRPr="00164F18" w:rsidRDefault="004A7B74" w:rsidP="00164F18">
            <w:pPr>
              <w:jc w:val="center"/>
              <w:rPr>
                <w:rFonts w:ascii="Times New Roman" w:hAnsi="Times New Roman" w:cs="Times New Roman"/>
                <w:lang w:val="es-ES"/>
              </w:rPr>
            </w:pPr>
            <w:r>
              <w:rPr>
                <w:rFonts w:ascii="Times New Roman" w:hAnsi="Times New Roman" w:cs="Times New Roman"/>
                <w:lang w:val="es-ES"/>
              </w:rPr>
              <w:t>1.23</w:t>
            </w:r>
          </w:p>
        </w:tc>
      </w:tr>
      <w:tr w:rsidR="001E5B2F" w:rsidRPr="00CB1C19" w14:paraId="2362A02A" w14:textId="77777777" w:rsidTr="00164F18">
        <w:tc>
          <w:tcPr>
            <w:tcW w:w="976" w:type="pct"/>
            <w:tcBorders>
              <w:top w:val="single" w:sz="4" w:space="0" w:color="auto"/>
              <w:left w:val="nil"/>
              <w:bottom w:val="single" w:sz="4" w:space="0" w:color="auto"/>
              <w:right w:val="nil"/>
            </w:tcBorders>
            <w:hideMark/>
          </w:tcPr>
          <w:p w14:paraId="2004FF0D"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AF-Activo</w:t>
            </w:r>
          </w:p>
        </w:tc>
        <w:tc>
          <w:tcPr>
            <w:tcW w:w="365" w:type="pct"/>
            <w:tcBorders>
              <w:top w:val="single" w:sz="4" w:space="0" w:color="auto"/>
              <w:left w:val="nil"/>
              <w:bottom w:val="single" w:sz="4" w:space="0" w:color="auto"/>
              <w:right w:val="nil"/>
            </w:tcBorders>
            <w:hideMark/>
          </w:tcPr>
          <w:p w14:paraId="7AB947FF"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41.52</w:t>
            </w:r>
          </w:p>
        </w:tc>
        <w:tc>
          <w:tcPr>
            <w:tcW w:w="308" w:type="pct"/>
            <w:tcBorders>
              <w:top w:val="single" w:sz="4" w:space="0" w:color="auto"/>
              <w:left w:val="nil"/>
              <w:bottom w:val="single" w:sz="4" w:space="0" w:color="auto"/>
              <w:right w:val="nil"/>
            </w:tcBorders>
          </w:tcPr>
          <w:p w14:paraId="310BFD45" w14:textId="77777777" w:rsidR="001E5B2F" w:rsidRPr="00CB1C19" w:rsidRDefault="001E5B2F" w:rsidP="006965C4">
            <w:pPr>
              <w:jc w:val="center"/>
              <w:rPr>
                <w:rFonts w:ascii="Times New Roman" w:eastAsia="Times New Roman" w:hAnsi="Times New Roman" w:cs="Times New Roman"/>
                <w:color w:val="000000"/>
                <w:bdr w:val="none" w:sz="0" w:space="0" w:color="auto" w:frame="1"/>
                <w:lang w:val="es-ES" w:eastAsia="es-ES"/>
              </w:rPr>
            </w:pPr>
            <w:r w:rsidRPr="00CB1C19">
              <w:rPr>
                <w:rFonts w:ascii="Times New Roman" w:hAnsi="Times New Roman" w:cs="Times New Roman"/>
                <w:lang w:val="es-ES"/>
              </w:rPr>
              <w:t>9.68</w:t>
            </w:r>
          </w:p>
        </w:tc>
        <w:tc>
          <w:tcPr>
            <w:tcW w:w="365" w:type="pct"/>
            <w:tcBorders>
              <w:top w:val="single" w:sz="4" w:space="0" w:color="auto"/>
              <w:left w:val="nil"/>
              <w:bottom w:val="single" w:sz="4" w:space="0" w:color="auto"/>
              <w:right w:val="nil"/>
            </w:tcBorders>
            <w:hideMark/>
          </w:tcPr>
          <w:p w14:paraId="34000ED1" w14:textId="77777777" w:rsidR="001E5B2F" w:rsidRPr="00CB1C19" w:rsidRDefault="001E5B2F" w:rsidP="006965C4">
            <w:pPr>
              <w:jc w:val="center"/>
              <w:rPr>
                <w:rFonts w:ascii="Times New Roman" w:eastAsia="Times New Roman" w:hAnsi="Times New Roman" w:cs="Times New Roman"/>
                <w:color w:val="000000"/>
                <w:bdr w:val="none" w:sz="0" w:space="0" w:color="auto" w:frame="1"/>
                <w:lang w:val="es-ES" w:eastAsia="es-ES"/>
              </w:rPr>
            </w:pPr>
            <w:r w:rsidRPr="00CB1C19">
              <w:rPr>
                <w:rFonts w:ascii="Times New Roman" w:eastAsia="Times New Roman" w:hAnsi="Times New Roman" w:cs="Times New Roman"/>
                <w:color w:val="000000"/>
                <w:bdr w:val="none" w:sz="0" w:space="0" w:color="auto" w:frame="1"/>
                <w:lang w:val="es-ES" w:eastAsia="es-ES"/>
              </w:rPr>
              <w:t>38.21</w:t>
            </w:r>
          </w:p>
        </w:tc>
        <w:tc>
          <w:tcPr>
            <w:tcW w:w="365" w:type="pct"/>
            <w:tcBorders>
              <w:top w:val="single" w:sz="4" w:space="0" w:color="auto"/>
              <w:left w:val="nil"/>
              <w:bottom w:val="single" w:sz="4" w:space="0" w:color="auto"/>
              <w:right w:val="nil"/>
            </w:tcBorders>
          </w:tcPr>
          <w:p w14:paraId="01453E19" w14:textId="77777777" w:rsidR="001E5B2F" w:rsidRPr="00CB1C19" w:rsidRDefault="001E5B2F" w:rsidP="006965C4">
            <w:pPr>
              <w:jc w:val="center"/>
              <w:rPr>
                <w:rFonts w:ascii="Times New Roman" w:hAnsi="Times New Roman" w:cs="Times New Roman"/>
                <w:lang w:val="es-ES"/>
              </w:rPr>
            </w:pPr>
            <w:r w:rsidRPr="00CB1C19">
              <w:rPr>
                <w:rFonts w:ascii="Times New Roman" w:eastAsia="Times New Roman" w:hAnsi="Times New Roman" w:cs="Times New Roman"/>
                <w:color w:val="000000"/>
                <w:bdr w:val="none" w:sz="0" w:space="0" w:color="auto" w:frame="1"/>
                <w:lang w:val="es-ES" w:eastAsia="es-ES"/>
              </w:rPr>
              <w:t>11.69</w:t>
            </w:r>
          </w:p>
        </w:tc>
        <w:tc>
          <w:tcPr>
            <w:tcW w:w="400" w:type="pct"/>
            <w:tcBorders>
              <w:top w:val="single" w:sz="4" w:space="0" w:color="auto"/>
              <w:left w:val="nil"/>
              <w:bottom w:val="single" w:sz="4" w:space="0" w:color="auto"/>
              <w:right w:val="nil"/>
            </w:tcBorders>
            <w:hideMark/>
          </w:tcPr>
          <w:p w14:paraId="586BF436"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27.80</w:t>
            </w:r>
          </w:p>
        </w:tc>
        <w:tc>
          <w:tcPr>
            <w:tcW w:w="308" w:type="pct"/>
            <w:tcBorders>
              <w:top w:val="single" w:sz="4" w:space="0" w:color="auto"/>
              <w:left w:val="nil"/>
              <w:bottom w:val="single" w:sz="4" w:space="0" w:color="auto"/>
              <w:right w:val="nil"/>
            </w:tcBorders>
          </w:tcPr>
          <w:p w14:paraId="40849F20" w14:textId="77777777" w:rsidR="001E5B2F" w:rsidRPr="00CB1C19" w:rsidRDefault="001E5B2F" w:rsidP="006965C4">
            <w:pPr>
              <w:jc w:val="center"/>
              <w:rPr>
                <w:rFonts w:ascii="Times New Roman" w:eastAsia="Times New Roman" w:hAnsi="Times New Roman" w:cs="Times New Roman"/>
                <w:color w:val="000000"/>
                <w:bdr w:val="none" w:sz="0" w:space="0" w:color="auto" w:frame="1"/>
                <w:lang w:val="es-ES" w:eastAsia="es-ES"/>
              </w:rPr>
            </w:pPr>
            <w:r w:rsidRPr="00CB1C19">
              <w:rPr>
                <w:rFonts w:ascii="Times New Roman" w:hAnsi="Times New Roman" w:cs="Times New Roman"/>
                <w:lang w:val="es-ES"/>
              </w:rPr>
              <w:t>9.39</w:t>
            </w:r>
          </w:p>
        </w:tc>
        <w:tc>
          <w:tcPr>
            <w:tcW w:w="596" w:type="pct"/>
            <w:tcBorders>
              <w:top w:val="single" w:sz="4" w:space="0" w:color="auto"/>
              <w:left w:val="nil"/>
              <w:bottom w:val="single" w:sz="4" w:space="0" w:color="auto"/>
              <w:right w:val="nil"/>
            </w:tcBorders>
            <w:hideMark/>
          </w:tcPr>
          <w:p w14:paraId="3AD955F5" w14:textId="77777777" w:rsidR="001E5B2F" w:rsidRPr="00CB1C19" w:rsidRDefault="001E5B2F" w:rsidP="006965C4">
            <w:pPr>
              <w:jc w:val="center"/>
              <w:rPr>
                <w:rFonts w:ascii="Times New Roman" w:hAnsi="Times New Roman" w:cs="Times New Roman"/>
                <w:lang w:val="es-ES"/>
              </w:rPr>
            </w:pPr>
            <w:r w:rsidRPr="00CB1C19">
              <w:rPr>
                <w:rFonts w:ascii="Times New Roman" w:eastAsia="Times New Roman" w:hAnsi="Times New Roman" w:cs="Times New Roman"/>
                <w:color w:val="000000"/>
                <w:bdr w:val="none" w:sz="0" w:space="0" w:color="auto" w:frame="1"/>
                <w:lang w:val="es-ES" w:eastAsia="es-ES"/>
              </w:rPr>
              <w:t>50.40***</w:t>
            </w:r>
          </w:p>
        </w:tc>
        <w:tc>
          <w:tcPr>
            <w:tcW w:w="681" w:type="pct"/>
            <w:tcBorders>
              <w:top w:val="single" w:sz="4" w:space="0" w:color="auto"/>
              <w:left w:val="nil"/>
              <w:bottom w:val="single" w:sz="4" w:space="0" w:color="auto"/>
              <w:right w:val="nil"/>
            </w:tcBorders>
            <w:hideMark/>
          </w:tcPr>
          <w:p w14:paraId="3EC36ED9"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G1 &gt; G2</w:t>
            </w:r>
          </w:p>
          <w:p w14:paraId="6A804250"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G2 &gt; G3***</w:t>
            </w:r>
          </w:p>
          <w:p w14:paraId="557CDBD7"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G3 &lt; G1***</w:t>
            </w:r>
          </w:p>
        </w:tc>
        <w:tc>
          <w:tcPr>
            <w:tcW w:w="636" w:type="pct"/>
            <w:gridSpan w:val="2"/>
            <w:tcBorders>
              <w:top w:val="single" w:sz="4" w:space="0" w:color="auto"/>
              <w:left w:val="nil"/>
              <w:bottom w:val="single" w:sz="4" w:space="0" w:color="auto"/>
              <w:right w:val="nil"/>
            </w:tcBorders>
          </w:tcPr>
          <w:p w14:paraId="320AACB6" w14:textId="77777777" w:rsidR="001E5B2F" w:rsidRDefault="004A7B74" w:rsidP="00164F18">
            <w:pPr>
              <w:jc w:val="center"/>
              <w:rPr>
                <w:rFonts w:ascii="Times New Roman" w:hAnsi="Times New Roman" w:cs="Times New Roman"/>
                <w:lang w:val="es-ES"/>
              </w:rPr>
            </w:pPr>
            <w:r>
              <w:rPr>
                <w:rFonts w:ascii="Times New Roman" w:hAnsi="Times New Roman" w:cs="Times New Roman"/>
                <w:lang w:val="es-ES"/>
              </w:rPr>
              <w:t>.30</w:t>
            </w:r>
          </w:p>
          <w:p w14:paraId="5E908148" w14:textId="77777777" w:rsidR="004A7B74" w:rsidRDefault="004A7B74" w:rsidP="00164F18">
            <w:pPr>
              <w:jc w:val="center"/>
              <w:rPr>
                <w:rFonts w:ascii="Times New Roman" w:hAnsi="Times New Roman" w:cs="Times New Roman"/>
                <w:lang w:val="es-ES"/>
              </w:rPr>
            </w:pPr>
            <w:r>
              <w:rPr>
                <w:rFonts w:ascii="Times New Roman" w:hAnsi="Times New Roman" w:cs="Times New Roman"/>
                <w:lang w:val="es-ES"/>
              </w:rPr>
              <w:t>.98</w:t>
            </w:r>
          </w:p>
          <w:p w14:paraId="68BC85B7" w14:textId="77777777" w:rsidR="004A7B74" w:rsidRPr="00164F18" w:rsidRDefault="004A7B74" w:rsidP="00164F18">
            <w:pPr>
              <w:jc w:val="center"/>
              <w:rPr>
                <w:rFonts w:ascii="Times New Roman" w:hAnsi="Times New Roman" w:cs="Times New Roman"/>
                <w:lang w:val="es-ES"/>
              </w:rPr>
            </w:pPr>
            <w:r>
              <w:rPr>
                <w:rFonts w:ascii="Times New Roman" w:hAnsi="Times New Roman" w:cs="Times New Roman"/>
                <w:lang w:val="es-ES"/>
              </w:rPr>
              <w:t>1.43</w:t>
            </w:r>
          </w:p>
        </w:tc>
      </w:tr>
      <w:tr w:rsidR="001E5B2F" w:rsidRPr="00CB1C19" w14:paraId="19D2B0B8" w14:textId="77777777" w:rsidTr="00164F18">
        <w:tc>
          <w:tcPr>
            <w:tcW w:w="976" w:type="pct"/>
            <w:tcBorders>
              <w:top w:val="single" w:sz="4" w:space="0" w:color="auto"/>
              <w:left w:val="nil"/>
              <w:bottom w:val="single" w:sz="4" w:space="0" w:color="auto"/>
              <w:right w:val="nil"/>
            </w:tcBorders>
            <w:hideMark/>
          </w:tcPr>
          <w:p w14:paraId="19A72734"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AF-Pasivo</w:t>
            </w:r>
          </w:p>
        </w:tc>
        <w:tc>
          <w:tcPr>
            <w:tcW w:w="365" w:type="pct"/>
            <w:tcBorders>
              <w:top w:val="single" w:sz="4" w:space="0" w:color="auto"/>
              <w:left w:val="nil"/>
              <w:bottom w:val="single" w:sz="4" w:space="0" w:color="auto"/>
              <w:right w:val="nil"/>
            </w:tcBorders>
            <w:hideMark/>
          </w:tcPr>
          <w:p w14:paraId="3C97B55B"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11.57</w:t>
            </w:r>
          </w:p>
        </w:tc>
        <w:tc>
          <w:tcPr>
            <w:tcW w:w="308" w:type="pct"/>
            <w:tcBorders>
              <w:top w:val="single" w:sz="4" w:space="0" w:color="auto"/>
              <w:left w:val="nil"/>
              <w:bottom w:val="single" w:sz="4" w:space="0" w:color="auto"/>
              <w:right w:val="nil"/>
            </w:tcBorders>
          </w:tcPr>
          <w:p w14:paraId="23153821"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4.37</w:t>
            </w:r>
          </w:p>
        </w:tc>
        <w:tc>
          <w:tcPr>
            <w:tcW w:w="365" w:type="pct"/>
            <w:tcBorders>
              <w:top w:val="single" w:sz="4" w:space="0" w:color="auto"/>
              <w:left w:val="nil"/>
              <w:bottom w:val="single" w:sz="4" w:space="0" w:color="auto"/>
              <w:right w:val="nil"/>
            </w:tcBorders>
            <w:hideMark/>
          </w:tcPr>
          <w:p w14:paraId="00171C30"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11.82</w:t>
            </w:r>
          </w:p>
        </w:tc>
        <w:tc>
          <w:tcPr>
            <w:tcW w:w="365" w:type="pct"/>
            <w:tcBorders>
              <w:top w:val="single" w:sz="4" w:space="0" w:color="auto"/>
              <w:left w:val="nil"/>
              <w:bottom w:val="single" w:sz="4" w:space="0" w:color="auto"/>
              <w:right w:val="nil"/>
            </w:tcBorders>
          </w:tcPr>
          <w:p w14:paraId="11A11AE2"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5.20</w:t>
            </w:r>
          </w:p>
        </w:tc>
        <w:tc>
          <w:tcPr>
            <w:tcW w:w="400" w:type="pct"/>
            <w:tcBorders>
              <w:top w:val="single" w:sz="4" w:space="0" w:color="auto"/>
              <w:left w:val="nil"/>
              <w:bottom w:val="single" w:sz="4" w:space="0" w:color="auto"/>
              <w:right w:val="nil"/>
            </w:tcBorders>
            <w:hideMark/>
          </w:tcPr>
          <w:p w14:paraId="6C91017A" w14:textId="77777777" w:rsidR="001E5B2F" w:rsidRPr="00CB1C19" w:rsidRDefault="001E5B2F" w:rsidP="006965C4">
            <w:pPr>
              <w:jc w:val="center"/>
              <w:rPr>
                <w:rFonts w:ascii="Times New Roman" w:hAnsi="Times New Roman" w:cs="Times New Roman"/>
                <w:lang w:val="es-ES"/>
              </w:rPr>
            </w:pPr>
            <w:r w:rsidRPr="00CB1C19">
              <w:rPr>
                <w:rFonts w:ascii="Times New Roman" w:hAnsi="Times New Roman" w:cs="Times New Roman"/>
                <w:lang w:val="es-ES"/>
              </w:rPr>
              <w:t>8.79</w:t>
            </w:r>
          </w:p>
        </w:tc>
        <w:tc>
          <w:tcPr>
            <w:tcW w:w="308" w:type="pct"/>
            <w:tcBorders>
              <w:top w:val="single" w:sz="4" w:space="0" w:color="auto"/>
              <w:left w:val="nil"/>
              <w:bottom w:val="single" w:sz="4" w:space="0" w:color="auto"/>
              <w:right w:val="nil"/>
            </w:tcBorders>
          </w:tcPr>
          <w:p w14:paraId="11F2A7B8" w14:textId="77777777" w:rsidR="001E5B2F" w:rsidRPr="00CB1C19" w:rsidRDefault="001E5B2F" w:rsidP="006965C4">
            <w:pPr>
              <w:jc w:val="center"/>
              <w:rPr>
                <w:rFonts w:ascii="Times New Roman" w:eastAsia="Times New Roman" w:hAnsi="Times New Roman" w:cs="Times New Roman"/>
                <w:color w:val="000000"/>
                <w:bdr w:val="none" w:sz="0" w:space="0" w:color="auto" w:frame="1"/>
                <w:lang w:val="es-ES" w:eastAsia="es-ES"/>
              </w:rPr>
            </w:pPr>
            <w:r w:rsidRPr="00CB1C19">
              <w:rPr>
                <w:rFonts w:ascii="Times New Roman" w:hAnsi="Times New Roman" w:cs="Times New Roman"/>
                <w:lang w:val="es-ES"/>
              </w:rPr>
              <w:t>3.50</w:t>
            </w:r>
          </w:p>
        </w:tc>
        <w:tc>
          <w:tcPr>
            <w:tcW w:w="596" w:type="pct"/>
            <w:tcBorders>
              <w:top w:val="single" w:sz="4" w:space="0" w:color="auto"/>
              <w:left w:val="nil"/>
              <w:bottom w:val="single" w:sz="4" w:space="0" w:color="auto"/>
              <w:right w:val="nil"/>
            </w:tcBorders>
            <w:hideMark/>
          </w:tcPr>
          <w:p w14:paraId="2518EBA0" w14:textId="77777777" w:rsidR="001E5B2F" w:rsidRPr="00CB1C19" w:rsidRDefault="001E5B2F" w:rsidP="006965C4">
            <w:pPr>
              <w:jc w:val="center"/>
              <w:rPr>
                <w:rFonts w:ascii="Times New Roman" w:hAnsi="Times New Roman" w:cs="Times New Roman"/>
                <w:lang w:val="es-ES"/>
              </w:rPr>
            </w:pPr>
            <w:r w:rsidRPr="00CB1C19">
              <w:rPr>
                <w:rFonts w:ascii="Times New Roman" w:eastAsia="Times New Roman" w:hAnsi="Times New Roman" w:cs="Times New Roman"/>
                <w:color w:val="000000"/>
                <w:bdr w:val="none" w:sz="0" w:space="0" w:color="auto" w:frame="1"/>
                <w:lang w:val="es-ES" w:eastAsia="es-ES"/>
              </w:rPr>
              <w:t>14.77***</w:t>
            </w:r>
          </w:p>
        </w:tc>
        <w:tc>
          <w:tcPr>
            <w:tcW w:w="681" w:type="pct"/>
            <w:tcBorders>
              <w:top w:val="single" w:sz="4" w:space="0" w:color="auto"/>
              <w:left w:val="nil"/>
              <w:bottom w:val="single" w:sz="4" w:space="0" w:color="auto"/>
              <w:right w:val="nil"/>
            </w:tcBorders>
            <w:hideMark/>
          </w:tcPr>
          <w:p w14:paraId="4814324A"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G1 &lt; G2</w:t>
            </w:r>
          </w:p>
          <w:p w14:paraId="49DA2091"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G2 &gt; G3***</w:t>
            </w:r>
          </w:p>
          <w:p w14:paraId="502032CA" w14:textId="77777777" w:rsidR="001E5B2F" w:rsidRPr="00CB1C19" w:rsidRDefault="001E5B2F" w:rsidP="006965C4">
            <w:pPr>
              <w:rPr>
                <w:rFonts w:ascii="Times New Roman" w:hAnsi="Times New Roman" w:cs="Times New Roman"/>
                <w:lang w:val="es-ES"/>
              </w:rPr>
            </w:pPr>
            <w:r w:rsidRPr="00CB1C19">
              <w:rPr>
                <w:rFonts w:ascii="Times New Roman" w:hAnsi="Times New Roman" w:cs="Times New Roman"/>
                <w:lang w:val="es-ES"/>
              </w:rPr>
              <w:t>G3 &lt; G1***</w:t>
            </w:r>
          </w:p>
        </w:tc>
        <w:tc>
          <w:tcPr>
            <w:tcW w:w="636" w:type="pct"/>
            <w:gridSpan w:val="2"/>
            <w:tcBorders>
              <w:top w:val="single" w:sz="4" w:space="0" w:color="auto"/>
              <w:left w:val="nil"/>
              <w:bottom w:val="single" w:sz="4" w:space="0" w:color="auto"/>
              <w:right w:val="nil"/>
            </w:tcBorders>
          </w:tcPr>
          <w:p w14:paraId="7E496099" w14:textId="77777777" w:rsidR="001E5B2F" w:rsidRDefault="004A7B74" w:rsidP="00164F18">
            <w:pPr>
              <w:jc w:val="center"/>
              <w:rPr>
                <w:rFonts w:ascii="Times New Roman" w:hAnsi="Times New Roman" w:cs="Times New Roman"/>
                <w:lang w:val="es-ES"/>
              </w:rPr>
            </w:pPr>
            <w:r>
              <w:rPr>
                <w:rFonts w:ascii="Times New Roman" w:hAnsi="Times New Roman" w:cs="Times New Roman"/>
                <w:lang w:val="es-ES"/>
              </w:rPr>
              <w:t>-.05</w:t>
            </w:r>
          </w:p>
          <w:p w14:paraId="600BB907" w14:textId="77777777" w:rsidR="004A7B74" w:rsidRDefault="004A7B74" w:rsidP="00164F18">
            <w:pPr>
              <w:jc w:val="center"/>
              <w:rPr>
                <w:rFonts w:ascii="Times New Roman" w:hAnsi="Times New Roman" w:cs="Times New Roman"/>
                <w:lang w:val="es-ES"/>
              </w:rPr>
            </w:pPr>
            <w:r>
              <w:rPr>
                <w:rFonts w:ascii="Times New Roman" w:hAnsi="Times New Roman" w:cs="Times New Roman"/>
                <w:lang w:val="es-ES"/>
              </w:rPr>
              <w:t>.68</w:t>
            </w:r>
          </w:p>
          <w:p w14:paraId="3CC62DAA" w14:textId="77777777" w:rsidR="004A7B74" w:rsidRPr="00164F18" w:rsidRDefault="004A7B74" w:rsidP="00164F18">
            <w:pPr>
              <w:jc w:val="center"/>
              <w:rPr>
                <w:rFonts w:ascii="Times New Roman" w:hAnsi="Times New Roman" w:cs="Times New Roman"/>
                <w:lang w:val="es-ES"/>
              </w:rPr>
            </w:pPr>
            <w:r>
              <w:rPr>
                <w:rFonts w:ascii="Times New Roman" w:hAnsi="Times New Roman" w:cs="Times New Roman"/>
                <w:lang w:val="es-ES"/>
              </w:rPr>
              <w:t>.70</w:t>
            </w:r>
          </w:p>
        </w:tc>
      </w:tr>
    </w:tbl>
    <w:p w14:paraId="42D25424" w14:textId="77777777" w:rsidR="007C78C9" w:rsidRPr="00542970" w:rsidRDefault="007C78C9" w:rsidP="006965C4">
      <w:pPr>
        <w:rPr>
          <w:sz w:val="20"/>
          <w:szCs w:val="20"/>
          <w:lang w:val="es-ES"/>
        </w:rPr>
      </w:pPr>
      <w:r w:rsidRPr="00542970">
        <w:rPr>
          <w:color w:val="000000"/>
          <w:sz w:val="20"/>
          <w:szCs w:val="20"/>
          <w:lang w:val="es-ES"/>
        </w:rPr>
        <w:t>Diferencias significativas:</w:t>
      </w:r>
      <w:r w:rsidR="007062D9">
        <w:rPr>
          <w:color w:val="000000"/>
          <w:sz w:val="20"/>
          <w:szCs w:val="20"/>
          <w:lang w:val="es-ES"/>
        </w:rPr>
        <w:t xml:space="preserve"> *</w:t>
      </w:r>
      <w:r w:rsidR="007062D9" w:rsidRPr="000A7836">
        <w:rPr>
          <w:i/>
          <w:color w:val="000000"/>
          <w:sz w:val="20"/>
          <w:szCs w:val="20"/>
          <w:lang w:val="es-ES"/>
        </w:rPr>
        <w:t>p</w:t>
      </w:r>
      <w:r w:rsidR="007062D9" w:rsidRPr="00542970">
        <w:rPr>
          <w:color w:val="000000"/>
          <w:sz w:val="20"/>
          <w:szCs w:val="20"/>
          <w:lang w:val="es-ES"/>
        </w:rPr>
        <w:t>&lt; .0</w:t>
      </w:r>
      <w:r w:rsidR="007062D9">
        <w:rPr>
          <w:color w:val="000000"/>
          <w:sz w:val="20"/>
          <w:szCs w:val="20"/>
          <w:lang w:val="es-ES"/>
        </w:rPr>
        <w:t>5.*</w:t>
      </w:r>
      <w:r w:rsidRPr="00542970">
        <w:rPr>
          <w:color w:val="000000"/>
          <w:sz w:val="20"/>
          <w:szCs w:val="20"/>
          <w:lang w:val="es-ES"/>
        </w:rPr>
        <w:t>*</w:t>
      </w:r>
      <w:r w:rsidRPr="000A7836">
        <w:rPr>
          <w:i/>
          <w:color w:val="000000"/>
          <w:sz w:val="20"/>
          <w:szCs w:val="20"/>
          <w:lang w:val="es-ES"/>
        </w:rPr>
        <w:t xml:space="preserve"> p</w:t>
      </w:r>
      <w:r w:rsidRPr="00542970">
        <w:rPr>
          <w:color w:val="000000"/>
          <w:sz w:val="20"/>
          <w:szCs w:val="20"/>
          <w:lang w:val="es-ES"/>
        </w:rPr>
        <w:t>&lt; .01</w:t>
      </w:r>
      <w:r>
        <w:rPr>
          <w:color w:val="000000"/>
          <w:sz w:val="20"/>
          <w:szCs w:val="20"/>
          <w:lang w:val="es-ES"/>
        </w:rPr>
        <w:t>.</w:t>
      </w:r>
      <w:r w:rsidRPr="00542970">
        <w:rPr>
          <w:color w:val="000000"/>
          <w:sz w:val="20"/>
          <w:szCs w:val="20"/>
          <w:lang w:val="es-ES"/>
        </w:rPr>
        <w:t xml:space="preserve"> **</w:t>
      </w:r>
      <w:r w:rsidR="007062D9">
        <w:rPr>
          <w:color w:val="000000"/>
          <w:sz w:val="20"/>
          <w:szCs w:val="20"/>
          <w:lang w:val="es-ES"/>
        </w:rPr>
        <w:t>*</w:t>
      </w:r>
      <w:r w:rsidRPr="000A7836">
        <w:rPr>
          <w:i/>
          <w:color w:val="000000"/>
          <w:sz w:val="20"/>
          <w:szCs w:val="20"/>
          <w:lang w:val="es-ES"/>
        </w:rPr>
        <w:t>p</w:t>
      </w:r>
      <w:r w:rsidRPr="00542970">
        <w:rPr>
          <w:color w:val="000000"/>
          <w:sz w:val="20"/>
          <w:szCs w:val="20"/>
          <w:lang w:val="es-ES"/>
        </w:rPr>
        <w:t>&lt; .001</w:t>
      </w:r>
      <w:r>
        <w:rPr>
          <w:color w:val="000000"/>
          <w:sz w:val="20"/>
          <w:szCs w:val="20"/>
          <w:lang w:val="es-ES"/>
        </w:rPr>
        <w:t>.</w:t>
      </w:r>
    </w:p>
    <w:p w14:paraId="19F2C5FE" w14:textId="77777777" w:rsidR="00B21547" w:rsidRDefault="00B21547" w:rsidP="006965C4">
      <w:pPr>
        <w:pStyle w:val="Cuerpo"/>
        <w:spacing w:after="0" w:line="240" w:lineRule="auto"/>
        <w:ind w:firstLine="708"/>
        <w:rPr>
          <w:rFonts w:ascii="Times New Roman" w:hAnsi="Times New Roman" w:cs="Times New Roman"/>
          <w:sz w:val="24"/>
          <w:szCs w:val="24"/>
          <w:lang w:val="es-ES"/>
        </w:rPr>
      </w:pPr>
    </w:p>
    <w:p w14:paraId="11A25DBE" w14:textId="45272DD1" w:rsidR="007C78C9" w:rsidRDefault="00B21547" w:rsidP="006965C4">
      <w:pPr>
        <w:ind w:firstLine="708"/>
        <w:jc w:val="both"/>
        <w:rPr>
          <w:lang w:val="es-ES"/>
        </w:rPr>
      </w:pPr>
      <w:r>
        <w:rPr>
          <w:lang w:val="es-ES"/>
        </w:rPr>
        <w:t>S</w:t>
      </w:r>
      <w:r w:rsidRPr="0034617D">
        <w:rPr>
          <w:lang w:val="es-ES"/>
        </w:rPr>
        <w:t xml:space="preserve">e encontró </w:t>
      </w:r>
      <w:r>
        <w:rPr>
          <w:lang w:val="es-ES"/>
        </w:rPr>
        <w:t xml:space="preserve">igualmente </w:t>
      </w:r>
      <w:r w:rsidRPr="0034617D">
        <w:rPr>
          <w:lang w:val="es-ES"/>
        </w:rPr>
        <w:t xml:space="preserve">que la variable </w:t>
      </w:r>
      <w:r w:rsidRPr="0034617D">
        <w:rPr>
          <w:i/>
          <w:lang w:val="es-ES"/>
        </w:rPr>
        <w:t>temor-afectación</w:t>
      </w:r>
      <w:r>
        <w:rPr>
          <w:i/>
          <w:lang w:val="es-ES"/>
        </w:rPr>
        <w:t xml:space="preserve">, </w:t>
      </w:r>
      <w:r w:rsidRPr="00B5511D">
        <w:rPr>
          <w:lang w:val="es-ES"/>
        </w:rPr>
        <w:t>sub</w:t>
      </w:r>
      <w:r>
        <w:rPr>
          <w:lang w:val="es-ES"/>
        </w:rPr>
        <w:t>-</w:t>
      </w:r>
      <w:r w:rsidRPr="00B5511D">
        <w:rPr>
          <w:lang w:val="es-ES"/>
        </w:rPr>
        <w:t>dimensión de la</w:t>
      </w:r>
      <w:r w:rsidR="00E50911">
        <w:rPr>
          <w:lang w:val="es-ES"/>
        </w:rPr>
        <w:t xml:space="preserve"> </w:t>
      </w:r>
      <w:r w:rsidRPr="00B5511D">
        <w:rPr>
          <w:lang w:val="es-ES"/>
        </w:rPr>
        <w:t>PRI</w:t>
      </w:r>
      <w:r>
        <w:rPr>
          <w:lang w:val="es-ES"/>
        </w:rPr>
        <w:t xml:space="preserve">, así como la </w:t>
      </w:r>
      <w:r w:rsidRPr="00B5511D">
        <w:rPr>
          <w:i/>
          <w:lang w:val="es-ES"/>
        </w:rPr>
        <w:t>identificación/posibilidad de acción</w:t>
      </w:r>
      <w:r>
        <w:rPr>
          <w:lang w:val="es-ES"/>
        </w:rPr>
        <w:t>, sub-dimensión de la IP, son</w:t>
      </w:r>
      <w:r w:rsidRPr="0034617D">
        <w:rPr>
          <w:lang w:val="es-ES"/>
        </w:rPr>
        <w:t xml:space="preserve"> tan sensible</w:t>
      </w:r>
      <w:r>
        <w:rPr>
          <w:lang w:val="es-ES"/>
        </w:rPr>
        <w:t>s</w:t>
      </w:r>
      <w:r w:rsidRPr="0034617D">
        <w:rPr>
          <w:lang w:val="es-ES"/>
        </w:rPr>
        <w:t xml:space="preserve"> que incluso presenta diferencia significativa entre los dos tipos de exposición, siendo los de exposición alta</w:t>
      </w:r>
      <w:r>
        <w:rPr>
          <w:lang w:val="es-ES"/>
        </w:rPr>
        <w:t xml:space="preserve"> (grupo 1)</w:t>
      </w:r>
      <w:r w:rsidRPr="0034617D">
        <w:rPr>
          <w:lang w:val="es-ES"/>
        </w:rPr>
        <w:t xml:space="preserve"> quienes muestran un mayor </w:t>
      </w:r>
      <w:r w:rsidRPr="008E271E">
        <w:rPr>
          <w:lang w:val="es-ES"/>
        </w:rPr>
        <w:t>temor a la afectación y una mayor implicación al riesgo que los de exposición media (grupo 2)</w:t>
      </w:r>
      <w:r w:rsidR="002E60F3" w:rsidRPr="008E271E">
        <w:rPr>
          <w:lang w:val="es-ES"/>
        </w:rPr>
        <w:t xml:space="preserve"> (tamaño del efecto mediano, d=.51 para temor afectación y d=.41 para implicación)</w:t>
      </w:r>
      <w:r w:rsidRPr="008E271E">
        <w:rPr>
          <w:lang w:val="es-ES"/>
        </w:rPr>
        <w:t>. Es decir</w:t>
      </w:r>
      <w:r w:rsidR="00276509" w:rsidRPr="008E271E">
        <w:rPr>
          <w:lang w:val="es-ES"/>
        </w:rPr>
        <w:t>,</w:t>
      </w:r>
      <w:r w:rsidRPr="008E271E">
        <w:rPr>
          <w:lang w:val="es-ES"/>
        </w:rPr>
        <w:t xml:space="preserve"> la experiencia anterior de una inundación explica un sentimiento de vulnerabilidad personal más fuerte entre las personas que viven en lugares declaradas en riesgo de amenazas por fenómeno de inundación. Sin embargo</w:t>
      </w:r>
      <w:r w:rsidR="00276509" w:rsidRPr="008E271E">
        <w:rPr>
          <w:lang w:val="es-ES"/>
        </w:rPr>
        <w:t>,</w:t>
      </w:r>
      <w:r w:rsidRPr="008E271E">
        <w:rPr>
          <w:lang w:val="es-ES"/>
        </w:rPr>
        <w:t xml:space="preserve"> se observa que el grupo 2 presenta una percepción del riesgo en términos de </w:t>
      </w:r>
      <w:r w:rsidRPr="008E271E">
        <w:rPr>
          <w:i/>
          <w:lang w:val="es-ES"/>
        </w:rPr>
        <w:t>aumento global</w:t>
      </w:r>
      <w:r w:rsidRPr="008E271E">
        <w:rPr>
          <w:lang w:val="es-ES"/>
        </w:rPr>
        <w:t xml:space="preserve"> del mismo significativamente más que los del grupo 1</w:t>
      </w:r>
      <w:r w:rsidR="00244139" w:rsidRPr="008E271E">
        <w:rPr>
          <w:lang w:val="es-ES"/>
        </w:rPr>
        <w:t xml:space="preserve">. Sin </w:t>
      </w:r>
      <w:r w:rsidR="008E271E" w:rsidRPr="008E271E">
        <w:rPr>
          <w:lang w:val="es-ES"/>
        </w:rPr>
        <w:t>embargo,</w:t>
      </w:r>
      <w:r w:rsidR="002E60F3" w:rsidRPr="008E271E">
        <w:rPr>
          <w:lang w:val="es-ES"/>
        </w:rPr>
        <w:t xml:space="preserve"> el tamaño del efecto </w:t>
      </w:r>
      <w:r w:rsidR="00244139" w:rsidRPr="008E271E">
        <w:rPr>
          <w:lang w:val="es-ES"/>
        </w:rPr>
        <w:t xml:space="preserve">para esta diferencia </w:t>
      </w:r>
      <w:r w:rsidR="002E60F3" w:rsidRPr="008E271E">
        <w:rPr>
          <w:lang w:val="es-ES"/>
        </w:rPr>
        <w:t>es negativo, por lo cual n</w:t>
      </w:r>
      <w:r w:rsidR="008E271E" w:rsidRPr="008E271E">
        <w:rPr>
          <w:lang w:val="es-ES"/>
        </w:rPr>
        <w:t>o</w:t>
      </w:r>
      <w:r w:rsidR="002E60F3" w:rsidRPr="008E271E">
        <w:rPr>
          <w:lang w:val="es-ES"/>
        </w:rPr>
        <w:t xml:space="preserve"> </w:t>
      </w:r>
      <w:r w:rsidR="00244139" w:rsidRPr="008E271E">
        <w:rPr>
          <w:lang w:val="es-ES"/>
        </w:rPr>
        <w:t>s</w:t>
      </w:r>
      <w:r w:rsidR="002E60F3" w:rsidRPr="008E271E">
        <w:rPr>
          <w:lang w:val="es-ES"/>
        </w:rPr>
        <w:t>e corrobora este dato</w:t>
      </w:r>
      <w:r w:rsidRPr="008E271E">
        <w:rPr>
          <w:lang w:val="es-ES"/>
        </w:rPr>
        <w:t>. Estos resultados</w:t>
      </w:r>
      <w:r>
        <w:rPr>
          <w:lang w:val="es-ES"/>
        </w:rPr>
        <w:t xml:space="preserve"> permiten confirmar la hipótesis 1A (diferencia entre expuestos y no expuestos) y parcialmente la hipótesis 1B (diferencias entre las dos categorías de expuestos), en tanto no se observa una diferencia significativa en la variable de Afrontamiento entre los grupos 1 y 2 aunque si en PRI y PI, </w:t>
      </w:r>
      <w:r w:rsidRPr="00B21547">
        <w:rPr>
          <w:lang w:val="es-ES"/>
        </w:rPr>
        <w:t>lo que indica que el hecho de haber vivido una experiencia de inundación agudiza el temor a la probabilidad de vivirla nuevamente</w:t>
      </w:r>
      <w:r w:rsidR="00244139">
        <w:rPr>
          <w:lang w:val="es-ES"/>
        </w:rPr>
        <w:t xml:space="preserve"> </w:t>
      </w:r>
      <w:r w:rsidR="00244139" w:rsidRPr="008E271E">
        <w:rPr>
          <w:lang w:val="es-ES"/>
        </w:rPr>
        <w:t>e incluso de sentirse implicado, pero no sobre el tipo de estrategia de afrontamiento a desarrollar</w:t>
      </w:r>
      <w:r w:rsidRPr="008E271E">
        <w:rPr>
          <w:lang w:val="es-ES"/>
        </w:rPr>
        <w:t>.</w:t>
      </w:r>
      <w:r>
        <w:rPr>
          <w:lang w:val="es-ES"/>
        </w:rPr>
        <w:t xml:space="preserve">  </w:t>
      </w:r>
    </w:p>
    <w:p w14:paraId="1CF30BE8" w14:textId="77777777" w:rsidR="007C78C9" w:rsidRDefault="007C78C9" w:rsidP="006965C4">
      <w:pPr>
        <w:pStyle w:val="Cuerpo"/>
        <w:spacing w:after="0" w:line="240" w:lineRule="auto"/>
        <w:ind w:firstLine="708"/>
        <w:rPr>
          <w:rFonts w:ascii="Times New Roman" w:hAnsi="Times New Roman"/>
          <w:sz w:val="24"/>
          <w:szCs w:val="24"/>
        </w:rPr>
      </w:pPr>
      <w:r w:rsidRPr="00DD1C7B">
        <w:rPr>
          <w:rFonts w:ascii="Times New Roman" w:hAnsi="Times New Roman"/>
          <w:sz w:val="24"/>
          <w:szCs w:val="24"/>
        </w:rPr>
        <w:t>Los análisis de correlación</w:t>
      </w:r>
      <w:r w:rsidR="00B21547">
        <w:rPr>
          <w:rFonts w:ascii="Times New Roman" w:hAnsi="Times New Roman"/>
          <w:sz w:val="24"/>
          <w:szCs w:val="24"/>
        </w:rPr>
        <w:t xml:space="preserve"> (coeficiente de correlación de Pearson)</w:t>
      </w:r>
      <w:r w:rsidRPr="00DD1C7B">
        <w:rPr>
          <w:rFonts w:ascii="Times New Roman" w:hAnsi="Times New Roman"/>
          <w:sz w:val="24"/>
          <w:szCs w:val="24"/>
        </w:rPr>
        <w:t xml:space="preserve"> efectuados permitieron </w:t>
      </w:r>
      <w:r w:rsidR="00B21547">
        <w:rPr>
          <w:rFonts w:ascii="Times New Roman" w:hAnsi="Times New Roman"/>
          <w:sz w:val="24"/>
          <w:szCs w:val="24"/>
        </w:rPr>
        <w:t>identificar</w:t>
      </w:r>
      <w:r w:rsidRPr="00DD1C7B">
        <w:rPr>
          <w:rFonts w:ascii="Times New Roman" w:hAnsi="Times New Roman"/>
          <w:sz w:val="24"/>
          <w:szCs w:val="24"/>
        </w:rPr>
        <w:t xml:space="preserve"> qué relación existe entre</w:t>
      </w:r>
      <w:r>
        <w:rPr>
          <w:rFonts w:ascii="Times New Roman" w:hAnsi="Times New Roman"/>
          <w:sz w:val="24"/>
          <w:szCs w:val="24"/>
        </w:rPr>
        <w:t xml:space="preserve"> las sub-escalas de P</w:t>
      </w:r>
      <w:r w:rsidR="00B21547">
        <w:rPr>
          <w:rFonts w:ascii="Times New Roman" w:hAnsi="Times New Roman"/>
          <w:sz w:val="24"/>
          <w:szCs w:val="24"/>
        </w:rPr>
        <w:t xml:space="preserve">RI, PI y </w:t>
      </w:r>
      <w:r>
        <w:rPr>
          <w:rFonts w:ascii="Times New Roman" w:hAnsi="Times New Roman"/>
          <w:sz w:val="24"/>
          <w:szCs w:val="24"/>
        </w:rPr>
        <w:t>A</w:t>
      </w:r>
      <w:r w:rsidR="00B21547">
        <w:rPr>
          <w:rFonts w:ascii="Times New Roman" w:hAnsi="Times New Roman"/>
          <w:sz w:val="24"/>
          <w:szCs w:val="24"/>
        </w:rPr>
        <w:t>F (ver tabla 5</w:t>
      </w:r>
      <w:r>
        <w:rPr>
          <w:rFonts w:ascii="Times New Roman" w:hAnsi="Times New Roman"/>
          <w:sz w:val="24"/>
          <w:szCs w:val="24"/>
        </w:rPr>
        <w:t>).</w:t>
      </w:r>
      <w:r w:rsidR="00276509">
        <w:rPr>
          <w:rFonts w:ascii="Times New Roman" w:hAnsi="Times New Roman"/>
          <w:sz w:val="24"/>
          <w:szCs w:val="24"/>
        </w:rPr>
        <w:t xml:space="preserve"> </w:t>
      </w:r>
      <w:r w:rsidR="0048396F">
        <w:rPr>
          <w:rFonts w:ascii="Times New Roman" w:hAnsi="Times New Roman" w:cs="Times New Roman"/>
          <w:sz w:val="24"/>
          <w:szCs w:val="24"/>
        </w:rPr>
        <w:t xml:space="preserve">Como se </w:t>
      </w:r>
      <w:r w:rsidR="0048396F">
        <w:rPr>
          <w:rFonts w:ascii="Times New Roman" w:hAnsi="Times New Roman" w:cs="Times New Roman"/>
          <w:sz w:val="24"/>
          <w:szCs w:val="24"/>
        </w:rPr>
        <w:lastRenderedPageBreak/>
        <w:t>esperaba, las dimensiones de percepción del riesgo de inundación correlacionan positiva y significativamente con la implicación personal y con las estrategias de afrontamiento, especialmente con el afrontamiento activo.</w:t>
      </w:r>
    </w:p>
    <w:p w14:paraId="331C7A81" w14:textId="77777777" w:rsidR="00E50911" w:rsidRDefault="00E50911" w:rsidP="006965C4">
      <w:pPr>
        <w:autoSpaceDE w:val="0"/>
        <w:autoSpaceDN w:val="0"/>
        <w:adjustRightInd w:val="0"/>
        <w:rPr>
          <w:lang w:val="es-ES"/>
        </w:rPr>
      </w:pPr>
    </w:p>
    <w:p w14:paraId="66947BAE" w14:textId="77777777" w:rsidR="00F61F6E" w:rsidRDefault="00F61F6E" w:rsidP="006965C4">
      <w:pPr>
        <w:autoSpaceDE w:val="0"/>
        <w:autoSpaceDN w:val="0"/>
        <w:adjustRightInd w:val="0"/>
        <w:rPr>
          <w:lang w:val="es-ES"/>
        </w:rPr>
      </w:pPr>
      <w:r>
        <w:rPr>
          <w:lang w:val="es-ES"/>
        </w:rPr>
        <w:t xml:space="preserve">Tabla </w:t>
      </w:r>
      <w:r w:rsidR="00B21547">
        <w:rPr>
          <w:lang w:val="es-ES"/>
        </w:rPr>
        <w:t>5</w:t>
      </w:r>
      <w:r>
        <w:rPr>
          <w:lang w:val="es-ES"/>
        </w:rPr>
        <w:t>.- Correlaciones entre P</w:t>
      </w:r>
      <w:r w:rsidR="00B21547">
        <w:rPr>
          <w:lang w:val="es-ES"/>
        </w:rPr>
        <w:t xml:space="preserve">RI, PI </w:t>
      </w:r>
      <w:r>
        <w:rPr>
          <w:lang w:val="es-ES"/>
        </w:rPr>
        <w:t>y A</w:t>
      </w:r>
      <w:r w:rsidR="00B21547">
        <w:rPr>
          <w:lang w:val="es-ES"/>
        </w:rPr>
        <w:t>F</w:t>
      </w:r>
    </w:p>
    <w:tbl>
      <w:tblPr>
        <w:tblW w:w="0" w:type="auto"/>
        <w:tblCellMar>
          <w:left w:w="0" w:type="dxa"/>
          <w:right w:w="0" w:type="dxa"/>
        </w:tblCellMar>
        <w:tblLook w:val="0000" w:firstRow="0" w:lastRow="0" w:firstColumn="0" w:lastColumn="0" w:noHBand="0" w:noVBand="0"/>
      </w:tblPr>
      <w:tblGrid>
        <w:gridCol w:w="1799"/>
        <w:gridCol w:w="1536"/>
        <w:gridCol w:w="772"/>
        <w:gridCol w:w="1841"/>
        <w:gridCol w:w="1132"/>
        <w:gridCol w:w="764"/>
        <w:gridCol w:w="764"/>
        <w:gridCol w:w="752"/>
      </w:tblGrid>
      <w:tr w:rsidR="0048396F" w:rsidRPr="0048396F" w14:paraId="25C5B6F7" w14:textId="77777777" w:rsidTr="00CB1C19">
        <w:trPr>
          <w:cantSplit/>
          <w:tblHeader/>
        </w:trPr>
        <w:tc>
          <w:tcPr>
            <w:tcW w:w="0" w:type="auto"/>
            <w:tcBorders>
              <w:top w:val="single" w:sz="4" w:space="0" w:color="auto"/>
              <w:bottom w:val="single" w:sz="4" w:space="0" w:color="auto"/>
            </w:tcBorders>
            <w:shd w:val="clear" w:color="auto" w:fill="FFFFFF"/>
          </w:tcPr>
          <w:p w14:paraId="6959B3BA"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3150C787"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sz w:val="22"/>
                <w:szCs w:val="22"/>
                <w:lang w:val="es-ES"/>
              </w:rPr>
              <w:t>PRI-Conocimiento del riesgo</w:t>
            </w:r>
          </w:p>
        </w:tc>
        <w:tc>
          <w:tcPr>
            <w:tcW w:w="0" w:type="auto"/>
            <w:tcBorders>
              <w:top w:val="single" w:sz="4" w:space="0" w:color="auto"/>
              <w:bottom w:val="single" w:sz="4" w:space="0" w:color="auto"/>
            </w:tcBorders>
            <w:shd w:val="clear" w:color="auto" w:fill="FFFFFF"/>
          </w:tcPr>
          <w:p w14:paraId="03036189"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color w:val="000000"/>
                <w:sz w:val="22"/>
                <w:szCs w:val="22"/>
                <w:lang w:val="es-ES" w:eastAsia="es-CO"/>
              </w:rPr>
              <w:t>PRI-Global</w:t>
            </w:r>
          </w:p>
        </w:tc>
        <w:tc>
          <w:tcPr>
            <w:tcW w:w="0" w:type="auto"/>
            <w:tcBorders>
              <w:top w:val="single" w:sz="4" w:space="0" w:color="auto"/>
              <w:bottom w:val="single" w:sz="4" w:space="0" w:color="auto"/>
            </w:tcBorders>
            <w:shd w:val="clear" w:color="auto" w:fill="FFFFFF"/>
          </w:tcPr>
          <w:p w14:paraId="33C16FEE"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sz w:val="22"/>
                <w:szCs w:val="22"/>
                <w:lang w:val="es-ES"/>
              </w:rPr>
              <w:t>IP-Identificación/PPA</w:t>
            </w:r>
          </w:p>
        </w:tc>
        <w:tc>
          <w:tcPr>
            <w:tcW w:w="0" w:type="auto"/>
            <w:tcBorders>
              <w:top w:val="single" w:sz="4" w:space="0" w:color="auto"/>
              <w:bottom w:val="single" w:sz="4" w:space="0" w:color="auto"/>
            </w:tcBorders>
            <w:shd w:val="clear" w:color="auto" w:fill="FFFFFF"/>
          </w:tcPr>
          <w:p w14:paraId="1EEFC8EB"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rFonts w:eastAsia="Times New Roman"/>
                <w:color w:val="000000"/>
                <w:sz w:val="22"/>
                <w:szCs w:val="22"/>
                <w:lang w:val="es-ES"/>
              </w:rPr>
              <w:t>IP-Valoración</w:t>
            </w:r>
          </w:p>
        </w:tc>
        <w:tc>
          <w:tcPr>
            <w:tcW w:w="0" w:type="auto"/>
            <w:tcBorders>
              <w:top w:val="single" w:sz="4" w:space="0" w:color="auto"/>
              <w:bottom w:val="single" w:sz="4" w:space="0" w:color="auto"/>
            </w:tcBorders>
            <w:shd w:val="clear" w:color="auto" w:fill="FFFFFF"/>
          </w:tcPr>
          <w:p w14:paraId="6FFBA67A"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color w:val="000000"/>
                <w:sz w:val="22"/>
                <w:szCs w:val="22"/>
                <w:lang w:val="es-ES" w:eastAsia="es-CO"/>
              </w:rPr>
              <w:t>AF-Global</w:t>
            </w:r>
          </w:p>
        </w:tc>
        <w:tc>
          <w:tcPr>
            <w:tcW w:w="0" w:type="auto"/>
            <w:tcBorders>
              <w:top w:val="single" w:sz="4" w:space="0" w:color="auto"/>
              <w:bottom w:val="single" w:sz="4" w:space="0" w:color="auto"/>
            </w:tcBorders>
            <w:shd w:val="clear" w:color="auto" w:fill="FFFFFF"/>
          </w:tcPr>
          <w:p w14:paraId="242E7E9F"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color w:val="000000"/>
                <w:sz w:val="22"/>
                <w:szCs w:val="22"/>
                <w:lang w:val="es-ES" w:eastAsia="es-CO"/>
              </w:rPr>
              <w:t>AF-Activo</w:t>
            </w:r>
          </w:p>
        </w:tc>
        <w:tc>
          <w:tcPr>
            <w:tcW w:w="0" w:type="auto"/>
            <w:tcBorders>
              <w:top w:val="single" w:sz="4" w:space="0" w:color="auto"/>
              <w:bottom w:val="single" w:sz="4" w:space="0" w:color="auto"/>
            </w:tcBorders>
            <w:shd w:val="clear" w:color="auto" w:fill="FFFFFF"/>
          </w:tcPr>
          <w:p w14:paraId="26BC6D9C"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color w:val="000000"/>
                <w:sz w:val="22"/>
                <w:szCs w:val="22"/>
                <w:lang w:val="es-ES" w:eastAsia="es-CO"/>
              </w:rPr>
              <w:t>AF-Pasivo</w:t>
            </w:r>
          </w:p>
        </w:tc>
      </w:tr>
      <w:tr w:rsidR="0048396F" w:rsidRPr="0048396F" w14:paraId="1B0E1283" w14:textId="77777777" w:rsidTr="00CB1C19">
        <w:trPr>
          <w:cantSplit/>
          <w:tblHeader/>
        </w:trPr>
        <w:tc>
          <w:tcPr>
            <w:tcW w:w="0" w:type="auto"/>
            <w:tcBorders>
              <w:top w:val="single" w:sz="4" w:space="0" w:color="auto"/>
              <w:bottom w:val="single" w:sz="4" w:space="0" w:color="auto"/>
            </w:tcBorders>
            <w:shd w:val="clear" w:color="auto" w:fill="FFFFFF"/>
          </w:tcPr>
          <w:p w14:paraId="2D08EB89" w14:textId="77777777" w:rsidR="00CB1C19" w:rsidRPr="0048396F" w:rsidRDefault="00CB1C19" w:rsidP="006965C4">
            <w:pPr>
              <w:rPr>
                <w:sz w:val="22"/>
                <w:szCs w:val="22"/>
                <w:lang w:val="es-ES"/>
              </w:rPr>
            </w:pPr>
            <w:r w:rsidRPr="0048396F">
              <w:rPr>
                <w:sz w:val="22"/>
                <w:szCs w:val="22"/>
                <w:lang w:val="es-ES"/>
              </w:rPr>
              <w:t xml:space="preserve">PRI-Temor afectación </w:t>
            </w:r>
          </w:p>
        </w:tc>
        <w:tc>
          <w:tcPr>
            <w:tcW w:w="0" w:type="auto"/>
            <w:tcBorders>
              <w:top w:val="single" w:sz="4" w:space="0" w:color="auto"/>
              <w:bottom w:val="single" w:sz="4" w:space="0" w:color="auto"/>
            </w:tcBorders>
            <w:shd w:val="clear" w:color="auto" w:fill="FFFFFF"/>
          </w:tcPr>
          <w:p w14:paraId="4A40BD63"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421</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30AE57E8"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741</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2B6F2A10"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b/>
                <w:color w:val="000000"/>
                <w:sz w:val="22"/>
                <w:szCs w:val="22"/>
                <w:lang w:val="es-ES" w:eastAsia="es-CO"/>
              </w:rPr>
            </w:pPr>
            <w:r w:rsidRPr="0048396F">
              <w:rPr>
                <w:b/>
                <w:color w:val="000000"/>
                <w:sz w:val="22"/>
                <w:szCs w:val="22"/>
                <w:lang w:val="es-ES" w:eastAsia="es-CO"/>
              </w:rPr>
              <w:t>.</w:t>
            </w:r>
            <w:r w:rsidR="00CB1C19" w:rsidRPr="0048396F">
              <w:rPr>
                <w:b/>
                <w:color w:val="000000"/>
                <w:sz w:val="22"/>
                <w:szCs w:val="22"/>
                <w:lang w:val="es-ES" w:eastAsia="es-CO"/>
              </w:rPr>
              <w:t>667</w:t>
            </w:r>
            <w:r w:rsidR="00CB1C19" w:rsidRPr="0048396F">
              <w:rPr>
                <w:b/>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62AD65ED"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443</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312C2531"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448</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059B9874"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464</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3D3450D7"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223</w:t>
            </w:r>
            <w:r w:rsidR="00CB1C19" w:rsidRPr="0048396F">
              <w:rPr>
                <w:color w:val="000000"/>
                <w:sz w:val="22"/>
                <w:szCs w:val="22"/>
                <w:vertAlign w:val="superscript"/>
                <w:lang w:val="es-ES" w:eastAsia="es-CO"/>
              </w:rPr>
              <w:t>**</w:t>
            </w:r>
          </w:p>
        </w:tc>
      </w:tr>
      <w:tr w:rsidR="0048396F" w:rsidRPr="0048396F" w14:paraId="3A340DE8" w14:textId="77777777" w:rsidTr="00CB1C19">
        <w:trPr>
          <w:cantSplit/>
          <w:tblHeader/>
        </w:trPr>
        <w:tc>
          <w:tcPr>
            <w:tcW w:w="0" w:type="auto"/>
            <w:tcBorders>
              <w:top w:val="single" w:sz="4" w:space="0" w:color="auto"/>
              <w:bottom w:val="single" w:sz="4" w:space="0" w:color="auto"/>
            </w:tcBorders>
            <w:shd w:val="clear" w:color="auto" w:fill="FFFFFF"/>
          </w:tcPr>
          <w:p w14:paraId="05E8ED3B" w14:textId="77777777" w:rsidR="00CB1C19" w:rsidRPr="0048396F" w:rsidRDefault="00CB1C19" w:rsidP="006965C4">
            <w:pPr>
              <w:rPr>
                <w:sz w:val="22"/>
                <w:szCs w:val="22"/>
                <w:lang w:val="es-ES"/>
              </w:rPr>
            </w:pPr>
            <w:r w:rsidRPr="0048396F">
              <w:rPr>
                <w:sz w:val="22"/>
                <w:szCs w:val="22"/>
                <w:lang w:val="es-ES"/>
              </w:rPr>
              <w:t>PRI-Conocimiento del riesgo</w:t>
            </w:r>
          </w:p>
        </w:tc>
        <w:tc>
          <w:tcPr>
            <w:tcW w:w="0" w:type="auto"/>
            <w:tcBorders>
              <w:top w:val="single" w:sz="4" w:space="0" w:color="auto"/>
              <w:bottom w:val="single" w:sz="4" w:space="0" w:color="auto"/>
            </w:tcBorders>
            <w:shd w:val="clear" w:color="auto" w:fill="FFFFFF"/>
          </w:tcPr>
          <w:p w14:paraId="53E1A867"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13066B8F"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831</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78591540"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469</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0C914352"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286</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3BD05910"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407</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42F57E19"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424</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5EF36344"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208</w:t>
            </w:r>
            <w:r w:rsidR="00CB1C19" w:rsidRPr="0048396F">
              <w:rPr>
                <w:color w:val="000000"/>
                <w:sz w:val="22"/>
                <w:szCs w:val="22"/>
                <w:vertAlign w:val="superscript"/>
                <w:lang w:val="es-ES" w:eastAsia="es-CO"/>
              </w:rPr>
              <w:t>**</w:t>
            </w:r>
          </w:p>
        </w:tc>
      </w:tr>
      <w:tr w:rsidR="0048396F" w:rsidRPr="0048396F" w14:paraId="397AE84D" w14:textId="77777777" w:rsidTr="00CB1C19">
        <w:trPr>
          <w:cantSplit/>
          <w:tblHeader/>
        </w:trPr>
        <w:tc>
          <w:tcPr>
            <w:tcW w:w="0" w:type="auto"/>
            <w:tcBorders>
              <w:top w:val="single" w:sz="4" w:space="0" w:color="auto"/>
              <w:bottom w:val="single" w:sz="4" w:space="0" w:color="auto"/>
            </w:tcBorders>
            <w:shd w:val="clear" w:color="auto" w:fill="FFFFFF"/>
          </w:tcPr>
          <w:p w14:paraId="7A064DD3"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60"/>
              <w:rPr>
                <w:color w:val="000000"/>
                <w:sz w:val="22"/>
                <w:szCs w:val="22"/>
                <w:lang w:val="es-ES" w:eastAsia="es-CO"/>
              </w:rPr>
            </w:pPr>
            <w:r w:rsidRPr="0048396F">
              <w:rPr>
                <w:color w:val="000000"/>
                <w:sz w:val="22"/>
                <w:szCs w:val="22"/>
                <w:lang w:val="es-ES" w:eastAsia="es-CO"/>
              </w:rPr>
              <w:t>PRI-Global</w:t>
            </w:r>
          </w:p>
        </w:tc>
        <w:tc>
          <w:tcPr>
            <w:tcW w:w="0" w:type="auto"/>
            <w:tcBorders>
              <w:top w:val="single" w:sz="4" w:space="0" w:color="auto"/>
              <w:bottom w:val="single" w:sz="4" w:space="0" w:color="auto"/>
            </w:tcBorders>
            <w:shd w:val="clear" w:color="auto" w:fill="FFFFFF"/>
          </w:tcPr>
          <w:p w14:paraId="5EE4A1F8"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04268CED"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55F90DCE"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b/>
                <w:color w:val="000000"/>
                <w:sz w:val="22"/>
                <w:szCs w:val="22"/>
                <w:lang w:val="es-ES" w:eastAsia="es-CO"/>
              </w:rPr>
            </w:pPr>
            <w:r w:rsidRPr="0048396F">
              <w:rPr>
                <w:b/>
                <w:color w:val="000000"/>
                <w:sz w:val="22"/>
                <w:szCs w:val="22"/>
                <w:lang w:val="es-ES" w:eastAsia="es-CO"/>
              </w:rPr>
              <w:t>.</w:t>
            </w:r>
            <w:r w:rsidR="00CB1C19" w:rsidRPr="0048396F">
              <w:rPr>
                <w:b/>
                <w:color w:val="000000"/>
                <w:sz w:val="22"/>
                <w:szCs w:val="22"/>
                <w:lang w:val="es-ES" w:eastAsia="es-CO"/>
              </w:rPr>
              <w:t>720</w:t>
            </w:r>
            <w:r w:rsidR="00CB1C19" w:rsidRPr="0048396F">
              <w:rPr>
                <w:b/>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4E936A08"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499</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085798B7"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531</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238A55DC"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537</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0D0CA74D"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305</w:t>
            </w:r>
            <w:r w:rsidR="00CB1C19" w:rsidRPr="0048396F">
              <w:rPr>
                <w:color w:val="000000"/>
                <w:sz w:val="22"/>
                <w:szCs w:val="22"/>
                <w:vertAlign w:val="superscript"/>
                <w:lang w:val="es-ES" w:eastAsia="es-CO"/>
              </w:rPr>
              <w:t>**</w:t>
            </w:r>
          </w:p>
        </w:tc>
      </w:tr>
      <w:tr w:rsidR="0048396F" w:rsidRPr="0048396F" w14:paraId="66405B65" w14:textId="77777777" w:rsidTr="00CB1C19">
        <w:trPr>
          <w:cantSplit/>
          <w:tblHeader/>
        </w:trPr>
        <w:tc>
          <w:tcPr>
            <w:tcW w:w="0" w:type="auto"/>
            <w:tcBorders>
              <w:top w:val="single" w:sz="4" w:space="0" w:color="auto"/>
              <w:bottom w:val="single" w:sz="4" w:space="0" w:color="auto"/>
            </w:tcBorders>
            <w:shd w:val="clear" w:color="auto" w:fill="FFFFFF"/>
          </w:tcPr>
          <w:p w14:paraId="3B2E95B5" w14:textId="77777777" w:rsidR="00CB1C19" w:rsidRPr="0048396F" w:rsidRDefault="00CB1C19" w:rsidP="006965C4">
            <w:pPr>
              <w:rPr>
                <w:sz w:val="22"/>
                <w:szCs w:val="22"/>
                <w:lang w:val="es-ES"/>
              </w:rPr>
            </w:pPr>
            <w:r w:rsidRPr="0048396F">
              <w:rPr>
                <w:sz w:val="22"/>
                <w:szCs w:val="22"/>
                <w:lang w:val="es-ES"/>
              </w:rPr>
              <w:t>IP-Identificación/PPA</w:t>
            </w:r>
          </w:p>
        </w:tc>
        <w:tc>
          <w:tcPr>
            <w:tcW w:w="0" w:type="auto"/>
            <w:tcBorders>
              <w:top w:val="single" w:sz="4" w:space="0" w:color="auto"/>
              <w:bottom w:val="single" w:sz="4" w:space="0" w:color="auto"/>
            </w:tcBorders>
            <w:shd w:val="clear" w:color="auto" w:fill="FFFFFF"/>
          </w:tcPr>
          <w:p w14:paraId="05322264"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6F5DFD70"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03D0AADA"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773715BA"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570</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17498B0A"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b/>
                <w:color w:val="000000"/>
                <w:sz w:val="22"/>
                <w:szCs w:val="22"/>
                <w:lang w:val="es-ES" w:eastAsia="es-CO"/>
              </w:rPr>
            </w:pPr>
            <w:r w:rsidRPr="0048396F">
              <w:rPr>
                <w:b/>
                <w:color w:val="000000"/>
                <w:sz w:val="22"/>
                <w:szCs w:val="22"/>
                <w:lang w:val="es-ES" w:eastAsia="es-CO"/>
              </w:rPr>
              <w:t>.</w:t>
            </w:r>
            <w:r w:rsidR="00CB1C19" w:rsidRPr="0048396F">
              <w:rPr>
                <w:b/>
                <w:color w:val="000000"/>
                <w:sz w:val="22"/>
                <w:szCs w:val="22"/>
                <w:lang w:val="es-ES" w:eastAsia="es-CO"/>
              </w:rPr>
              <w:t>696</w:t>
            </w:r>
            <w:r w:rsidR="00CB1C19" w:rsidRPr="0048396F">
              <w:rPr>
                <w:b/>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7B67CBE1"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b/>
                <w:color w:val="000000"/>
                <w:sz w:val="22"/>
                <w:szCs w:val="22"/>
                <w:lang w:val="es-ES" w:eastAsia="es-CO"/>
              </w:rPr>
            </w:pPr>
            <w:r w:rsidRPr="0048396F">
              <w:rPr>
                <w:b/>
                <w:color w:val="000000"/>
                <w:sz w:val="22"/>
                <w:szCs w:val="22"/>
                <w:lang w:val="es-ES" w:eastAsia="es-CO"/>
              </w:rPr>
              <w:t>.</w:t>
            </w:r>
            <w:r w:rsidR="00CB1C19" w:rsidRPr="0048396F">
              <w:rPr>
                <w:b/>
                <w:color w:val="000000"/>
                <w:sz w:val="22"/>
                <w:szCs w:val="22"/>
                <w:lang w:val="es-ES" w:eastAsia="es-CO"/>
              </w:rPr>
              <w:t>708</w:t>
            </w:r>
            <w:r w:rsidR="00CB1C19" w:rsidRPr="0048396F">
              <w:rPr>
                <w:b/>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5805815B"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359</w:t>
            </w:r>
            <w:r w:rsidR="00CB1C19" w:rsidRPr="0048396F">
              <w:rPr>
                <w:color w:val="000000"/>
                <w:sz w:val="22"/>
                <w:szCs w:val="22"/>
                <w:vertAlign w:val="superscript"/>
                <w:lang w:val="es-ES" w:eastAsia="es-CO"/>
              </w:rPr>
              <w:t>**</w:t>
            </w:r>
          </w:p>
        </w:tc>
      </w:tr>
      <w:tr w:rsidR="0048396F" w:rsidRPr="0048396F" w14:paraId="0BBF2D62" w14:textId="77777777" w:rsidTr="00CB1C19">
        <w:trPr>
          <w:cantSplit/>
          <w:tblHeader/>
        </w:trPr>
        <w:tc>
          <w:tcPr>
            <w:tcW w:w="0" w:type="auto"/>
            <w:tcBorders>
              <w:top w:val="single" w:sz="4" w:space="0" w:color="auto"/>
              <w:bottom w:val="single" w:sz="4" w:space="0" w:color="auto"/>
            </w:tcBorders>
            <w:shd w:val="clear" w:color="auto" w:fill="FFFFFF"/>
          </w:tcPr>
          <w:p w14:paraId="4DFF1BA4" w14:textId="77777777" w:rsidR="00CB1C19" w:rsidRPr="0048396F" w:rsidRDefault="00CB1C19" w:rsidP="006965C4">
            <w:pPr>
              <w:rPr>
                <w:sz w:val="22"/>
                <w:szCs w:val="22"/>
                <w:lang w:val="es-ES"/>
              </w:rPr>
            </w:pPr>
            <w:r w:rsidRPr="0048396F">
              <w:rPr>
                <w:rFonts w:eastAsia="Times New Roman"/>
                <w:color w:val="000000"/>
                <w:sz w:val="22"/>
                <w:szCs w:val="22"/>
                <w:lang w:val="es-ES"/>
              </w:rPr>
              <w:t>IP-Valoración</w:t>
            </w:r>
          </w:p>
        </w:tc>
        <w:tc>
          <w:tcPr>
            <w:tcW w:w="0" w:type="auto"/>
            <w:tcBorders>
              <w:top w:val="single" w:sz="4" w:space="0" w:color="auto"/>
              <w:bottom w:val="single" w:sz="4" w:space="0" w:color="auto"/>
            </w:tcBorders>
            <w:shd w:val="clear" w:color="auto" w:fill="FFFFFF"/>
          </w:tcPr>
          <w:p w14:paraId="4ED43646"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3E32F126"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435A10DA"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7145510F"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0B43B2CD"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410</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3F2F09CF"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379</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0A9831E7"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330</w:t>
            </w:r>
            <w:r w:rsidR="00CB1C19" w:rsidRPr="0048396F">
              <w:rPr>
                <w:color w:val="000000"/>
                <w:sz w:val="22"/>
                <w:szCs w:val="22"/>
                <w:vertAlign w:val="superscript"/>
                <w:lang w:val="es-ES" w:eastAsia="es-CO"/>
              </w:rPr>
              <w:t>**</w:t>
            </w:r>
          </w:p>
        </w:tc>
      </w:tr>
      <w:tr w:rsidR="0048396F" w:rsidRPr="0048396F" w14:paraId="6D914CF6" w14:textId="77777777" w:rsidTr="00CB1C19">
        <w:trPr>
          <w:cantSplit/>
          <w:tblHeader/>
        </w:trPr>
        <w:tc>
          <w:tcPr>
            <w:tcW w:w="0" w:type="auto"/>
            <w:tcBorders>
              <w:top w:val="single" w:sz="4" w:space="0" w:color="auto"/>
              <w:bottom w:val="single" w:sz="4" w:space="0" w:color="auto"/>
            </w:tcBorders>
            <w:shd w:val="clear" w:color="auto" w:fill="FFFFFF"/>
          </w:tcPr>
          <w:p w14:paraId="403CC080"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rPr>
                <w:color w:val="000000"/>
                <w:sz w:val="22"/>
                <w:szCs w:val="22"/>
                <w:lang w:val="es-ES" w:eastAsia="es-CO"/>
              </w:rPr>
            </w:pPr>
            <w:r w:rsidRPr="0048396F">
              <w:rPr>
                <w:color w:val="000000"/>
                <w:sz w:val="22"/>
                <w:szCs w:val="22"/>
                <w:lang w:val="es-ES" w:eastAsia="es-CO"/>
              </w:rPr>
              <w:t>AF-Global</w:t>
            </w:r>
          </w:p>
        </w:tc>
        <w:tc>
          <w:tcPr>
            <w:tcW w:w="0" w:type="auto"/>
            <w:tcBorders>
              <w:top w:val="single" w:sz="4" w:space="0" w:color="auto"/>
              <w:bottom w:val="single" w:sz="4" w:space="0" w:color="auto"/>
            </w:tcBorders>
            <w:shd w:val="clear" w:color="auto" w:fill="FFFFFF"/>
          </w:tcPr>
          <w:p w14:paraId="75B1B54E"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3D856420"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415F03F4"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752789CB"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08DE2F01"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4EBDEF63"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959</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14:paraId="67958161"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679</w:t>
            </w:r>
            <w:r w:rsidR="00CB1C19" w:rsidRPr="0048396F">
              <w:rPr>
                <w:color w:val="000000"/>
                <w:sz w:val="22"/>
                <w:szCs w:val="22"/>
                <w:vertAlign w:val="superscript"/>
                <w:lang w:val="es-ES" w:eastAsia="es-CO"/>
              </w:rPr>
              <w:t>**</w:t>
            </w:r>
          </w:p>
        </w:tc>
      </w:tr>
      <w:tr w:rsidR="0048396F" w:rsidRPr="0048396F" w14:paraId="6615A8F3" w14:textId="77777777" w:rsidTr="00CB1C19">
        <w:trPr>
          <w:cantSplit/>
          <w:tblHeader/>
        </w:trPr>
        <w:tc>
          <w:tcPr>
            <w:tcW w:w="0" w:type="auto"/>
            <w:tcBorders>
              <w:top w:val="single" w:sz="4" w:space="0" w:color="auto"/>
              <w:bottom w:val="single" w:sz="4" w:space="0" w:color="auto"/>
            </w:tcBorders>
            <w:shd w:val="clear" w:color="auto" w:fill="FFFFFF"/>
          </w:tcPr>
          <w:p w14:paraId="7A427AB1"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rPr>
                <w:color w:val="000000"/>
                <w:sz w:val="22"/>
                <w:szCs w:val="22"/>
                <w:lang w:val="es-ES" w:eastAsia="es-CO"/>
              </w:rPr>
            </w:pPr>
            <w:r w:rsidRPr="0048396F">
              <w:rPr>
                <w:color w:val="000000"/>
                <w:sz w:val="22"/>
                <w:szCs w:val="22"/>
                <w:lang w:val="es-ES" w:eastAsia="es-CO"/>
              </w:rPr>
              <w:t>AF-Activo</w:t>
            </w:r>
          </w:p>
        </w:tc>
        <w:tc>
          <w:tcPr>
            <w:tcW w:w="0" w:type="auto"/>
            <w:tcBorders>
              <w:top w:val="single" w:sz="4" w:space="0" w:color="auto"/>
              <w:bottom w:val="single" w:sz="4" w:space="0" w:color="auto"/>
            </w:tcBorders>
            <w:shd w:val="clear" w:color="auto" w:fill="FFFFFF"/>
          </w:tcPr>
          <w:p w14:paraId="6369C5EB"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6BDABEAE"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41D21225"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330EF5E0"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5FFB6372"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4A22FAC8" w14:textId="77777777"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14:paraId="3AFBB9DA" w14:textId="77777777"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443</w:t>
            </w:r>
            <w:r w:rsidR="00CB1C19" w:rsidRPr="0048396F">
              <w:rPr>
                <w:color w:val="000000"/>
                <w:sz w:val="22"/>
                <w:szCs w:val="22"/>
                <w:vertAlign w:val="superscript"/>
                <w:lang w:val="es-ES" w:eastAsia="es-CO"/>
              </w:rPr>
              <w:t>**</w:t>
            </w:r>
          </w:p>
        </w:tc>
      </w:tr>
    </w:tbl>
    <w:p w14:paraId="67FF5A6D" w14:textId="77777777" w:rsidR="00F61F6E" w:rsidRPr="009164D5" w:rsidRDefault="00F61F6E" w:rsidP="006965C4">
      <w:pPr>
        <w:autoSpaceDE w:val="0"/>
        <w:autoSpaceDN w:val="0"/>
        <w:adjustRightInd w:val="0"/>
        <w:ind w:left="708" w:firstLine="708"/>
        <w:contextualSpacing/>
        <w:rPr>
          <w:sz w:val="20"/>
          <w:szCs w:val="20"/>
          <w:lang w:val="es-CO"/>
        </w:rPr>
      </w:pPr>
      <w:r w:rsidRPr="009164D5">
        <w:rPr>
          <w:sz w:val="20"/>
          <w:szCs w:val="20"/>
          <w:lang w:val="es-CO"/>
        </w:rPr>
        <w:t xml:space="preserve">* </w:t>
      </w:r>
      <w:r w:rsidRPr="009164D5">
        <w:rPr>
          <w:i/>
          <w:sz w:val="20"/>
          <w:szCs w:val="20"/>
          <w:lang w:val="es-CO"/>
        </w:rPr>
        <w:t>p</w:t>
      </w:r>
      <w:r w:rsidR="001D0720">
        <w:rPr>
          <w:sz w:val="20"/>
          <w:szCs w:val="20"/>
          <w:lang w:val="es-CO"/>
        </w:rPr>
        <w:t>&lt;.01</w:t>
      </w:r>
      <w:r w:rsidR="00587587">
        <w:rPr>
          <w:sz w:val="20"/>
          <w:szCs w:val="20"/>
          <w:lang w:val="es-CO"/>
        </w:rPr>
        <w:t>,</w:t>
      </w:r>
      <w:r w:rsidRPr="009164D5">
        <w:rPr>
          <w:sz w:val="20"/>
          <w:szCs w:val="20"/>
          <w:lang w:val="es-CO"/>
        </w:rPr>
        <w:t xml:space="preserve"> ** </w:t>
      </w:r>
      <w:r w:rsidRPr="009164D5">
        <w:rPr>
          <w:i/>
          <w:sz w:val="20"/>
          <w:szCs w:val="20"/>
          <w:lang w:val="es-CO"/>
        </w:rPr>
        <w:t>p</w:t>
      </w:r>
      <w:r w:rsidRPr="009164D5">
        <w:rPr>
          <w:sz w:val="20"/>
          <w:szCs w:val="20"/>
          <w:lang w:val="es-CO"/>
        </w:rPr>
        <w:t>&lt; .</w:t>
      </w:r>
      <w:r w:rsidR="001D0720">
        <w:rPr>
          <w:sz w:val="20"/>
          <w:szCs w:val="20"/>
          <w:lang w:val="es-CO"/>
        </w:rPr>
        <w:t>0</w:t>
      </w:r>
      <w:r w:rsidRPr="009164D5">
        <w:rPr>
          <w:sz w:val="20"/>
          <w:szCs w:val="20"/>
          <w:lang w:val="es-CO"/>
        </w:rPr>
        <w:t>01</w:t>
      </w:r>
      <w:r>
        <w:rPr>
          <w:sz w:val="20"/>
          <w:szCs w:val="20"/>
          <w:lang w:val="es-CO"/>
        </w:rPr>
        <w:t>.</w:t>
      </w:r>
    </w:p>
    <w:p w14:paraId="4A3CF3DE" w14:textId="77777777" w:rsidR="00E50911" w:rsidRDefault="00E50911" w:rsidP="006965C4">
      <w:pPr>
        <w:pStyle w:val="Cuerpo"/>
        <w:spacing w:after="0" w:line="240" w:lineRule="auto"/>
        <w:ind w:firstLine="709"/>
        <w:rPr>
          <w:rFonts w:ascii="Times New Roman" w:hAnsi="Times New Roman" w:cs="Times New Roman"/>
          <w:sz w:val="24"/>
          <w:szCs w:val="24"/>
          <w:lang w:val="es-CO"/>
        </w:rPr>
      </w:pPr>
    </w:p>
    <w:p w14:paraId="1F64778C" w14:textId="77777777" w:rsidR="001D0720" w:rsidRDefault="00296313" w:rsidP="006965C4">
      <w:pPr>
        <w:pStyle w:val="Cuerpo"/>
        <w:spacing w:after="0" w:line="240" w:lineRule="auto"/>
        <w:ind w:firstLine="709"/>
        <w:rPr>
          <w:rFonts w:ascii="Times New Roman" w:hAnsi="Times New Roman" w:cs="Times New Roman"/>
          <w:sz w:val="24"/>
          <w:szCs w:val="24"/>
          <w:lang w:val="es-ES"/>
        </w:rPr>
      </w:pPr>
      <w:r>
        <w:rPr>
          <w:rFonts w:ascii="Times New Roman" w:hAnsi="Times New Roman" w:cs="Times New Roman"/>
          <w:sz w:val="24"/>
          <w:szCs w:val="24"/>
        </w:rPr>
        <w:t xml:space="preserve">Se </w:t>
      </w:r>
      <w:r w:rsidR="001D0720">
        <w:rPr>
          <w:rFonts w:ascii="Times New Roman" w:hAnsi="Times New Roman" w:cs="Times New Roman"/>
          <w:sz w:val="24"/>
          <w:szCs w:val="24"/>
        </w:rPr>
        <w:t xml:space="preserve">observa que la PRI general y específicamente su dimensión </w:t>
      </w:r>
      <w:r w:rsidR="001D0720">
        <w:rPr>
          <w:rFonts w:ascii="Times New Roman" w:hAnsi="Times New Roman" w:cs="Times New Roman"/>
          <w:i/>
          <w:sz w:val="24"/>
          <w:szCs w:val="24"/>
        </w:rPr>
        <w:t xml:space="preserve">temor afectación </w:t>
      </w:r>
      <w:r w:rsidR="001D0720">
        <w:rPr>
          <w:rFonts w:ascii="Times New Roman" w:hAnsi="Times New Roman" w:cs="Times New Roman"/>
          <w:sz w:val="24"/>
          <w:szCs w:val="24"/>
        </w:rPr>
        <w:t xml:space="preserve">correlacionan fuertemente con la dimensión de IP </w:t>
      </w:r>
      <w:r w:rsidR="001D0720">
        <w:rPr>
          <w:rFonts w:ascii="Times New Roman" w:hAnsi="Times New Roman" w:cs="Times New Roman"/>
          <w:i/>
          <w:sz w:val="24"/>
          <w:szCs w:val="24"/>
        </w:rPr>
        <w:t>identificación/posibilidad de acción</w:t>
      </w:r>
      <w:r w:rsidR="00276509">
        <w:rPr>
          <w:rFonts w:ascii="Times New Roman" w:hAnsi="Times New Roman" w:cs="Times New Roman"/>
          <w:sz w:val="24"/>
          <w:szCs w:val="24"/>
        </w:rPr>
        <w:t>, y esta ú</w:t>
      </w:r>
      <w:r w:rsidR="001D0720">
        <w:rPr>
          <w:rFonts w:ascii="Times New Roman" w:hAnsi="Times New Roman" w:cs="Times New Roman"/>
          <w:sz w:val="24"/>
          <w:szCs w:val="24"/>
        </w:rPr>
        <w:t xml:space="preserve">ltima correlaciona fuertemente con AF y especialmente con AF </w:t>
      </w:r>
      <w:r w:rsidR="001D0720">
        <w:rPr>
          <w:rFonts w:ascii="Times New Roman" w:hAnsi="Times New Roman" w:cs="Times New Roman"/>
          <w:i/>
          <w:sz w:val="24"/>
          <w:szCs w:val="24"/>
        </w:rPr>
        <w:t xml:space="preserve">activo. </w:t>
      </w:r>
      <w:r w:rsidR="006206C1">
        <w:rPr>
          <w:rFonts w:ascii="Times New Roman" w:hAnsi="Times New Roman" w:cs="Times New Roman"/>
          <w:sz w:val="24"/>
          <w:szCs w:val="24"/>
        </w:rPr>
        <w:t xml:space="preserve">Estos resultados sugieren </w:t>
      </w:r>
      <w:r>
        <w:rPr>
          <w:rFonts w:ascii="Times New Roman" w:hAnsi="Times New Roman" w:cs="Times New Roman"/>
          <w:sz w:val="24"/>
          <w:szCs w:val="24"/>
        </w:rPr>
        <w:t xml:space="preserve">que </w:t>
      </w:r>
      <w:r w:rsidR="00297AA6">
        <w:rPr>
          <w:rFonts w:ascii="Times New Roman" w:hAnsi="Times New Roman" w:cs="Times New Roman"/>
          <w:sz w:val="24"/>
          <w:szCs w:val="24"/>
        </w:rPr>
        <w:t>la percepción de riesgo de inundación</w:t>
      </w:r>
      <w:r w:rsidR="00BE637A">
        <w:rPr>
          <w:rFonts w:ascii="Times New Roman" w:hAnsi="Times New Roman" w:cs="Times New Roman"/>
          <w:sz w:val="24"/>
          <w:szCs w:val="24"/>
        </w:rPr>
        <w:t xml:space="preserve">, </w:t>
      </w:r>
      <w:r w:rsidR="00297AA6">
        <w:rPr>
          <w:rFonts w:ascii="Times New Roman" w:hAnsi="Times New Roman" w:cs="Times New Roman"/>
          <w:sz w:val="24"/>
          <w:szCs w:val="24"/>
        </w:rPr>
        <w:t xml:space="preserve">el hecho </w:t>
      </w:r>
      <w:r w:rsidR="00BE637A">
        <w:rPr>
          <w:rFonts w:ascii="Times New Roman" w:hAnsi="Times New Roman" w:cs="Times New Roman"/>
          <w:sz w:val="24"/>
          <w:szCs w:val="24"/>
        </w:rPr>
        <w:t>de conocerlo y</w:t>
      </w:r>
      <w:r>
        <w:rPr>
          <w:rFonts w:ascii="Times New Roman" w:hAnsi="Times New Roman" w:cs="Times New Roman"/>
          <w:sz w:val="24"/>
          <w:szCs w:val="24"/>
        </w:rPr>
        <w:t xml:space="preserve"> experimentar temor de ser afectado, </w:t>
      </w:r>
      <w:r w:rsidR="00297AA6">
        <w:rPr>
          <w:rFonts w:ascii="Times New Roman" w:hAnsi="Times New Roman" w:cs="Times New Roman"/>
          <w:sz w:val="24"/>
          <w:szCs w:val="24"/>
        </w:rPr>
        <w:t>está relacionada con</w:t>
      </w:r>
      <w:r w:rsidR="001D0720">
        <w:rPr>
          <w:rFonts w:ascii="Times New Roman" w:hAnsi="Times New Roman" w:cs="Times New Roman"/>
          <w:sz w:val="24"/>
          <w:szCs w:val="24"/>
        </w:rPr>
        <w:t xml:space="preserve"> un fuerte sentimiento de implicación frente a la inundación,</w:t>
      </w:r>
      <w:r w:rsidR="00E50911">
        <w:rPr>
          <w:rFonts w:ascii="Times New Roman" w:hAnsi="Times New Roman" w:cs="Times New Roman"/>
          <w:sz w:val="24"/>
          <w:szCs w:val="24"/>
        </w:rPr>
        <w:t xml:space="preserve"> </w:t>
      </w:r>
      <w:r w:rsidR="006206C1">
        <w:rPr>
          <w:rFonts w:ascii="Times New Roman" w:hAnsi="Times New Roman" w:cs="Times New Roman"/>
          <w:sz w:val="24"/>
          <w:szCs w:val="24"/>
        </w:rPr>
        <w:t>que</w:t>
      </w:r>
      <w:r w:rsidR="001D0720">
        <w:rPr>
          <w:rFonts w:ascii="Times New Roman" w:hAnsi="Times New Roman" w:cs="Times New Roman"/>
          <w:sz w:val="24"/>
          <w:szCs w:val="24"/>
        </w:rPr>
        <w:t xml:space="preserve"> sentirse concernido por </w:t>
      </w:r>
      <w:r>
        <w:rPr>
          <w:rFonts w:ascii="Times New Roman" w:hAnsi="Times New Roman" w:cs="Times New Roman"/>
          <w:sz w:val="24"/>
          <w:szCs w:val="24"/>
        </w:rPr>
        <w:t xml:space="preserve">la </w:t>
      </w:r>
      <w:r w:rsidR="001D0720">
        <w:rPr>
          <w:rFonts w:ascii="Times New Roman" w:hAnsi="Times New Roman" w:cs="Times New Roman"/>
          <w:sz w:val="24"/>
          <w:szCs w:val="24"/>
        </w:rPr>
        <w:t xml:space="preserve">amenaza podría explicar la </w:t>
      </w:r>
      <w:r>
        <w:rPr>
          <w:rFonts w:ascii="Times New Roman" w:hAnsi="Times New Roman" w:cs="Times New Roman"/>
          <w:sz w:val="24"/>
          <w:szCs w:val="24"/>
        </w:rPr>
        <w:t>puesta en marcha de estrategias de afrontamiento</w:t>
      </w:r>
      <w:r w:rsidR="001D0720">
        <w:rPr>
          <w:rFonts w:ascii="Times New Roman" w:hAnsi="Times New Roman" w:cs="Times New Roman"/>
          <w:sz w:val="24"/>
          <w:szCs w:val="24"/>
        </w:rPr>
        <w:t>,</w:t>
      </w:r>
      <w:r w:rsidR="00E50911">
        <w:rPr>
          <w:rFonts w:ascii="Times New Roman" w:hAnsi="Times New Roman" w:cs="Times New Roman"/>
          <w:sz w:val="24"/>
          <w:szCs w:val="24"/>
        </w:rPr>
        <w:t xml:space="preserve"> </w:t>
      </w:r>
      <w:r w:rsidR="001D0720">
        <w:rPr>
          <w:rFonts w:ascii="Times New Roman" w:hAnsi="Times New Roman" w:cs="Times New Roman"/>
          <w:sz w:val="24"/>
          <w:szCs w:val="24"/>
        </w:rPr>
        <w:t xml:space="preserve">especialmente </w:t>
      </w:r>
      <w:r>
        <w:rPr>
          <w:rFonts w:ascii="Times New Roman" w:hAnsi="Times New Roman" w:cs="Times New Roman"/>
          <w:sz w:val="24"/>
          <w:szCs w:val="24"/>
        </w:rPr>
        <w:t>activas</w:t>
      </w:r>
      <w:r w:rsidR="001D0720">
        <w:rPr>
          <w:rFonts w:ascii="Times New Roman" w:hAnsi="Times New Roman" w:cs="Times New Roman"/>
          <w:sz w:val="24"/>
          <w:szCs w:val="24"/>
        </w:rPr>
        <w:t>,</w:t>
      </w:r>
      <w:r>
        <w:rPr>
          <w:rFonts w:ascii="Times New Roman" w:hAnsi="Times New Roman" w:cs="Times New Roman"/>
          <w:sz w:val="24"/>
          <w:szCs w:val="24"/>
        </w:rPr>
        <w:t xml:space="preserve"> que buscan manejar cognitiva</w:t>
      </w:r>
      <w:r w:rsidR="004B7A44">
        <w:rPr>
          <w:rFonts w:ascii="Times New Roman" w:hAnsi="Times New Roman" w:cs="Times New Roman"/>
          <w:sz w:val="24"/>
          <w:szCs w:val="24"/>
        </w:rPr>
        <w:t xml:space="preserve"> y emocionalmente la situación</w:t>
      </w:r>
      <w:r w:rsidR="001D0720">
        <w:rPr>
          <w:rFonts w:ascii="Times New Roman" w:hAnsi="Times New Roman" w:cs="Times New Roman"/>
          <w:sz w:val="24"/>
          <w:szCs w:val="24"/>
        </w:rPr>
        <w:t xml:space="preserve"> amenazante. Estos resultados justifican los análisis de regresión</w:t>
      </w:r>
      <w:r w:rsidR="007D3202">
        <w:rPr>
          <w:rFonts w:ascii="Times New Roman" w:hAnsi="Times New Roman" w:cs="Times New Roman"/>
          <w:sz w:val="24"/>
          <w:szCs w:val="24"/>
        </w:rPr>
        <w:t xml:space="preserve"> y mediación </w:t>
      </w:r>
      <w:r w:rsidR="001D0720">
        <w:rPr>
          <w:rFonts w:ascii="Times New Roman" w:hAnsi="Times New Roman" w:cs="Times New Roman"/>
          <w:sz w:val="24"/>
          <w:szCs w:val="24"/>
        </w:rPr>
        <w:t>que permitirán probar la Hipótesis 2 (</w:t>
      </w:r>
      <w:r w:rsidR="00383E3F">
        <w:rPr>
          <w:rFonts w:ascii="Times New Roman" w:hAnsi="Times New Roman" w:cs="Times New Roman"/>
          <w:sz w:val="24"/>
          <w:szCs w:val="24"/>
        </w:rPr>
        <w:t>ver grá</w:t>
      </w:r>
      <w:r w:rsidR="009B3411">
        <w:rPr>
          <w:rFonts w:ascii="Times New Roman" w:hAnsi="Times New Roman" w:cs="Times New Roman"/>
          <w:sz w:val="24"/>
          <w:szCs w:val="24"/>
        </w:rPr>
        <w:t>fico 1</w:t>
      </w:r>
      <w:r w:rsidR="001D0720">
        <w:rPr>
          <w:rFonts w:ascii="Times New Roman" w:hAnsi="Times New Roman" w:cs="Times New Roman"/>
          <w:sz w:val="24"/>
          <w:szCs w:val="24"/>
        </w:rPr>
        <w:t>).</w:t>
      </w:r>
      <w:r w:rsidR="009B3411" w:rsidRPr="009B3411">
        <w:rPr>
          <w:rFonts w:ascii="Times New Roman" w:hAnsi="Times New Roman" w:cs="Times New Roman"/>
          <w:sz w:val="24"/>
          <w:szCs w:val="24"/>
          <w:lang w:val="es-ES"/>
        </w:rPr>
        <w:t xml:space="preserve"> Un análisis de la mediación se llevó a cabo con el fin de analizar el papel mediador de la IP en la relación entre la PRI y AF-Activo.</w:t>
      </w:r>
    </w:p>
    <w:p w14:paraId="6C4AFEE9" w14:textId="77777777" w:rsidR="00E50911" w:rsidRDefault="00E50911" w:rsidP="006965C4">
      <w:pPr>
        <w:pStyle w:val="Cuerpo"/>
        <w:spacing w:after="0" w:line="240" w:lineRule="auto"/>
        <w:ind w:firstLine="709"/>
        <w:rPr>
          <w:rFonts w:ascii="Times New Roman" w:hAnsi="Times New Roman" w:cs="Times New Roman"/>
          <w:sz w:val="24"/>
          <w:szCs w:val="24"/>
        </w:rPr>
      </w:pPr>
    </w:p>
    <w:p w14:paraId="142234AC" w14:textId="77777777" w:rsidR="001D0720" w:rsidRDefault="00E50911" w:rsidP="006965C4">
      <w:pPr>
        <w:pStyle w:val="Cuerpo"/>
        <w:spacing w:after="0" w:line="240" w:lineRule="auto"/>
        <w:jc w:val="center"/>
        <w:rPr>
          <w:rFonts w:ascii="Times New Roman" w:hAnsi="Times New Roman" w:cs="Times New Roman"/>
          <w:sz w:val="24"/>
          <w:szCs w:val="24"/>
        </w:rPr>
      </w:pPr>
      <w:r w:rsidRPr="00E50911">
        <w:rPr>
          <w:rFonts w:ascii="Times New Roman" w:hAnsi="Times New Roman" w:cs="Times New Roman"/>
          <w:noProof/>
          <w:sz w:val="24"/>
          <w:szCs w:val="24"/>
          <w:lang w:val="fr-FR" w:eastAsia="fr-FR"/>
        </w:rPr>
        <w:drawing>
          <wp:inline distT="0" distB="0" distL="0" distR="0" wp14:anchorId="1FF776C2" wp14:editId="7393B58F">
            <wp:extent cx="3971925" cy="1162050"/>
            <wp:effectExtent l="19050" t="0" r="0" b="0"/>
            <wp:docPr id="3"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24851" cy="2832100"/>
                      <a:chOff x="2019300" y="2195514"/>
                      <a:chExt cx="8324851" cy="2832100"/>
                    </a:xfrm>
                  </a:grpSpPr>
                  <a:sp>
                    <a:nvSpPr>
                      <a:cNvPr id="4" name="Text Box 6"/>
                      <a:cNvSpPr txBox="1">
                        <a:spLocks noChangeArrowheads="1"/>
                      </a:cNvSpPr>
                    </a:nvSpPr>
                    <a:spPr bwMode="auto">
                      <a:xfrm>
                        <a:off x="5303839" y="4197351"/>
                        <a:ext cx="1855787" cy="830263"/>
                      </a:xfrm>
                      <a:prstGeom prst="rect">
                        <a:avLst/>
                      </a:prstGeom>
                      <a:solidFill>
                        <a:srgbClr val="FFFFFF"/>
                      </a:solidFill>
                      <a:ln w="38100">
                        <a:solidFill>
                          <a:schemeClr val="tx1"/>
                        </a:solidFill>
                        <a:miter lim="800000"/>
                        <a:headEnd/>
                        <a:tailEnd/>
                      </a:ln>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x-none" altLang="zh-CN" sz="2400" b="1">
                              <a:ea typeface="SimSun" panose="02010600030101010101" pitchFamily="2" charset="-122"/>
                            </a:rPr>
                            <a:t>Implicación personal</a:t>
                          </a:r>
                          <a:endParaRPr lang="x-none" altLang="x-none" sz="2400" b="1" u="sng"/>
                        </a:p>
                      </a:txBody>
                      <a:useSpRect/>
                    </a:txSp>
                  </a:sp>
                  <a:sp>
                    <a:nvSpPr>
                      <a:cNvPr id="5" name="Text Box 7"/>
                      <a:cNvSpPr txBox="1">
                        <a:spLocks noChangeArrowheads="1"/>
                      </a:cNvSpPr>
                    </a:nvSpPr>
                    <a:spPr bwMode="auto">
                      <a:xfrm>
                        <a:off x="8183564" y="3148014"/>
                        <a:ext cx="2160587" cy="830997"/>
                      </a:xfrm>
                      <a:prstGeom prst="rect">
                        <a:avLst/>
                      </a:prstGeom>
                      <a:solidFill>
                        <a:srgbClr val="FFFFFF"/>
                      </a:solidFill>
                      <a:ln w="38100">
                        <a:solidFill>
                          <a:schemeClr val="tx1"/>
                        </a:solidFill>
                        <a:miter lim="800000"/>
                        <a:headEnd/>
                        <a:tailEnd/>
                      </a:ln>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t-PT" altLang="zh-CN" sz="2400" b="1" dirty="0">
                              <a:ea typeface="SimSun" panose="02010600030101010101" pitchFamily="2" charset="-122"/>
                            </a:rPr>
                            <a:t>Afrontamiento Activo</a:t>
                          </a:r>
                          <a:endParaRPr lang="en-US" altLang="x-none" sz="2400" b="1" dirty="0">
                            <a:ea typeface="SimSun" panose="02010600030101010101" pitchFamily="2" charset="-122"/>
                          </a:endParaRPr>
                        </a:p>
                      </a:txBody>
                      <a:useSpRect/>
                    </a:txSp>
                  </a:sp>
                  <a:sp>
                    <a:nvSpPr>
                      <a:cNvPr id="6" name="Line 8"/>
                      <a:cNvSpPr>
                        <a:spLocks noChangeShapeType="1"/>
                      </a:cNvSpPr>
                    </a:nvSpPr>
                    <a:spPr bwMode="auto">
                      <a:xfrm>
                        <a:off x="3648076" y="3765551"/>
                        <a:ext cx="1655763" cy="936625"/>
                      </a:xfrm>
                      <a:prstGeom prst="line">
                        <a:avLst/>
                      </a:prstGeom>
                      <a:noFill/>
                      <a:ln w="254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sp>
                    <a:nvSpPr>
                      <a:cNvPr id="7" name="Line 9"/>
                      <a:cNvSpPr>
                        <a:spLocks noChangeShapeType="1"/>
                      </a:cNvSpPr>
                    </a:nvSpPr>
                    <a:spPr bwMode="auto">
                      <a:xfrm flipV="1">
                        <a:off x="4440238" y="3402623"/>
                        <a:ext cx="3719024" cy="2565"/>
                      </a:xfrm>
                      <a:prstGeom prst="line">
                        <a:avLst/>
                      </a:prstGeom>
                      <a:noFill/>
                      <a:ln w="25400">
                        <a:solidFill>
                          <a:schemeClr val="tx1"/>
                        </a:solidFill>
                        <a:prstDash val="sys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sp>
                    <a:nvSpPr>
                      <a:cNvPr id="8" name="Line 10"/>
                      <a:cNvSpPr>
                        <a:spLocks noChangeShapeType="1"/>
                      </a:cNvSpPr>
                    </a:nvSpPr>
                    <a:spPr bwMode="auto">
                      <a:xfrm flipV="1">
                        <a:off x="7177088" y="3982915"/>
                        <a:ext cx="1632804" cy="719260"/>
                      </a:xfrm>
                      <a:prstGeom prst="line">
                        <a:avLst/>
                      </a:prstGeom>
                      <a:noFill/>
                      <a:ln w="254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grpSp>
                    <a:nvGrpSpPr>
                      <a:cNvPr id="10" name="Group 26"/>
                      <a:cNvGrpSpPr>
                        <a:grpSpLocks/>
                      </a:cNvGrpSpPr>
                    </a:nvGrpSpPr>
                    <a:grpSpPr bwMode="auto">
                      <a:xfrm>
                        <a:off x="3648076" y="2565401"/>
                        <a:ext cx="5400675" cy="576263"/>
                        <a:chOff x="1338" y="2069"/>
                        <a:chExt cx="3402" cy="363"/>
                      </a:xfrm>
                    </a:grpSpPr>
                    <a:sp>
                      <a:nvSpPr>
                        <a:cNvPr id="35857" name="Line 13"/>
                        <a:cNvSpPr>
                          <a:spLocks noChangeShapeType="1"/>
                        </a:cNvSpPr>
                      </a:nvSpPr>
                      <a:spPr bwMode="auto">
                        <a:xfrm flipV="1">
                          <a:off x="1338" y="2069"/>
                          <a:ext cx="0" cy="272"/>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sp>
                      <a:nvSpPr>
                        <a:cNvPr id="35858" name="Line 14"/>
                        <a:cNvSpPr>
                          <a:spLocks noChangeShapeType="1"/>
                        </a:cNvSpPr>
                      </a:nvSpPr>
                      <a:spPr bwMode="auto">
                        <a:xfrm>
                          <a:off x="1338" y="2069"/>
                          <a:ext cx="3402"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sp>
                      <a:nvSpPr>
                        <a:cNvPr id="35859" name="Line 15"/>
                        <a:cNvSpPr>
                          <a:spLocks noChangeShapeType="1"/>
                        </a:cNvSpPr>
                      </a:nvSpPr>
                      <a:spPr bwMode="auto">
                        <a:xfrm>
                          <a:off x="4740" y="2069"/>
                          <a:ext cx="0" cy="363"/>
                        </a:xfrm>
                        <a:prstGeom prst="line">
                          <a:avLst/>
                        </a:prstGeom>
                        <a:noFill/>
                        <a:ln w="254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grpSp>
                  <a:sp>
                    <a:nvSpPr>
                      <a:cNvPr id="22" name="Text Box 22"/>
                      <a:cNvSpPr txBox="1">
                        <a:spLocks noChangeArrowheads="1"/>
                      </a:cNvSpPr>
                    </a:nvSpPr>
                    <a:spPr bwMode="auto">
                      <a:xfrm>
                        <a:off x="2019300" y="2997201"/>
                        <a:ext cx="2420938" cy="936625"/>
                      </a:xfrm>
                      <a:prstGeom prst="rect">
                        <a:avLst/>
                      </a:prstGeom>
                      <a:solidFill>
                        <a:srgbClr val="FFFFFF"/>
                      </a:solidFill>
                      <a:ln w="38100">
                        <a:solidFill>
                          <a:schemeClr val="tx1"/>
                        </a:solidFill>
                        <a:miter lim="800000"/>
                        <a:headEnd/>
                        <a:tailEnd/>
                      </a:ln>
                    </a:spPr>
                    <a:txSp>
                      <a:txBody>
                        <a:bodyPr wrap="none"/>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x-none" altLang="x-none" sz="2400" b="1" dirty="0" smtClean="0">
                              <a:ea typeface="SimSun" panose="02010600030101010101" pitchFamily="2" charset="-122"/>
                            </a:rPr>
                            <a:t>PR </a:t>
                          </a:r>
                          <a:r>
                            <a:rPr lang="x-none" altLang="x-none" sz="2400" b="1" dirty="0">
                              <a:ea typeface="SimSun" panose="02010600030101010101" pitchFamily="2" charset="-122"/>
                            </a:rPr>
                            <a:t>inundación</a:t>
                          </a:r>
                          <a:endParaRPr lang="x-none" altLang="x-none" sz="2400" b="1" dirty="0"/>
                        </a:p>
                      </a:txBody>
                      <a:useSpRect/>
                    </a:txSp>
                  </a:sp>
                  <a:sp>
                    <a:nvSpPr>
                      <a:cNvPr id="35850" name="ZoneTexte 22"/>
                      <a:cNvSpPr txBox="1">
                        <a:spLocks noChangeArrowheads="1"/>
                      </a:cNvSpPr>
                    </a:nvSpPr>
                    <a:spPr bwMode="auto">
                      <a:xfrm>
                        <a:off x="3910014" y="4278313"/>
                        <a:ext cx="935037"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altLang="x-none" dirty="0"/>
                            <a:t>.</a:t>
                          </a:r>
                          <a:r>
                            <a:rPr lang="fr-FR" altLang="x-none" dirty="0" smtClean="0"/>
                            <a:t>72**</a:t>
                          </a:r>
                          <a:endParaRPr lang="x-none" altLang="x-none" dirty="0"/>
                        </a:p>
                      </a:txBody>
                      <a:useSpRect/>
                    </a:txSp>
                  </a:sp>
                  <a:sp>
                    <a:nvSpPr>
                      <a:cNvPr id="35851" name="ZoneTexte 23"/>
                      <a:cNvSpPr txBox="1">
                        <a:spLocks noChangeArrowheads="1"/>
                      </a:cNvSpPr>
                    </a:nvSpPr>
                    <a:spPr bwMode="auto">
                      <a:xfrm>
                        <a:off x="5634039" y="2195514"/>
                        <a:ext cx="936625" cy="369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altLang="x-none" dirty="0" smtClean="0"/>
                            <a:t>.54**</a:t>
                          </a:r>
                          <a:endParaRPr lang="x-none" altLang="x-none" dirty="0"/>
                        </a:p>
                      </a:txBody>
                      <a:useSpRect/>
                    </a:txSp>
                  </a:sp>
                  <a:sp>
                    <a:nvSpPr>
                      <a:cNvPr id="35852" name="ZoneTexte 24"/>
                      <a:cNvSpPr txBox="1">
                        <a:spLocks noChangeArrowheads="1"/>
                      </a:cNvSpPr>
                    </a:nvSpPr>
                    <a:spPr bwMode="auto">
                      <a:xfrm>
                        <a:off x="5614989" y="3059114"/>
                        <a:ext cx="935037" cy="369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altLang="x-none" dirty="0" smtClean="0"/>
                            <a:t>(.031)</a:t>
                          </a:r>
                          <a:endParaRPr lang="x-none" altLang="x-none" dirty="0"/>
                        </a:p>
                      </a:txBody>
                      <a:useSpRect/>
                    </a:txSp>
                  </a:sp>
                  <a:sp>
                    <a:nvSpPr>
                      <a:cNvPr id="35853" name="ZoneTexte 25"/>
                      <a:cNvSpPr txBox="1">
                        <a:spLocks noChangeArrowheads="1"/>
                      </a:cNvSpPr>
                    </a:nvSpPr>
                    <a:spPr bwMode="auto">
                      <a:xfrm>
                        <a:off x="7862401" y="4276481"/>
                        <a:ext cx="935037"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altLang="x-none" dirty="0" smtClean="0"/>
                            <a:t>(.69)**</a:t>
                          </a:r>
                          <a:endParaRPr lang="x-none" altLang="x-none" dirty="0"/>
                        </a:p>
                      </a:txBody>
                      <a:useSpRect/>
                    </a:txSp>
                  </a:sp>
                </lc:lockedCanvas>
              </a:graphicData>
            </a:graphic>
          </wp:inline>
        </w:drawing>
      </w:r>
    </w:p>
    <w:p w14:paraId="7F4B600E" w14:textId="77777777" w:rsidR="00587587" w:rsidRPr="00587587" w:rsidRDefault="00587587" w:rsidP="006965C4">
      <w:pPr>
        <w:pStyle w:val="Cuerpo"/>
        <w:spacing w:after="0" w:line="240" w:lineRule="auto"/>
        <w:rPr>
          <w:rFonts w:ascii="Times New Roman" w:hAnsi="Times New Roman" w:cs="Times New Roman"/>
          <w:sz w:val="20"/>
          <w:szCs w:val="20"/>
          <w:lang w:val="es-ES"/>
        </w:rPr>
      </w:pPr>
      <w:r w:rsidRPr="00587587">
        <w:rPr>
          <w:rFonts w:ascii="Times New Roman" w:hAnsi="Times New Roman" w:cs="Times New Roman"/>
          <w:sz w:val="20"/>
          <w:szCs w:val="20"/>
          <w:lang w:val="es-ES"/>
        </w:rPr>
        <w:t xml:space="preserve">Nota: * </w:t>
      </w:r>
      <w:r w:rsidRPr="00587587">
        <w:rPr>
          <w:rFonts w:ascii="Times New Roman" w:hAnsi="Times New Roman" w:cs="Times New Roman"/>
          <w:i/>
          <w:sz w:val="20"/>
          <w:szCs w:val="20"/>
          <w:lang w:val="es-ES"/>
        </w:rPr>
        <w:t>p &lt;.0</w:t>
      </w:r>
      <w:r>
        <w:rPr>
          <w:rFonts w:ascii="Times New Roman" w:hAnsi="Times New Roman" w:cs="Times New Roman"/>
          <w:i/>
          <w:sz w:val="20"/>
          <w:szCs w:val="20"/>
          <w:lang w:val="es-ES"/>
        </w:rPr>
        <w:t>1</w:t>
      </w:r>
      <w:r w:rsidRPr="00587587">
        <w:rPr>
          <w:rFonts w:ascii="Times New Roman" w:hAnsi="Times New Roman" w:cs="Times New Roman"/>
          <w:sz w:val="20"/>
          <w:szCs w:val="20"/>
          <w:lang w:val="es-ES"/>
        </w:rPr>
        <w:t xml:space="preserve">, ** </w:t>
      </w:r>
      <w:r w:rsidRPr="00587587">
        <w:rPr>
          <w:rFonts w:ascii="Times New Roman" w:hAnsi="Times New Roman" w:cs="Times New Roman"/>
          <w:i/>
          <w:sz w:val="20"/>
          <w:szCs w:val="20"/>
          <w:lang w:val="es-ES"/>
        </w:rPr>
        <w:t>p &lt;</w:t>
      </w:r>
      <w:r>
        <w:rPr>
          <w:rFonts w:ascii="Times New Roman" w:hAnsi="Times New Roman" w:cs="Times New Roman"/>
          <w:i/>
          <w:sz w:val="20"/>
          <w:szCs w:val="20"/>
          <w:lang w:val="es-ES"/>
        </w:rPr>
        <w:t>.</w:t>
      </w:r>
      <w:r w:rsidRPr="00587587">
        <w:rPr>
          <w:rFonts w:ascii="Times New Roman" w:hAnsi="Times New Roman" w:cs="Times New Roman"/>
          <w:i/>
          <w:sz w:val="20"/>
          <w:szCs w:val="20"/>
          <w:lang w:val="es-ES"/>
        </w:rPr>
        <w:t>001</w:t>
      </w:r>
      <w:r w:rsidRPr="00587587">
        <w:rPr>
          <w:rFonts w:ascii="Times New Roman" w:hAnsi="Times New Roman" w:cs="Times New Roman"/>
          <w:sz w:val="20"/>
          <w:szCs w:val="20"/>
          <w:lang w:val="es-ES"/>
        </w:rPr>
        <w:t>; Se muestran los valores de beta; Los valores beta entre paréntesis indican el control del efecto de la otra variable</w:t>
      </w:r>
    </w:p>
    <w:p w14:paraId="09B0F46C" w14:textId="77777777" w:rsidR="009B3411" w:rsidRDefault="009B3411" w:rsidP="006965C4">
      <w:pPr>
        <w:pStyle w:val="Cuerpo"/>
        <w:spacing w:after="0" w:line="240" w:lineRule="auto"/>
        <w:jc w:val="center"/>
        <w:rPr>
          <w:rFonts w:ascii="Times New Roman" w:hAnsi="Times New Roman" w:cs="Times New Roman"/>
          <w:sz w:val="24"/>
          <w:szCs w:val="24"/>
        </w:rPr>
      </w:pPr>
    </w:p>
    <w:p w14:paraId="649D861C" w14:textId="77777777" w:rsidR="006206C1" w:rsidRDefault="00C875CF" w:rsidP="006965C4">
      <w:pPr>
        <w:pStyle w:val="Cuerpo"/>
        <w:spacing w:after="0" w:line="240" w:lineRule="auto"/>
        <w:jc w:val="center"/>
        <w:rPr>
          <w:rFonts w:ascii="Times New Roman" w:hAnsi="Times New Roman" w:cs="Times New Roman"/>
          <w:sz w:val="24"/>
          <w:szCs w:val="24"/>
        </w:rPr>
      </w:pPr>
      <w:r>
        <w:rPr>
          <w:rFonts w:ascii="Times New Roman" w:hAnsi="Times New Roman" w:cs="Times New Roman"/>
          <w:sz w:val="24"/>
          <w:szCs w:val="24"/>
        </w:rPr>
        <w:t>Grá</w:t>
      </w:r>
      <w:r w:rsidR="006206C1">
        <w:rPr>
          <w:rFonts w:ascii="Times New Roman" w:hAnsi="Times New Roman" w:cs="Times New Roman"/>
          <w:sz w:val="24"/>
          <w:szCs w:val="24"/>
        </w:rPr>
        <w:t xml:space="preserve">fico1.- </w:t>
      </w:r>
      <w:r w:rsidR="00587587">
        <w:rPr>
          <w:rFonts w:ascii="Times New Roman" w:hAnsi="Times New Roman" w:cs="Times New Roman"/>
          <w:sz w:val="24"/>
          <w:szCs w:val="24"/>
        </w:rPr>
        <w:t>Resultados del análisis de la mediación de IP entre PRI y AF</w:t>
      </w:r>
    </w:p>
    <w:p w14:paraId="0A2EC6D4" w14:textId="77777777" w:rsidR="009B3411" w:rsidRDefault="009B3411" w:rsidP="006965C4">
      <w:pPr>
        <w:ind w:firstLine="708"/>
        <w:rPr>
          <w:lang w:val="es-ES"/>
        </w:rPr>
      </w:pPr>
    </w:p>
    <w:p w14:paraId="3F8E60A6" w14:textId="77777777" w:rsidR="007D3202" w:rsidRPr="009B3411" w:rsidRDefault="007D3202" w:rsidP="006965C4">
      <w:pPr>
        <w:ind w:firstLine="708"/>
        <w:rPr>
          <w:lang w:val="es-ES"/>
        </w:rPr>
      </w:pPr>
      <w:r w:rsidRPr="009B3411">
        <w:rPr>
          <w:lang w:val="es-ES"/>
        </w:rPr>
        <w:t>Se cumplieron los tres primeros criterios de mediación</w:t>
      </w:r>
      <w:r w:rsidR="009B3411">
        <w:rPr>
          <w:lang w:val="es-ES"/>
        </w:rPr>
        <w:t>:</w:t>
      </w:r>
      <w:r w:rsidRPr="009B3411">
        <w:rPr>
          <w:lang w:val="es-ES"/>
        </w:rPr>
        <w:t xml:space="preserve"> la PRI está significativamente relacionad</w:t>
      </w:r>
      <w:r w:rsidR="00991018">
        <w:rPr>
          <w:lang w:val="es-ES"/>
        </w:rPr>
        <w:t>a</w:t>
      </w:r>
      <w:r w:rsidRPr="009B3411">
        <w:rPr>
          <w:lang w:val="es-ES"/>
        </w:rPr>
        <w:t xml:space="preserve"> con AF-Activo (</w:t>
      </w:r>
      <w:r w:rsidRPr="009B3411">
        <w:t>β</w:t>
      </w:r>
      <w:r w:rsidRPr="009B3411">
        <w:rPr>
          <w:lang w:val="es-ES"/>
        </w:rPr>
        <w:t xml:space="preserve"> = .54, p &lt;.001) y con IP (</w:t>
      </w:r>
      <w:r w:rsidRPr="009B3411">
        <w:t>β</w:t>
      </w:r>
      <w:r w:rsidRPr="009B3411">
        <w:rPr>
          <w:lang w:val="es-ES"/>
        </w:rPr>
        <w:t xml:space="preserve"> = .</w:t>
      </w:r>
      <w:r w:rsidR="009B3411">
        <w:rPr>
          <w:lang w:val="es-ES"/>
        </w:rPr>
        <w:t>72</w:t>
      </w:r>
      <w:r w:rsidRPr="009B3411">
        <w:rPr>
          <w:lang w:val="es-ES"/>
        </w:rPr>
        <w:t>, p &lt;.001), y la IP explica significativamente AF-Activo cuando se controla la relación entre la PRI y AF-Activo (</w:t>
      </w:r>
      <w:r w:rsidRPr="009B3411">
        <w:t>β</w:t>
      </w:r>
      <w:r w:rsidRPr="009B3411">
        <w:rPr>
          <w:lang w:val="es-ES"/>
        </w:rPr>
        <w:t xml:space="preserve"> = .69, p &lt;.001). Cuando la relación entre la IP y el AF-Activo se controla, el efecto de la PRI sobre AF-Activo no es significativo (</w:t>
      </w:r>
      <w:r w:rsidR="009B3411" w:rsidRPr="009B3411">
        <w:t>β</w:t>
      </w:r>
      <w:r w:rsidR="009B3411" w:rsidRPr="009B3411">
        <w:rPr>
          <w:lang w:val="es-ES"/>
        </w:rPr>
        <w:t xml:space="preserve"> =</w:t>
      </w:r>
      <w:r w:rsidR="009B3411">
        <w:rPr>
          <w:lang w:val="es-ES"/>
        </w:rPr>
        <w:t xml:space="preserve"> .031, p &gt;.</w:t>
      </w:r>
      <w:r w:rsidRPr="009B3411">
        <w:rPr>
          <w:lang w:val="es-ES"/>
        </w:rPr>
        <w:t xml:space="preserve">05). Los resultados del test de Sobel indican que el </w:t>
      </w:r>
      <w:r w:rsidRPr="009B3411">
        <w:rPr>
          <w:lang w:val="es-ES"/>
        </w:rPr>
        <w:lastRenderedPageBreak/>
        <w:t xml:space="preserve">efecto de la PRI sobre AF-Activo cuando se controla la IP es estadísticamente más bajo que el efecto directo de la PRI sobre </w:t>
      </w:r>
      <w:r w:rsidR="009B3411">
        <w:rPr>
          <w:lang w:val="es-ES"/>
        </w:rPr>
        <w:t>AF-</w:t>
      </w:r>
      <w:r w:rsidRPr="009B3411">
        <w:rPr>
          <w:lang w:val="es-ES"/>
        </w:rPr>
        <w:t>Activo, lo que permite concluir que la relación entre la PRI y AF-Activo está totalmente mediada por la IP (z = -7</w:t>
      </w:r>
      <w:r w:rsidRPr="00521919">
        <w:rPr>
          <w:lang w:val="es-ES"/>
        </w:rPr>
        <w:t>,719729, Std</w:t>
      </w:r>
      <w:r w:rsidRPr="009B3411">
        <w:rPr>
          <w:lang w:val="es-ES"/>
        </w:rPr>
        <w:t>.</w:t>
      </w:r>
      <w:r w:rsidR="00C875CF">
        <w:rPr>
          <w:lang w:val="es-ES"/>
        </w:rPr>
        <w:t xml:space="preserve"> </w:t>
      </w:r>
      <w:r w:rsidRPr="00521919">
        <w:rPr>
          <w:lang w:val="es-ES"/>
        </w:rPr>
        <w:t>Error=0,1021;</w:t>
      </w:r>
      <w:r w:rsidRPr="009B3411">
        <w:rPr>
          <w:lang w:val="es-ES"/>
        </w:rPr>
        <w:t xml:space="preserve"> p&lt;.001; </w:t>
      </w:r>
      <w:r w:rsidRPr="009B3411">
        <w:rPr>
          <w:rFonts w:eastAsiaTheme="minorHAnsi"/>
          <w:lang w:val="pt-PT"/>
        </w:rPr>
        <w:t>R</w:t>
      </w:r>
      <w:r w:rsidRPr="009B3411">
        <w:rPr>
          <w:rFonts w:eastAsiaTheme="minorHAnsi"/>
          <w:vertAlign w:val="superscript"/>
          <w:lang w:val="pt-PT"/>
        </w:rPr>
        <w:t xml:space="preserve">2 </w:t>
      </w:r>
      <w:r w:rsidRPr="009B3411">
        <w:rPr>
          <w:rFonts w:eastAsiaTheme="minorHAnsi"/>
          <w:lang w:val="pt-PT"/>
        </w:rPr>
        <w:t>variable Cri</w:t>
      </w:r>
      <w:r w:rsidR="00EC53B1">
        <w:rPr>
          <w:lang w:val="pt-PT"/>
        </w:rPr>
        <w:t>te</w:t>
      </w:r>
      <w:r w:rsidRPr="009B3411">
        <w:rPr>
          <w:lang w:val="pt-PT"/>
        </w:rPr>
        <w:t>rio sobre variable Predictora = 29%; R</w:t>
      </w:r>
      <w:r w:rsidRPr="009B3411">
        <w:rPr>
          <w:vertAlign w:val="superscript"/>
          <w:lang w:val="pt-PT"/>
        </w:rPr>
        <w:t>2</w:t>
      </w:r>
      <w:r w:rsidRPr="009B3411">
        <w:rPr>
          <w:lang w:val="pt-PT"/>
        </w:rPr>
        <w:t xml:space="preserve"> modelo completo = 52%</w:t>
      </w:r>
      <w:r w:rsidRPr="009B3411">
        <w:rPr>
          <w:lang w:val="es-ES"/>
        </w:rPr>
        <w:t>)</w:t>
      </w:r>
      <w:r w:rsidR="009606FC">
        <w:rPr>
          <w:lang w:val="es-ES"/>
        </w:rPr>
        <w:t xml:space="preserve">, tal </w:t>
      </w:r>
      <w:r w:rsidR="00C24EEC">
        <w:rPr>
          <w:lang w:val="es-ES"/>
        </w:rPr>
        <w:t>y como estaba previsto en la H2</w:t>
      </w:r>
      <w:r w:rsidRPr="009B3411">
        <w:rPr>
          <w:lang w:val="es-ES"/>
        </w:rPr>
        <w:t>.</w:t>
      </w:r>
    </w:p>
    <w:p w14:paraId="541E8B88" w14:textId="77777777" w:rsidR="00B36CD8" w:rsidRPr="00CB7208" w:rsidRDefault="00C52220" w:rsidP="006965C4">
      <w:pPr>
        <w:pStyle w:val="Cuerpo"/>
        <w:spacing w:after="0" w:line="240" w:lineRule="auto"/>
        <w:rPr>
          <w:rFonts w:ascii="Times New Roman" w:eastAsia="Times New Roman Bold" w:hAnsi="Times New Roman" w:cs="Times New Roman"/>
          <w:b/>
          <w:sz w:val="24"/>
          <w:szCs w:val="24"/>
        </w:rPr>
      </w:pPr>
      <w:r w:rsidRPr="00CB7208">
        <w:rPr>
          <w:rFonts w:ascii="Times New Roman" w:hAnsi="Times New Roman" w:cs="Times New Roman"/>
          <w:b/>
          <w:sz w:val="24"/>
          <w:szCs w:val="24"/>
          <w:lang w:val="it-IT"/>
        </w:rPr>
        <w:t>Discus</w:t>
      </w:r>
      <w:r w:rsidR="00CB7208" w:rsidRPr="00CB7208">
        <w:rPr>
          <w:rFonts w:ascii="Times New Roman" w:hAnsi="Times New Roman" w:cs="Times New Roman"/>
          <w:b/>
          <w:sz w:val="24"/>
          <w:szCs w:val="24"/>
          <w:lang w:val="it-IT"/>
        </w:rPr>
        <w:t>ión</w:t>
      </w:r>
    </w:p>
    <w:p w14:paraId="32DBC855" w14:textId="77777777" w:rsidR="00630A82" w:rsidRDefault="00C52220" w:rsidP="006965C4">
      <w:pPr>
        <w:pStyle w:val="Cuerpo"/>
        <w:spacing w:after="0" w:line="240" w:lineRule="auto"/>
        <w:ind w:firstLine="709"/>
        <w:rPr>
          <w:rFonts w:ascii="Times New Roman" w:hAnsi="Times New Roman" w:cs="Times New Roman"/>
          <w:sz w:val="24"/>
          <w:szCs w:val="24"/>
          <w:lang w:val="es-ES"/>
        </w:rPr>
      </w:pPr>
      <w:r w:rsidRPr="00CB7208">
        <w:rPr>
          <w:rFonts w:ascii="Times New Roman" w:hAnsi="Times New Roman" w:cs="Times New Roman"/>
          <w:sz w:val="24"/>
          <w:szCs w:val="24"/>
        </w:rPr>
        <w:t xml:space="preserve">Los análisis sugieren </w:t>
      </w:r>
      <w:r w:rsidR="0008426F">
        <w:rPr>
          <w:rFonts w:ascii="Times New Roman" w:hAnsi="Times New Roman" w:cs="Times New Roman"/>
          <w:sz w:val="24"/>
          <w:szCs w:val="24"/>
        </w:rPr>
        <w:t xml:space="preserve">que existe </w:t>
      </w:r>
      <w:r w:rsidRPr="00CB7208">
        <w:rPr>
          <w:rFonts w:ascii="Times New Roman" w:hAnsi="Times New Roman" w:cs="Times New Roman"/>
          <w:sz w:val="24"/>
          <w:szCs w:val="24"/>
        </w:rPr>
        <w:t>un importante nivel de percepción del riesgo en los grupos exp</w:t>
      </w:r>
      <w:r w:rsidR="0008426F">
        <w:rPr>
          <w:rFonts w:ascii="Times New Roman" w:hAnsi="Times New Roman" w:cs="Times New Roman"/>
          <w:sz w:val="24"/>
          <w:szCs w:val="24"/>
        </w:rPr>
        <w:t>uestos</w:t>
      </w:r>
      <w:r w:rsidR="00B723DF">
        <w:rPr>
          <w:rFonts w:ascii="Times New Roman" w:hAnsi="Times New Roman" w:cs="Times New Roman"/>
          <w:sz w:val="24"/>
          <w:szCs w:val="24"/>
        </w:rPr>
        <w:t>,</w:t>
      </w:r>
      <w:r w:rsidR="00BF666C">
        <w:rPr>
          <w:rFonts w:ascii="Times New Roman" w:hAnsi="Times New Roman" w:cs="Times New Roman"/>
          <w:sz w:val="24"/>
          <w:szCs w:val="24"/>
        </w:rPr>
        <w:t xml:space="preserve"> especialmente en los que han experimentado una inundación (grupo 1),</w:t>
      </w:r>
      <w:r w:rsidR="00B723DF">
        <w:rPr>
          <w:rFonts w:ascii="Times New Roman" w:hAnsi="Times New Roman" w:cs="Times New Roman"/>
          <w:sz w:val="24"/>
          <w:szCs w:val="24"/>
        </w:rPr>
        <w:t xml:space="preserve"> comparativamente con los </w:t>
      </w:r>
      <w:r w:rsidR="00BF666C">
        <w:rPr>
          <w:rFonts w:ascii="Times New Roman" w:hAnsi="Times New Roman" w:cs="Times New Roman"/>
          <w:sz w:val="24"/>
          <w:szCs w:val="24"/>
        </w:rPr>
        <w:t>otros grupos</w:t>
      </w:r>
      <w:r w:rsidR="0008426F">
        <w:rPr>
          <w:rFonts w:ascii="Times New Roman" w:hAnsi="Times New Roman" w:cs="Times New Roman"/>
          <w:sz w:val="24"/>
          <w:szCs w:val="24"/>
        </w:rPr>
        <w:t xml:space="preserve">. Estas personas tienen </w:t>
      </w:r>
      <w:r w:rsidRPr="00CB7208">
        <w:rPr>
          <w:rFonts w:ascii="Times New Roman" w:hAnsi="Times New Roman" w:cs="Times New Roman"/>
          <w:sz w:val="24"/>
          <w:szCs w:val="24"/>
        </w:rPr>
        <w:t xml:space="preserve">una elevada valoración de la peligrosidad que encierra </w:t>
      </w:r>
      <w:r w:rsidR="0008426F">
        <w:rPr>
          <w:rFonts w:ascii="Times New Roman" w:hAnsi="Times New Roman" w:cs="Times New Roman"/>
          <w:sz w:val="24"/>
          <w:szCs w:val="24"/>
        </w:rPr>
        <w:t>la eventualidad</w:t>
      </w:r>
      <w:r w:rsidRPr="00CB7208">
        <w:rPr>
          <w:rFonts w:ascii="Times New Roman" w:hAnsi="Times New Roman" w:cs="Times New Roman"/>
          <w:sz w:val="24"/>
          <w:szCs w:val="24"/>
        </w:rPr>
        <w:t xml:space="preserve"> de </w:t>
      </w:r>
      <w:r w:rsidR="0008426F">
        <w:rPr>
          <w:rFonts w:ascii="Times New Roman" w:hAnsi="Times New Roman" w:cs="Times New Roman"/>
          <w:sz w:val="24"/>
          <w:szCs w:val="24"/>
        </w:rPr>
        <w:t xml:space="preserve">una </w:t>
      </w:r>
      <w:r w:rsidR="0050143F">
        <w:rPr>
          <w:rFonts w:ascii="Times New Roman" w:hAnsi="Times New Roman" w:cs="Times New Roman"/>
          <w:sz w:val="24"/>
          <w:szCs w:val="24"/>
        </w:rPr>
        <w:t xml:space="preserve">inundación y </w:t>
      </w:r>
      <w:r w:rsidRPr="00CB7208">
        <w:rPr>
          <w:rFonts w:ascii="Times New Roman" w:hAnsi="Times New Roman" w:cs="Times New Roman"/>
          <w:sz w:val="24"/>
          <w:szCs w:val="24"/>
        </w:rPr>
        <w:t>reconocen el riesgo de inundaci</w:t>
      </w:r>
      <w:r w:rsidR="00802F28">
        <w:rPr>
          <w:rFonts w:ascii="Times New Roman" w:hAnsi="Times New Roman" w:cs="Times New Roman"/>
          <w:sz w:val="24"/>
          <w:szCs w:val="24"/>
        </w:rPr>
        <w:t>ón como existente en la región</w:t>
      </w:r>
      <w:r w:rsidR="0050143F">
        <w:rPr>
          <w:rFonts w:ascii="Times New Roman" w:hAnsi="Times New Roman" w:cs="Times New Roman"/>
          <w:sz w:val="24"/>
          <w:szCs w:val="24"/>
        </w:rPr>
        <w:t>. C</w:t>
      </w:r>
      <w:r w:rsidR="009305DD">
        <w:rPr>
          <w:rFonts w:ascii="Times New Roman" w:hAnsi="Times New Roman" w:cs="Times New Roman"/>
          <w:sz w:val="24"/>
          <w:szCs w:val="24"/>
        </w:rPr>
        <w:t>onsideran tener</w:t>
      </w:r>
      <w:r w:rsidRPr="00CB7208">
        <w:rPr>
          <w:rFonts w:ascii="Times New Roman" w:hAnsi="Times New Roman" w:cs="Times New Roman"/>
          <w:sz w:val="24"/>
          <w:szCs w:val="24"/>
        </w:rPr>
        <w:t xml:space="preserve"> conocimiento del </w:t>
      </w:r>
      <w:r w:rsidR="004010BC">
        <w:rPr>
          <w:rFonts w:ascii="Times New Roman" w:hAnsi="Times New Roman" w:cs="Times New Roman"/>
          <w:sz w:val="24"/>
          <w:szCs w:val="24"/>
        </w:rPr>
        <w:t>riesgo</w:t>
      </w:r>
      <w:r w:rsidRPr="00CB7208">
        <w:rPr>
          <w:rFonts w:ascii="Times New Roman" w:hAnsi="Times New Roman" w:cs="Times New Roman"/>
          <w:sz w:val="24"/>
          <w:szCs w:val="24"/>
        </w:rPr>
        <w:t xml:space="preserve"> en términos de su posibilidad de preverlo</w:t>
      </w:r>
      <w:r w:rsidR="00802F28">
        <w:rPr>
          <w:rFonts w:ascii="Times New Roman" w:hAnsi="Times New Roman" w:cs="Times New Roman"/>
          <w:sz w:val="24"/>
          <w:szCs w:val="24"/>
        </w:rPr>
        <w:t xml:space="preserve"> y </w:t>
      </w:r>
      <w:r w:rsidRPr="00CB7208">
        <w:rPr>
          <w:rFonts w:ascii="Times New Roman" w:hAnsi="Times New Roman" w:cs="Times New Roman"/>
          <w:sz w:val="24"/>
          <w:szCs w:val="24"/>
          <w:lang w:val="it-IT"/>
        </w:rPr>
        <w:t>conf</w:t>
      </w:r>
      <w:r w:rsidR="00F60B8D">
        <w:rPr>
          <w:rFonts w:ascii="Times New Roman" w:hAnsi="Times New Roman" w:cs="Times New Roman"/>
          <w:sz w:val="24"/>
          <w:szCs w:val="24"/>
          <w:lang w:val="it-IT"/>
        </w:rPr>
        <w:t>ía</w:t>
      </w:r>
      <w:r w:rsidR="001F283C">
        <w:rPr>
          <w:rFonts w:ascii="Times New Roman" w:hAnsi="Times New Roman" w:cs="Times New Roman"/>
          <w:sz w:val="24"/>
          <w:szCs w:val="24"/>
          <w:lang w:val="it-IT"/>
        </w:rPr>
        <w:t>n</w:t>
      </w:r>
      <w:r w:rsidRPr="00CB7208">
        <w:rPr>
          <w:rFonts w:ascii="Times New Roman" w:hAnsi="Times New Roman" w:cs="Times New Roman"/>
          <w:sz w:val="24"/>
          <w:szCs w:val="24"/>
        </w:rPr>
        <w:t xml:space="preserve"> en el conocimiento que los expertos tienen </w:t>
      </w:r>
      <w:r w:rsidR="004010BC">
        <w:rPr>
          <w:rFonts w:ascii="Times New Roman" w:hAnsi="Times New Roman" w:cs="Times New Roman"/>
          <w:sz w:val="24"/>
          <w:szCs w:val="24"/>
        </w:rPr>
        <w:t>sobre el mismo</w:t>
      </w:r>
      <w:r w:rsidR="00C24EEC">
        <w:rPr>
          <w:rFonts w:ascii="Times New Roman" w:hAnsi="Times New Roman" w:cs="Times New Roman"/>
          <w:sz w:val="24"/>
          <w:szCs w:val="24"/>
        </w:rPr>
        <w:t xml:space="preserve"> </w:t>
      </w:r>
      <w:r w:rsidRPr="00CB7208">
        <w:rPr>
          <w:rFonts w:ascii="Times New Roman" w:hAnsi="Times New Roman" w:cs="Times New Roman"/>
          <w:sz w:val="24"/>
          <w:szCs w:val="24"/>
        </w:rPr>
        <w:t xml:space="preserve">y en la información que </w:t>
      </w:r>
      <w:r w:rsidR="0050143F" w:rsidRPr="00CB7208">
        <w:rPr>
          <w:rFonts w:ascii="Times New Roman" w:hAnsi="Times New Roman" w:cs="Times New Roman"/>
          <w:sz w:val="24"/>
          <w:szCs w:val="24"/>
        </w:rPr>
        <w:t>suministran</w:t>
      </w:r>
      <w:r w:rsidRPr="00CB7208">
        <w:rPr>
          <w:rFonts w:ascii="Times New Roman" w:hAnsi="Times New Roman" w:cs="Times New Roman"/>
          <w:sz w:val="24"/>
          <w:szCs w:val="24"/>
        </w:rPr>
        <w:t xml:space="preserve"> a la comunidad. </w:t>
      </w:r>
      <w:r w:rsidR="00802F28">
        <w:rPr>
          <w:rFonts w:ascii="Times New Roman" w:hAnsi="Times New Roman" w:cs="Times New Roman"/>
          <w:sz w:val="24"/>
          <w:szCs w:val="24"/>
        </w:rPr>
        <w:t xml:space="preserve">Este resultado </w:t>
      </w:r>
      <w:r w:rsidR="0054155A">
        <w:rPr>
          <w:rFonts w:ascii="Times New Roman" w:hAnsi="Times New Roman" w:cs="Times New Roman"/>
          <w:sz w:val="24"/>
          <w:szCs w:val="24"/>
        </w:rPr>
        <w:t>está</w:t>
      </w:r>
      <w:r w:rsidR="00802F28">
        <w:rPr>
          <w:rFonts w:ascii="Times New Roman" w:hAnsi="Times New Roman" w:cs="Times New Roman"/>
          <w:sz w:val="24"/>
          <w:szCs w:val="24"/>
        </w:rPr>
        <w:t xml:space="preserve"> acorde con los hallazgos del enfoque psicométrico </w:t>
      </w:r>
      <w:r w:rsidR="0054155A">
        <w:rPr>
          <w:rFonts w:ascii="Times New Roman" w:hAnsi="Times New Roman" w:cs="Times New Roman"/>
          <w:sz w:val="24"/>
          <w:szCs w:val="24"/>
        </w:rPr>
        <w:t xml:space="preserve">para </w:t>
      </w:r>
      <w:r w:rsidR="001F283C">
        <w:rPr>
          <w:rFonts w:ascii="Times New Roman" w:hAnsi="Times New Roman" w:cs="Times New Roman"/>
          <w:sz w:val="24"/>
          <w:szCs w:val="24"/>
        </w:rPr>
        <w:t xml:space="preserve">el cual </w:t>
      </w:r>
      <w:r w:rsidR="00D81F37">
        <w:rPr>
          <w:rFonts w:ascii="Times New Roman" w:hAnsi="Times New Roman" w:cs="Times New Roman"/>
          <w:sz w:val="24"/>
          <w:szCs w:val="24"/>
        </w:rPr>
        <w:t>la dimensión del temor ha sido considera</w:t>
      </w:r>
      <w:r w:rsidR="00C10E92">
        <w:rPr>
          <w:rFonts w:ascii="Times New Roman" w:hAnsi="Times New Roman" w:cs="Times New Roman"/>
          <w:sz w:val="24"/>
          <w:szCs w:val="24"/>
        </w:rPr>
        <w:t xml:space="preserve">da como la más predictiva de la percepción del riesgo </w:t>
      </w:r>
      <w:r w:rsidRPr="00CB7208">
        <w:rPr>
          <w:rFonts w:ascii="Times New Roman" w:hAnsi="Times New Roman" w:cs="Times New Roman"/>
          <w:sz w:val="24"/>
          <w:szCs w:val="24"/>
        </w:rPr>
        <w:t>(</w:t>
      </w:r>
      <w:r w:rsidR="001A0D3F">
        <w:rPr>
          <w:rFonts w:ascii="Times New Roman" w:hAnsi="Times New Roman" w:cs="Times New Roman"/>
          <w:sz w:val="24"/>
          <w:szCs w:val="24"/>
        </w:rPr>
        <w:t xml:space="preserve">Brun, 1992; </w:t>
      </w:r>
      <w:r w:rsidR="006B2AD8">
        <w:rPr>
          <w:rFonts w:ascii="Times New Roman" w:hAnsi="Times New Roman" w:cs="Times New Roman"/>
          <w:sz w:val="24"/>
          <w:szCs w:val="24"/>
        </w:rPr>
        <w:t>Mullet</w:t>
      </w:r>
      <w:r w:rsidR="00B1619B">
        <w:rPr>
          <w:rFonts w:ascii="Times New Roman" w:hAnsi="Times New Roman" w:cs="Times New Roman"/>
          <w:sz w:val="24"/>
          <w:szCs w:val="24"/>
        </w:rPr>
        <w:t xml:space="preserve">, </w:t>
      </w:r>
      <w:r w:rsidR="00B1619B" w:rsidRPr="00B1619B">
        <w:rPr>
          <w:rFonts w:ascii="Times New Roman" w:hAnsi="Times New Roman" w:cs="Times New Roman"/>
          <w:sz w:val="24"/>
          <w:szCs w:val="24"/>
        </w:rPr>
        <w:t>Duquesnoy, Raiff, Fahrasmane</w:t>
      </w:r>
      <w:r w:rsidR="00383E3F">
        <w:rPr>
          <w:rFonts w:ascii="Times New Roman" w:hAnsi="Times New Roman" w:cs="Times New Roman"/>
          <w:sz w:val="24"/>
          <w:szCs w:val="24"/>
        </w:rPr>
        <w:t xml:space="preserve"> </w:t>
      </w:r>
      <w:r w:rsidR="00AB0177">
        <w:rPr>
          <w:rFonts w:ascii="Times New Roman" w:hAnsi="Times New Roman" w:cs="Times New Roman"/>
          <w:sz w:val="24"/>
          <w:szCs w:val="24"/>
        </w:rPr>
        <w:t>&amp;</w:t>
      </w:r>
      <w:r w:rsidR="00B1619B" w:rsidRPr="00B1619B">
        <w:rPr>
          <w:rFonts w:ascii="Times New Roman" w:hAnsi="Times New Roman" w:cs="Times New Roman"/>
          <w:sz w:val="24"/>
          <w:szCs w:val="24"/>
        </w:rPr>
        <w:t xml:space="preserve"> Namur</w:t>
      </w:r>
      <w:r w:rsidR="006B2AD8">
        <w:rPr>
          <w:rFonts w:ascii="Times New Roman" w:hAnsi="Times New Roman" w:cs="Times New Roman"/>
          <w:sz w:val="24"/>
          <w:szCs w:val="24"/>
        </w:rPr>
        <w:t>, 1993</w:t>
      </w:r>
      <w:r w:rsidRPr="00CB7208">
        <w:rPr>
          <w:rFonts w:ascii="Times New Roman" w:hAnsi="Times New Roman" w:cs="Times New Roman"/>
          <w:sz w:val="24"/>
          <w:szCs w:val="24"/>
        </w:rPr>
        <w:t>).</w:t>
      </w:r>
      <w:r w:rsidR="0054155A">
        <w:rPr>
          <w:rFonts w:ascii="Times New Roman" w:hAnsi="Times New Roman" w:cs="Times New Roman"/>
          <w:sz w:val="24"/>
          <w:szCs w:val="24"/>
        </w:rPr>
        <w:t xml:space="preserve"> A</w:t>
      </w:r>
      <w:r w:rsidR="00CE0F42" w:rsidRPr="00F60B8D">
        <w:rPr>
          <w:rFonts w:ascii="Times New Roman" w:hAnsi="Times New Roman" w:cs="Times New Roman"/>
          <w:sz w:val="24"/>
          <w:szCs w:val="24"/>
        </w:rPr>
        <w:t xml:space="preserve">l igual que en poblaciones estudiadas en otras geografías y con características culturales diferentes, </w:t>
      </w:r>
      <w:r w:rsidR="0054155A" w:rsidRPr="00F60B8D">
        <w:rPr>
          <w:rFonts w:ascii="Times New Roman" w:hAnsi="Times New Roman" w:cs="Times New Roman"/>
          <w:sz w:val="24"/>
          <w:szCs w:val="24"/>
        </w:rPr>
        <w:t xml:space="preserve">en la población </w:t>
      </w:r>
      <w:r w:rsidR="004264BB">
        <w:rPr>
          <w:rFonts w:ascii="Times New Roman" w:hAnsi="Times New Roman" w:cs="Times New Roman"/>
          <w:sz w:val="24"/>
          <w:szCs w:val="24"/>
        </w:rPr>
        <w:t>colombiana</w:t>
      </w:r>
      <w:r w:rsidR="00383E3F">
        <w:rPr>
          <w:rFonts w:ascii="Times New Roman" w:hAnsi="Times New Roman" w:cs="Times New Roman"/>
          <w:sz w:val="24"/>
          <w:szCs w:val="24"/>
        </w:rPr>
        <w:t xml:space="preserve"> </w:t>
      </w:r>
      <w:r w:rsidR="0007368D" w:rsidRPr="00F60B8D">
        <w:rPr>
          <w:rFonts w:ascii="Times New Roman" w:hAnsi="Times New Roman" w:cs="Times New Roman"/>
          <w:sz w:val="24"/>
          <w:szCs w:val="24"/>
        </w:rPr>
        <w:t>la exposición al riesgo de inundación desempeña un papel importante en l</w:t>
      </w:r>
      <w:r w:rsidR="00CE0F42" w:rsidRPr="00F60B8D">
        <w:rPr>
          <w:rFonts w:ascii="Times New Roman" w:hAnsi="Times New Roman" w:cs="Times New Roman"/>
          <w:sz w:val="24"/>
          <w:szCs w:val="24"/>
        </w:rPr>
        <w:t xml:space="preserve">os niveles de percepción de </w:t>
      </w:r>
      <w:r w:rsidR="00BF666C">
        <w:rPr>
          <w:rFonts w:ascii="Times New Roman" w:hAnsi="Times New Roman" w:cs="Times New Roman"/>
          <w:sz w:val="24"/>
          <w:szCs w:val="24"/>
        </w:rPr>
        <w:t>l</w:t>
      </w:r>
      <w:r w:rsidR="00F60B8D" w:rsidRPr="00F60B8D">
        <w:rPr>
          <w:rFonts w:ascii="Times New Roman" w:hAnsi="Times New Roman" w:cs="Times New Roman"/>
          <w:sz w:val="24"/>
          <w:szCs w:val="24"/>
        </w:rPr>
        <w:t xml:space="preserve">a </w:t>
      </w:r>
      <w:r w:rsidR="00F60B8D" w:rsidRPr="0062389C">
        <w:rPr>
          <w:rFonts w:ascii="Times New Roman" w:hAnsi="Times New Roman" w:cs="Times New Roman"/>
          <w:sz w:val="24"/>
          <w:szCs w:val="24"/>
        </w:rPr>
        <w:t>amenaza</w:t>
      </w:r>
      <w:r w:rsidR="00E1072C">
        <w:rPr>
          <w:rFonts w:ascii="Times New Roman" w:hAnsi="Times New Roman" w:cs="Times New Roman"/>
          <w:sz w:val="24"/>
          <w:szCs w:val="24"/>
        </w:rPr>
        <w:t xml:space="preserve"> y en el sentimiento de implicación</w:t>
      </w:r>
      <w:r w:rsidR="00383E3F">
        <w:rPr>
          <w:rFonts w:ascii="Times New Roman" w:hAnsi="Times New Roman" w:cs="Times New Roman"/>
          <w:sz w:val="24"/>
          <w:szCs w:val="24"/>
        </w:rPr>
        <w:t xml:space="preserve"> </w:t>
      </w:r>
      <w:r w:rsidR="0062389C" w:rsidRPr="0062389C">
        <w:rPr>
          <w:rFonts w:ascii="Times New Roman" w:hAnsi="Times New Roman" w:cs="Times New Roman"/>
          <w:sz w:val="24"/>
          <w:szCs w:val="24"/>
        </w:rPr>
        <w:t xml:space="preserve">(Baggio </w:t>
      </w:r>
      <w:r w:rsidR="00AB0177">
        <w:rPr>
          <w:rFonts w:ascii="Times New Roman" w:hAnsi="Times New Roman" w:cs="Times New Roman"/>
          <w:sz w:val="24"/>
          <w:szCs w:val="24"/>
        </w:rPr>
        <w:t>&amp;</w:t>
      </w:r>
      <w:r w:rsidR="00C24EEC">
        <w:rPr>
          <w:rFonts w:ascii="Times New Roman" w:hAnsi="Times New Roman" w:cs="Times New Roman"/>
          <w:sz w:val="24"/>
          <w:szCs w:val="24"/>
        </w:rPr>
        <w:t xml:space="preserve"> </w:t>
      </w:r>
      <w:r w:rsidR="0062389C" w:rsidRPr="0062389C">
        <w:rPr>
          <w:rFonts w:ascii="Times New Roman" w:hAnsi="Times New Roman" w:cs="Times New Roman"/>
          <w:sz w:val="24"/>
          <w:szCs w:val="24"/>
        </w:rPr>
        <w:t>Rouquette, 2006</w:t>
      </w:r>
      <w:r w:rsidR="006B2AD8">
        <w:rPr>
          <w:rFonts w:ascii="Times New Roman" w:hAnsi="Times New Roman" w:cs="Times New Roman"/>
          <w:sz w:val="24"/>
          <w:szCs w:val="24"/>
        </w:rPr>
        <w:t>; Brun, 1992</w:t>
      </w:r>
      <w:r w:rsidR="0062389C" w:rsidRPr="0062389C">
        <w:rPr>
          <w:rFonts w:ascii="Times New Roman" w:hAnsi="Times New Roman" w:cs="Times New Roman"/>
          <w:sz w:val="24"/>
          <w:szCs w:val="24"/>
        </w:rPr>
        <w:t>).</w:t>
      </w:r>
      <w:r w:rsidR="00383E3F">
        <w:rPr>
          <w:rFonts w:ascii="Times New Roman" w:hAnsi="Times New Roman" w:cs="Times New Roman"/>
          <w:sz w:val="24"/>
          <w:szCs w:val="24"/>
        </w:rPr>
        <w:t xml:space="preserve"> </w:t>
      </w:r>
      <w:r w:rsidR="00BF666C" w:rsidRPr="00794697">
        <w:rPr>
          <w:rFonts w:ascii="Times New Roman" w:hAnsi="Times New Roman" w:cs="Times New Roman"/>
          <w:sz w:val="24"/>
          <w:szCs w:val="24"/>
          <w:lang w:val="es-ES"/>
        </w:rPr>
        <w:t xml:space="preserve">Estos </w:t>
      </w:r>
      <w:r w:rsidR="00E5638A" w:rsidRPr="00794697">
        <w:rPr>
          <w:rFonts w:ascii="Times New Roman" w:hAnsi="Times New Roman" w:cs="Times New Roman"/>
          <w:sz w:val="24"/>
          <w:szCs w:val="24"/>
          <w:lang w:val="es-ES"/>
        </w:rPr>
        <w:t xml:space="preserve">resultados se asemejan a los de </w:t>
      </w:r>
      <w:r w:rsidR="00BF666C" w:rsidRPr="00794697">
        <w:rPr>
          <w:rFonts w:ascii="Times New Roman" w:hAnsi="Times New Roman" w:cs="Times New Roman"/>
          <w:sz w:val="24"/>
          <w:szCs w:val="24"/>
          <w:lang w:val="es-ES"/>
        </w:rPr>
        <w:t xml:space="preserve">otras </w:t>
      </w:r>
      <w:r w:rsidR="00E5638A" w:rsidRPr="00794697">
        <w:rPr>
          <w:rFonts w:ascii="Times New Roman" w:hAnsi="Times New Roman" w:cs="Times New Roman"/>
          <w:sz w:val="24"/>
          <w:szCs w:val="24"/>
          <w:lang w:val="es-ES"/>
        </w:rPr>
        <w:t xml:space="preserve">investigaciones que </w:t>
      </w:r>
      <w:r w:rsidR="00BF666C" w:rsidRPr="00794697">
        <w:rPr>
          <w:rFonts w:ascii="Times New Roman" w:hAnsi="Times New Roman" w:cs="Times New Roman"/>
          <w:sz w:val="24"/>
          <w:szCs w:val="24"/>
          <w:lang w:val="es-ES"/>
        </w:rPr>
        <w:t>plantean</w:t>
      </w:r>
      <w:r w:rsidR="00E5638A" w:rsidRPr="00794697">
        <w:rPr>
          <w:rFonts w:ascii="Times New Roman" w:hAnsi="Times New Roman" w:cs="Times New Roman"/>
          <w:sz w:val="24"/>
          <w:szCs w:val="24"/>
          <w:lang w:val="es-ES"/>
        </w:rPr>
        <w:t xml:space="preserve"> que las experiencias previas </w:t>
      </w:r>
      <w:r w:rsidR="00BF666C" w:rsidRPr="00794697">
        <w:rPr>
          <w:rFonts w:ascii="Times New Roman" w:hAnsi="Times New Roman" w:cs="Times New Roman"/>
          <w:sz w:val="24"/>
          <w:szCs w:val="24"/>
          <w:lang w:val="es-ES"/>
        </w:rPr>
        <w:t xml:space="preserve">son </w:t>
      </w:r>
      <w:r w:rsidR="00E5638A" w:rsidRPr="00794697">
        <w:rPr>
          <w:rFonts w:ascii="Times New Roman" w:hAnsi="Times New Roman" w:cs="Times New Roman"/>
          <w:sz w:val="24"/>
          <w:szCs w:val="24"/>
          <w:lang w:val="es-ES"/>
        </w:rPr>
        <w:t xml:space="preserve">un importante predictor de </w:t>
      </w:r>
      <w:r w:rsidR="00BF666C" w:rsidRPr="00794697">
        <w:rPr>
          <w:rFonts w:ascii="Times New Roman" w:hAnsi="Times New Roman" w:cs="Times New Roman"/>
          <w:sz w:val="24"/>
          <w:szCs w:val="24"/>
          <w:lang w:val="es-ES"/>
        </w:rPr>
        <w:t xml:space="preserve">la </w:t>
      </w:r>
      <w:r w:rsidR="00E5638A" w:rsidRPr="00794697">
        <w:rPr>
          <w:rFonts w:ascii="Times New Roman" w:hAnsi="Times New Roman" w:cs="Times New Roman"/>
          <w:sz w:val="24"/>
          <w:szCs w:val="24"/>
          <w:lang w:val="es-ES"/>
        </w:rPr>
        <w:t xml:space="preserve">percepción del riesgo </w:t>
      </w:r>
      <w:r w:rsidR="00A42A1C" w:rsidRPr="00794697">
        <w:rPr>
          <w:rFonts w:ascii="Times New Roman" w:hAnsi="Times New Roman" w:cs="Times New Roman"/>
          <w:sz w:val="24"/>
          <w:szCs w:val="24"/>
          <w:lang w:val="es-ES"/>
        </w:rPr>
        <w:t>(</w:t>
      </w:r>
      <w:r w:rsidR="00A812BA" w:rsidRPr="00794697">
        <w:rPr>
          <w:rFonts w:ascii="Times New Roman" w:hAnsi="Times New Roman" w:cs="Times New Roman"/>
          <w:sz w:val="24"/>
          <w:szCs w:val="24"/>
          <w:lang w:val="es-ES"/>
        </w:rPr>
        <w:t>Siegrist</w:t>
      </w:r>
      <w:r w:rsidR="00C24EEC">
        <w:rPr>
          <w:rFonts w:ascii="Times New Roman" w:hAnsi="Times New Roman" w:cs="Times New Roman"/>
          <w:sz w:val="24"/>
          <w:szCs w:val="24"/>
          <w:lang w:val="es-ES"/>
        </w:rPr>
        <w:t xml:space="preserve"> </w:t>
      </w:r>
      <w:r w:rsidR="00AB0177" w:rsidRPr="00794697">
        <w:rPr>
          <w:rFonts w:ascii="Times New Roman" w:hAnsi="Times New Roman" w:cs="Times New Roman"/>
          <w:sz w:val="24"/>
          <w:szCs w:val="24"/>
          <w:lang w:val="es-ES"/>
        </w:rPr>
        <w:t>&amp;</w:t>
      </w:r>
      <w:r w:rsidR="00C24EEC">
        <w:rPr>
          <w:rFonts w:ascii="Times New Roman" w:hAnsi="Times New Roman" w:cs="Times New Roman"/>
          <w:sz w:val="24"/>
          <w:szCs w:val="24"/>
          <w:lang w:val="es-ES"/>
        </w:rPr>
        <w:t xml:space="preserve"> </w:t>
      </w:r>
      <w:r w:rsidR="00A812BA" w:rsidRPr="00794697">
        <w:rPr>
          <w:rFonts w:ascii="Times New Roman" w:hAnsi="Times New Roman" w:cs="Times New Roman"/>
          <w:sz w:val="24"/>
          <w:szCs w:val="24"/>
          <w:lang w:val="es-ES"/>
        </w:rPr>
        <w:t>Gutscher, 2006</w:t>
      </w:r>
      <w:r w:rsidR="00A42A1C" w:rsidRPr="00794697">
        <w:rPr>
          <w:rFonts w:ascii="Times New Roman" w:hAnsi="Times New Roman" w:cs="Times New Roman"/>
          <w:sz w:val="24"/>
          <w:szCs w:val="24"/>
          <w:lang w:val="es-ES"/>
        </w:rPr>
        <w:t>) y de</w:t>
      </w:r>
      <w:r w:rsidR="00BF666C" w:rsidRPr="00794697">
        <w:rPr>
          <w:rFonts w:ascii="Times New Roman" w:hAnsi="Times New Roman" w:cs="Times New Roman"/>
          <w:sz w:val="24"/>
          <w:szCs w:val="24"/>
          <w:lang w:val="es-ES"/>
        </w:rPr>
        <w:t>l</w:t>
      </w:r>
      <w:r w:rsidR="00A42A1C" w:rsidRPr="00794697">
        <w:rPr>
          <w:rFonts w:ascii="Times New Roman" w:hAnsi="Times New Roman" w:cs="Times New Roman"/>
          <w:sz w:val="24"/>
          <w:szCs w:val="24"/>
          <w:lang w:val="es-ES"/>
        </w:rPr>
        <w:t xml:space="preserve"> sentimiento de vulnerabilidad </w:t>
      </w:r>
      <w:r w:rsidR="00BF666C" w:rsidRPr="00794697">
        <w:rPr>
          <w:rFonts w:ascii="Times New Roman" w:hAnsi="Times New Roman" w:cs="Times New Roman"/>
          <w:sz w:val="24"/>
          <w:szCs w:val="24"/>
          <w:lang w:val="es-ES"/>
        </w:rPr>
        <w:t>que lo acompaña</w:t>
      </w:r>
      <w:r w:rsidR="00A42A1C" w:rsidRPr="00A42A1C">
        <w:rPr>
          <w:rFonts w:ascii="Times New Roman" w:hAnsi="Times New Roman" w:cs="Times New Roman"/>
          <w:sz w:val="24"/>
          <w:szCs w:val="24"/>
        </w:rPr>
        <w:t xml:space="preserve"> (Saurí</w:t>
      </w:r>
      <w:r w:rsidR="00B1619B">
        <w:rPr>
          <w:rFonts w:ascii="Times New Roman" w:hAnsi="Times New Roman" w:cs="Times New Roman"/>
          <w:sz w:val="24"/>
          <w:szCs w:val="24"/>
        </w:rPr>
        <w:t xml:space="preserve">, </w:t>
      </w:r>
      <w:r w:rsidR="00B1619B" w:rsidRPr="00B1619B">
        <w:rPr>
          <w:rFonts w:ascii="Times New Roman" w:hAnsi="Times New Roman" w:cs="Times New Roman"/>
          <w:sz w:val="24"/>
          <w:szCs w:val="24"/>
        </w:rPr>
        <w:t xml:space="preserve">Ribas, Lara </w:t>
      </w:r>
      <w:r w:rsidR="00AB0177">
        <w:rPr>
          <w:rFonts w:ascii="Times New Roman" w:hAnsi="Times New Roman" w:cs="Times New Roman"/>
          <w:sz w:val="24"/>
          <w:szCs w:val="24"/>
        </w:rPr>
        <w:t>&amp;</w:t>
      </w:r>
      <w:r w:rsidR="00B1619B" w:rsidRPr="00B1619B">
        <w:rPr>
          <w:rFonts w:ascii="Times New Roman" w:hAnsi="Times New Roman" w:cs="Times New Roman"/>
          <w:sz w:val="24"/>
          <w:szCs w:val="24"/>
        </w:rPr>
        <w:t xml:space="preserve"> Pavón</w:t>
      </w:r>
      <w:r w:rsidR="00A42A1C" w:rsidRPr="00A42A1C">
        <w:rPr>
          <w:rFonts w:ascii="Times New Roman" w:hAnsi="Times New Roman" w:cs="Times New Roman"/>
          <w:sz w:val="24"/>
          <w:szCs w:val="24"/>
        </w:rPr>
        <w:t>, 2010).</w:t>
      </w:r>
      <w:r w:rsidR="00F52C44">
        <w:rPr>
          <w:rFonts w:ascii="Times New Roman" w:hAnsi="Times New Roman" w:cs="Times New Roman"/>
          <w:sz w:val="24"/>
          <w:szCs w:val="24"/>
        </w:rPr>
        <w:t xml:space="preserve"> En efecto, </w:t>
      </w:r>
      <w:r w:rsidR="004264BB">
        <w:rPr>
          <w:rFonts w:ascii="Times New Roman" w:hAnsi="Times New Roman" w:cs="Times New Roman"/>
          <w:sz w:val="24"/>
          <w:szCs w:val="24"/>
        </w:rPr>
        <w:t>l</w:t>
      </w:r>
      <w:r w:rsidR="0054155A" w:rsidRPr="0054155A">
        <w:rPr>
          <w:rFonts w:ascii="Times New Roman" w:hAnsi="Times New Roman" w:cs="Times New Roman"/>
          <w:sz w:val="24"/>
          <w:szCs w:val="24"/>
          <w:lang w:val="es-ES"/>
        </w:rPr>
        <w:t>as personas víctimas de inundación</w:t>
      </w:r>
      <w:r w:rsidR="0054155A">
        <w:rPr>
          <w:rFonts w:ascii="Times New Roman" w:hAnsi="Times New Roman" w:cs="Times New Roman"/>
          <w:sz w:val="24"/>
          <w:szCs w:val="24"/>
          <w:lang w:val="es-ES"/>
        </w:rPr>
        <w:t xml:space="preserve"> son </w:t>
      </w:r>
      <w:r w:rsidR="0054155A" w:rsidRPr="0054155A">
        <w:rPr>
          <w:rFonts w:ascii="Times New Roman" w:hAnsi="Times New Roman" w:cs="Times New Roman"/>
          <w:sz w:val="24"/>
          <w:szCs w:val="24"/>
          <w:lang w:val="es-ES"/>
        </w:rPr>
        <w:t xml:space="preserve">aquellas que experimentan más emociones negativas frente a estos </w:t>
      </w:r>
      <w:r w:rsidR="00F52C44">
        <w:rPr>
          <w:rFonts w:ascii="Times New Roman" w:hAnsi="Times New Roman" w:cs="Times New Roman"/>
          <w:sz w:val="24"/>
          <w:szCs w:val="24"/>
          <w:lang w:val="es-ES"/>
        </w:rPr>
        <w:t>riesgos</w:t>
      </w:r>
      <w:r w:rsidR="00CA66D4">
        <w:rPr>
          <w:rFonts w:ascii="Times New Roman" w:hAnsi="Times New Roman" w:cs="Times New Roman"/>
          <w:sz w:val="24"/>
          <w:szCs w:val="24"/>
          <w:lang w:val="es-ES"/>
        </w:rPr>
        <w:t>.</w:t>
      </w:r>
      <w:r w:rsidR="00C24EEC">
        <w:rPr>
          <w:rFonts w:ascii="Times New Roman" w:hAnsi="Times New Roman" w:cs="Times New Roman"/>
          <w:sz w:val="24"/>
          <w:szCs w:val="24"/>
          <w:lang w:val="es-ES"/>
        </w:rPr>
        <w:t xml:space="preserve"> </w:t>
      </w:r>
      <w:r w:rsidR="00F52C44">
        <w:rPr>
          <w:rFonts w:ascii="Times New Roman" w:hAnsi="Times New Roman" w:cs="Times New Roman"/>
          <w:sz w:val="24"/>
          <w:szCs w:val="24"/>
          <w:lang w:val="es-ES"/>
        </w:rPr>
        <w:t>A</w:t>
      </w:r>
      <w:r w:rsidR="00F52C44" w:rsidRPr="00A42A1C">
        <w:rPr>
          <w:rFonts w:ascii="Times New Roman" w:hAnsi="Times New Roman" w:cs="Times New Roman"/>
          <w:sz w:val="24"/>
          <w:szCs w:val="24"/>
          <w:lang w:val="es-ES"/>
        </w:rPr>
        <w:t>quellas personas que tienen la posibilidad de recordar un evento de inundación, perciben mayores riesgos asociados a este tipo de acontecimiento</w:t>
      </w:r>
      <w:r w:rsidR="00F52C44">
        <w:rPr>
          <w:rFonts w:ascii="Times New Roman" w:hAnsi="Times New Roman" w:cs="Times New Roman"/>
          <w:sz w:val="24"/>
          <w:szCs w:val="24"/>
          <w:lang w:val="es-ES"/>
        </w:rPr>
        <w:t xml:space="preserve"> que </w:t>
      </w:r>
      <w:r w:rsidR="00F52C44" w:rsidRPr="00A42A1C">
        <w:rPr>
          <w:rFonts w:ascii="Times New Roman" w:hAnsi="Times New Roman" w:cs="Times New Roman"/>
          <w:sz w:val="24"/>
          <w:szCs w:val="24"/>
          <w:lang w:val="es-ES"/>
        </w:rPr>
        <w:t xml:space="preserve">quienes no </w:t>
      </w:r>
      <w:r w:rsidR="00F52C44">
        <w:rPr>
          <w:rFonts w:ascii="Times New Roman" w:hAnsi="Times New Roman" w:cs="Times New Roman"/>
          <w:sz w:val="24"/>
          <w:szCs w:val="24"/>
          <w:lang w:val="es-ES"/>
        </w:rPr>
        <w:t xml:space="preserve">lo </w:t>
      </w:r>
      <w:r w:rsidR="00F52C44" w:rsidRPr="00A42A1C">
        <w:rPr>
          <w:rFonts w:ascii="Times New Roman" w:hAnsi="Times New Roman" w:cs="Times New Roman"/>
          <w:sz w:val="24"/>
          <w:szCs w:val="24"/>
          <w:lang w:val="es-ES"/>
        </w:rPr>
        <w:t>recuerdan</w:t>
      </w:r>
      <w:r w:rsidR="00F52C44">
        <w:rPr>
          <w:rFonts w:ascii="Times New Roman" w:hAnsi="Times New Roman" w:cs="Times New Roman"/>
          <w:sz w:val="24"/>
          <w:szCs w:val="24"/>
          <w:lang w:val="es-ES"/>
        </w:rPr>
        <w:t xml:space="preserve">, dado que </w:t>
      </w:r>
      <w:r w:rsidR="00F52C44" w:rsidRPr="00A42A1C">
        <w:rPr>
          <w:rFonts w:ascii="Times New Roman" w:hAnsi="Times New Roman" w:cs="Times New Roman"/>
          <w:sz w:val="24"/>
          <w:szCs w:val="24"/>
          <w:lang w:val="es-ES"/>
        </w:rPr>
        <w:t>las experiencias directas son más accesibles a la propia memoria</w:t>
      </w:r>
      <w:r w:rsidR="00F52C44">
        <w:rPr>
          <w:rFonts w:ascii="Times New Roman" w:hAnsi="Times New Roman" w:cs="Times New Roman"/>
          <w:sz w:val="24"/>
          <w:szCs w:val="24"/>
          <w:lang w:val="es-ES"/>
        </w:rPr>
        <w:t xml:space="preserve"> (</w:t>
      </w:r>
      <w:r w:rsidR="00A812BA">
        <w:rPr>
          <w:rFonts w:ascii="Times New Roman" w:hAnsi="Times New Roman" w:cs="Times New Roman"/>
          <w:sz w:val="24"/>
          <w:szCs w:val="24"/>
          <w:lang w:val="es-ES"/>
        </w:rPr>
        <w:t>Siegrist</w:t>
      </w:r>
      <w:r w:rsidR="00C24EEC">
        <w:rPr>
          <w:rFonts w:ascii="Times New Roman" w:hAnsi="Times New Roman" w:cs="Times New Roman"/>
          <w:sz w:val="24"/>
          <w:szCs w:val="24"/>
          <w:lang w:val="es-ES"/>
        </w:rPr>
        <w:t xml:space="preserve"> </w:t>
      </w:r>
      <w:r w:rsidR="00AB0177">
        <w:rPr>
          <w:rFonts w:ascii="Times New Roman" w:hAnsi="Times New Roman" w:cs="Times New Roman"/>
          <w:sz w:val="24"/>
          <w:szCs w:val="24"/>
          <w:lang w:val="es-ES"/>
        </w:rPr>
        <w:t>&amp;</w:t>
      </w:r>
      <w:r w:rsidR="00C24EEC">
        <w:rPr>
          <w:rFonts w:ascii="Times New Roman" w:hAnsi="Times New Roman" w:cs="Times New Roman"/>
          <w:sz w:val="24"/>
          <w:szCs w:val="24"/>
          <w:lang w:val="es-ES"/>
        </w:rPr>
        <w:t xml:space="preserve"> </w:t>
      </w:r>
      <w:r w:rsidR="00A812BA" w:rsidRPr="00A812BA">
        <w:rPr>
          <w:rFonts w:ascii="Times New Roman" w:hAnsi="Times New Roman" w:cs="Times New Roman"/>
          <w:sz w:val="24"/>
          <w:szCs w:val="24"/>
          <w:lang w:val="es-ES"/>
        </w:rPr>
        <w:t>Gutscher, 2006</w:t>
      </w:r>
      <w:r w:rsidR="00F52C44">
        <w:rPr>
          <w:rFonts w:ascii="Times New Roman" w:hAnsi="Times New Roman" w:cs="Times New Roman"/>
          <w:sz w:val="24"/>
          <w:szCs w:val="24"/>
          <w:lang w:val="es-ES"/>
        </w:rPr>
        <w:t>) y que e</w:t>
      </w:r>
      <w:r w:rsidR="005F2957" w:rsidRPr="00A42A1C">
        <w:rPr>
          <w:rFonts w:ascii="Times New Roman" w:hAnsi="Times New Roman" w:cs="Times New Roman"/>
          <w:sz w:val="24"/>
          <w:szCs w:val="24"/>
          <w:lang w:val="es-ES"/>
        </w:rPr>
        <w:t xml:space="preserve">l impacto personal de una experiencia amenazante proporciona información más </w:t>
      </w:r>
      <w:r w:rsidR="005F2957" w:rsidRPr="00226625">
        <w:rPr>
          <w:rFonts w:ascii="Times New Roman" w:hAnsi="Times New Roman" w:cs="Times New Roman"/>
          <w:sz w:val="24"/>
          <w:szCs w:val="24"/>
          <w:lang w:val="es-ES"/>
        </w:rPr>
        <w:t>vívida y detal</w:t>
      </w:r>
      <w:r w:rsidR="00F52C44">
        <w:rPr>
          <w:rFonts w:ascii="Times New Roman" w:hAnsi="Times New Roman" w:cs="Times New Roman"/>
          <w:sz w:val="24"/>
          <w:szCs w:val="24"/>
          <w:lang w:val="es-ES"/>
        </w:rPr>
        <w:t>lada sobre los riesgos (</w:t>
      </w:r>
      <w:r w:rsidR="005F2957" w:rsidRPr="00226625">
        <w:rPr>
          <w:rFonts w:ascii="Times New Roman" w:hAnsi="Times New Roman" w:cs="Times New Roman"/>
          <w:sz w:val="24"/>
          <w:szCs w:val="24"/>
          <w:lang w:val="es-ES"/>
        </w:rPr>
        <w:t>Tersptra, 20</w:t>
      </w:r>
      <w:r w:rsidR="0085368B" w:rsidRPr="00226625">
        <w:rPr>
          <w:rFonts w:ascii="Times New Roman" w:hAnsi="Times New Roman" w:cs="Times New Roman"/>
          <w:sz w:val="24"/>
          <w:szCs w:val="24"/>
          <w:lang w:val="es-ES"/>
        </w:rPr>
        <w:t>09</w:t>
      </w:r>
      <w:r w:rsidR="005F2957" w:rsidRPr="00226625">
        <w:rPr>
          <w:rFonts w:ascii="Times New Roman" w:hAnsi="Times New Roman" w:cs="Times New Roman"/>
          <w:sz w:val="24"/>
          <w:szCs w:val="24"/>
          <w:lang w:val="es-ES"/>
        </w:rPr>
        <w:t>).</w:t>
      </w:r>
      <w:r w:rsidR="00383E3F">
        <w:rPr>
          <w:rFonts w:ascii="Times New Roman" w:hAnsi="Times New Roman" w:cs="Times New Roman"/>
          <w:sz w:val="24"/>
          <w:szCs w:val="24"/>
          <w:lang w:val="es-ES"/>
        </w:rPr>
        <w:t xml:space="preserve"> </w:t>
      </w:r>
      <w:r w:rsidR="005F2957" w:rsidRPr="00226625">
        <w:rPr>
          <w:rFonts w:ascii="Times New Roman" w:hAnsi="Times New Roman" w:cs="Times New Roman"/>
          <w:sz w:val="24"/>
          <w:szCs w:val="24"/>
        </w:rPr>
        <w:t xml:space="preserve">Además, </w:t>
      </w:r>
      <w:r w:rsidR="00C73D6F" w:rsidRPr="00226625">
        <w:rPr>
          <w:rFonts w:ascii="Times New Roman" w:hAnsi="Times New Roman" w:cs="Times New Roman"/>
          <w:sz w:val="24"/>
          <w:szCs w:val="24"/>
          <w:lang w:val="es-ES"/>
        </w:rPr>
        <w:t>s</w:t>
      </w:r>
      <w:r w:rsidR="000154CD" w:rsidRPr="00226625">
        <w:rPr>
          <w:rFonts w:ascii="Times New Roman" w:hAnsi="Times New Roman" w:cs="Times New Roman"/>
          <w:sz w:val="24"/>
          <w:szCs w:val="24"/>
          <w:lang w:val="es-ES"/>
        </w:rPr>
        <w:t xml:space="preserve">on </w:t>
      </w:r>
      <w:r w:rsidR="00C73D6F" w:rsidRPr="00226625">
        <w:rPr>
          <w:rFonts w:ascii="Times New Roman" w:hAnsi="Times New Roman" w:cs="Times New Roman"/>
          <w:sz w:val="24"/>
          <w:szCs w:val="24"/>
          <w:lang w:val="es-ES"/>
        </w:rPr>
        <w:t>las</w:t>
      </w:r>
      <w:r w:rsidR="000154CD" w:rsidRPr="00226625">
        <w:rPr>
          <w:rFonts w:ascii="Times New Roman" w:hAnsi="Times New Roman" w:cs="Times New Roman"/>
          <w:sz w:val="24"/>
          <w:szCs w:val="24"/>
          <w:lang w:val="es-ES"/>
        </w:rPr>
        <w:t xml:space="preserve"> personas que sienten miedo frente los riesgos naturales quienes tendrían más conocimientos</w:t>
      </w:r>
      <w:r w:rsidR="000154CD" w:rsidRPr="0054155A">
        <w:rPr>
          <w:rFonts w:ascii="Times New Roman" w:hAnsi="Times New Roman" w:cs="Times New Roman"/>
          <w:sz w:val="24"/>
          <w:szCs w:val="24"/>
          <w:lang w:val="es-ES"/>
        </w:rPr>
        <w:t xml:space="preserve"> sobre las inundaciones</w:t>
      </w:r>
      <w:r w:rsidR="000154CD">
        <w:rPr>
          <w:rFonts w:ascii="Times New Roman" w:hAnsi="Times New Roman" w:cs="Times New Roman"/>
          <w:sz w:val="24"/>
          <w:szCs w:val="24"/>
          <w:lang w:val="es-ES"/>
        </w:rPr>
        <w:t xml:space="preserve"> (</w:t>
      </w:r>
      <w:r w:rsidR="0054155A">
        <w:rPr>
          <w:rFonts w:ascii="Times New Roman" w:hAnsi="Times New Roman" w:cs="Times New Roman"/>
          <w:sz w:val="24"/>
          <w:szCs w:val="24"/>
          <w:lang w:val="es-ES"/>
        </w:rPr>
        <w:t>Wagner</w:t>
      </w:r>
      <w:r w:rsidR="000154CD">
        <w:rPr>
          <w:rFonts w:ascii="Times New Roman" w:hAnsi="Times New Roman" w:cs="Times New Roman"/>
          <w:sz w:val="24"/>
          <w:szCs w:val="24"/>
          <w:lang w:val="es-ES"/>
        </w:rPr>
        <w:t xml:space="preserve">, </w:t>
      </w:r>
      <w:r w:rsidR="0054155A" w:rsidRPr="0054155A">
        <w:rPr>
          <w:rFonts w:ascii="Times New Roman" w:hAnsi="Times New Roman" w:cs="Times New Roman"/>
          <w:sz w:val="24"/>
          <w:szCs w:val="24"/>
          <w:lang w:val="es-ES"/>
        </w:rPr>
        <w:t>2007)</w:t>
      </w:r>
      <w:r w:rsidR="00630A82" w:rsidRPr="0054155A">
        <w:rPr>
          <w:rFonts w:ascii="Times New Roman" w:hAnsi="Times New Roman" w:cs="Times New Roman"/>
          <w:sz w:val="24"/>
          <w:szCs w:val="24"/>
          <w:lang w:val="es-ES"/>
        </w:rPr>
        <w:t xml:space="preserve">. </w:t>
      </w:r>
      <w:r w:rsidR="0054155A" w:rsidRPr="0054155A">
        <w:rPr>
          <w:rFonts w:ascii="Times New Roman" w:hAnsi="Times New Roman" w:cs="Times New Roman"/>
          <w:sz w:val="24"/>
          <w:szCs w:val="24"/>
          <w:lang w:val="es-ES"/>
        </w:rPr>
        <w:t>A</w:t>
      </w:r>
      <w:r w:rsidR="0054155A">
        <w:rPr>
          <w:rFonts w:ascii="Times New Roman" w:hAnsi="Times New Roman" w:cs="Times New Roman"/>
          <w:sz w:val="24"/>
          <w:szCs w:val="24"/>
          <w:lang w:val="es-ES"/>
        </w:rPr>
        <w:t>sí</w:t>
      </w:r>
      <w:r w:rsidR="00630A82" w:rsidRPr="0054155A">
        <w:rPr>
          <w:rFonts w:ascii="Times New Roman" w:hAnsi="Times New Roman" w:cs="Times New Roman"/>
          <w:sz w:val="24"/>
          <w:szCs w:val="24"/>
          <w:lang w:val="es-ES"/>
        </w:rPr>
        <w:t>, un nivel</w:t>
      </w:r>
      <w:r w:rsidR="004010BC">
        <w:rPr>
          <w:rFonts w:ascii="Times New Roman" w:hAnsi="Times New Roman" w:cs="Times New Roman"/>
          <w:sz w:val="24"/>
          <w:szCs w:val="24"/>
          <w:lang w:val="es-ES"/>
        </w:rPr>
        <w:t xml:space="preserve"> mayor</w:t>
      </w:r>
      <w:r w:rsidR="00630A82" w:rsidRPr="0054155A">
        <w:rPr>
          <w:rFonts w:ascii="Times New Roman" w:hAnsi="Times New Roman" w:cs="Times New Roman"/>
          <w:sz w:val="24"/>
          <w:szCs w:val="24"/>
          <w:lang w:val="es-ES"/>
        </w:rPr>
        <w:t xml:space="preserve"> de miedo y de preocupación estaría relacionado con la adopción de comportamientos de protección (Miceli</w:t>
      </w:r>
      <w:r w:rsidR="00B1619B">
        <w:rPr>
          <w:rFonts w:ascii="Times New Roman" w:hAnsi="Times New Roman" w:cs="Times New Roman"/>
          <w:sz w:val="24"/>
          <w:szCs w:val="24"/>
          <w:lang w:val="es-ES"/>
        </w:rPr>
        <w:t xml:space="preserve">, </w:t>
      </w:r>
      <w:r w:rsidR="00B1619B" w:rsidRPr="00B1619B">
        <w:rPr>
          <w:rFonts w:ascii="Times New Roman" w:hAnsi="Times New Roman" w:cs="Times New Roman"/>
          <w:sz w:val="24"/>
          <w:szCs w:val="24"/>
          <w:lang w:val="es-ES"/>
        </w:rPr>
        <w:t>Sotgiu</w:t>
      </w:r>
      <w:r w:rsidR="00C24EEC">
        <w:rPr>
          <w:rFonts w:ascii="Times New Roman" w:hAnsi="Times New Roman" w:cs="Times New Roman"/>
          <w:sz w:val="24"/>
          <w:szCs w:val="24"/>
          <w:lang w:val="es-ES"/>
        </w:rPr>
        <w:t xml:space="preserve"> </w:t>
      </w:r>
      <w:r w:rsidR="00AB0177">
        <w:rPr>
          <w:rFonts w:ascii="Times New Roman" w:hAnsi="Times New Roman" w:cs="Times New Roman"/>
          <w:sz w:val="24"/>
          <w:szCs w:val="24"/>
          <w:lang w:val="es-ES"/>
        </w:rPr>
        <w:t>&amp;</w:t>
      </w:r>
      <w:r w:rsidR="00C24EEC">
        <w:rPr>
          <w:rFonts w:ascii="Times New Roman" w:hAnsi="Times New Roman" w:cs="Times New Roman"/>
          <w:sz w:val="24"/>
          <w:szCs w:val="24"/>
          <w:lang w:val="es-ES"/>
        </w:rPr>
        <w:t xml:space="preserve"> </w:t>
      </w:r>
      <w:r w:rsidR="00B1619B" w:rsidRPr="00B1619B">
        <w:rPr>
          <w:rFonts w:ascii="Times New Roman" w:hAnsi="Times New Roman" w:cs="Times New Roman"/>
          <w:sz w:val="24"/>
          <w:szCs w:val="24"/>
          <w:lang w:val="es-ES"/>
        </w:rPr>
        <w:t>Settanni</w:t>
      </w:r>
      <w:r w:rsidR="00630A82" w:rsidRPr="0054155A">
        <w:rPr>
          <w:rFonts w:ascii="Times New Roman" w:hAnsi="Times New Roman" w:cs="Times New Roman"/>
          <w:sz w:val="24"/>
          <w:szCs w:val="24"/>
          <w:lang w:val="es-ES"/>
        </w:rPr>
        <w:t>, 2008; Takao</w:t>
      </w:r>
      <w:r w:rsidR="00B1619B">
        <w:rPr>
          <w:rFonts w:ascii="Times New Roman" w:hAnsi="Times New Roman" w:cs="Times New Roman"/>
          <w:sz w:val="24"/>
          <w:szCs w:val="24"/>
          <w:lang w:val="es-ES"/>
        </w:rPr>
        <w:t xml:space="preserve">, </w:t>
      </w:r>
      <w:r w:rsidR="00B1619B" w:rsidRPr="00B1619B">
        <w:rPr>
          <w:rFonts w:ascii="Times New Roman" w:hAnsi="Times New Roman" w:cs="Times New Roman"/>
          <w:sz w:val="24"/>
          <w:szCs w:val="24"/>
          <w:lang w:val="es-ES"/>
        </w:rPr>
        <w:t xml:space="preserve">Motoyoshi, Fukuzono, Seo </w:t>
      </w:r>
      <w:r w:rsidR="00AB0177">
        <w:rPr>
          <w:rFonts w:ascii="Times New Roman" w:hAnsi="Times New Roman" w:cs="Times New Roman"/>
          <w:sz w:val="24"/>
          <w:szCs w:val="24"/>
          <w:lang w:val="es-ES"/>
        </w:rPr>
        <w:t>&amp;</w:t>
      </w:r>
      <w:r w:rsidR="00C24EEC">
        <w:rPr>
          <w:rFonts w:ascii="Times New Roman" w:hAnsi="Times New Roman" w:cs="Times New Roman"/>
          <w:sz w:val="24"/>
          <w:szCs w:val="24"/>
          <w:lang w:val="es-ES"/>
        </w:rPr>
        <w:t xml:space="preserve"> </w:t>
      </w:r>
      <w:r w:rsidR="00B1619B" w:rsidRPr="00B1619B">
        <w:rPr>
          <w:rFonts w:ascii="Times New Roman" w:hAnsi="Times New Roman" w:cs="Times New Roman"/>
          <w:sz w:val="24"/>
          <w:szCs w:val="24"/>
          <w:lang w:val="es-ES"/>
        </w:rPr>
        <w:t>Ikeda</w:t>
      </w:r>
      <w:r w:rsidR="00B1619B">
        <w:rPr>
          <w:rFonts w:ascii="Times New Roman" w:hAnsi="Times New Roman" w:cs="Times New Roman"/>
          <w:sz w:val="24"/>
          <w:szCs w:val="24"/>
          <w:lang w:val="es-ES"/>
        </w:rPr>
        <w:t>, 2004;</w:t>
      </w:r>
      <w:r w:rsidR="00C24EEC">
        <w:rPr>
          <w:rFonts w:ascii="Times New Roman" w:hAnsi="Times New Roman" w:cs="Times New Roman"/>
          <w:sz w:val="24"/>
          <w:szCs w:val="24"/>
          <w:lang w:val="es-ES"/>
        </w:rPr>
        <w:t xml:space="preserve"> </w:t>
      </w:r>
      <w:r w:rsidR="00630A82" w:rsidRPr="0054155A">
        <w:rPr>
          <w:rFonts w:ascii="Times New Roman" w:hAnsi="Times New Roman" w:cs="Times New Roman"/>
          <w:sz w:val="24"/>
          <w:szCs w:val="24"/>
          <w:lang w:val="es-ES"/>
        </w:rPr>
        <w:t>Terpstra, 2011).En comparación a las personas que no h</w:t>
      </w:r>
      <w:r w:rsidR="004010BC">
        <w:rPr>
          <w:rFonts w:ascii="Times New Roman" w:hAnsi="Times New Roman" w:cs="Times New Roman"/>
          <w:sz w:val="24"/>
          <w:szCs w:val="24"/>
          <w:lang w:val="es-ES"/>
        </w:rPr>
        <w:t>an vivido una inundación, las ví</w:t>
      </w:r>
      <w:r w:rsidR="00630A82" w:rsidRPr="0054155A">
        <w:rPr>
          <w:rFonts w:ascii="Times New Roman" w:hAnsi="Times New Roman" w:cs="Times New Roman"/>
          <w:sz w:val="24"/>
          <w:szCs w:val="24"/>
          <w:lang w:val="es-ES"/>
        </w:rPr>
        <w:t>ctimas se preocuparían más por el hecho de una inundación futura y anticiparían las consecuencias más severas (Siegrist</w:t>
      </w:r>
      <w:r w:rsidR="00C24EEC">
        <w:rPr>
          <w:rFonts w:ascii="Times New Roman" w:hAnsi="Times New Roman" w:cs="Times New Roman"/>
          <w:sz w:val="24"/>
          <w:szCs w:val="24"/>
          <w:lang w:val="es-ES"/>
        </w:rPr>
        <w:t xml:space="preserve"> </w:t>
      </w:r>
      <w:r w:rsidR="00AB0177">
        <w:rPr>
          <w:rFonts w:ascii="Times New Roman" w:hAnsi="Times New Roman" w:cs="Times New Roman"/>
          <w:sz w:val="24"/>
          <w:szCs w:val="24"/>
          <w:lang w:val="es-ES"/>
        </w:rPr>
        <w:t>&amp;</w:t>
      </w:r>
      <w:r w:rsidR="00C24EEC">
        <w:rPr>
          <w:rFonts w:ascii="Times New Roman" w:hAnsi="Times New Roman" w:cs="Times New Roman"/>
          <w:sz w:val="24"/>
          <w:szCs w:val="24"/>
          <w:lang w:val="es-ES"/>
        </w:rPr>
        <w:t xml:space="preserve"> </w:t>
      </w:r>
      <w:r w:rsidR="00DB64D5">
        <w:rPr>
          <w:rFonts w:ascii="Times New Roman" w:hAnsi="Times New Roman" w:cs="Times New Roman"/>
          <w:sz w:val="24"/>
          <w:szCs w:val="24"/>
          <w:lang w:val="es-ES"/>
        </w:rPr>
        <w:t>Gutscher, 2008; Terpstra, 2011</w:t>
      </w:r>
      <w:r w:rsidR="00630A82" w:rsidRPr="0054155A">
        <w:rPr>
          <w:rFonts w:ascii="Times New Roman" w:hAnsi="Times New Roman" w:cs="Times New Roman"/>
          <w:sz w:val="24"/>
          <w:szCs w:val="24"/>
          <w:lang w:val="es-ES"/>
        </w:rPr>
        <w:t>).</w:t>
      </w:r>
      <w:r w:rsidR="008F76E2">
        <w:rPr>
          <w:rFonts w:ascii="Times New Roman" w:hAnsi="Times New Roman" w:cs="Times New Roman"/>
          <w:sz w:val="24"/>
          <w:szCs w:val="24"/>
          <w:lang w:val="es-ES"/>
        </w:rPr>
        <w:t xml:space="preserve"> Sin embargo estamos en mesura de proponer con estos resultados, que el temor frente la amenaza y de manera general la percepción del riesgo, no predice totalmente la realización de estrategias de afrontamiento activas o que intentan aportar a la solución de la situación. Es necesario que la percepción del riesgo vaya acompañada de un sentimiento de implicación personal, es decir, considerar que la amenaza les concierne personalmente y que existe una posibilidad de actuar eficazmente, según los resultados del análisis de mediación. De hecho une fuerte sentimiento de temor frente a una amenaza puede generar </w:t>
      </w:r>
      <w:r w:rsidR="00EC4957">
        <w:rPr>
          <w:rFonts w:ascii="Times New Roman" w:hAnsi="Times New Roman" w:cs="Times New Roman"/>
          <w:sz w:val="24"/>
          <w:szCs w:val="24"/>
          <w:lang w:val="es-ES"/>
        </w:rPr>
        <w:t>inmovilismo</w:t>
      </w:r>
      <w:r w:rsidR="008F76E2">
        <w:rPr>
          <w:rFonts w:ascii="Times New Roman" w:hAnsi="Times New Roman" w:cs="Times New Roman"/>
          <w:sz w:val="24"/>
          <w:szCs w:val="24"/>
          <w:lang w:val="es-ES"/>
        </w:rPr>
        <w:t xml:space="preserve"> y bloqueo emocional (Chauvin, </w:t>
      </w:r>
      <w:r w:rsidR="00EC4957">
        <w:rPr>
          <w:rFonts w:ascii="Times New Roman" w:hAnsi="Times New Roman" w:cs="Times New Roman"/>
          <w:sz w:val="24"/>
          <w:szCs w:val="24"/>
          <w:lang w:val="es-ES"/>
        </w:rPr>
        <w:t xml:space="preserve">2014). La hipótesis que proponemos es que para que las estrategias de afrontamiento sean eficaces, es necesario que la percepción del riesgo este acompañado de un sentimiento de implicación personal. Estos resultados están en la misma línea de aquellos expuestos por </w:t>
      </w:r>
      <w:r w:rsidR="00EC4957" w:rsidRPr="007A6E77">
        <w:rPr>
          <w:rFonts w:ascii="Times New Roman" w:hAnsi="Times New Roman" w:cs="Times New Roman"/>
          <w:sz w:val="24"/>
          <w:szCs w:val="24"/>
          <w:lang w:val="es-ES"/>
        </w:rPr>
        <w:t xml:space="preserve">López-Vázquez </w:t>
      </w:r>
      <w:r w:rsidR="00EC4957">
        <w:rPr>
          <w:rFonts w:ascii="Times New Roman" w:hAnsi="Times New Roman" w:cs="Times New Roman"/>
          <w:sz w:val="24"/>
          <w:szCs w:val="24"/>
          <w:lang w:val="es-ES"/>
        </w:rPr>
        <w:t>y</w:t>
      </w:r>
      <w:r w:rsidR="00C24EEC">
        <w:rPr>
          <w:rFonts w:ascii="Times New Roman" w:hAnsi="Times New Roman" w:cs="Times New Roman"/>
          <w:sz w:val="24"/>
          <w:szCs w:val="24"/>
          <w:lang w:val="es-ES"/>
        </w:rPr>
        <w:t xml:space="preserve"> </w:t>
      </w:r>
      <w:r w:rsidR="00EC4957" w:rsidRPr="007A6E77">
        <w:rPr>
          <w:rFonts w:ascii="Times New Roman" w:hAnsi="Times New Roman" w:cs="Times New Roman"/>
          <w:sz w:val="24"/>
          <w:szCs w:val="24"/>
          <w:lang w:val="es-ES"/>
        </w:rPr>
        <w:t>Marván</w:t>
      </w:r>
      <w:r w:rsidR="00EC4957">
        <w:rPr>
          <w:rFonts w:ascii="Times New Roman" w:hAnsi="Times New Roman" w:cs="Times New Roman"/>
          <w:sz w:val="24"/>
          <w:szCs w:val="24"/>
          <w:lang w:val="es-ES"/>
        </w:rPr>
        <w:t xml:space="preserve"> (</w:t>
      </w:r>
      <w:r w:rsidR="00EC4957" w:rsidRPr="007A6E77">
        <w:rPr>
          <w:rFonts w:ascii="Times New Roman" w:hAnsi="Times New Roman" w:cs="Times New Roman"/>
          <w:sz w:val="24"/>
          <w:szCs w:val="24"/>
          <w:lang w:val="es-ES"/>
        </w:rPr>
        <w:t>2003</w:t>
      </w:r>
      <w:r w:rsidR="00EC4957">
        <w:rPr>
          <w:rFonts w:ascii="Times New Roman" w:hAnsi="Times New Roman" w:cs="Times New Roman"/>
          <w:sz w:val="24"/>
          <w:szCs w:val="24"/>
          <w:lang w:val="es-ES"/>
        </w:rPr>
        <w:t xml:space="preserve">), quienes proponen que frente a un riesgo natural las personas tienden a desarrollar más estrategias de afrontamiento activas, contrario a aquellos que están confrontados </w:t>
      </w:r>
      <w:r w:rsidR="00EC4957">
        <w:rPr>
          <w:rFonts w:ascii="Times New Roman" w:hAnsi="Times New Roman" w:cs="Times New Roman"/>
          <w:sz w:val="24"/>
          <w:szCs w:val="24"/>
          <w:lang w:val="es-ES"/>
        </w:rPr>
        <w:lastRenderedPageBreak/>
        <w:t>a riesgos industriales. La naturaleza o tipo de riesgo podría jugar un rol importante en el sentimiento de control que se pueda percibir sobre la situación. Consideramos que sería importante probar esta hipótesis y tratar de comprender mejor este aspecto propio a la evaluación de riesgos ambientales mayores.</w:t>
      </w:r>
    </w:p>
    <w:p w14:paraId="34A13C3F" w14:textId="77777777" w:rsidR="006A37D6" w:rsidRPr="00357169" w:rsidRDefault="003F0ED2" w:rsidP="006965C4">
      <w:pPr>
        <w:pStyle w:val="Cuerpo"/>
        <w:spacing w:after="0" w:line="240" w:lineRule="auto"/>
        <w:ind w:firstLine="708"/>
        <w:rPr>
          <w:rFonts w:ascii="Times New Roman" w:hAnsi="Times New Roman" w:cs="Times New Roman"/>
          <w:sz w:val="24"/>
          <w:szCs w:val="24"/>
          <w:lang w:val="es-ES"/>
        </w:rPr>
      </w:pPr>
      <w:r>
        <w:rPr>
          <w:rFonts w:ascii="Times New Roman" w:hAnsi="Times New Roman" w:cs="Times New Roman"/>
          <w:sz w:val="24"/>
          <w:szCs w:val="24"/>
          <w:lang w:val="es-ES"/>
        </w:rPr>
        <w:t>E</w:t>
      </w:r>
      <w:r w:rsidR="00EC4957">
        <w:rPr>
          <w:rFonts w:ascii="Times New Roman" w:hAnsi="Times New Roman" w:cs="Times New Roman"/>
          <w:sz w:val="24"/>
          <w:szCs w:val="24"/>
          <w:lang w:val="es-ES"/>
        </w:rPr>
        <w:t xml:space="preserve">ste </w:t>
      </w:r>
      <w:r>
        <w:rPr>
          <w:rFonts w:ascii="Times New Roman" w:hAnsi="Times New Roman" w:cs="Times New Roman"/>
          <w:sz w:val="24"/>
          <w:szCs w:val="24"/>
          <w:lang w:val="es-ES"/>
        </w:rPr>
        <w:t xml:space="preserve">estudio permitió </w:t>
      </w:r>
      <w:r w:rsidR="00134FB9">
        <w:rPr>
          <w:rFonts w:ascii="Times New Roman" w:hAnsi="Times New Roman" w:cs="Times New Roman"/>
          <w:sz w:val="24"/>
          <w:szCs w:val="24"/>
          <w:lang w:val="es-ES"/>
        </w:rPr>
        <w:t>adaptar</w:t>
      </w:r>
      <w:r>
        <w:rPr>
          <w:rFonts w:ascii="Times New Roman" w:hAnsi="Times New Roman" w:cs="Times New Roman"/>
          <w:sz w:val="24"/>
          <w:szCs w:val="24"/>
          <w:lang w:val="es-ES"/>
        </w:rPr>
        <w:t xml:space="preserve"> las escalas </w:t>
      </w:r>
      <w:r w:rsidR="00134FB9">
        <w:rPr>
          <w:rFonts w:ascii="Times New Roman" w:hAnsi="Times New Roman" w:cs="Times New Roman"/>
          <w:sz w:val="24"/>
          <w:szCs w:val="24"/>
          <w:lang w:val="es-ES"/>
        </w:rPr>
        <w:t>a la</w:t>
      </w:r>
      <w:r>
        <w:rPr>
          <w:rFonts w:ascii="Times New Roman" w:hAnsi="Times New Roman" w:cs="Times New Roman"/>
          <w:sz w:val="24"/>
          <w:szCs w:val="24"/>
          <w:lang w:val="es-ES"/>
        </w:rPr>
        <w:t xml:space="preserve"> población colombiana</w:t>
      </w:r>
      <w:r w:rsidR="00EC4957">
        <w:rPr>
          <w:rFonts w:ascii="Times New Roman" w:hAnsi="Times New Roman" w:cs="Times New Roman"/>
          <w:sz w:val="24"/>
          <w:szCs w:val="24"/>
          <w:lang w:val="es-ES"/>
        </w:rPr>
        <w:t xml:space="preserve"> y permitió contrastar las respuestas de personas con diferentes niveles de exposición y sensibilidad al riesgo de inundación en uno de los países que ha conocido una intensificación de estos fenómenos en los últimos años por cuenta de</w:t>
      </w:r>
      <w:r w:rsidR="00D81001">
        <w:rPr>
          <w:rFonts w:ascii="Times New Roman" w:hAnsi="Times New Roman" w:cs="Times New Roman"/>
          <w:sz w:val="24"/>
          <w:szCs w:val="24"/>
          <w:lang w:val="es-ES"/>
        </w:rPr>
        <w:t>l</w:t>
      </w:r>
      <w:r w:rsidR="00EC4957">
        <w:rPr>
          <w:rFonts w:ascii="Times New Roman" w:hAnsi="Times New Roman" w:cs="Times New Roman"/>
          <w:sz w:val="24"/>
          <w:szCs w:val="24"/>
          <w:lang w:val="es-ES"/>
        </w:rPr>
        <w:t xml:space="preserve"> cambio climático global</w:t>
      </w:r>
      <w:r>
        <w:rPr>
          <w:rFonts w:ascii="Times New Roman" w:hAnsi="Times New Roman" w:cs="Times New Roman"/>
          <w:sz w:val="24"/>
          <w:szCs w:val="24"/>
          <w:lang w:val="es-ES"/>
        </w:rPr>
        <w:t>.</w:t>
      </w:r>
      <w:r w:rsidR="00D81001">
        <w:rPr>
          <w:rFonts w:ascii="Times New Roman" w:hAnsi="Times New Roman" w:cs="Times New Roman"/>
          <w:sz w:val="24"/>
          <w:szCs w:val="24"/>
        </w:rPr>
        <w:t xml:space="preserve">En ese sentido, consideramos como </w:t>
      </w:r>
      <w:r w:rsidR="000154CD" w:rsidRPr="00357169">
        <w:rPr>
          <w:rFonts w:ascii="Times New Roman" w:hAnsi="Times New Roman" w:cs="Times New Roman"/>
          <w:sz w:val="24"/>
          <w:szCs w:val="24"/>
        </w:rPr>
        <w:t>Kelle</w:t>
      </w:r>
      <w:r w:rsidR="00357169" w:rsidRPr="00357169">
        <w:rPr>
          <w:rFonts w:ascii="Times New Roman" w:hAnsi="Times New Roman" w:cs="Times New Roman"/>
          <w:sz w:val="24"/>
          <w:szCs w:val="24"/>
        </w:rPr>
        <w:t>n</w:t>
      </w:r>
      <w:r w:rsidR="000154CD" w:rsidRPr="00357169">
        <w:rPr>
          <w:rFonts w:ascii="Times New Roman" w:hAnsi="Times New Roman" w:cs="Times New Roman"/>
          <w:sz w:val="24"/>
          <w:szCs w:val="24"/>
        </w:rPr>
        <w:t>s</w:t>
      </w:r>
      <w:r w:rsidR="00357169" w:rsidRPr="00357169">
        <w:rPr>
          <w:rFonts w:ascii="Times New Roman" w:hAnsi="Times New Roman" w:cs="Times New Roman"/>
          <w:sz w:val="24"/>
          <w:szCs w:val="24"/>
        </w:rPr>
        <w:t>et al.</w:t>
      </w:r>
      <w:r w:rsidR="000154CD" w:rsidRPr="00357169">
        <w:rPr>
          <w:rFonts w:ascii="Times New Roman" w:hAnsi="Times New Roman" w:cs="Times New Roman"/>
          <w:sz w:val="24"/>
          <w:szCs w:val="24"/>
        </w:rPr>
        <w:t xml:space="preserve"> (2013)</w:t>
      </w:r>
      <w:r w:rsidR="00D81001">
        <w:rPr>
          <w:rFonts w:ascii="Times New Roman" w:hAnsi="Times New Roman" w:cs="Times New Roman"/>
          <w:sz w:val="24"/>
          <w:szCs w:val="24"/>
        </w:rPr>
        <w:t xml:space="preserve">; que es necesario </w:t>
      </w:r>
      <w:r w:rsidR="002B55F7" w:rsidRPr="00357169">
        <w:rPr>
          <w:rFonts w:ascii="Times New Roman" w:hAnsi="Times New Roman" w:cs="Times New Roman"/>
          <w:sz w:val="24"/>
          <w:szCs w:val="24"/>
        </w:rPr>
        <w:t xml:space="preserve">generar </w:t>
      </w:r>
      <w:r w:rsidR="002B55F7" w:rsidRPr="00357169">
        <w:rPr>
          <w:rStyle w:val="hps"/>
          <w:rFonts w:ascii="Times New Roman" w:hAnsi="Times New Roman" w:cs="Times New Roman"/>
          <w:sz w:val="24"/>
          <w:szCs w:val="24"/>
          <w:lang w:val="es-ES"/>
        </w:rPr>
        <w:t>más</w:t>
      </w:r>
      <w:r w:rsidR="003C55D5" w:rsidRPr="00357169">
        <w:rPr>
          <w:rStyle w:val="hps"/>
          <w:rFonts w:ascii="Times New Roman" w:hAnsi="Times New Roman" w:cs="Times New Roman"/>
          <w:sz w:val="24"/>
          <w:szCs w:val="24"/>
          <w:lang w:val="es-ES"/>
        </w:rPr>
        <w:t xml:space="preserve"> investigaciones</w:t>
      </w:r>
      <w:r w:rsidR="00C24EEC">
        <w:rPr>
          <w:rStyle w:val="hps"/>
          <w:rFonts w:ascii="Times New Roman" w:hAnsi="Times New Roman" w:cs="Times New Roman"/>
          <w:sz w:val="24"/>
          <w:szCs w:val="24"/>
          <w:lang w:val="es-ES"/>
        </w:rPr>
        <w:t xml:space="preserve"> </w:t>
      </w:r>
      <w:r w:rsidR="000F312C" w:rsidRPr="00357169">
        <w:rPr>
          <w:rStyle w:val="hps"/>
          <w:rFonts w:ascii="Times New Roman" w:hAnsi="Times New Roman" w:cs="Times New Roman"/>
          <w:sz w:val="24"/>
          <w:szCs w:val="24"/>
          <w:lang w:val="es-ES"/>
        </w:rPr>
        <w:t>sobre</w:t>
      </w:r>
      <w:r w:rsidR="006A37D6" w:rsidRPr="00357169">
        <w:rPr>
          <w:rStyle w:val="hps"/>
          <w:rFonts w:ascii="Times New Roman" w:hAnsi="Times New Roman" w:cs="Times New Roman"/>
          <w:sz w:val="24"/>
          <w:szCs w:val="24"/>
          <w:lang w:val="es-ES"/>
        </w:rPr>
        <w:t xml:space="preserve"> las prefe</w:t>
      </w:r>
      <w:r w:rsidR="006A37D6" w:rsidRPr="000154CD">
        <w:rPr>
          <w:rStyle w:val="hps"/>
          <w:rFonts w:ascii="Times New Roman" w:hAnsi="Times New Roman" w:cs="Times New Roman"/>
          <w:sz w:val="24"/>
          <w:szCs w:val="24"/>
          <w:lang w:val="es-ES"/>
        </w:rPr>
        <w:t>rencias</w:t>
      </w:r>
      <w:r w:rsidR="00C24EEC">
        <w:rPr>
          <w:rStyle w:val="hps"/>
          <w:rFonts w:ascii="Times New Roman" w:hAnsi="Times New Roman" w:cs="Times New Roman"/>
          <w:sz w:val="24"/>
          <w:szCs w:val="24"/>
          <w:lang w:val="es-ES"/>
        </w:rPr>
        <w:t xml:space="preserve"> </w:t>
      </w:r>
      <w:r w:rsidR="00D81001">
        <w:rPr>
          <w:rFonts w:ascii="Times New Roman" w:hAnsi="Times New Roman" w:cs="Times New Roman"/>
          <w:sz w:val="24"/>
          <w:szCs w:val="24"/>
          <w:lang w:val="es-ES"/>
        </w:rPr>
        <w:t xml:space="preserve">que tienen las personas, el público, a propósito </w:t>
      </w:r>
      <w:r w:rsidR="005051E4">
        <w:rPr>
          <w:rStyle w:val="hps"/>
          <w:rFonts w:ascii="Times New Roman" w:hAnsi="Times New Roman" w:cs="Times New Roman"/>
          <w:sz w:val="24"/>
          <w:szCs w:val="24"/>
          <w:lang w:val="es-ES"/>
        </w:rPr>
        <w:t>de</w:t>
      </w:r>
      <w:r w:rsidR="00C24EEC">
        <w:rPr>
          <w:rStyle w:val="hps"/>
          <w:rFonts w:ascii="Times New Roman" w:hAnsi="Times New Roman" w:cs="Times New Roman"/>
          <w:sz w:val="24"/>
          <w:szCs w:val="24"/>
          <w:lang w:val="es-ES"/>
        </w:rPr>
        <w:t xml:space="preserve"> </w:t>
      </w:r>
      <w:r w:rsidR="00D81001">
        <w:rPr>
          <w:rStyle w:val="hps"/>
          <w:rFonts w:ascii="Times New Roman" w:hAnsi="Times New Roman" w:cs="Times New Roman"/>
          <w:sz w:val="24"/>
          <w:szCs w:val="24"/>
          <w:lang w:val="es-ES"/>
        </w:rPr>
        <w:t xml:space="preserve">la </w:t>
      </w:r>
      <w:r w:rsidR="006A37D6" w:rsidRPr="000154CD">
        <w:rPr>
          <w:rStyle w:val="hps"/>
          <w:rFonts w:ascii="Times New Roman" w:hAnsi="Times New Roman" w:cs="Times New Roman"/>
          <w:sz w:val="24"/>
          <w:szCs w:val="24"/>
          <w:lang w:val="es-ES"/>
        </w:rPr>
        <w:t>información</w:t>
      </w:r>
      <w:r w:rsidR="00C24EEC">
        <w:rPr>
          <w:rStyle w:val="hps"/>
          <w:rFonts w:ascii="Times New Roman" w:hAnsi="Times New Roman" w:cs="Times New Roman"/>
          <w:sz w:val="24"/>
          <w:szCs w:val="24"/>
          <w:lang w:val="es-ES"/>
        </w:rPr>
        <w:t xml:space="preserve"> </w:t>
      </w:r>
      <w:r w:rsidR="00D81001">
        <w:rPr>
          <w:rStyle w:val="hps"/>
          <w:rFonts w:ascii="Times New Roman" w:hAnsi="Times New Roman" w:cs="Times New Roman"/>
          <w:sz w:val="24"/>
          <w:szCs w:val="24"/>
          <w:lang w:val="es-ES"/>
        </w:rPr>
        <w:t xml:space="preserve">sobre las amenazas ambientales actuales, y como estas pueden tener un </w:t>
      </w:r>
      <w:r w:rsidR="006A37D6" w:rsidRPr="000154CD">
        <w:rPr>
          <w:rStyle w:val="hps"/>
          <w:rFonts w:ascii="Times New Roman" w:hAnsi="Times New Roman" w:cs="Times New Roman"/>
          <w:sz w:val="24"/>
          <w:szCs w:val="24"/>
          <w:lang w:val="es-ES"/>
        </w:rPr>
        <w:t>efecto</w:t>
      </w:r>
      <w:r w:rsidR="00D81001">
        <w:rPr>
          <w:rStyle w:val="hps"/>
          <w:rFonts w:ascii="Times New Roman" w:hAnsi="Times New Roman" w:cs="Times New Roman"/>
          <w:sz w:val="24"/>
          <w:szCs w:val="24"/>
          <w:lang w:val="es-ES"/>
        </w:rPr>
        <w:t xml:space="preserve"> sobre</w:t>
      </w:r>
      <w:r w:rsidR="00C24EEC">
        <w:rPr>
          <w:rStyle w:val="hps"/>
          <w:rFonts w:ascii="Times New Roman" w:hAnsi="Times New Roman" w:cs="Times New Roman"/>
          <w:sz w:val="24"/>
          <w:szCs w:val="24"/>
          <w:lang w:val="es-ES"/>
        </w:rPr>
        <w:t xml:space="preserve"> </w:t>
      </w:r>
      <w:r w:rsidR="00D81001">
        <w:rPr>
          <w:rStyle w:val="hps"/>
          <w:rFonts w:ascii="Times New Roman" w:hAnsi="Times New Roman" w:cs="Times New Roman"/>
          <w:sz w:val="24"/>
          <w:szCs w:val="24"/>
          <w:lang w:val="es-ES"/>
        </w:rPr>
        <w:t>los</w:t>
      </w:r>
      <w:r w:rsidR="006A37D6" w:rsidRPr="000154CD">
        <w:rPr>
          <w:rStyle w:val="hps"/>
          <w:rFonts w:ascii="Times New Roman" w:hAnsi="Times New Roman" w:cs="Times New Roman"/>
          <w:sz w:val="24"/>
          <w:szCs w:val="24"/>
          <w:lang w:val="es-ES"/>
        </w:rPr>
        <w:t xml:space="preserve"> comportamiento</w:t>
      </w:r>
      <w:r w:rsidR="00D81001">
        <w:rPr>
          <w:rStyle w:val="hps"/>
          <w:rFonts w:ascii="Times New Roman" w:hAnsi="Times New Roman" w:cs="Times New Roman"/>
          <w:sz w:val="24"/>
          <w:szCs w:val="24"/>
          <w:lang w:val="es-ES"/>
        </w:rPr>
        <w:t xml:space="preserve">s de protección, formas de </w:t>
      </w:r>
      <w:r w:rsidR="006A37D6" w:rsidRPr="00357169">
        <w:rPr>
          <w:rStyle w:val="hps"/>
          <w:rFonts w:ascii="Times New Roman" w:hAnsi="Times New Roman" w:cs="Times New Roman"/>
          <w:sz w:val="24"/>
          <w:szCs w:val="24"/>
          <w:lang w:val="es-ES"/>
        </w:rPr>
        <w:t xml:space="preserve">adaptación </w:t>
      </w:r>
      <w:r w:rsidR="00D81001">
        <w:rPr>
          <w:rStyle w:val="hps"/>
          <w:rFonts w:ascii="Times New Roman" w:hAnsi="Times New Roman" w:cs="Times New Roman"/>
          <w:sz w:val="24"/>
          <w:szCs w:val="24"/>
          <w:lang w:val="es-ES"/>
        </w:rPr>
        <w:t>individual y colectiva al riesgo</w:t>
      </w:r>
      <w:r w:rsidR="000154CD" w:rsidRPr="00357169">
        <w:rPr>
          <w:rStyle w:val="hps"/>
          <w:rFonts w:ascii="Times New Roman" w:hAnsi="Times New Roman" w:cs="Times New Roman"/>
          <w:sz w:val="24"/>
          <w:szCs w:val="24"/>
          <w:lang w:val="es-ES"/>
        </w:rPr>
        <w:t xml:space="preserve"> de inundación</w:t>
      </w:r>
      <w:r w:rsidR="00D81001">
        <w:rPr>
          <w:rStyle w:val="hps"/>
          <w:rFonts w:ascii="Times New Roman" w:hAnsi="Times New Roman" w:cs="Times New Roman"/>
          <w:sz w:val="24"/>
          <w:szCs w:val="24"/>
          <w:lang w:val="es-ES"/>
        </w:rPr>
        <w:t>. Estos aspectos abren nuevas perspectivas de investigación en el contexto de los cambios climáticos globales</w:t>
      </w:r>
      <w:r w:rsidR="006A37D6" w:rsidRPr="00357169">
        <w:rPr>
          <w:rStyle w:val="hps"/>
          <w:rFonts w:ascii="Times New Roman" w:hAnsi="Times New Roman" w:cs="Times New Roman"/>
          <w:sz w:val="24"/>
          <w:szCs w:val="24"/>
          <w:lang w:val="es-ES"/>
        </w:rPr>
        <w:t>.</w:t>
      </w:r>
    </w:p>
    <w:p w14:paraId="28910EC9" w14:textId="77777777" w:rsidR="006A37D6" w:rsidRPr="00357169" w:rsidRDefault="006A37D6" w:rsidP="006965C4">
      <w:pPr>
        <w:pStyle w:val="Cuerpo"/>
        <w:spacing w:after="0" w:line="240" w:lineRule="auto"/>
        <w:ind w:firstLine="708"/>
        <w:jc w:val="both"/>
        <w:rPr>
          <w:rFonts w:ascii="Times New Roman" w:hAnsi="Times New Roman" w:cs="Times New Roman"/>
          <w:sz w:val="24"/>
          <w:szCs w:val="24"/>
          <w:lang w:val="es-ES"/>
        </w:rPr>
      </w:pPr>
    </w:p>
    <w:p w14:paraId="5FF0FCF3" w14:textId="77777777" w:rsidR="00B36CD8" w:rsidRPr="00357169" w:rsidRDefault="00C52220" w:rsidP="006965C4">
      <w:pPr>
        <w:pStyle w:val="Cuerpo"/>
        <w:spacing w:after="0" w:line="240" w:lineRule="auto"/>
        <w:ind w:left="709" w:hanging="709"/>
        <w:jc w:val="both"/>
        <w:rPr>
          <w:rFonts w:ascii="Times New Roman" w:eastAsia="Times New Roman Bold" w:hAnsi="Times New Roman" w:cs="Times New Roman"/>
          <w:b/>
          <w:sz w:val="24"/>
          <w:szCs w:val="24"/>
        </w:rPr>
      </w:pPr>
      <w:r w:rsidRPr="00357169">
        <w:rPr>
          <w:rFonts w:ascii="Times New Roman" w:hAnsi="Times New Roman" w:cs="Times New Roman"/>
          <w:b/>
          <w:sz w:val="24"/>
          <w:szCs w:val="24"/>
        </w:rPr>
        <w:t>Referencias bibliogr</w:t>
      </w:r>
      <w:r w:rsidR="00CB7208" w:rsidRPr="00357169">
        <w:rPr>
          <w:rFonts w:ascii="Times New Roman" w:hAnsi="Times New Roman" w:cs="Times New Roman"/>
          <w:b/>
          <w:sz w:val="24"/>
          <w:szCs w:val="24"/>
        </w:rPr>
        <w:t>áficas</w:t>
      </w:r>
    </w:p>
    <w:p w14:paraId="3B24DE81" w14:textId="77777777" w:rsidR="001E54A5" w:rsidRPr="00395F60" w:rsidRDefault="001E54A5" w:rsidP="006965C4">
      <w:pPr>
        <w:autoSpaceDE w:val="0"/>
        <w:autoSpaceDN w:val="0"/>
        <w:adjustRightInd w:val="0"/>
        <w:ind w:left="709" w:hanging="709"/>
        <w:jc w:val="both"/>
      </w:pPr>
      <w:r w:rsidRPr="00D35BD6">
        <w:rPr>
          <w:lang w:val="es-ES"/>
        </w:rPr>
        <w:t>Baggio, S.</w:t>
      </w:r>
      <w:r w:rsidR="00AB0177" w:rsidRPr="00D35BD6">
        <w:rPr>
          <w:lang w:val="es-ES"/>
        </w:rPr>
        <w:t>,</w:t>
      </w:r>
      <w:r w:rsidR="00383E3F" w:rsidRPr="00D35BD6">
        <w:rPr>
          <w:lang w:val="es-ES"/>
        </w:rPr>
        <w:t xml:space="preserve"> </w:t>
      </w:r>
      <w:r w:rsidR="009A528C" w:rsidRPr="00D35BD6">
        <w:rPr>
          <w:lang w:val="es-ES"/>
        </w:rPr>
        <w:t>&amp;</w:t>
      </w:r>
      <w:r w:rsidR="00C24EEC" w:rsidRPr="00D35BD6">
        <w:rPr>
          <w:lang w:val="es-ES"/>
        </w:rPr>
        <w:t xml:space="preserve"> </w:t>
      </w:r>
      <w:r w:rsidRPr="00D35BD6">
        <w:rPr>
          <w:lang w:val="es-ES"/>
        </w:rPr>
        <w:t xml:space="preserve">Rouquette, M-L. </w:t>
      </w:r>
      <w:r w:rsidRPr="00357169">
        <w:rPr>
          <w:lang w:val="fr-FR"/>
        </w:rPr>
        <w:t>(2006). La représe</w:t>
      </w:r>
      <w:r w:rsidR="00B1619B" w:rsidRPr="00357169">
        <w:rPr>
          <w:lang w:val="fr-FR"/>
        </w:rPr>
        <w:t>ntation sociale de l'inondation</w:t>
      </w:r>
      <w:r w:rsidRPr="00357169">
        <w:rPr>
          <w:lang w:val="fr-FR"/>
        </w:rPr>
        <w:t xml:space="preserve">: influence croisée de la proximité au risque et de l'importance de l'enjeu. </w:t>
      </w:r>
      <w:r w:rsidRPr="00395F60">
        <w:rPr>
          <w:i/>
        </w:rPr>
        <w:t>Bulletin de Psychologie</w:t>
      </w:r>
      <w:r w:rsidRPr="00395F60">
        <w:t xml:space="preserve">, </w:t>
      </w:r>
      <w:r w:rsidRPr="00395F60">
        <w:rPr>
          <w:i/>
        </w:rPr>
        <w:t>59</w:t>
      </w:r>
      <w:r w:rsidRPr="00395F60">
        <w:t>, 103-117.</w:t>
      </w:r>
    </w:p>
    <w:p w14:paraId="1078C7BE" w14:textId="77777777" w:rsidR="002546B6" w:rsidRPr="00357169" w:rsidRDefault="002546B6"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pPr>
      <w:r w:rsidRPr="00357169">
        <w:rPr>
          <w:color w:val="000000"/>
          <w:lang w:eastAsia="es-CO"/>
        </w:rPr>
        <w:t>Bernardo, F. (2013)</w:t>
      </w:r>
      <w:r w:rsidR="005D654F" w:rsidRPr="00357169">
        <w:rPr>
          <w:color w:val="000000"/>
          <w:lang w:eastAsia="es-CO"/>
        </w:rPr>
        <w:t>.</w:t>
      </w:r>
      <w:r w:rsidRPr="00357169">
        <w:rPr>
          <w:color w:val="000000"/>
          <w:lang w:eastAsia="es-CO"/>
        </w:rPr>
        <w:t xml:space="preserve"> Impact of place attachment on risk perception: Exploring the multidimensionality of risk and its magnitude. </w:t>
      </w:r>
      <w:r w:rsidRPr="00357169">
        <w:rPr>
          <w:i/>
          <w:color w:val="000000"/>
          <w:lang w:eastAsia="es-CO"/>
        </w:rPr>
        <w:t>Studies in Psychology, 34</w:t>
      </w:r>
      <w:r w:rsidR="005D654F" w:rsidRPr="00357169">
        <w:rPr>
          <w:i/>
          <w:color w:val="000000"/>
          <w:lang w:eastAsia="es-CO"/>
        </w:rPr>
        <w:t>(</w:t>
      </w:r>
      <w:r w:rsidRPr="00357169">
        <w:rPr>
          <w:i/>
          <w:color w:val="000000"/>
          <w:lang w:eastAsia="es-CO"/>
        </w:rPr>
        <w:t>3</w:t>
      </w:r>
      <w:r w:rsidR="005D654F" w:rsidRPr="00357169">
        <w:rPr>
          <w:i/>
          <w:color w:val="000000"/>
          <w:lang w:eastAsia="es-CO"/>
        </w:rPr>
        <w:t>),</w:t>
      </w:r>
      <w:r w:rsidR="005D654F" w:rsidRPr="00357169">
        <w:rPr>
          <w:color w:val="000000"/>
          <w:lang w:eastAsia="es-CO"/>
        </w:rPr>
        <w:t xml:space="preserve"> 323-329.</w:t>
      </w:r>
      <w:r w:rsidR="007E2076">
        <w:t>doi: 10.1174/021093913808349253</w:t>
      </w:r>
    </w:p>
    <w:p w14:paraId="04938571" w14:textId="77777777" w:rsidR="00F17DA3" w:rsidRPr="00357169" w:rsidRDefault="00F17DA3" w:rsidP="006965C4">
      <w:pPr>
        <w:ind w:left="709" w:hanging="709"/>
        <w:jc w:val="both"/>
      </w:pPr>
      <w:r w:rsidRPr="00357169">
        <w:t xml:space="preserve">Botzen, W. J. W., Aerts, J. C. J. H., </w:t>
      </w:r>
      <w:r w:rsidR="009A528C">
        <w:t>&amp; V</w:t>
      </w:r>
      <w:r w:rsidR="000F51A5" w:rsidRPr="00357169">
        <w:t>an den Bergh, J. C. J. M. (2009</w:t>
      </w:r>
      <w:r w:rsidRPr="00357169">
        <w:t>). Dependence of flood risk perceptions on socioeconomic and objective risk factors.</w:t>
      </w:r>
      <w:r w:rsidR="00C24EEC">
        <w:t xml:space="preserve"> </w:t>
      </w:r>
      <w:r w:rsidRPr="00357169">
        <w:rPr>
          <w:i/>
        </w:rPr>
        <w:t>Water Resources Research, 45</w:t>
      </w:r>
      <w:r w:rsidRPr="00357169">
        <w:t>, 1-15.</w:t>
      </w:r>
    </w:p>
    <w:p w14:paraId="2A72E31E" w14:textId="77777777" w:rsidR="009A0FF7" w:rsidRPr="00357169" w:rsidRDefault="009A0FF7"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pPr>
      <w:r w:rsidRPr="00357169">
        <w:rPr>
          <w:lang w:eastAsia="es-CO"/>
        </w:rPr>
        <w:t xml:space="preserve">Brun, W. (1992). Cognitive components in risk perception: Natural versus manmade risks. </w:t>
      </w:r>
      <w:r w:rsidRPr="00357169">
        <w:rPr>
          <w:i/>
          <w:iCs/>
          <w:lang w:eastAsia="es-CO"/>
        </w:rPr>
        <w:t>Journal of Behavioral Decision Making, 5</w:t>
      </w:r>
      <w:r w:rsidRPr="00357169">
        <w:rPr>
          <w:lang w:eastAsia="es-CO"/>
        </w:rPr>
        <w:t>, 117-132.</w:t>
      </w:r>
    </w:p>
    <w:p w14:paraId="147FD00A" w14:textId="77777777" w:rsidR="00F17DA3" w:rsidRPr="00357169" w:rsidRDefault="00F17DA3" w:rsidP="006965C4">
      <w:pPr>
        <w:ind w:left="709" w:hanging="709"/>
        <w:jc w:val="both"/>
        <w:rPr>
          <w:lang w:val="fr-FR"/>
        </w:rPr>
      </w:pPr>
      <w:r w:rsidRPr="00357169">
        <w:t xml:space="preserve">Burningham, K., Fielding, J., </w:t>
      </w:r>
      <w:r w:rsidR="009A528C">
        <w:t>&amp;</w:t>
      </w:r>
      <w:r w:rsidRPr="00357169">
        <w:t xml:space="preserve"> Thrush, D. (2008). ''It'll never happen to me'': Understanding public awareness of local flood risk. </w:t>
      </w:r>
      <w:r w:rsidRPr="00357169">
        <w:rPr>
          <w:i/>
          <w:lang w:val="fr-FR"/>
        </w:rPr>
        <w:t>Disasters, 32</w:t>
      </w:r>
      <w:r w:rsidRPr="00357169">
        <w:rPr>
          <w:lang w:val="fr-FR"/>
        </w:rPr>
        <w:t>(2), 216-238.</w:t>
      </w:r>
      <w:r w:rsidR="003449E5" w:rsidRPr="00A07179">
        <w:rPr>
          <w:lang w:val="fr-FR"/>
        </w:rPr>
        <w:t>doi:10.1111/</w:t>
      </w:r>
      <w:r w:rsidR="003449E5" w:rsidRPr="00A07179">
        <w:rPr>
          <w:i/>
          <w:iCs/>
          <w:lang w:val="fr-FR"/>
        </w:rPr>
        <w:t>j</w:t>
      </w:r>
      <w:r w:rsidR="003449E5" w:rsidRPr="00A07179">
        <w:rPr>
          <w:lang w:val="fr-FR"/>
        </w:rPr>
        <w:t>.1467-7717.2007.01036.x</w:t>
      </w:r>
    </w:p>
    <w:p w14:paraId="065CD6D2" w14:textId="77777777" w:rsidR="00F17DA3" w:rsidRPr="00D35BD6" w:rsidRDefault="00F17DA3" w:rsidP="006965C4">
      <w:pPr>
        <w:ind w:left="709" w:hanging="709"/>
        <w:jc w:val="both"/>
        <w:rPr>
          <w:lang w:val="fr-FR"/>
        </w:rPr>
      </w:pPr>
      <w:r w:rsidRPr="004A19C0">
        <w:rPr>
          <w:lang w:val="fr-FR"/>
        </w:rPr>
        <w:t xml:space="preserve">Cadet, B., </w:t>
      </w:r>
      <w:r w:rsidR="009A528C" w:rsidRPr="004A19C0">
        <w:rPr>
          <w:lang w:val="fr-FR"/>
        </w:rPr>
        <w:t>&amp;</w:t>
      </w:r>
      <w:r w:rsidR="00C24EEC">
        <w:rPr>
          <w:lang w:val="fr-FR"/>
        </w:rPr>
        <w:t xml:space="preserve"> </w:t>
      </w:r>
      <w:r w:rsidRPr="004A19C0">
        <w:rPr>
          <w:lang w:val="fr-FR"/>
        </w:rPr>
        <w:t xml:space="preserve">Kouabenan, D.R. (2005). </w:t>
      </w:r>
      <w:r w:rsidRPr="00357169">
        <w:rPr>
          <w:lang w:val="fr-FR"/>
        </w:rPr>
        <w:t>É</w:t>
      </w:r>
      <w:r w:rsidR="00F17609" w:rsidRPr="00357169">
        <w:rPr>
          <w:lang w:val="fr-FR"/>
        </w:rPr>
        <w:t>valuer et modéliser les risques</w:t>
      </w:r>
      <w:r w:rsidRPr="00357169">
        <w:rPr>
          <w:lang w:val="fr-FR"/>
        </w:rPr>
        <w:t xml:space="preserve">: apports et limites de différents paradigmes dans le diagnostic de sécurité. </w:t>
      </w:r>
      <w:r w:rsidRPr="00D35BD6">
        <w:rPr>
          <w:i/>
          <w:lang w:val="fr-FR"/>
        </w:rPr>
        <w:t>Le Travail Humain, 68</w:t>
      </w:r>
      <w:r w:rsidRPr="00D35BD6">
        <w:rPr>
          <w:lang w:val="fr-FR"/>
        </w:rPr>
        <w:t xml:space="preserve"> (1), 7-35.</w:t>
      </w:r>
    </w:p>
    <w:p w14:paraId="32A9D8D5" w14:textId="77777777" w:rsidR="00F17DA3" w:rsidRPr="00D920B2" w:rsidRDefault="00F17DA3" w:rsidP="006965C4">
      <w:pPr>
        <w:ind w:left="709" w:hanging="709"/>
        <w:jc w:val="both"/>
        <w:rPr>
          <w:lang w:val="fr-FR"/>
        </w:rPr>
      </w:pPr>
      <w:r w:rsidRPr="00D35BD6">
        <w:rPr>
          <w:lang w:val="fr-FR"/>
        </w:rPr>
        <w:t xml:space="preserve">Carroll, B., Balogh, R., Morbey, H., </w:t>
      </w:r>
      <w:r w:rsidR="009A528C" w:rsidRPr="00D35BD6">
        <w:rPr>
          <w:lang w:val="fr-FR"/>
        </w:rPr>
        <w:t>&amp;</w:t>
      </w:r>
      <w:r w:rsidR="00C24EEC" w:rsidRPr="00D35BD6">
        <w:rPr>
          <w:lang w:val="fr-FR"/>
        </w:rPr>
        <w:t xml:space="preserve"> </w:t>
      </w:r>
      <w:r w:rsidRPr="00D35BD6">
        <w:rPr>
          <w:lang w:val="fr-FR"/>
        </w:rPr>
        <w:t>Araoz, G. (2010).</w:t>
      </w:r>
      <w:r w:rsidR="00C24EEC" w:rsidRPr="00D35BD6">
        <w:rPr>
          <w:lang w:val="fr-FR"/>
        </w:rPr>
        <w:t xml:space="preserve"> </w:t>
      </w:r>
      <w:r w:rsidRPr="00357169">
        <w:t xml:space="preserve">Health and social impacts of a flood disaster: Responding to needs and implications for practice. </w:t>
      </w:r>
      <w:r w:rsidRPr="00D920B2">
        <w:rPr>
          <w:i/>
          <w:lang w:val="fr-FR"/>
        </w:rPr>
        <w:t>Disasters, 34</w:t>
      </w:r>
      <w:r w:rsidRPr="00D920B2">
        <w:rPr>
          <w:lang w:val="fr-FR"/>
        </w:rPr>
        <w:t>(4), 1045-1063.</w:t>
      </w:r>
      <w:r w:rsidR="003449E5" w:rsidRPr="00D920B2">
        <w:rPr>
          <w:lang w:val="fr-FR"/>
        </w:rPr>
        <w:t>doi: 10.1111/j.1467-7717.2010.01182.x</w:t>
      </w:r>
    </w:p>
    <w:p w14:paraId="38F0331A" w14:textId="070E4488" w:rsidR="002D18A4" w:rsidRPr="00357169" w:rsidRDefault="002D18A4"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lang w:val="fr-FR" w:eastAsia="es-CO"/>
        </w:rPr>
      </w:pPr>
      <w:r w:rsidRPr="004A19C0">
        <w:rPr>
          <w:lang w:val="fr-FR" w:eastAsia="es-CO"/>
        </w:rPr>
        <w:t>Chauvin, B.</w:t>
      </w:r>
      <w:r w:rsidR="00C24EEC">
        <w:rPr>
          <w:lang w:val="fr-FR" w:eastAsia="es-CO"/>
        </w:rPr>
        <w:t xml:space="preserve">, </w:t>
      </w:r>
      <w:r w:rsidR="009A528C" w:rsidRPr="004A19C0">
        <w:rPr>
          <w:lang w:val="fr-FR" w:eastAsia="es-CO"/>
        </w:rPr>
        <w:t>&amp;</w:t>
      </w:r>
      <w:r w:rsidR="00C24EEC">
        <w:rPr>
          <w:lang w:val="fr-FR" w:eastAsia="es-CO"/>
        </w:rPr>
        <w:t xml:space="preserve"> </w:t>
      </w:r>
      <w:r w:rsidRPr="004A19C0">
        <w:rPr>
          <w:lang w:val="fr-FR" w:eastAsia="es-CO"/>
        </w:rPr>
        <w:t>Hermand, D. (2008)</w:t>
      </w:r>
      <w:r w:rsidR="00EB49A7" w:rsidRPr="004A19C0">
        <w:rPr>
          <w:lang w:val="fr-FR" w:eastAsia="es-CO"/>
        </w:rPr>
        <w:t>.</w:t>
      </w:r>
      <w:r w:rsidR="00954944">
        <w:rPr>
          <w:lang w:val="fr-FR" w:eastAsia="es-CO"/>
        </w:rPr>
        <w:t xml:space="preserve"> </w:t>
      </w:r>
      <w:r w:rsidRPr="00357169">
        <w:rPr>
          <w:bCs/>
          <w:lang w:val="fr-FR" w:eastAsia="es-CO"/>
        </w:rPr>
        <w:t>Contribution du paradigme psychométrique à l’étu</w:t>
      </w:r>
      <w:r w:rsidR="00DD268C" w:rsidRPr="00357169">
        <w:rPr>
          <w:bCs/>
          <w:lang w:val="fr-FR" w:eastAsia="es-CO"/>
        </w:rPr>
        <w:t>de de la perception des risques</w:t>
      </w:r>
      <w:r w:rsidRPr="00357169">
        <w:rPr>
          <w:bCs/>
          <w:lang w:val="fr-FR" w:eastAsia="es-CO"/>
        </w:rPr>
        <w:t xml:space="preserve">: une revue de littérature de 1978 à 2005. </w:t>
      </w:r>
      <w:r w:rsidRPr="00357169">
        <w:rPr>
          <w:i/>
          <w:lang w:val="fr-FR" w:eastAsia="es-CO"/>
        </w:rPr>
        <w:t>L’année psychologique</w:t>
      </w:r>
      <w:r w:rsidRPr="00357169">
        <w:rPr>
          <w:lang w:val="fr-FR" w:eastAsia="es-CO"/>
        </w:rPr>
        <w:t xml:space="preserve">, </w:t>
      </w:r>
      <w:r w:rsidRPr="009A528C">
        <w:rPr>
          <w:i/>
          <w:lang w:val="fr-FR" w:eastAsia="es-CO"/>
        </w:rPr>
        <w:t>108</w:t>
      </w:r>
      <w:r w:rsidRPr="00357169">
        <w:rPr>
          <w:lang w:val="fr-FR" w:eastAsia="es-CO"/>
        </w:rPr>
        <w:t>, 343-386</w:t>
      </w:r>
      <w:r w:rsidR="00BA5EE6" w:rsidRPr="00357169">
        <w:rPr>
          <w:lang w:val="fr-FR" w:eastAsia="es-CO"/>
        </w:rPr>
        <w:t>.</w:t>
      </w:r>
    </w:p>
    <w:p w14:paraId="71E55079" w14:textId="77777777" w:rsidR="00F17DA3" w:rsidRPr="00A10D8E" w:rsidRDefault="00F17DA3" w:rsidP="006965C4">
      <w:pPr>
        <w:ind w:left="709" w:hanging="709"/>
        <w:jc w:val="both"/>
      </w:pPr>
      <w:r w:rsidRPr="00A10D8E">
        <w:rPr>
          <w:lang w:val="fr-FR"/>
        </w:rPr>
        <w:t xml:space="preserve">Correia, F. N., Fordham, M., Saraiva, M. D. G., </w:t>
      </w:r>
      <w:r w:rsidR="009A528C" w:rsidRPr="00A10D8E">
        <w:rPr>
          <w:lang w:val="fr-FR"/>
        </w:rPr>
        <w:t>&amp;</w:t>
      </w:r>
      <w:r w:rsidRPr="00A10D8E">
        <w:rPr>
          <w:lang w:val="fr-FR"/>
        </w:rPr>
        <w:t xml:space="preserve"> Bernardo, F. (1998). </w:t>
      </w:r>
      <w:r w:rsidRPr="00A10D8E">
        <w:t xml:space="preserve">Flood hazard assessment and management: Interface with the public. </w:t>
      </w:r>
      <w:r w:rsidRPr="00A10D8E">
        <w:rPr>
          <w:i/>
        </w:rPr>
        <w:t>Water Resources Management, 12</w:t>
      </w:r>
      <w:r w:rsidRPr="00A10D8E">
        <w:t>, 209-227.</w:t>
      </w:r>
    </w:p>
    <w:p w14:paraId="054D1E9B" w14:textId="77777777" w:rsidR="00A10D8E" w:rsidRPr="00FA3CEE" w:rsidRDefault="00A10D8E" w:rsidP="006965C4">
      <w:pPr>
        <w:pStyle w:val="Bibliographie"/>
        <w:spacing w:after="0" w:line="240" w:lineRule="auto"/>
        <w:ind w:left="709" w:hanging="709"/>
        <w:jc w:val="both"/>
        <w:rPr>
          <w:rFonts w:ascii="Times New Roman" w:hAnsi="Times New Roman" w:cs="Times New Roman"/>
          <w:sz w:val="24"/>
          <w:szCs w:val="24"/>
          <w:lang w:val="en-US"/>
        </w:rPr>
      </w:pPr>
      <w:r w:rsidRPr="00A10D8E">
        <w:rPr>
          <w:rFonts w:ascii="Times New Roman" w:hAnsi="Times New Roman" w:cs="Times New Roman"/>
          <w:sz w:val="24"/>
          <w:szCs w:val="24"/>
        </w:rPr>
        <w:t>Demarque, C., Lo Monaco, G., Apostolidis, T., &amp;</w:t>
      </w:r>
      <w:r w:rsidR="00C24EEC">
        <w:rPr>
          <w:rFonts w:ascii="Times New Roman" w:hAnsi="Times New Roman" w:cs="Times New Roman"/>
          <w:sz w:val="24"/>
          <w:szCs w:val="24"/>
        </w:rPr>
        <w:t xml:space="preserve"> </w:t>
      </w:r>
      <w:r w:rsidRPr="00A10D8E">
        <w:rPr>
          <w:rFonts w:ascii="Times New Roman" w:hAnsi="Times New Roman" w:cs="Times New Roman"/>
          <w:sz w:val="24"/>
          <w:szCs w:val="24"/>
        </w:rPr>
        <w:t xml:space="preserve">Guimelli, C. (2011). </w:t>
      </w:r>
      <w:r w:rsidRPr="00A10D8E">
        <w:rPr>
          <w:rFonts w:ascii="Times New Roman" w:hAnsi="Times New Roman" w:cs="Times New Roman"/>
          <w:sz w:val="24"/>
          <w:szCs w:val="24"/>
          <w:lang w:val="fr-FR"/>
        </w:rPr>
        <w:t xml:space="preserve">Socialisation, perspective temporelle et implication personnelle : une approche exploratoire dans le champ de l’environnement. </w:t>
      </w:r>
      <w:r w:rsidRPr="00C24EEC">
        <w:rPr>
          <w:rFonts w:ascii="Times New Roman" w:hAnsi="Times New Roman" w:cs="Times New Roman"/>
          <w:i/>
          <w:sz w:val="24"/>
          <w:szCs w:val="24"/>
          <w:lang w:val="en-US"/>
        </w:rPr>
        <w:t>Cahiers Internationaux de Psychologie</w:t>
      </w:r>
      <w:r w:rsidR="00C24EEC" w:rsidRPr="00C24EEC">
        <w:rPr>
          <w:rFonts w:ascii="Times New Roman" w:hAnsi="Times New Roman" w:cs="Times New Roman"/>
          <w:i/>
          <w:sz w:val="24"/>
          <w:szCs w:val="24"/>
          <w:lang w:val="en-US"/>
        </w:rPr>
        <w:t xml:space="preserve"> </w:t>
      </w:r>
      <w:r w:rsidRPr="00C24EEC">
        <w:rPr>
          <w:rFonts w:ascii="Times New Roman" w:hAnsi="Times New Roman" w:cs="Times New Roman"/>
          <w:i/>
          <w:sz w:val="24"/>
          <w:szCs w:val="24"/>
          <w:lang w:val="en-US"/>
        </w:rPr>
        <w:t>Sociale, 92</w:t>
      </w:r>
      <w:r w:rsidRPr="00FA3CEE">
        <w:rPr>
          <w:rFonts w:ascii="Times New Roman" w:hAnsi="Times New Roman" w:cs="Times New Roman"/>
          <w:sz w:val="24"/>
          <w:szCs w:val="24"/>
          <w:lang w:val="en-US"/>
        </w:rPr>
        <w:t>, 353-369.</w:t>
      </w:r>
    </w:p>
    <w:p w14:paraId="7A9BE278" w14:textId="77777777" w:rsidR="00DF2470" w:rsidRPr="009271CD" w:rsidRDefault="00DF2470" w:rsidP="006965C4">
      <w:pPr>
        <w:ind w:left="567" w:hanging="567"/>
        <w:jc w:val="both"/>
        <w:rPr>
          <w:lang w:val="en-GB"/>
        </w:rPr>
      </w:pPr>
      <w:r w:rsidRPr="009271CD">
        <w:rPr>
          <w:lang w:val="en-GB"/>
        </w:rPr>
        <w:t>Gruev-Vintila</w:t>
      </w:r>
      <w:r w:rsidR="00C24EEC">
        <w:rPr>
          <w:lang w:val="en-GB"/>
        </w:rPr>
        <w:t xml:space="preserve"> </w:t>
      </w:r>
      <w:r w:rsidRPr="009271CD">
        <w:rPr>
          <w:lang w:val="en-GB"/>
        </w:rPr>
        <w:t>&amp;</w:t>
      </w:r>
      <w:r w:rsidR="00C24EEC">
        <w:rPr>
          <w:lang w:val="en-GB"/>
        </w:rPr>
        <w:t xml:space="preserve"> </w:t>
      </w:r>
      <w:r w:rsidRPr="009271CD">
        <w:rPr>
          <w:lang w:val="en-GB"/>
        </w:rPr>
        <w:t>Rouquette (2007) Soc</w:t>
      </w:r>
      <w:r>
        <w:rPr>
          <w:lang w:val="en-GB"/>
        </w:rPr>
        <w:t>ial thinking about collective Ri</w:t>
      </w:r>
      <w:r w:rsidRPr="009271CD">
        <w:rPr>
          <w:lang w:val="en-GB"/>
        </w:rPr>
        <w:t>sk: How do risk-related practice and personal involvement impact its social representations?</w:t>
      </w:r>
      <w:r w:rsidR="00C24EEC">
        <w:rPr>
          <w:lang w:val="en-GB"/>
        </w:rPr>
        <w:t xml:space="preserve"> </w:t>
      </w:r>
      <w:r w:rsidRPr="005A3DA0">
        <w:rPr>
          <w:i/>
          <w:lang w:val="en-GB"/>
        </w:rPr>
        <w:t>Journal of Risk Research, 10</w:t>
      </w:r>
      <w:r>
        <w:rPr>
          <w:lang w:val="en-GB"/>
        </w:rPr>
        <w:t xml:space="preserve"> (4), 555-581.</w:t>
      </w:r>
    </w:p>
    <w:p w14:paraId="494BFE58" w14:textId="77777777" w:rsidR="00F72A68" w:rsidRPr="00A07179" w:rsidRDefault="00F72A68" w:rsidP="006965C4">
      <w:pPr>
        <w:pStyle w:val="Bibliographie"/>
        <w:spacing w:after="0" w:line="240" w:lineRule="auto"/>
        <w:ind w:left="709" w:hanging="709"/>
        <w:jc w:val="both"/>
        <w:rPr>
          <w:rFonts w:ascii="Times New Roman" w:hAnsi="Times New Roman" w:cs="Times New Roman"/>
          <w:sz w:val="24"/>
          <w:szCs w:val="24"/>
          <w:lang w:val="fr-FR"/>
        </w:rPr>
      </w:pPr>
      <w:r w:rsidRPr="00A10D8E">
        <w:rPr>
          <w:rFonts w:ascii="Times New Roman" w:hAnsi="Times New Roman" w:cs="Times New Roman"/>
          <w:sz w:val="24"/>
          <w:szCs w:val="24"/>
          <w:lang w:val="pt-PT"/>
        </w:rPr>
        <w:lastRenderedPageBreak/>
        <w:t>Kellens</w:t>
      </w:r>
      <w:r w:rsidRPr="00357169">
        <w:rPr>
          <w:rFonts w:ascii="Times New Roman" w:hAnsi="Times New Roman" w:cs="Times New Roman"/>
          <w:sz w:val="24"/>
          <w:szCs w:val="24"/>
          <w:lang w:val="pt-PT"/>
        </w:rPr>
        <w:t>, W., Terpstra, T.</w:t>
      </w:r>
      <w:r w:rsidR="00D62C57">
        <w:rPr>
          <w:rFonts w:ascii="Times New Roman" w:hAnsi="Times New Roman" w:cs="Times New Roman"/>
          <w:sz w:val="24"/>
          <w:szCs w:val="24"/>
          <w:lang w:val="pt-PT"/>
        </w:rPr>
        <w:t>,</w:t>
      </w:r>
      <w:r w:rsidR="009A528C">
        <w:rPr>
          <w:rFonts w:ascii="Times New Roman" w:hAnsi="Times New Roman" w:cs="Times New Roman"/>
          <w:sz w:val="24"/>
          <w:szCs w:val="24"/>
          <w:lang w:val="pt-PT"/>
        </w:rPr>
        <w:t>&amp;</w:t>
      </w:r>
      <w:r w:rsidRPr="00357169">
        <w:rPr>
          <w:rFonts w:ascii="Times New Roman" w:hAnsi="Times New Roman" w:cs="Times New Roman"/>
          <w:sz w:val="24"/>
          <w:szCs w:val="24"/>
          <w:lang w:val="pt-PT"/>
        </w:rPr>
        <w:t xml:space="preserve"> De Maeyer, P. (2013). </w:t>
      </w:r>
      <w:r w:rsidRPr="00357169">
        <w:rPr>
          <w:rFonts w:ascii="Times New Roman" w:hAnsi="Times New Roman" w:cs="Times New Roman"/>
          <w:sz w:val="24"/>
          <w:szCs w:val="24"/>
          <w:lang w:val="en-US"/>
        </w:rPr>
        <w:t xml:space="preserve">Perception and Communication of Flood Risks: A Systematic Review of Empirical Research. </w:t>
      </w:r>
      <w:r w:rsidRPr="00A07179">
        <w:rPr>
          <w:rFonts w:ascii="Times New Roman" w:hAnsi="Times New Roman" w:cs="Times New Roman"/>
          <w:i/>
          <w:sz w:val="24"/>
          <w:szCs w:val="24"/>
          <w:lang w:val="fr-FR"/>
        </w:rPr>
        <w:t>Risk</w:t>
      </w:r>
      <w:r w:rsidR="00C24EEC">
        <w:rPr>
          <w:rFonts w:ascii="Times New Roman" w:hAnsi="Times New Roman" w:cs="Times New Roman"/>
          <w:i/>
          <w:sz w:val="24"/>
          <w:szCs w:val="24"/>
          <w:lang w:val="fr-FR"/>
        </w:rPr>
        <w:t xml:space="preserve"> </w:t>
      </w:r>
      <w:r w:rsidRPr="00A07179">
        <w:rPr>
          <w:rFonts w:ascii="Times New Roman" w:hAnsi="Times New Roman" w:cs="Times New Roman"/>
          <w:i/>
          <w:sz w:val="24"/>
          <w:szCs w:val="24"/>
          <w:lang w:val="fr-FR"/>
        </w:rPr>
        <w:t>Analysis, 33</w:t>
      </w:r>
      <w:r w:rsidR="00BA5EE6" w:rsidRPr="00A07179">
        <w:rPr>
          <w:rFonts w:ascii="Times New Roman" w:hAnsi="Times New Roman" w:cs="Times New Roman"/>
          <w:i/>
          <w:sz w:val="24"/>
          <w:szCs w:val="24"/>
          <w:lang w:val="fr-FR"/>
        </w:rPr>
        <w:t>,</w:t>
      </w:r>
      <w:r w:rsidR="003A6109" w:rsidRPr="00A07179">
        <w:rPr>
          <w:rFonts w:ascii="Times New Roman" w:hAnsi="Times New Roman" w:cs="Times New Roman"/>
          <w:sz w:val="24"/>
          <w:szCs w:val="24"/>
          <w:lang w:val="fr-FR"/>
        </w:rPr>
        <w:t> 24–49.</w:t>
      </w:r>
      <w:r w:rsidR="00D62C57" w:rsidRPr="00C24EEC">
        <w:rPr>
          <w:rStyle w:val="lev"/>
          <w:rFonts w:ascii="Times New Roman" w:hAnsi="Times New Roman" w:cs="Times New Roman"/>
          <w:b w:val="0"/>
          <w:sz w:val="24"/>
          <w:szCs w:val="24"/>
          <w:lang w:val="fr-FR"/>
        </w:rPr>
        <w:t>doi</w:t>
      </w:r>
      <w:r w:rsidR="00D62C57" w:rsidRPr="00A07179">
        <w:rPr>
          <w:rStyle w:val="lev"/>
          <w:rFonts w:ascii="Times New Roman" w:hAnsi="Times New Roman" w:cs="Times New Roman"/>
          <w:sz w:val="24"/>
          <w:szCs w:val="24"/>
          <w:lang w:val="fr-FR"/>
        </w:rPr>
        <w:t>:</w:t>
      </w:r>
      <w:r w:rsidR="00D62C57" w:rsidRPr="00A07179">
        <w:rPr>
          <w:rFonts w:ascii="Times New Roman" w:hAnsi="Times New Roman" w:cs="Times New Roman"/>
          <w:sz w:val="24"/>
          <w:szCs w:val="24"/>
          <w:lang w:val="fr-FR"/>
        </w:rPr>
        <w:t xml:space="preserve"> 10.1111/j.1539-6924.2012.01844.x</w:t>
      </w:r>
    </w:p>
    <w:p w14:paraId="03694D6A" w14:textId="77777777" w:rsidR="006319B8" w:rsidRPr="008E271E" w:rsidRDefault="006319B8" w:rsidP="006965C4">
      <w:pPr>
        <w:ind w:left="709" w:hanging="709"/>
        <w:jc w:val="both"/>
        <w:rPr>
          <w:lang w:val="fr-FR"/>
        </w:rPr>
      </w:pPr>
      <w:r w:rsidRPr="009A528C">
        <w:rPr>
          <w:lang w:val="fr-FR"/>
        </w:rPr>
        <w:t xml:space="preserve">Kellens, W., Zaalberg, R., Neutens, T., Vanneuville, W., </w:t>
      </w:r>
      <w:r w:rsidR="009A528C">
        <w:rPr>
          <w:lang w:val="fr-FR"/>
        </w:rPr>
        <w:t>&amp;</w:t>
      </w:r>
      <w:r w:rsidRPr="009A528C">
        <w:rPr>
          <w:lang w:val="fr-FR"/>
        </w:rPr>
        <w:t xml:space="preserve"> De Maeyer, P. (2011). </w:t>
      </w:r>
      <w:r w:rsidRPr="00357169">
        <w:t>An analysis of the public perception of flood risk on the Belgian coast.</w:t>
      </w:r>
      <w:r w:rsidR="00C24EEC">
        <w:t xml:space="preserve"> </w:t>
      </w:r>
      <w:r w:rsidRPr="008E271E">
        <w:rPr>
          <w:i/>
          <w:lang w:val="fr-FR"/>
        </w:rPr>
        <w:t>Risk</w:t>
      </w:r>
      <w:r w:rsidR="00C24EEC" w:rsidRPr="008E271E">
        <w:rPr>
          <w:i/>
          <w:lang w:val="fr-FR"/>
        </w:rPr>
        <w:t xml:space="preserve"> </w:t>
      </w:r>
      <w:r w:rsidRPr="008E271E">
        <w:rPr>
          <w:i/>
          <w:lang w:val="fr-FR"/>
        </w:rPr>
        <w:t>Analysis</w:t>
      </w:r>
      <w:r w:rsidRPr="008E271E">
        <w:rPr>
          <w:lang w:val="fr-FR"/>
        </w:rPr>
        <w:t xml:space="preserve">, </w:t>
      </w:r>
      <w:r w:rsidR="00F00B09" w:rsidRPr="008E271E">
        <w:rPr>
          <w:rStyle w:val="st"/>
          <w:i/>
          <w:lang w:val="fr-FR"/>
        </w:rPr>
        <w:t>31</w:t>
      </w:r>
      <w:r w:rsidR="00135A24" w:rsidRPr="008E271E">
        <w:rPr>
          <w:rStyle w:val="st"/>
          <w:lang w:val="fr-FR"/>
        </w:rPr>
        <w:t>(7)</w:t>
      </w:r>
      <w:r w:rsidR="00F00B09" w:rsidRPr="008E271E">
        <w:rPr>
          <w:rStyle w:val="st"/>
          <w:lang w:val="fr-FR"/>
        </w:rPr>
        <w:t xml:space="preserve"> 1055–1068</w:t>
      </w:r>
      <w:r w:rsidRPr="008E271E">
        <w:rPr>
          <w:lang w:val="fr-FR"/>
        </w:rPr>
        <w:t>.</w:t>
      </w:r>
      <w:r w:rsidR="00D62C57" w:rsidRPr="008E271E">
        <w:rPr>
          <w:lang w:val="fr-FR"/>
        </w:rPr>
        <w:t>doi: 10.1111/j.1539-6924.2010.01571.x</w:t>
      </w:r>
    </w:p>
    <w:p w14:paraId="79CB8E02" w14:textId="77777777" w:rsidR="003E7075" w:rsidRPr="00FA3CEE" w:rsidRDefault="000F51A5"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lang w:val="es-ES" w:eastAsia="es-CO"/>
        </w:rPr>
      </w:pPr>
      <w:r w:rsidRPr="008E271E">
        <w:rPr>
          <w:lang w:val="fr-FR"/>
        </w:rPr>
        <w:t xml:space="preserve">Lazarus, R. </w:t>
      </w:r>
      <w:r w:rsidR="00CA0039" w:rsidRPr="008E271E">
        <w:rPr>
          <w:lang w:val="fr-FR"/>
        </w:rPr>
        <w:t>S.</w:t>
      </w:r>
      <w:r w:rsidR="00D62C57" w:rsidRPr="008E271E">
        <w:rPr>
          <w:lang w:val="fr-FR"/>
        </w:rPr>
        <w:t>,</w:t>
      </w:r>
      <w:r w:rsidR="00C24EEC" w:rsidRPr="008E271E">
        <w:rPr>
          <w:lang w:val="fr-FR"/>
        </w:rPr>
        <w:t xml:space="preserve"> </w:t>
      </w:r>
      <w:r w:rsidR="009A528C" w:rsidRPr="008E271E">
        <w:rPr>
          <w:lang w:val="fr-FR"/>
        </w:rPr>
        <w:t>&amp;</w:t>
      </w:r>
      <w:r w:rsidR="00C24EEC" w:rsidRPr="008E271E">
        <w:rPr>
          <w:lang w:val="fr-FR"/>
        </w:rPr>
        <w:t xml:space="preserve"> </w:t>
      </w:r>
      <w:r w:rsidR="00CA0039" w:rsidRPr="008E271E">
        <w:rPr>
          <w:lang w:val="fr-FR"/>
        </w:rPr>
        <w:t>Folkman S. (1986</w:t>
      </w:r>
      <w:r w:rsidR="003E7075" w:rsidRPr="008E271E">
        <w:rPr>
          <w:lang w:val="fr-FR"/>
        </w:rPr>
        <w:t>)</w:t>
      </w:r>
      <w:r w:rsidR="00BA5EE6" w:rsidRPr="008E271E">
        <w:rPr>
          <w:lang w:val="fr-FR"/>
        </w:rPr>
        <w:t>.</w:t>
      </w:r>
      <w:r w:rsidR="00C24EEC" w:rsidRPr="008E271E">
        <w:rPr>
          <w:lang w:val="fr-FR"/>
        </w:rPr>
        <w:t xml:space="preserve"> </w:t>
      </w:r>
      <w:r w:rsidR="00CA0039" w:rsidRPr="00CA0039">
        <w:rPr>
          <w:i/>
          <w:lang w:val="es-CO"/>
        </w:rPr>
        <w:t xml:space="preserve">Estrés y procesos cognitivos. </w:t>
      </w:r>
      <w:r w:rsidR="00CA0039" w:rsidRPr="00FA3CEE">
        <w:rPr>
          <w:lang w:val="es-ES"/>
        </w:rPr>
        <w:t>Barcelona: Martínez Roca</w:t>
      </w:r>
      <w:r w:rsidR="003A6109" w:rsidRPr="00FA3CEE">
        <w:rPr>
          <w:lang w:val="es-ES" w:eastAsia="es-CO"/>
        </w:rPr>
        <w:t>.</w:t>
      </w:r>
    </w:p>
    <w:p w14:paraId="1113CCE7" w14:textId="77777777" w:rsidR="00DF2470" w:rsidRDefault="00DF2470" w:rsidP="006965C4">
      <w:pPr>
        <w:ind w:left="709" w:hanging="709"/>
        <w:jc w:val="both"/>
      </w:pPr>
      <w:r w:rsidRPr="008E271E">
        <w:rPr>
          <w:lang w:val="fr-FR"/>
        </w:rPr>
        <w:t xml:space="preserve">Lheureux, F., Lo Monaco, G., et Guimelli, C. (2011). </w:t>
      </w:r>
      <w:r w:rsidRPr="00FA3CEE">
        <w:rPr>
          <w:lang w:val="fr-FR"/>
        </w:rPr>
        <w:t xml:space="preserve">Entre représentation et intention de pratiques : l’implication. </w:t>
      </w:r>
      <w:r w:rsidRPr="00DF2470">
        <w:rPr>
          <w:i/>
        </w:rPr>
        <w:t>Interamerican Journal of Psychology, 45</w:t>
      </w:r>
      <w:r w:rsidRPr="00DF2470">
        <w:t>(1), 61-76.</w:t>
      </w:r>
    </w:p>
    <w:p w14:paraId="3FA87C3B" w14:textId="77777777" w:rsidR="006319B8" w:rsidRPr="00357169" w:rsidRDefault="006319B8" w:rsidP="006965C4">
      <w:pPr>
        <w:ind w:left="709" w:hanging="709"/>
        <w:jc w:val="both"/>
      </w:pPr>
      <w:r w:rsidRPr="009A528C">
        <w:t xml:space="preserve">Lindell, M. K., </w:t>
      </w:r>
      <w:r w:rsidR="009A528C" w:rsidRPr="009A528C">
        <w:t>&amp;</w:t>
      </w:r>
      <w:r w:rsidRPr="009A528C">
        <w:t xml:space="preserve"> Hwang, S. N. (2008).</w:t>
      </w:r>
      <w:r w:rsidR="00C24EEC">
        <w:t xml:space="preserve"> </w:t>
      </w:r>
      <w:r w:rsidRPr="00357169">
        <w:t xml:space="preserve">Households’ perceived personal risk and responses in a multihazard environment. </w:t>
      </w:r>
      <w:r w:rsidRPr="00357169">
        <w:rPr>
          <w:i/>
        </w:rPr>
        <w:t>Risk Analysis, 28</w:t>
      </w:r>
      <w:r w:rsidRPr="00357169">
        <w:t>(2), 539-556.</w:t>
      </w:r>
      <w:r w:rsidR="00D62C57">
        <w:rPr>
          <w:rStyle w:val="st"/>
        </w:rPr>
        <w:t>doi: 10.1111/j.1539-6924.2008.01032.x</w:t>
      </w:r>
    </w:p>
    <w:p w14:paraId="3DB2B3C2" w14:textId="77777777" w:rsidR="0062404C" w:rsidRPr="00D920B2" w:rsidRDefault="0062404C"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pPr>
      <w:r w:rsidRPr="00357169">
        <w:rPr>
          <w:lang w:val="pt-PT" w:eastAsia="es-CO"/>
        </w:rPr>
        <w:t>López-Vázquez, E.</w:t>
      </w:r>
      <w:r w:rsidR="00D62C57">
        <w:rPr>
          <w:lang w:val="pt-PT" w:eastAsia="es-CO"/>
        </w:rPr>
        <w:t>,</w:t>
      </w:r>
      <w:r w:rsidR="009A528C">
        <w:rPr>
          <w:lang w:val="pt-PT" w:eastAsia="es-CO"/>
        </w:rPr>
        <w:t>&amp;</w:t>
      </w:r>
      <w:r w:rsidRPr="00357169">
        <w:rPr>
          <w:lang w:val="pt-PT" w:eastAsia="es-CO"/>
        </w:rPr>
        <w:t xml:space="preserve"> Marván, M. L. </w:t>
      </w:r>
      <w:r w:rsidRPr="00D35BD6">
        <w:rPr>
          <w:lang w:eastAsia="es-CO"/>
        </w:rPr>
        <w:t xml:space="preserve">(2003). </w:t>
      </w:r>
      <w:r w:rsidRPr="00357169">
        <w:rPr>
          <w:lang w:eastAsia="es-CO"/>
        </w:rPr>
        <w:t>Risk perception, stress and coping strategies in two catastrophe risk situations.</w:t>
      </w:r>
      <w:r w:rsidR="00C24EEC">
        <w:rPr>
          <w:lang w:eastAsia="es-CO"/>
        </w:rPr>
        <w:t xml:space="preserve"> </w:t>
      </w:r>
      <w:r w:rsidRPr="00D920B2">
        <w:rPr>
          <w:rStyle w:val="st"/>
          <w:i/>
        </w:rPr>
        <w:t>Social Behavior and Personality</w:t>
      </w:r>
      <w:r w:rsidRPr="00D920B2">
        <w:rPr>
          <w:i/>
          <w:lang w:eastAsia="es-CO"/>
        </w:rPr>
        <w:t>,</w:t>
      </w:r>
      <w:r w:rsidR="00383E3F">
        <w:rPr>
          <w:i/>
          <w:lang w:eastAsia="es-CO"/>
        </w:rPr>
        <w:t xml:space="preserve"> </w:t>
      </w:r>
      <w:r w:rsidRPr="00D920B2">
        <w:rPr>
          <w:i/>
          <w:lang w:eastAsia="es-CO"/>
        </w:rPr>
        <w:t>31(</w:t>
      </w:r>
      <w:r w:rsidRPr="00D920B2">
        <w:rPr>
          <w:lang w:eastAsia="es-CO"/>
        </w:rPr>
        <w:t>1)</w:t>
      </w:r>
      <w:r w:rsidRPr="00D920B2">
        <w:rPr>
          <w:i/>
          <w:lang w:eastAsia="es-CO"/>
        </w:rPr>
        <w:t>,</w:t>
      </w:r>
      <w:r w:rsidRPr="00D920B2">
        <w:rPr>
          <w:lang w:eastAsia="es-CO"/>
        </w:rPr>
        <w:t xml:space="preserve"> 61-70.</w:t>
      </w:r>
    </w:p>
    <w:p w14:paraId="0BA6E888" w14:textId="77777777" w:rsidR="0062404C" w:rsidRPr="00C24EEC" w:rsidRDefault="0062404C"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i/>
          <w:iCs/>
          <w:lang w:eastAsia="es-CO"/>
        </w:rPr>
      </w:pPr>
      <w:r w:rsidRPr="00D35BD6">
        <w:rPr>
          <w:lang w:eastAsia="es-CO"/>
        </w:rPr>
        <w:t>López-Vázquez, E.</w:t>
      </w:r>
      <w:r w:rsidR="00D62C57" w:rsidRPr="00D35BD6">
        <w:rPr>
          <w:lang w:eastAsia="es-CO"/>
        </w:rPr>
        <w:t>,</w:t>
      </w:r>
      <w:r w:rsidR="00C24EEC" w:rsidRPr="00D35BD6">
        <w:rPr>
          <w:lang w:eastAsia="es-CO"/>
        </w:rPr>
        <w:t xml:space="preserve"> </w:t>
      </w:r>
      <w:r w:rsidR="009A528C" w:rsidRPr="00D35BD6">
        <w:rPr>
          <w:lang w:eastAsia="es-CO"/>
        </w:rPr>
        <w:t>&amp;</w:t>
      </w:r>
      <w:r w:rsidR="00C24EEC" w:rsidRPr="00D35BD6">
        <w:rPr>
          <w:lang w:eastAsia="es-CO"/>
        </w:rPr>
        <w:t xml:space="preserve"> </w:t>
      </w:r>
      <w:r w:rsidRPr="00D35BD6">
        <w:rPr>
          <w:lang w:eastAsia="es-CO"/>
        </w:rPr>
        <w:t>Marván M. L. (2004).</w:t>
      </w:r>
      <w:r w:rsidR="006A04DB" w:rsidRPr="00D35BD6">
        <w:rPr>
          <w:lang w:eastAsia="es-CO"/>
        </w:rPr>
        <w:t xml:space="preserve"> </w:t>
      </w:r>
      <w:r w:rsidRPr="00357169">
        <w:rPr>
          <w:lang w:val="es-ES" w:eastAsia="es-CO"/>
        </w:rPr>
        <w:t xml:space="preserve">Validación de una escala de afrontamiento frente a riesgos extremos. </w:t>
      </w:r>
      <w:r w:rsidRPr="00C24EEC">
        <w:rPr>
          <w:i/>
          <w:lang w:eastAsia="es-CO"/>
        </w:rPr>
        <w:t>S</w:t>
      </w:r>
      <w:r w:rsidRPr="00C24EEC">
        <w:rPr>
          <w:i/>
          <w:iCs/>
          <w:lang w:eastAsia="es-CO"/>
        </w:rPr>
        <w:t>alud</w:t>
      </w:r>
      <w:r w:rsidR="00C24EEC" w:rsidRPr="00C24EEC">
        <w:rPr>
          <w:i/>
          <w:iCs/>
          <w:lang w:eastAsia="es-CO"/>
        </w:rPr>
        <w:t xml:space="preserve"> </w:t>
      </w:r>
      <w:r w:rsidRPr="00C24EEC">
        <w:rPr>
          <w:i/>
          <w:iCs/>
          <w:lang w:eastAsia="es-CO"/>
        </w:rPr>
        <w:t>Pública de México</w:t>
      </w:r>
      <w:r w:rsidRPr="00C24EEC">
        <w:rPr>
          <w:iCs/>
          <w:lang w:eastAsia="es-CO"/>
        </w:rPr>
        <w:t xml:space="preserve">, </w:t>
      </w:r>
      <w:r w:rsidRPr="00C24EEC">
        <w:rPr>
          <w:i/>
          <w:iCs/>
          <w:lang w:eastAsia="es-CO"/>
        </w:rPr>
        <w:t>46</w:t>
      </w:r>
      <w:r w:rsidRPr="00C24EEC">
        <w:rPr>
          <w:iCs/>
          <w:lang w:eastAsia="es-CO"/>
        </w:rPr>
        <w:t>(3), 216-221.</w:t>
      </w:r>
    </w:p>
    <w:p w14:paraId="1D334EB9" w14:textId="77777777" w:rsidR="006319B8" w:rsidRPr="00BF2276" w:rsidRDefault="006319B8" w:rsidP="006965C4">
      <w:pPr>
        <w:ind w:left="709" w:hanging="709"/>
        <w:jc w:val="both"/>
      </w:pPr>
      <w:r w:rsidRPr="00357169">
        <w:t>López-Vázquez, E.</w:t>
      </w:r>
      <w:r w:rsidR="00D62C57">
        <w:t>,</w:t>
      </w:r>
      <w:r w:rsidR="00C24EEC">
        <w:t xml:space="preserve"> </w:t>
      </w:r>
      <w:r w:rsidR="009A528C">
        <w:t>&amp;</w:t>
      </w:r>
      <w:r w:rsidR="00C24EEC">
        <w:t xml:space="preserve"> </w:t>
      </w:r>
      <w:r w:rsidRPr="00357169">
        <w:t xml:space="preserve">Marván, M.L. (2012) Volcanic risk perception, locus of control, stress and coping responses of people living near the Popocatépetl volcano in Mexico. </w:t>
      </w:r>
      <w:r w:rsidRPr="00221B06">
        <w:rPr>
          <w:i/>
        </w:rPr>
        <w:t>Journal of Risk Analysis and Crisis Response, 2</w:t>
      </w:r>
      <w:r w:rsidR="00B571D4" w:rsidRPr="00221B06">
        <w:t>, 3-12</w:t>
      </w:r>
      <w:r w:rsidR="00B571D4" w:rsidRPr="00BF2276">
        <w:t>.</w:t>
      </w:r>
      <w:r w:rsidR="00BF2276" w:rsidRPr="00BF2276">
        <w:rPr>
          <w:bCs/>
        </w:rPr>
        <w:t>doi: 10.2991/jracr.2012.2.1.1</w:t>
      </w:r>
    </w:p>
    <w:p w14:paraId="545FD437" w14:textId="71DD7A6A" w:rsidR="00C8234A" w:rsidRPr="00357169" w:rsidRDefault="00C8234A" w:rsidP="006965C4">
      <w:pPr>
        <w:ind w:left="709" w:hanging="709"/>
        <w:jc w:val="both"/>
      </w:pPr>
      <w:r w:rsidRPr="00A07179">
        <w:t xml:space="preserve">Miceli, R., Sotgiu, I., </w:t>
      </w:r>
      <w:r w:rsidR="009A528C" w:rsidRPr="00A07179">
        <w:t>&amp;</w:t>
      </w:r>
      <w:r w:rsidR="00C24EEC">
        <w:t xml:space="preserve"> </w:t>
      </w:r>
      <w:r w:rsidRPr="00A07179">
        <w:t>Settanni, M. (2008).</w:t>
      </w:r>
      <w:r w:rsidR="00954944">
        <w:t xml:space="preserve"> </w:t>
      </w:r>
      <w:r w:rsidRPr="00357169">
        <w:t xml:space="preserve">Disaster preparedness and perception of flood risk: A study in an alpine valley in Italy. </w:t>
      </w:r>
      <w:r w:rsidRPr="00357169">
        <w:rPr>
          <w:i/>
        </w:rPr>
        <w:t>Journal of Environmental Psychology, 28</w:t>
      </w:r>
      <w:r w:rsidRPr="00357169">
        <w:t>, 164-173.</w:t>
      </w:r>
    </w:p>
    <w:p w14:paraId="7B5D26FB" w14:textId="0DAD016C" w:rsidR="00A745B6" w:rsidRPr="00357169" w:rsidRDefault="00A745B6" w:rsidP="006965C4">
      <w:pPr>
        <w:pStyle w:val="Bibliographie"/>
        <w:spacing w:after="0" w:line="240" w:lineRule="auto"/>
        <w:ind w:left="709" w:hanging="709"/>
        <w:jc w:val="both"/>
        <w:rPr>
          <w:rFonts w:ascii="Times New Roman" w:hAnsi="Times New Roman" w:cs="Times New Roman"/>
          <w:sz w:val="24"/>
          <w:szCs w:val="24"/>
          <w:lang w:val="en-US"/>
        </w:rPr>
      </w:pPr>
      <w:r w:rsidRPr="00357169">
        <w:rPr>
          <w:rFonts w:ascii="Times New Roman" w:hAnsi="Times New Roman" w:cs="Times New Roman"/>
          <w:sz w:val="24"/>
          <w:szCs w:val="24"/>
          <w:lang w:val="en-US"/>
        </w:rPr>
        <w:t>Moos, R.H.</w:t>
      </w:r>
      <w:r w:rsidR="00BF2276">
        <w:rPr>
          <w:rFonts w:ascii="Times New Roman" w:hAnsi="Times New Roman" w:cs="Times New Roman"/>
          <w:sz w:val="24"/>
          <w:szCs w:val="24"/>
          <w:lang w:val="en-US"/>
        </w:rPr>
        <w:t>,</w:t>
      </w:r>
      <w:r w:rsidR="00383E3F">
        <w:rPr>
          <w:rFonts w:ascii="Times New Roman" w:hAnsi="Times New Roman" w:cs="Times New Roman"/>
          <w:sz w:val="24"/>
          <w:szCs w:val="24"/>
          <w:lang w:val="en-US"/>
        </w:rPr>
        <w:t xml:space="preserve"> </w:t>
      </w:r>
      <w:r w:rsidR="009A528C">
        <w:rPr>
          <w:rFonts w:ascii="Times New Roman" w:hAnsi="Times New Roman" w:cs="Times New Roman"/>
          <w:sz w:val="24"/>
          <w:szCs w:val="24"/>
          <w:lang w:val="en-US"/>
        </w:rPr>
        <w:t>&amp;</w:t>
      </w:r>
      <w:r w:rsidRPr="00357169">
        <w:rPr>
          <w:rFonts w:ascii="Times New Roman" w:hAnsi="Times New Roman" w:cs="Times New Roman"/>
          <w:sz w:val="24"/>
          <w:szCs w:val="24"/>
          <w:lang w:val="en-US"/>
        </w:rPr>
        <w:t xml:space="preserve"> Billings, A.G. (1986). Conceptualizing and measuring </w:t>
      </w:r>
      <w:r w:rsidR="009A528C">
        <w:rPr>
          <w:rFonts w:ascii="Times New Roman" w:hAnsi="Times New Roman" w:cs="Times New Roman"/>
          <w:sz w:val="24"/>
          <w:szCs w:val="24"/>
          <w:lang w:val="en-US"/>
        </w:rPr>
        <w:t>coping resource and processes. In L. Goldberger &amp;</w:t>
      </w:r>
      <w:r w:rsidRPr="00357169">
        <w:rPr>
          <w:rFonts w:ascii="Times New Roman" w:hAnsi="Times New Roman" w:cs="Times New Roman"/>
          <w:sz w:val="24"/>
          <w:szCs w:val="24"/>
          <w:lang w:val="en-US"/>
        </w:rPr>
        <w:t xml:space="preserve"> S. Breznitz (Eds.), </w:t>
      </w:r>
      <w:r w:rsidRPr="00357169">
        <w:rPr>
          <w:rFonts w:ascii="Times New Roman" w:hAnsi="Times New Roman" w:cs="Times New Roman"/>
          <w:i/>
          <w:iCs/>
          <w:sz w:val="24"/>
          <w:szCs w:val="24"/>
          <w:lang w:val="en-US"/>
        </w:rPr>
        <w:t>Handbook of Stress: Theoretical and Clinical</w:t>
      </w:r>
      <w:r w:rsidR="00C24EEC">
        <w:rPr>
          <w:rFonts w:ascii="Times New Roman" w:hAnsi="Times New Roman" w:cs="Times New Roman"/>
          <w:i/>
          <w:iCs/>
          <w:sz w:val="24"/>
          <w:szCs w:val="24"/>
          <w:lang w:val="en-US"/>
        </w:rPr>
        <w:t xml:space="preserve"> </w:t>
      </w:r>
      <w:r w:rsidRPr="00357169">
        <w:rPr>
          <w:rFonts w:ascii="Times New Roman" w:hAnsi="Times New Roman" w:cs="Times New Roman"/>
          <w:i/>
          <w:iCs/>
          <w:sz w:val="24"/>
          <w:szCs w:val="24"/>
          <w:lang w:val="en-US"/>
        </w:rPr>
        <w:t>Aspects</w:t>
      </w:r>
      <w:r w:rsidR="00383E3F">
        <w:rPr>
          <w:rFonts w:ascii="Times New Roman" w:hAnsi="Times New Roman" w:cs="Times New Roman"/>
          <w:i/>
          <w:iCs/>
          <w:sz w:val="24"/>
          <w:szCs w:val="24"/>
          <w:lang w:val="en-US"/>
        </w:rPr>
        <w:t xml:space="preserve"> </w:t>
      </w:r>
      <w:r w:rsidR="008F758C">
        <w:rPr>
          <w:rFonts w:ascii="Times New Roman" w:hAnsi="Times New Roman" w:cs="Times New Roman"/>
          <w:sz w:val="24"/>
          <w:szCs w:val="24"/>
          <w:lang w:val="en-US"/>
        </w:rPr>
        <w:t>(</w:t>
      </w:r>
      <w:r w:rsidR="00B571D4" w:rsidRPr="00357169">
        <w:rPr>
          <w:rFonts w:ascii="Times New Roman" w:hAnsi="Times New Roman" w:cs="Times New Roman"/>
          <w:sz w:val="24"/>
          <w:szCs w:val="24"/>
          <w:lang w:val="en-US"/>
        </w:rPr>
        <w:t>pp. 212-230</w:t>
      </w:r>
      <w:r w:rsidR="008F758C">
        <w:rPr>
          <w:rFonts w:ascii="Times New Roman" w:hAnsi="Times New Roman" w:cs="Times New Roman"/>
          <w:sz w:val="24"/>
          <w:szCs w:val="24"/>
          <w:lang w:val="en-US"/>
        </w:rPr>
        <w:t>).</w:t>
      </w:r>
      <w:r w:rsidR="00954944">
        <w:rPr>
          <w:rFonts w:ascii="Times New Roman" w:hAnsi="Times New Roman" w:cs="Times New Roman"/>
          <w:sz w:val="24"/>
          <w:szCs w:val="24"/>
          <w:lang w:val="en-US"/>
        </w:rPr>
        <w:t xml:space="preserve"> </w:t>
      </w:r>
      <w:r w:rsidRPr="00357169">
        <w:rPr>
          <w:rFonts w:ascii="Times New Roman" w:hAnsi="Times New Roman" w:cs="Times New Roman"/>
          <w:sz w:val="24"/>
          <w:szCs w:val="24"/>
          <w:lang w:val="en-US"/>
        </w:rPr>
        <w:t>New York: Free Press.</w:t>
      </w:r>
    </w:p>
    <w:p w14:paraId="3FAD65B1" w14:textId="77777777" w:rsidR="008123D7" w:rsidRPr="00D920B2" w:rsidRDefault="008123D7"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lang w:val="fr-FR"/>
        </w:rPr>
      </w:pPr>
      <w:r w:rsidRPr="00357169">
        <w:rPr>
          <w:lang w:eastAsia="es-CO"/>
        </w:rPr>
        <w:t xml:space="preserve">Mullet, E., Duquesnoy, C., Raiff, P., Fahrasmane, R., </w:t>
      </w:r>
      <w:r w:rsidR="009A528C">
        <w:rPr>
          <w:lang w:eastAsia="es-CO"/>
        </w:rPr>
        <w:t>&amp;</w:t>
      </w:r>
      <w:r w:rsidRPr="00357169">
        <w:rPr>
          <w:lang w:eastAsia="es-CO"/>
        </w:rPr>
        <w:t xml:space="preserve"> Namur, E. (1993).The evaluative factor of risk perception.</w:t>
      </w:r>
      <w:r w:rsidR="00C24EEC">
        <w:rPr>
          <w:lang w:eastAsia="es-CO"/>
        </w:rPr>
        <w:t xml:space="preserve"> </w:t>
      </w:r>
      <w:r w:rsidRPr="00D920B2">
        <w:rPr>
          <w:i/>
          <w:iCs/>
          <w:lang w:val="fr-FR" w:eastAsia="es-CO"/>
        </w:rPr>
        <w:t>Journal of Applied Social Psychology, 23</w:t>
      </w:r>
      <w:r w:rsidRPr="00D920B2">
        <w:rPr>
          <w:lang w:val="fr-FR" w:eastAsia="es-CO"/>
        </w:rPr>
        <w:t>, 1594-1605</w:t>
      </w:r>
      <w:r w:rsidR="00B1619B" w:rsidRPr="00D920B2">
        <w:rPr>
          <w:lang w:val="fr-FR" w:eastAsia="es-CO"/>
        </w:rPr>
        <w:t>.</w:t>
      </w:r>
    </w:p>
    <w:p w14:paraId="7A23108A" w14:textId="77777777" w:rsidR="00DF2470" w:rsidRPr="00FA3CEE" w:rsidRDefault="00DF2470" w:rsidP="006965C4">
      <w:pPr>
        <w:ind w:left="567" w:hanging="567"/>
        <w:jc w:val="both"/>
        <w:rPr>
          <w:lang w:val="fr-FR"/>
        </w:rPr>
      </w:pPr>
      <w:r w:rsidRPr="00FA3CEE">
        <w:rPr>
          <w:lang w:val="fr-FR"/>
        </w:rPr>
        <w:t>Navarro, O. &amp; Michel-Guillou, E. (2014) Analyse des risques et menaces environnementales: un regard psycho-socio-environnementale. In, D. Marchand, S. Depeau</w:t>
      </w:r>
      <w:r w:rsidR="00C24EEC">
        <w:rPr>
          <w:lang w:val="fr-FR"/>
        </w:rPr>
        <w:t xml:space="preserve"> </w:t>
      </w:r>
      <w:r w:rsidRPr="00FA3CEE">
        <w:rPr>
          <w:lang w:val="fr-FR"/>
        </w:rPr>
        <w:t xml:space="preserve">&amp; K. Weiss (Dir.), </w:t>
      </w:r>
      <w:r w:rsidRPr="00FA3CEE">
        <w:rPr>
          <w:i/>
          <w:lang w:val="fr-FR"/>
        </w:rPr>
        <w:t>L'individu au risque de l'environnement. Regards croisés de la psychologie environnementale</w:t>
      </w:r>
      <w:r w:rsidRPr="00FA3CEE">
        <w:rPr>
          <w:lang w:val="fr-FR"/>
        </w:rPr>
        <w:t xml:space="preserve"> (pp. 271-298). Paris: Editions In Press. </w:t>
      </w:r>
    </w:p>
    <w:p w14:paraId="2E3E64C9" w14:textId="167790E4" w:rsidR="00C8234A" w:rsidRPr="00357169" w:rsidRDefault="00C8234A" w:rsidP="006965C4">
      <w:pPr>
        <w:ind w:left="709" w:hanging="709"/>
        <w:jc w:val="both"/>
      </w:pPr>
      <w:r w:rsidRPr="009A528C">
        <w:t xml:space="preserve">Rochford, E. B., </w:t>
      </w:r>
      <w:r w:rsidR="009A528C" w:rsidRPr="009A528C">
        <w:t>&amp;</w:t>
      </w:r>
      <w:r w:rsidRPr="009A528C">
        <w:t xml:space="preserve"> Blocker, T. J. (1991).</w:t>
      </w:r>
      <w:r w:rsidR="00954944">
        <w:t xml:space="preserve"> </w:t>
      </w:r>
      <w:r w:rsidRPr="00357169">
        <w:t>Coping with ‘‘natural” hazards as stressors: The predictors of activism in a flood disaster.</w:t>
      </w:r>
      <w:r w:rsidR="00C24EEC">
        <w:t xml:space="preserve"> </w:t>
      </w:r>
      <w:r w:rsidRPr="00357169">
        <w:rPr>
          <w:i/>
        </w:rPr>
        <w:t>Environment and Behavior, 23</w:t>
      </w:r>
      <w:r w:rsidRPr="00357169">
        <w:t>(2), 171-194.</w:t>
      </w:r>
    </w:p>
    <w:p w14:paraId="2AAD472A" w14:textId="77777777" w:rsidR="00584406" w:rsidRPr="00D35BD6" w:rsidRDefault="00584406" w:rsidP="006965C4">
      <w:pPr>
        <w:autoSpaceDE w:val="0"/>
        <w:autoSpaceDN w:val="0"/>
        <w:adjustRightInd w:val="0"/>
        <w:ind w:left="567" w:hanging="567"/>
        <w:jc w:val="both"/>
        <w:rPr>
          <w:lang w:val="fr-FR"/>
        </w:rPr>
      </w:pPr>
      <w:r w:rsidRPr="00357169">
        <w:t xml:space="preserve">Rogers, R. W. (1983). Cognitive and physiological processes in fear appeals and attitude change: A revised theory of protection motivation. </w:t>
      </w:r>
      <w:r w:rsidR="009A528C" w:rsidRPr="00D35BD6">
        <w:rPr>
          <w:lang w:val="fr-FR"/>
        </w:rPr>
        <w:t>I</w:t>
      </w:r>
      <w:r w:rsidR="00F17609" w:rsidRPr="00D35BD6">
        <w:rPr>
          <w:lang w:val="fr-FR"/>
        </w:rPr>
        <w:t xml:space="preserve">n: J. </w:t>
      </w:r>
      <w:r w:rsidRPr="00D35BD6">
        <w:rPr>
          <w:lang w:val="fr-FR"/>
        </w:rPr>
        <w:t>Dans</w:t>
      </w:r>
      <w:r w:rsidR="00F17609" w:rsidRPr="00D35BD6">
        <w:rPr>
          <w:lang w:val="fr-FR"/>
        </w:rPr>
        <w:t>,</w:t>
      </w:r>
      <w:r w:rsidR="00C24EEC" w:rsidRPr="00D35BD6">
        <w:rPr>
          <w:lang w:val="fr-FR"/>
        </w:rPr>
        <w:t xml:space="preserve"> </w:t>
      </w:r>
      <w:r w:rsidRPr="00D35BD6">
        <w:rPr>
          <w:lang w:val="fr-FR"/>
        </w:rPr>
        <w:t xml:space="preserve">Cacioppo, </w:t>
      </w:r>
      <w:r w:rsidR="009A528C" w:rsidRPr="00D35BD6">
        <w:rPr>
          <w:lang w:val="fr-FR"/>
        </w:rPr>
        <w:t>&amp;</w:t>
      </w:r>
      <w:r w:rsidRPr="00D35BD6">
        <w:rPr>
          <w:lang w:val="fr-FR"/>
        </w:rPr>
        <w:t xml:space="preserve"> R. Petty (Éds.), </w:t>
      </w:r>
      <w:r w:rsidR="008F758C" w:rsidRPr="00D35BD6">
        <w:rPr>
          <w:i/>
          <w:iCs/>
          <w:lang w:val="fr-FR"/>
        </w:rPr>
        <w:t>Social Psychophysiology</w:t>
      </w:r>
      <w:r w:rsidR="00C24EEC" w:rsidRPr="00D35BD6">
        <w:rPr>
          <w:i/>
          <w:iCs/>
          <w:lang w:val="fr-FR"/>
        </w:rPr>
        <w:t xml:space="preserve"> </w:t>
      </w:r>
      <w:r w:rsidR="008F758C" w:rsidRPr="00D35BD6">
        <w:rPr>
          <w:iCs/>
          <w:lang w:val="fr-FR"/>
        </w:rPr>
        <w:t>(</w:t>
      </w:r>
      <w:r w:rsidR="009A528C" w:rsidRPr="00D35BD6">
        <w:rPr>
          <w:lang w:val="fr-FR"/>
        </w:rPr>
        <w:t>pp. 153-176</w:t>
      </w:r>
      <w:r w:rsidR="008F758C" w:rsidRPr="00D35BD6">
        <w:rPr>
          <w:lang w:val="fr-FR"/>
        </w:rPr>
        <w:t>).</w:t>
      </w:r>
      <w:r w:rsidR="00383E3F" w:rsidRPr="00D35BD6">
        <w:rPr>
          <w:lang w:val="fr-FR"/>
        </w:rPr>
        <w:t xml:space="preserve"> </w:t>
      </w:r>
      <w:r w:rsidRPr="00D35BD6">
        <w:rPr>
          <w:lang w:val="fr-FR"/>
        </w:rPr>
        <w:t>New York: Guilford</w:t>
      </w:r>
      <w:r w:rsidR="00C24EEC" w:rsidRPr="00D35BD6">
        <w:rPr>
          <w:lang w:val="fr-FR"/>
        </w:rPr>
        <w:t xml:space="preserve"> </w:t>
      </w:r>
      <w:r w:rsidRPr="00D35BD6">
        <w:rPr>
          <w:lang w:val="fr-FR"/>
        </w:rPr>
        <w:t>Press.</w:t>
      </w:r>
    </w:p>
    <w:p w14:paraId="548FEF6C" w14:textId="77777777" w:rsidR="00186598" w:rsidRPr="00186598" w:rsidRDefault="00186598"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jc w:val="both"/>
        <w:rPr>
          <w:lang w:val="fr-FR"/>
        </w:rPr>
      </w:pPr>
      <w:r w:rsidRPr="00186598">
        <w:rPr>
          <w:rFonts w:eastAsia="TimesNewRomanPSMT"/>
          <w:lang w:val="fr-FR" w:eastAsia="es-CO"/>
        </w:rPr>
        <w:t>Rouquette, M.-L. (1997). La chasse à l’immigré: violence, mémoire</w:t>
      </w:r>
      <w:r w:rsidR="00C24EEC">
        <w:rPr>
          <w:rFonts w:eastAsia="TimesNewRomanPSMT"/>
          <w:lang w:val="fr-FR" w:eastAsia="es-CO"/>
        </w:rPr>
        <w:t xml:space="preserve"> </w:t>
      </w:r>
      <w:r w:rsidRPr="00186598">
        <w:rPr>
          <w:rFonts w:eastAsia="TimesNewRomanPSMT"/>
          <w:lang w:val="fr-FR" w:eastAsia="es-CO"/>
        </w:rPr>
        <w:t>et représentations, Bruxelles: Mardaga.</w:t>
      </w:r>
    </w:p>
    <w:p w14:paraId="30E0E1EB" w14:textId="77777777" w:rsidR="00C8234A" w:rsidRPr="00357169" w:rsidRDefault="00C8234A" w:rsidP="006965C4">
      <w:pPr>
        <w:ind w:left="709" w:hanging="709"/>
        <w:jc w:val="both"/>
        <w:rPr>
          <w:lang w:val="pt-PT"/>
        </w:rPr>
      </w:pPr>
      <w:r w:rsidRPr="009C3F2E">
        <w:t xml:space="preserve">Ruin, I., Gaillard, J.-C., </w:t>
      </w:r>
      <w:r w:rsidR="009A528C" w:rsidRPr="009C3F2E">
        <w:t>&amp;</w:t>
      </w:r>
      <w:r w:rsidR="00C24EEC">
        <w:t xml:space="preserve"> </w:t>
      </w:r>
      <w:r w:rsidRPr="009C3F2E">
        <w:t xml:space="preserve">Lutoff, C. (2007). </w:t>
      </w:r>
      <w:r w:rsidRPr="00357169">
        <w:t>How to get there? Assessing motorists’ flash flood risk perception on daily itineraries.</w:t>
      </w:r>
      <w:r w:rsidR="00C24EEC">
        <w:t xml:space="preserve"> </w:t>
      </w:r>
      <w:r w:rsidRPr="00357169">
        <w:rPr>
          <w:i/>
          <w:lang w:val="pt-PT"/>
        </w:rPr>
        <w:t>Environmental Hazards, 7</w:t>
      </w:r>
      <w:r w:rsidRPr="00357169">
        <w:rPr>
          <w:lang w:val="pt-PT"/>
        </w:rPr>
        <w:t>, 235-244.</w:t>
      </w:r>
    </w:p>
    <w:p w14:paraId="3E47CC7D" w14:textId="77777777" w:rsidR="00CA66D4" w:rsidRPr="00357169" w:rsidRDefault="00CA66D4" w:rsidP="006965C4">
      <w:pPr>
        <w:ind w:left="709" w:hanging="709"/>
        <w:jc w:val="both"/>
      </w:pPr>
      <w:r w:rsidRPr="00357169">
        <w:rPr>
          <w:lang w:val="es-CO"/>
        </w:rPr>
        <w:t>Saurí, D., Ribas, A., Lara A.</w:t>
      </w:r>
      <w:r w:rsidR="00BF2276">
        <w:rPr>
          <w:lang w:val="es-CO"/>
        </w:rPr>
        <w:t>,</w:t>
      </w:r>
      <w:r w:rsidR="00383E3F">
        <w:rPr>
          <w:lang w:val="es-CO"/>
        </w:rPr>
        <w:t xml:space="preserve"> </w:t>
      </w:r>
      <w:r w:rsidR="009A528C">
        <w:rPr>
          <w:lang w:val="es-CO"/>
        </w:rPr>
        <w:t>&amp;</w:t>
      </w:r>
      <w:r w:rsidRPr="00357169">
        <w:rPr>
          <w:lang w:val="es-CO"/>
        </w:rPr>
        <w:t xml:space="preserve"> Pavón, D. (2010). La percepción del riesgo de inundación: experiencias de aprendizaje en la Costa Brava. </w:t>
      </w:r>
      <w:r w:rsidRPr="00357169">
        <w:rPr>
          <w:i/>
        </w:rPr>
        <w:t>Papeles de Geografía</w:t>
      </w:r>
      <w:r w:rsidRPr="00357169">
        <w:t xml:space="preserve">, </w:t>
      </w:r>
      <w:r w:rsidRPr="00357169">
        <w:rPr>
          <w:i/>
        </w:rPr>
        <w:t>51-52</w:t>
      </w:r>
      <w:r w:rsidRPr="00357169">
        <w:t xml:space="preserve">, 269-278. </w:t>
      </w:r>
    </w:p>
    <w:p w14:paraId="637CA243" w14:textId="199FF4F3" w:rsidR="00F52C44" w:rsidRPr="00C24EEC" w:rsidRDefault="00B1619B" w:rsidP="006965C4">
      <w:pPr>
        <w:pStyle w:val="NormalWeb"/>
        <w:spacing w:beforeLines="0" w:afterLines="0"/>
        <w:ind w:left="709" w:hanging="709"/>
        <w:jc w:val="both"/>
        <w:rPr>
          <w:rFonts w:ascii="Times New Roman" w:hAnsi="Times New Roman"/>
          <w:sz w:val="24"/>
          <w:szCs w:val="24"/>
          <w:lang w:val="en-GB"/>
        </w:rPr>
      </w:pPr>
      <w:r w:rsidRPr="00357169">
        <w:rPr>
          <w:rFonts w:ascii="Times New Roman" w:hAnsi="Times New Roman"/>
          <w:sz w:val="24"/>
          <w:szCs w:val="24"/>
          <w:lang w:val="en-US"/>
        </w:rPr>
        <w:t>Siegrist, M.</w:t>
      </w:r>
      <w:r w:rsidR="00BF2276">
        <w:rPr>
          <w:rFonts w:ascii="Times New Roman" w:hAnsi="Times New Roman"/>
          <w:sz w:val="24"/>
          <w:szCs w:val="24"/>
          <w:lang w:val="en-US"/>
        </w:rPr>
        <w:t>,</w:t>
      </w:r>
      <w:r w:rsidR="00C24EEC">
        <w:rPr>
          <w:rFonts w:ascii="Times New Roman" w:hAnsi="Times New Roman"/>
          <w:sz w:val="24"/>
          <w:szCs w:val="24"/>
          <w:lang w:val="en-US"/>
        </w:rPr>
        <w:t xml:space="preserve"> </w:t>
      </w:r>
      <w:r w:rsidR="009A528C">
        <w:rPr>
          <w:rFonts w:ascii="Times New Roman" w:hAnsi="Times New Roman"/>
          <w:sz w:val="24"/>
          <w:szCs w:val="24"/>
          <w:lang w:val="en-US"/>
        </w:rPr>
        <w:t>&amp;</w:t>
      </w:r>
      <w:r w:rsidR="00C24EEC">
        <w:rPr>
          <w:rFonts w:ascii="Times New Roman" w:hAnsi="Times New Roman"/>
          <w:sz w:val="24"/>
          <w:szCs w:val="24"/>
          <w:lang w:val="en-US"/>
        </w:rPr>
        <w:t xml:space="preserve"> </w:t>
      </w:r>
      <w:r w:rsidR="00F52C44" w:rsidRPr="00357169">
        <w:rPr>
          <w:rFonts w:ascii="Times New Roman" w:hAnsi="Times New Roman"/>
          <w:sz w:val="24"/>
          <w:szCs w:val="24"/>
          <w:lang w:val="en-US"/>
        </w:rPr>
        <w:t>Gutscher, H. (2006).</w:t>
      </w:r>
      <w:r w:rsidR="00954944">
        <w:rPr>
          <w:rFonts w:ascii="Times New Roman" w:hAnsi="Times New Roman"/>
          <w:sz w:val="24"/>
          <w:szCs w:val="24"/>
          <w:lang w:val="en-US"/>
        </w:rPr>
        <w:t xml:space="preserve"> </w:t>
      </w:r>
      <w:r w:rsidR="00F52C44" w:rsidRPr="00357169">
        <w:rPr>
          <w:rFonts w:ascii="Times New Roman" w:hAnsi="Times New Roman"/>
          <w:sz w:val="24"/>
          <w:szCs w:val="24"/>
          <w:lang w:val="en-GB"/>
        </w:rPr>
        <w:t>Flooding risks: A comparison of lay people’s perceptions and expert’s assessments in Switzerland.</w:t>
      </w:r>
      <w:r w:rsidR="00C24EEC">
        <w:rPr>
          <w:rFonts w:ascii="Times New Roman" w:hAnsi="Times New Roman"/>
          <w:sz w:val="24"/>
          <w:szCs w:val="24"/>
          <w:lang w:val="en-GB"/>
        </w:rPr>
        <w:t xml:space="preserve"> </w:t>
      </w:r>
      <w:r w:rsidR="00F52C44" w:rsidRPr="00357169">
        <w:rPr>
          <w:rFonts w:ascii="Times New Roman" w:hAnsi="Times New Roman"/>
          <w:i/>
          <w:sz w:val="24"/>
          <w:szCs w:val="24"/>
          <w:lang w:val="en-GB"/>
        </w:rPr>
        <w:t>Risk</w:t>
      </w:r>
      <w:r w:rsidR="00A812BA" w:rsidRPr="00357169">
        <w:rPr>
          <w:rFonts w:ascii="Times New Roman" w:hAnsi="Times New Roman"/>
          <w:i/>
          <w:sz w:val="24"/>
          <w:szCs w:val="24"/>
          <w:lang w:val="en-GB"/>
        </w:rPr>
        <w:t xml:space="preserve"> Analysis, 26</w:t>
      </w:r>
      <w:r w:rsidR="00A812BA" w:rsidRPr="00357169">
        <w:rPr>
          <w:rFonts w:ascii="Times New Roman" w:hAnsi="Times New Roman"/>
          <w:sz w:val="24"/>
          <w:szCs w:val="24"/>
          <w:lang w:val="en-GB"/>
        </w:rPr>
        <w:t xml:space="preserve">(4), </w:t>
      </w:r>
      <w:r w:rsidR="00F52C44" w:rsidRPr="00357169">
        <w:rPr>
          <w:rFonts w:ascii="Times New Roman" w:hAnsi="Times New Roman"/>
          <w:sz w:val="24"/>
          <w:szCs w:val="24"/>
          <w:lang w:val="en-GB"/>
        </w:rPr>
        <w:t xml:space="preserve">971–979. </w:t>
      </w:r>
      <w:r w:rsidR="00BF2276" w:rsidRPr="00C24EEC">
        <w:rPr>
          <w:rStyle w:val="st"/>
          <w:sz w:val="24"/>
          <w:szCs w:val="24"/>
          <w:lang w:val="en-US"/>
        </w:rPr>
        <w:t>doi</w:t>
      </w:r>
      <w:r w:rsidR="00BF2276" w:rsidRPr="00C24EEC">
        <w:rPr>
          <w:rStyle w:val="st"/>
          <w:rFonts w:ascii="Times New Roman" w:hAnsi="Times New Roman"/>
          <w:sz w:val="24"/>
          <w:szCs w:val="24"/>
          <w:lang w:val="en-US"/>
        </w:rPr>
        <w:t>: 10.1111/j.1539-6924.2006.00792.x</w:t>
      </w:r>
    </w:p>
    <w:p w14:paraId="3F69CFCA" w14:textId="77777777" w:rsidR="00C8234A" w:rsidRPr="00357169" w:rsidRDefault="00C8234A" w:rsidP="006965C4">
      <w:pPr>
        <w:ind w:left="709" w:hanging="709"/>
        <w:jc w:val="both"/>
      </w:pPr>
      <w:r w:rsidRPr="00357169">
        <w:lastRenderedPageBreak/>
        <w:t xml:space="preserve">Siegrist, M., </w:t>
      </w:r>
      <w:r w:rsidR="009A528C">
        <w:t>&amp;</w:t>
      </w:r>
      <w:r w:rsidR="00C24EEC">
        <w:t xml:space="preserve"> </w:t>
      </w:r>
      <w:r w:rsidRPr="00357169">
        <w:t xml:space="preserve">Gutscher, H. (2008). Natural hazards and motivation for mitigation behavior: People cannot predict the affect evoked by a severe flood. </w:t>
      </w:r>
      <w:r w:rsidRPr="00357169">
        <w:rPr>
          <w:i/>
        </w:rPr>
        <w:t>Risk Analysis, 28</w:t>
      </w:r>
      <w:r w:rsidRPr="00357169">
        <w:t>(3), 771-778.</w:t>
      </w:r>
      <w:r w:rsidR="00BF2276">
        <w:rPr>
          <w:rStyle w:val="st"/>
        </w:rPr>
        <w:t>doi: 10.1111/j.1539-6924.2008.01049.x</w:t>
      </w:r>
    </w:p>
    <w:p w14:paraId="59553DFD" w14:textId="77777777" w:rsidR="00814354" w:rsidRPr="00357169" w:rsidRDefault="00814354" w:rsidP="006965C4">
      <w:pPr>
        <w:ind w:left="709" w:hanging="709"/>
        <w:jc w:val="both"/>
      </w:pPr>
      <w:r w:rsidRPr="00357169">
        <w:t xml:space="preserve">Slovic, P. (1987). Perception of risk, </w:t>
      </w:r>
      <w:r w:rsidRPr="00357169">
        <w:rPr>
          <w:i/>
        </w:rPr>
        <w:t>Science, 236</w:t>
      </w:r>
      <w:r w:rsidRPr="00357169">
        <w:t>, 280-285.</w:t>
      </w:r>
    </w:p>
    <w:p w14:paraId="3638094C" w14:textId="77777777" w:rsidR="001A0D3F" w:rsidRPr="00395F60" w:rsidRDefault="001A0D3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lang w:val="fr-FR"/>
        </w:rPr>
      </w:pPr>
      <w:r w:rsidRPr="00357169">
        <w:rPr>
          <w:lang w:eastAsia="es-CO"/>
        </w:rPr>
        <w:t xml:space="preserve">Slovic, P., Fischhoff, B., </w:t>
      </w:r>
      <w:r w:rsidR="009A528C">
        <w:rPr>
          <w:lang w:eastAsia="es-CO"/>
        </w:rPr>
        <w:t>&amp;</w:t>
      </w:r>
      <w:r w:rsidRPr="00357169">
        <w:rPr>
          <w:lang w:eastAsia="es-CO"/>
        </w:rPr>
        <w:t xml:space="preserve"> Lichtenstein, S. (1980). Facts and fears: Understanding perceived risks. En R.C. Schwing, </w:t>
      </w:r>
      <w:r w:rsidR="009A528C">
        <w:rPr>
          <w:lang w:eastAsia="es-CO"/>
        </w:rPr>
        <w:t>&amp;</w:t>
      </w:r>
      <w:r w:rsidRPr="00357169">
        <w:rPr>
          <w:lang w:eastAsia="es-CO"/>
        </w:rPr>
        <w:t xml:space="preserve"> W.A. Alberts Jr.  Eds.), </w:t>
      </w:r>
      <w:r w:rsidRPr="00357169">
        <w:rPr>
          <w:i/>
          <w:iCs/>
          <w:lang w:eastAsia="es-CO"/>
        </w:rPr>
        <w:t>Societal risk assessment: How safe is safe enough?</w:t>
      </w:r>
      <w:r w:rsidR="00383E3F">
        <w:rPr>
          <w:i/>
          <w:iCs/>
          <w:lang w:eastAsia="es-CO"/>
        </w:rPr>
        <w:t xml:space="preserve"> </w:t>
      </w:r>
      <w:r w:rsidR="008F758C" w:rsidRPr="00D35BD6">
        <w:rPr>
          <w:lang w:val="fr-FR" w:eastAsia="es-CO"/>
        </w:rPr>
        <w:t>(</w:t>
      </w:r>
      <w:r w:rsidRPr="00D35BD6">
        <w:rPr>
          <w:lang w:val="fr-FR" w:eastAsia="es-CO"/>
        </w:rPr>
        <w:t xml:space="preserve">pp. 181-214). </w:t>
      </w:r>
      <w:r w:rsidRPr="00395F60">
        <w:rPr>
          <w:lang w:val="fr-FR" w:eastAsia="es-CO"/>
        </w:rPr>
        <w:t>New York: Plenum Press.</w:t>
      </w:r>
    </w:p>
    <w:p w14:paraId="1EC98227" w14:textId="371A2D34" w:rsidR="00673122" w:rsidRPr="00357169" w:rsidRDefault="00673122" w:rsidP="006965C4">
      <w:pPr>
        <w:autoSpaceDE w:val="0"/>
        <w:autoSpaceDN w:val="0"/>
        <w:adjustRightInd w:val="0"/>
        <w:ind w:left="709" w:hanging="709"/>
        <w:jc w:val="both"/>
        <w:rPr>
          <w:lang w:val="fr-FR"/>
        </w:rPr>
      </w:pPr>
      <w:r w:rsidRPr="00395F60">
        <w:rPr>
          <w:lang w:val="fr-FR"/>
        </w:rPr>
        <w:t>Sordes</w:t>
      </w:r>
      <w:r w:rsidR="00C32A4B" w:rsidRPr="00395F60">
        <w:rPr>
          <w:lang w:val="fr-FR"/>
        </w:rPr>
        <w:t>-Ader</w:t>
      </w:r>
      <w:r w:rsidRPr="00395F60">
        <w:rPr>
          <w:lang w:val="fr-FR"/>
        </w:rPr>
        <w:t>, F., Esparbes</w:t>
      </w:r>
      <w:r w:rsidR="00C32A4B" w:rsidRPr="00395F60">
        <w:rPr>
          <w:lang w:val="fr-FR"/>
        </w:rPr>
        <w:t>-Pistre</w:t>
      </w:r>
      <w:r w:rsidR="000F51A5" w:rsidRPr="00395F60">
        <w:rPr>
          <w:lang w:val="fr-FR"/>
        </w:rPr>
        <w:t>, S.</w:t>
      </w:r>
      <w:r w:rsidR="002E480B" w:rsidRPr="00395F60">
        <w:rPr>
          <w:lang w:val="fr-FR"/>
        </w:rPr>
        <w:t>,</w:t>
      </w:r>
      <w:r w:rsidR="00383E3F">
        <w:rPr>
          <w:lang w:val="fr-FR"/>
        </w:rPr>
        <w:t xml:space="preserve"> </w:t>
      </w:r>
      <w:r w:rsidR="008F758C" w:rsidRPr="00395F60">
        <w:rPr>
          <w:lang w:val="fr-FR"/>
        </w:rPr>
        <w:t>&amp;</w:t>
      </w:r>
      <w:r w:rsidR="000F51A5" w:rsidRPr="00395F60">
        <w:rPr>
          <w:lang w:val="fr-FR"/>
        </w:rPr>
        <w:t xml:space="preserve"> Tap</w:t>
      </w:r>
      <w:r w:rsidRPr="00395F60">
        <w:rPr>
          <w:lang w:val="fr-FR"/>
        </w:rPr>
        <w:t>, P. (1997)</w:t>
      </w:r>
      <w:r w:rsidR="00935609" w:rsidRPr="00395F60">
        <w:rPr>
          <w:lang w:val="fr-FR"/>
        </w:rPr>
        <w:t>.</w:t>
      </w:r>
      <w:r w:rsidR="00954944">
        <w:rPr>
          <w:lang w:val="fr-FR"/>
        </w:rPr>
        <w:t xml:space="preserve"> </w:t>
      </w:r>
      <w:r w:rsidRPr="00357169">
        <w:rPr>
          <w:lang w:val="fr-FR"/>
        </w:rPr>
        <w:t xml:space="preserve">Adaptation et </w:t>
      </w:r>
      <w:r w:rsidR="001E54A5" w:rsidRPr="00357169">
        <w:rPr>
          <w:lang w:val="fr-FR"/>
        </w:rPr>
        <w:t>stratégies</w:t>
      </w:r>
      <w:r w:rsidRPr="00357169">
        <w:rPr>
          <w:lang w:val="fr-FR"/>
        </w:rPr>
        <w:t xml:space="preserve"> de coping </w:t>
      </w:r>
      <w:r w:rsidR="001E54A5" w:rsidRPr="00357169">
        <w:rPr>
          <w:lang w:val="fr-FR"/>
        </w:rPr>
        <w:t>à</w:t>
      </w:r>
      <w:r w:rsidRPr="00357169">
        <w:rPr>
          <w:lang w:val="fr-FR"/>
        </w:rPr>
        <w:t xml:space="preserve"> l’adolescence. </w:t>
      </w:r>
      <w:r w:rsidRPr="00357169">
        <w:rPr>
          <w:i/>
          <w:lang w:val="fr-FR"/>
        </w:rPr>
        <w:t>SPIRALE - Revue de Recherches en Éducation</w:t>
      </w:r>
      <w:r w:rsidR="00935609" w:rsidRPr="00357169">
        <w:rPr>
          <w:lang w:val="fr-FR"/>
        </w:rPr>
        <w:t xml:space="preserve">, </w:t>
      </w:r>
      <w:r w:rsidR="00C32A4B" w:rsidRPr="00357169">
        <w:rPr>
          <w:i/>
          <w:lang w:val="fr-FR"/>
        </w:rPr>
        <w:t>20</w:t>
      </w:r>
      <w:r w:rsidR="00935609" w:rsidRPr="00357169">
        <w:rPr>
          <w:lang w:val="fr-FR"/>
        </w:rPr>
        <w:t>,</w:t>
      </w:r>
      <w:r w:rsidRPr="00357169">
        <w:rPr>
          <w:lang w:val="fr-FR"/>
        </w:rPr>
        <w:t xml:space="preserve"> 131-154.</w:t>
      </w:r>
    </w:p>
    <w:p w14:paraId="3392C7F8" w14:textId="77777777" w:rsidR="00C8234A" w:rsidRPr="00357169" w:rsidRDefault="00C8234A" w:rsidP="006965C4">
      <w:pPr>
        <w:ind w:left="709" w:hanging="709"/>
        <w:jc w:val="both"/>
      </w:pPr>
      <w:r w:rsidRPr="002E480B">
        <w:rPr>
          <w:lang w:val="fr-FR"/>
        </w:rPr>
        <w:t xml:space="preserve">Takao, K., Motoyoshi, T., Fukuzono, T., Seo, K., </w:t>
      </w:r>
      <w:r w:rsidR="002E480B" w:rsidRPr="002E480B">
        <w:rPr>
          <w:lang w:val="fr-FR"/>
        </w:rPr>
        <w:t>&amp;</w:t>
      </w:r>
      <w:r w:rsidRPr="002E480B">
        <w:rPr>
          <w:lang w:val="fr-FR"/>
        </w:rPr>
        <w:t xml:space="preserve"> Ikeda, S. (2004). </w:t>
      </w:r>
      <w:r w:rsidRPr="00357169">
        <w:t xml:space="preserve">Factors determining residents’ preparedness for floods in modern megapolises: The case of the Tokai flood disaster in Japan. </w:t>
      </w:r>
      <w:r w:rsidRPr="00357169">
        <w:rPr>
          <w:i/>
        </w:rPr>
        <w:t>Journal of Risk Research, 7</w:t>
      </w:r>
      <w:r w:rsidRPr="00357169">
        <w:t>(7-8), 775-787.</w:t>
      </w:r>
    </w:p>
    <w:p w14:paraId="210E389B" w14:textId="77777777" w:rsidR="00C8234A" w:rsidRPr="00357169" w:rsidRDefault="00C8234A" w:rsidP="006965C4">
      <w:pPr>
        <w:ind w:left="709" w:hanging="709"/>
        <w:jc w:val="both"/>
      </w:pPr>
      <w:r w:rsidRPr="00357169">
        <w:t xml:space="preserve">Tapsell, S. </w:t>
      </w:r>
      <w:r w:rsidR="001133B9" w:rsidRPr="00357169">
        <w:t xml:space="preserve">M., </w:t>
      </w:r>
      <w:r w:rsidR="008F758C">
        <w:t>&amp;</w:t>
      </w:r>
      <w:r w:rsidR="00027E4D">
        <w:t xml:space="preserve"> </w:t>
      </w:r>
      <w:r w:rsidR="001133B9" w:rsidRPr="00357169">
        <w:t>Tunstall, S. M. (2008).</w:t>
      </w:r>
      <w:r w:rsidRPr="00357169">
        <w:t>I w</w:t>
      </w:r>
      <w:r w:rsidR="001133B9" w:rsidRPr="00357169">
        <w:t>ish I’d never heard of Banbury: t</w:t>
      </w:r>
      <w:r w:rsidRPr="00357169">
        <w:t xml:space="preserve">he relationship between ‘place’ and the health impacts from flooding. </w:t>
      </w:r>
      <w:r w:rsidRPr="00357169">
        <w:rPr>
          <w:i/>
        </w:rPr>
        <w:t xml:space="preserve">Health </w:t>
      </w:r>
      <w:r w:rsidR="008F758C">
        <w:rPr>
          <w:i/>
        </w:rPr>
        <w:t>&amp;</w:t>
      </w:r>
      <w:r w:rsidRPr="00357169">
        <w:rPr>
          <w:i/>
        </w:rPr>
        <w:t xml:space="preserve"> Place</w:t>
      </w:r>
      <w:r w:rsidRPr="00357169">
        <w:t xml:space="preserve">, </w:t>
      </w:r>
      <w:r w:rsidRPr="008F758C">
        <w:rPr>
          <w:i/>
        </w:rPr>
        <w:t>14</w:t>
      </w:r>
      <w:r w:rsidRPr="00357169">
        <w:t>, 133-154.</w:t>
      </w:r>
    </w:p>
    <w:p w14:paraId="399E5F09" w14:textId="77777777" w:rsidR="002954BB" w:rsidRPr="00357169" w:rsidRDefault="002954BB" w:rsidP="006965C4">
      <w:pPr>
        <w:ind w:left="709" w:hanging="709"/>
        <w:jc w:val="both"/>
      </w:pPr>
      <w:r w:rsidRPr="00357169">
        <w:rPr>
          <w:noProof/>
        </w:rPr>
        <w:t xml:space="preserve">Terpstra, T. (2009). </w:t>
      </w:r>
      <w:r w:rsidRPr="00357169">
        <w:rPr>
          <w:i/>
          <w:iCs/>
          <w:noProof/>
        </w:rPr>
        <w:t>Flood preparedness: thoughts, feelings and intentions of the Dutch public</w:t>
      </w:r>
      <w:r w:rsidRPr="00357169">
        <w:rPr>
          <w:iCs/>
          <w:noProof/>
        </w:rPr>
        <w:t xml:space="preserve">. </w:t>
      </w:r>
      <w:r w:rsidRPr="00357169">
        <w:rPr>
          <w:color w:val="000000"/>
          <w:shd w:val="clear" w:color="auto" w:fill="FFFFFF"/>
        </w:rPr>
        <w:t>Thesis, Twente: University of Twente.</w:t>
      </w:r>
    </w:p>
    <w:p w14:paraId="0BB0B61D" w14:textId="77777777" w:rsidR="00C8234A" w:rsidRPr="00357169" w:rsidRDefault="00C8234A" w:rsidP="006965C4">
      <w:pPr>
        <w:ind w:left="709" w:hanging="709"/>
        <w:jc w:val="both"/>
      </w:pPr>
      <w:r w:rsidRPr="00357169">
        <w:t xml:space="preserve">Terpstra, T. (2011). Emotions, trust, and perceived risk: Affective and cognitive routes to flood preparedness behavior. </w:t>
      </w:r>
      <w:r w:rsidRPr="00357169">
        <w:rPr>
          <w:i/>
        </w:rPr>
        <w:t>Risk Analysis</w:t>
      </w:r>
      <w:r w:rsidRPr="00357169">
        <w:t xml:space="preserve">, </w:t>
      </w:r>
      <w:r w:rsidRPr="00357169">
        <w:rPr>
          <w:i/>
        </w:rPr>
        <w:t>31</w:t>
      </w:r>
      <w:r w:rsidRPr="00357169">
        <w:t>(6), 58-75.</w:t>
      </w:r>
      <w:r w:rsidR="00292DA0">
        <w:t>doi: 10.1111/j.1539-6924.2011.01616.x</w:t>
      </w:r>
    </w:p>
    <w:p w14:paraId="154721D9" w14:textId="77777777" w:rsidR="00B36CD8" w:rsidRPr="00D920B2" w:rsidRDefault="00C52220" w:rsidP="006965C4">
      <w:pPr>
        <w:pStyle w:val="Bibliographie"/>
        <w:spacing w:after="0" w:line="240" w:lineRule="auto"/>
        <w:ind w:left="709" w:hanging="709"/>
        <w:jc w:val="both"/>
        <w:rPr>
          <w:rFonts w:ascii="Times New Roman" w:eastAsia="Times New Roman" w:hAnsi="Times New Roman" w:cs="Times New Roman"/>
          <w:sz w:val="24"/>
          <w:szCs w:val="24"/>
          <w:lang w:val="fr-FR"/>
        </w:rPr>
      </w:pPr>
      <w:r w:rsidRPr="00357169">
        <w:rPr>
          <w:rFonts w:ascii="Times New Roman" w:hAnsi="Times New Roman" w:cs="Times New Roman"/>
          <w:sz w:val="24"/>
          <w:szCs w:val="24"/>
          <w:lang w:val="en-US"/>
        </w:rPr>
        <w:t>Terpstra , T., Gutteling, J., Geldof, G.</w:t>
      </w:r>
      <w:r w:rsidR="00292DA0">
        <w:rPr>
          <w:rFonts w:ascii="Times New Roman" w:hAnsi="Times New Roman" w:cs="Times New Roman"/>
          <w:sz w:val="24"/>
          <w:szCs w:val="24"/>
          <w:lang w:val="en-US"/>
        </w:rPr>
        <w:t>,</w:t>
      </w:r>
      <w:r w:rsidR="00027E4D">
        <w:rPr>
          <w:rFonts w:ascii="Times New Roman" w:hAnsi="Times New Roman" w:cs="Times New Roman"/>
          <w:sz w:val="24"/>
          <w:szCs w:val="24"/>
          <w:lang w:val="en-US"/>
        </w:rPr>
        <w:t xml:space="preserve"> </w:t>
      </w:r>
      <w:r w:rsidR="008F758C">
        <w:rPr>
          <w:rFonts w:ascii="Times New Roman" w:hAnsi="Times New Roman" w:cs="Times New Roman"/>
          <w:sz w:val="24"/>
          <w:szCs w:val="24"/>
          <w:lang w:val="en-US"/>
        </w:rPr>
        <w:t>&amp;</w:t>
      </w:r>
      <w:r w:rsidR="00027E4D">
        <w:rPr>
          <w:rFonts w:ascii="Times New Roman" w:hAnsi="Times New Roman" w:cs="Times New Roman"/>
          <w:sz w:val="24"/>
          <w:szCs w:val="24"/>
          <w:lang w:val="en-US"/>
        </w:rPr>
        <w:t xml:space="preserve"> </w:t>
      </w:r>
      <w:r w:rsidRPr="00357169">
        <w:rPr>
          <w:rFonts w:ascii="Times New Roman" w:hAnsi="Times New Roman" w:cs="Times New Roman"/>
          <w:sz w:val="24"/>
          <w:szCs w:val="24"/>
          <w:lang w:val="en-US"/>
        </w:rPr>
        <w:t>Kappe, B. (2005). The perception of flood risk and water nuisance.</w:t>
      </w:r>
      <w:r w:rsidRPr="00357169">
        <w:rPr>
          <w:rFonts w:ascii="Times New Roman" w:hAnsi="Times New Roman" w:cs="Times New Roman"/>
          <w:i/>
          <w:iCs/>
          <w:sz w:val="24"/>
          <w:szCs w:val="24"/>
          <w:lang w:val="en-US"/>
        </w:rPr>
        <w:t>45th European Congress of the Regional Science Association, Vrije</w:t>
      </w:r>
      <w:r w:rsidR="00E50911">
        <w:rPr>
          <w:rFonts w:ascii="Times New Roman" w:hAnsi="Times New Roman" w:cs="Times New Roman"/>
          <w:i/>
          <w:iCs/>
          <w:sz w:val="24"/>
          <w:szCs w:val="24"/>
          <w:lang w:val="en-US"/>
        </w:rPr>
        <w:t xml:space="preserve"> </w:t>
      </w:r>
      <w:r w:rsidR="00027E4D">
        <w:rPr>
          <w:rFonts w:ascii="Times New Roman" w:hAnsi="Times New Roman" w:cs="Times New Roman"/>
          <w:i/>
          <w:iCs/>
          <w:sz w:val="24"/>
          <w:szCs w:val="24"/>
          <w:lang w:val="en-US"/>
        </w:rPr>
        <w:t xml:space="preserve">Universiteit </w:t>
      </w:r>
      <w:r w:rsidRPr="00357169">
        <w:rPr>
          <w:rFonts w:ascii="Times New Roman" w:hAnsi="Times New Roman" w:cs="Times New Roman"/>
          <w:i/>
          <w:iCs/>
          <w:sz w:val="24"/>
          <w:szCs w:val="24"/>
          <w:lang w:val="en-US"/>
        </w:rPr>
        <w:t>Amsterdam</w:t>
      </w:r>
      <w:r w:rsidRPr="00357169">
        <w:rPr>
          <w:rFonts w:ascii="Times New Roman" w:hAnsi="Times New Roman" w:cs="Times New Roman"/>
          <w:sz w:val="24"/>
          <w:szCs w:val="24"/>
          <w:lang w:val="en-US"/>
        </w:rPr>
        <w:t>.</w:t>
      </w:r>
      <w:r w:rsidR="00E50911">
        <w:rPr>
          <w:rFonts w:ascii="Times New Roman" w:hAnsi="Times New Roman" w:cs="Times New Roman"/>
          <w:sz w:val="24"/>
          <w:szCs w:val="24"/>
          <w:lang w:val="en-US"/>
        </w:rPr>
        <w:t xml:space="preserve"> </w:t>
      </w:r>
      <w:r w:rsidRPr="00D920B2">
        <w:rPr>
          <w:rFonts w:ascii="Times New Roman" w:hAnsi="Times New Roman" w:cs="Times New Roman"/>
          <w:sz w:val="24"/>
          <w:szCs w:val="24"/>
          <w:lang w:val="fr-FR"/>
        </w:rPr>
        <w:t>Amsterdam.</w:t>
      </w:r>
    </w:p>
    <w:p w14:paraId="64EA34DB" w14:textId="3BBD0752" w:rsidR="00C8234A" w:rsidRPr="00357169" w:rsidRDefault="00C8234A" w:rsidP="006965C4">
      <w:pPr>
        <w:ind w:left="709" w:hanging="709"/>
        <w:jc w:val="both"/>
        <w:rPr>
          <w:lang w:val="fr-FR"/>
        </w:rPr>
      </w:pPr>
      <w:r w:rsidRPr="00357169">
        <w:rPr>
          <w:lang w:val="fr-FR"/>
        </w:rPr>
        <w:t>Villa, J.</w:t>
      </w:r>
      <w:r w:rsidR="00292DA0">
        <w:rPr>
          <w:lang w:val="fr-FR"/>
        </w:rPr>
        <w:t>,</w:t>
      </w:r>
      <w:r w:rsidR="00027E4D">
        <w:rPr>
          <w:lang w:val="fr-FR"/>
        </w:rPr>
        <w:t xml:space="preserve"> </w:t>
      </w:r>
      <w:r w:rsidR="008F758C">
        <w:rPr>
          <w:lang w:val="fr-FR"/>
        </w:rPr>
        <w:t>&amp;</w:t>
      </w:r>
      <w:r w:rsidRPr="00357169">
        <w:rPr>
          <w:lang w:val="fr-FR"/>
        </w:rPr>
        <w:t xml:space="preserve"> Bélanger, D. (2012)</w:t>
      </w:r>
      <w:r w:rsidR="00F17609" w:rsidRPr="00357169">
        <w:rPr>
          <w:lang w:val="fr-FR"/>
        </w:rPr>
        <w:t>.</w:t>
      </w:r>
      <w:r w:rsidR="00954944">
        <w:rPr>
          <w:lang w:val="fr-FR"/>
        </w:rPr>
        <w:t xml:space="preserve"> </w:t>
      </w:r>
      <w:r w:rsidRPr="00357169">
        <w:rPr>
          <w:i/>
          <w:lang w:val="fr-FR"/>
        </w:rPr>
        <w:t>Perception du risque d’inondation dans un cont</w:t>
      </w:r>
      <w:r w:rsidR="00F17609" w:rsidRPr="00357169">
        <w:rPr>
          <w:i/>
          <w:lang w:val="fr-FR"/>
        </w:rPr>
        <w:t>exte de changements climatiques</w:t>
      </w:r>
      <w:r w:rsidRPr="00357169">
        <w:rPr>
          <w:i/>
          <w:lang w:val="fr-FR"/>
        </w:rPr>
        <w:t>: recension systématique des articles scientifiques sur sa mesure (1990-2011).</w:t>
      </w:r>
      <w:r w:rsidR="00F17609" w:rsidRPr="00357169">
        <w:rPr>
          <w:lang w:val="fr-FR"/>
        </w:rPr>
        <w:t xml:space="preserve"> Québec</w:t>
      </w:r>
      <w:r w:rsidRPr="00357169">
        <w:rPr>
          <w:lang w:val="fr-FR"/>
        </w:rPr>
        <w:t xml:space="preserve">: Institut national de santé publique du Québec. </w:t>
      </w:r>
    </w:p>
    <w:p w14:paraId="07FAAA27" w14:textId="77777777" w:rsidR="00C8234A" w:rsidRPr="00357169" w:rsidRDefault="00C8234A" w:rsidP="006965C4">
      <w:pPr>
        <w:ind w:left="709" w:hanging="709"/>
        <w:jc w:val="both"/>
      </w:pPr>
      <w:r w:rsidRPr="00395F60">
        <w:rPr>
          <w:lang w:val="fr-FR"/>
        </w:rPr>
        <w:t xml:space="preserve">Wagner, K. (2007). </w:t>
      </w:r>
      <w:r w:rsidRPr="00357169">
        <w:t xml:space="preserve">Mental models of flash floods and landslides. </w:t>
      </w:r>
      <w:r w:rsidRPr="00357169">
        <w:rPr>
          <w:i/>
        </w:rPr>
        <w:t>Risk Analysis, 27(</w:t>
      </w:r>
      <w:r w:rsidRPr="00357169">
        <w:t>3), 671-682.</w:t>
      </w:r>
      <w:r w:rsidR="00292DA0">
        <w:rPr>
          <w:rStyle w:val="st"/>
        </w:rPr>
        <w:t>doi: 10.1111/j.1539-6924.2007.00916.x</w:t>
      </w:r>
    </w:p>
    <w:p w14:paraId="365E3F8F" w14:textId="18AD2ED0" w:rsidR="00B36CD8" w:rsidRPr="00357169" w:rsidRDefault="00C52220" w:rsidP="006965C4">
      <w:pPr>
        <w:pStyle w:val="Cuerpo"/>
        <w:spacing w:after="0" w:line="240" w:lineRule="auto"/>
        <w:ind w:left="709" w:hanging="709"/>
        <w:jc w:val="both"/>
        <w:rPr>
          <w:rFonts w:ascii="Times New Roman" w:hAnsi="Times New Roman" w:cs="Times New Roman"/>
          <w:sz w:val="24"/>
          <w:szCs w:val="24"/>
          <w:lang w:val="en-US"/>
        </w:rPr>
      </w:pPr>
      <w:r w:rsidRPr="00357169">
        <w:rPr>
          <w:rFonts w:ascii="Times New Roman" w:hAnsi="Times New Roman" w:cs="Times New Roman"/>
          <w:sz w:val="24"/>
          <w:szCs w:val="24"/>
          <w:lang w:val="en-US"/>
        </w:rPr>
        <w:t>Weber, J, Hair, J.</w:t>
      </w:r>
      <w:r w:rsidR="00292DA0">
        <w:rPr>
          <w:rFonts w:ascii="Times New Roman" w:hAnsi="Times New Roman" w:cs="Times New Roman"/>
          <w:sz w:val="24"/>
          <w:szCs w:val="24"/>
          <w:lang w:val="en-US"/>
        </w:rPr>
        <w:t>,</w:t>
      </w:r>
      <w:r w:rsidR="00383E3F">
        <w:rPr>
          <w:rFonts w:ascii="Times New Roman" w:hAnsi="Times New Roman" w:cs="Times New Roman"/>
          <w:sz w:val="24"/>
          <w:szCs w:val="24"/>
          <w:lang w:val="en-US"/>
        </w:rPr>
        <w:t xml:space="preserve"> </w:t>
      </w:r>
      <w:r w:rsidR="008F758C">
        <w:rPr>
          <w:rFonts w:ascii="Times New Roman" w:hAnsi="Times New Roman" w:cs="Times New Roman"/>
          <w:sz w:val="24"/>
          <w:szCs w:val="24"/>
          <w:lang w:val="en-US"/>
        </w:rPr>
        <w:t>&amp;</w:t>
      </w:r>
      <w:r w:rsidRPr="00357169">
        <w:rPr>
          <w:rFonts w:ascii="Times New Roman" w:hAnsi="Times New Roman" w:cs="Times New Roman"/>
          <w:sz w:val="24"/>
          <w:szCs w:val="24"/>
          <w:lang w:val="en-US"/>
        </w:rPr>
        <w:t xml:space="preserve"> Fowler, C. (2000).</w:t>
      </w:r>
      <w:r w:rsidR="00954944">
        <w:rPr>
          <w:rFonts w:ascii="Times New Roman" w:hAnsi="Times New Roman" w:cs="Times New Roman"/>
          <w:sz w:val="24"/>
          <w:szCs w:val="24"/>
          <w:lang w:val="en-US"/>
        </w:rPr>
        <w:t xml:space="preserve"> </w:t>
      </w:r>
      <w:bookmarkStart w:id="0" w:name="_GoBack"/>
      <w:bookmarkEnd w:id="0"/>
      <w:r w:rsidRPr="00357169">
        <w:rPr>
          <w:rFonts w:ascii="Times New Roman" w:hAnsi="Times New Roman" w:cs="Times New Roman"/>
          <w:sz w:val="24"/>
          <w:szCs w:val="24"/>
          <w:lang w:val="en-US"/>
        </w:rPr>
        <w:t>Developing a measure of perceived environmental risk.</w:t>
      </w:r>
      <w:r w:rsidR="00027E4D">
        <w:rPr>
          <w:rFonts w:ascii="Times New Roman" w:hAnsi="Times New Roman" w:cs="Times New Roman"/>
          <w:sz w:val="24"/>
          <w:szCs w:val="24"/>
          <w:lang w:val="en-US"/>
        </w:rPr>
        <w:t xml:space="preserve"> </w:t>
      </w:r>
      <w:r w:rsidRPr="00357169">
        <w:rPr>
          <w:rFonts w:ascii="Times New Roman" w:hAnsi="Times New Roman" w:cs="Times New Roman"/>
          <w:i/>
          <w:iCs/>
          <w:sz w:val="24"/>
          <w:szCs w:val="24"/>
          <w:lang w:val="en-US"/>
        </w:rPr>
        <w:t>The Journal of Environmental Education</w:t>
      </w:r>
      <w:r w:rsidRPr="00357169">
        <w:rPr>
          <w:rFonts w:ascii="Times New Roman" w:hAnsi="Times New Roman" w:cs="Times New Roman"/>
          <w:i/>
          <w:sz w:val="24"/>
          <w:szCs w:val="24"/>
          <w:lang w:val="en-US"/>
        </w:rPr>
        <w:t>, 32(1),</w:t>
      </w:r>
      <w:r w:rsidRPr="00357169">
        <w:rPr>
          <w:rFonts w:ascii="Times New Roman" w:hAnsi="Times New Roman" w:cs="Times New Roman"/>
          <w:sz w:val="24"/>
          <w:szCs w:val="24"/>
          <w:lang w:val="en-US"/>
        </w:rPr>
        <w:t xml:space="preserve"> 28–35.</w:t>
      </w:r>
    </w:p>
    <w:p w14:paraId="58B91CED" w14:textId="77777777" w:rsidR="00C8234A" w:rsidRPr="00357169" w:rsidRDefault="00C8234A" w:rsidP="006965C4">
      <w:pPr>
        <w:ind w:left="709" w:hanging="709"/>
        <w:jc w:val="both"/>
      </w:pPr>
      <w:r w:rsidRPr="00357169">
        <w:t xml:space="preserve">Zhang, J. (1994). Environmental hazards in the Chinese public’s eyes. </w:t>
      </w:r>
      <w:r w:rsidRPr="00357169">
        <w:rPr>
          <w:i/>
        </w:rPr>
        <w:t>Risk Analysis, 14</w:t>
      </w:r>
      <w:r w:rsidRPr="00357169">
        <w:t xml:space="preserve"> (2), 163-167.</w:t>
      </w:r>
      <w:r w:rsidR="00292DA0" w:rsidRPr="00292DA0">
        <w:t>doi: 10.1111/</w:t>
      </w:r>
      <w:r w:rsidR="00292DA0" w:rsidRPr="00292DA0">
        <w:rPr>
          <w:i/>
          <w:iCs/>
        </w:rPr>
        <w:t>j</w:t>
      </w:r>
      <w:r w:rsidR="00292DA0" w:rsidRPr="00292DA0">
        <w:t>.1539-6924.1994.tb00041.x</w:t>
      </w:r>
    </w:p>
    <w:p w14:paraId="509790FB" w14:textId="77777777" w:rsidR="00C8234A" w:rsidRPr="00D920B2" w:rsidRDefault="00C8234A" w:rsidP="006965C4">
      <w:pPr>
        <w:ind w:left="709" w:hanging="709"/>
        <w:jc w:val="both"/>
        <w:rPr>
          <w:lang w:val="es-ES"/>
        </w:rPr>
      </w:pPr>
      <w:r w:rsidRPr="00357169">
        <w:t xml:space="preserve">Zhang, Y., Hwang, S. N., </w:t>
      </w:r>
      <w:r w:rsidR="008F758C">
        <w:t>&amp;</w:t>
      </w:r>
      <w:r w:rsidRPr="00357169">
        <w:t xml:space="preserve"> Lindell, M. K. (2010). Hazard proximity or risk perception? Evaluating effects of natural and technological hazards on housing values.</w:t>
      </w:r>
      <w:r w:rsidR="00E50911">
        <w:t xml:space="preserve"> </w:t>
      </w:r>
      <w:r w:rsidRPr="00D920B2">
        <w:rPr>
          <w:i/>
          <w:lang w:val="es-ES"/>
        </w:rPr>
        <w:t>Environment and Behavior, 42</w:t>
      </w:r>
      <w:r w:rsidRPr="00D920B2">
        <w:rPr>
          <w:lang w:val="es-ES"/>
        </w:rPr>
        <w:t>(5), 597-624.</w:t>
      </w:r>
      <w:r w:rsidR="00292DA0" w:rsidRPr="00D920B2">
        <w:rPr>
          <w:lang w:val="es-ES"/>
        </w:rPr>
        <w:t>doi: 10.1177/0013916509334564</w:t>
      </w:r>
    </w:p>
    <w:p w14:paraId="61A1C1B3" w14:textId="77777777" w:rsidR="00E74BC0" w:rsidRPr="00D920B2" w:rsidRDefault="00E74BC0" w:rsidP="006965C4">
      <w:pPr>
        <w:ind w:left="709" w:hanging="709"/>
        <w:jc w:val="both"/>
        <w:rPr>
          <w:lang w:val="es-ES"/>
        </w:rPr>
      </w:pPr>
    </w:p>
    <w:p w14:paraId="1590EC09" w14:textId="77777777" w:rsidR="00E74BC0" w:rsidRPr="00D920B2" w:rsidRDefault="006965C4" w:rsidP="006965C4">
      <w:pPr>
        <w:ind w:left="709" w:hanging="709"/>
        <w:jc w:val="both"/>
        <w:rPr>
          <w:b/>
          <w:lang w:val="es-ES"/>
        </w:rPr>
      </w:pPr>
      <w:r w:rsidRPr="00027E4D">
        <w:rPr>
          <w:b/>
          <w:lang w:val="es-ES_tradnl"/>
        </w:rPr>
        <w:t>Agradecimientos</w:t>
      </w:r>
      <w:r w:rsidRPr="00D920B2">
        <w:rPr>
          <w:b/>
          <w:lang w:val="es-ES"/>
        </w:rPr>
        <w:t>:</w:t>
      </w:r>
    </w:p>
    <w:p w14:paraId="73BBE058" w14:textId="77777777" w:rsidR="006965C4" w:rsidRDefault="006965C4" w:rsidP="006965C4">
      <w:pPr>
        <w:pStyle w:val="Cuerpo"/>
        <w:shd w:val="clear" w:color="auto" w:fill="FFFFFF"/>
        <w:spacing w:after="0" w:line="240" w:lineRule="auto"/>
        <w:rPr>
          <w:rFonts w:ascii="Times New Roman" w:hAnsi="Times New Roman" w:cs="Times New Roman"/>
          <w:b/>
          <w:sz w:val="24"/>
          <w:szCs w:val="24"/>
        </w:rPr>
      </w:pPr>
      <w:r w:rsidRPr="00A24E5B">
        <w:rPr>
          <w:rFonts w:ascii="Times New Roman" w:eastAsia="Times New Roman Bold" w:hAnsi="Times New Roman" w:cs="Times New Roman"/>
          <w:sz w:val="24"/>
          <w:szCs w:val="24"/>
        </w:rPr>
        <w:t xml:space="preserve">Esta investigación se realizó con el apoyo del Comité para el Desarrollo de la Investigación - CODI de la Universidad de Antioquia (Acta No. </w:t>
      </w:r>
      <w:r w:rsidRPr="00A24E5B">
        <w:rPr>
          <w:rFonts w:ascii="Times New Roman" w:hAnsi="Times New Roman" w:cs="Times New Roman"/>
          <w:sz w:val="24"/>
          <w:szCs w:val="24"/>
        </w:rPr>
        <w:t>624 del 14 de febrero de 2012</w:t>
      </w:r>
      <w:r>
        <w:rPr>
          <w:rFonts w:ascii="Times New Roman" w:hAnsi="Times New Roman" w:cs="Times New Roman"/>
          <w:sz w:val="24"/>
          <w:szCs w:val="24"/>
        </w:rPr>
        <w:t xml:space="preserve"> y </w:t>
      </w:r>
      <w:r>
        <w:rPr>
          <w:rFonts w:ascii="Times New Roman" w:eastAsia="Times New Roman Bold" w:hAnsi="Times New Roman" w:cs="Times New Roman"/>
          <w:sz w:val="24"/>
          <w:szCs w:val="24"/>
        </w:rPr>
        <w:t>E</w:t>
      </w:r>
      <w:r w:rsidRPr="00A24E5B">
        <w:rPr>
          <w:rFonts w:ascii="Times New Roman" w:eastAsia="Times New Roman Bold" w:hAnsi="Times New Roman" w:cs="Times New Roman"/>
          <w:sz w:val="24"/>
          <w:szCs w:val="24"/>
        </w:rPr>
        <w:t xml:space="preserve">strategia </w:t>
      </w:r>
      <w:r>
        <w:rPr>
          <w:rFonts w:ascii="Times New Roman" w:hAnsi="Times New Roman" w:cs="Times New Roman"/>
          <w:sz w:val="24"/>
          <w:szCs w:val="24"/>
        </w:rPr>
        <w:t xml:space="preserve">de Sostenibilidad 2011-2012, </w:t>
      </w:r>
      <w:r w:rsidRPr="00A24E5B">
        <w:rPr>
          <w:rFonts w:ascii="Times New Roman" w:hAnsi="Times New Roman" w:cs="Times New Roman"/>
          <w:sz w:val="24"/>
          <w:szCs w:val="24"/>
        </w:rPr>
        <w:t>Acta No. EO1665</w:t>
      </w:r>
      <w:r w:rsidRPr="00A24E5B">
        <w:rPr>
          <w:rFonts w:ascii="Times New Roman" w:eastAsia="Times New Roman Bold" w:hAnsi="Times New Roman" w:cs="Times New Roman"/>
          <w:sz w:val="24"/>
          <w:szCs w:val="24"/>
        </w:rPr>
        <w:t>)</w:t>
      </w:r>
      <w:r>
        <w:rPr>
          <w:rFonts w:ascii="Times New Roman" w:eastAsia="Times New Roman Bold" w:hAnsi="Times New Roman" w:cs="Times New Roman"/>
          <w:sz w:val="24"/>
          <w:szCs w:val="24"/>
        </w:rPr>
        <w:t xml:space="preserve"> </w:t>
      </w:r>
      <w:r w:rsidRPr="00A24E5B">
        <w:rPr>
          <w:rFonts w:ascii="Times New Roman" w:eastAsia="Times New Roman Bold" w:hAnsi="Times New Roman" w:cs="Times New Roman"/>
          <w:sz w:val="24"/>
          <w:szCs w:val="24"/>
        </w:rPr>
        <w:t xml:space="preserve">y del programa Ecos Nord </w:t>
      </w:r>
      <w:r>
        <w:rPr>
          <w:rFonts w:ascii="Times New Roman" w:eastAsia="Times New Roman Bold" w:hAnsi="Times New Roman" w:cs="Times New Roman"/>
          <w:sz w:val="24"/>
          <w:szCs w:val="24"/>
        </w:rPr>
        <w:t>Francia-</w:t>
      </w:r>
      <w:r w:rsidRPr="00A24E5B">
        <w:rPr>
          <w:rFonts w:ascii="Times New Roman" w:eastAsia="Times New Roman Bold" w:hAnsi="Times New Roman" w:cs="Times New Roman"/>
          <w:sz w:val="24"/>
          <w:szCs w:val="24"/>
        </w:rPr>
        <w:t>Colombia (convocatoria 533, 2011).</w:t>
      </w:r>
    </w:p>
    <w:p w14:paraId="099A9053" w14:textId="77777777" w:rsidR="006965C4" w:rsidRPr="006965C4" w:rsidRDefault="006965C4" w:rsidP="006965C4">
      <w:pPr>
        <w:ind w:left="709" w:hanging="709"/>
        <w:jc w:val="both"/>
        <w:rPr>
          <w:b/>
        </w:rPr>
      </w:pPr>
    </w:p>
    <w:p w14:paraId="099F797A" w14:textId="77777777" w:rsidR="00E74BC0" w:rsidRPr="00395F60" w:rsidRDefault="00E74BC0" w:rsidP="006965C4">
      <w:pPr>
        <w:ind w:left="709" w:hanging="709"/>
        <w:jc w:val="both"/>
      </w:pPr>
    </w:p>
    <w:p w14:paraId="4603EF13" w14:textId="77777777" w:rsidR="00E74BC0" w:rsidRPr="00395F60" w:rsidRDefault="00E74BC0" w:rsidP="006965C4"/>
    <w:sectPr w:rsidR="00E74BC0" w:rsidRPr="00395F60" w:rsidSect="007769DD">
      <w:headerReference w:type="default" r:id="rId8"/>
      <w:footerReference w:type="default" r:id="rId9"/>
      <w:pgSz w:w="12240" w:h="15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06BE6" w14:textId="77777777" w:rsidR="00B947C4" w:rsidRDefault="00B947C4">
      <w:r>
        <w:separator/>
      </w:r>
    </w:p>
  </w:endnote>
  <w:endnote w:type="continuationSeparator" w:id="0">
    <w:p w14:paraId="2E30318E" w14:textId="77777777" w:rsidR="00B947C4" w:rsidRDefault="00B9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charset w:val="00"/>
    <w:family w:val="roman"/>
    <w:pitch w:val="default"/>
  </w:font>
  <w:font w:name="TimesNewRomanPSMT">
    <w:altName w:val="Arial Unicode MS"/>
    <w:panose1 w:val="00000000000000000000"/>
    <w:charset w:val="88"/>
    <w:family w:val="auto"/>
    <w:notTrueType/>
    <w:pitch w:val="default"/>
    <w:sig w:usb0="00000000"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207829"/>
      <w:docPartObj>
        <w:docPartGallery w:val="Page Numbers (Bottom of Page)"/>
        <w:docPartUnique/>
      </w:docPartObj>
    </w:sdtPr>
    <w:sdtEndPr/>
    <w:sdtContent>
      <w:p w14:paraId="1FF8B0AF" w14:textId="38CC30BF" w:rsidR="001E5B2F" w:rsidRDefault="001E5B2F">
        <w:pPr>
          <w:pStyle w:val="Pieddepage"/>
          <w:jc w:val="center"/>
        </w:pPr>
        <w:r>
          <w:fldChar w:fldCharType="begin"/>
        </w:r>
        <w:r>
          <w:instrText>PAGE   \* MERGEFORMAT</w:instrText>
        </w:r>
        <w:r>
          <w:fldChar w:fldCharType="separate"/>
        </w:r>
        <w:r w:rsidR="00954944" w:rsidRPr="00954944">
          <w:rPr>
            <w:noProof/>
            <w:lang w:val="es-ES"/>
          </w:rPr>
          <w:t>15</w:t>
        </w:r>
        <w:r>
          <w:rPr>
            <w:noProof/>
            <w:lang w:val="es-ES"/>
          </w:rPr>
          <w:fldChar w:fldCharType="end"/>
        </w:r>
      </w:p>
    </w:sdtContent>
  </w:sdt>
  <w:p w14:paraId="229EED03" w14:textId="77777777" w:rsidR="001E5B2F" w:rsidRDefault="001E5B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141C3" w14:textId="77777777" w:rsidR="00B947C4" w:rsidRDefault="00B947C4">
      <w:r>
        <w:separator/>
      </w:r>
    </w:p>
  </w:footnote>
  <w:footnote w:type="continuationSeparator" w:id="0">
    <w:p w14:paraId="2FDAADDA" w14:textId="77777777" w:rsidR="00B947C4" w:rsidRDefault="00B9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2E55" w14:textId="77777777" w:rsidR="001E5B2F" w:rsidRDefault="001E5B2F">
    <w:pPr>
      <w:pStyle w:val="En-tte"/>
      <w:tabs>
        <w:tab w:val="clear" w:pos="8838"/>
        <w:tab w:val="right" w:pos="9356"/>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78FC"/>
    <w:multiLevelType w:val="hybridMultilevel"/>
    <w:tmpl w:val="A79E05CE"/>
    <w:lvl w:ilvl="0" w:tplc="040C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D1C2E"/>
    <w:multiLevelType w:val="hybridMultilevel"/>
    <w:tmpl w:val="8688A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2C6E54"/>
    <w:multiLevelType w:val="hybridMultilevel"/>
    <w:tmpl w:val="A11E7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A9580D"/>
    <w:multiLevelType w:val="hybridMultilevel"/>
    <w:tmpl w:val="5A2C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6056D"/>
    <w:multiLevelType w:val="hybridMultilevel"/>
    <w:tmpl w:val="B72A6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6CD8"/>
    <w:rsid w:val="00003531"/>
    <w:rsid w:val="00003D22"/>
    <w:rsid w:val="00011084"/>
    <w:rsid w:val="0001180E"/>
    <w:rsid w:val="00011C1B"/>
    <w:rsid w:val="00011D4B"/>
    <w:rsid w:val="00012669"/>
    <w:rsid w:val="0001320D"/>
    <w:rsid w:val="00014008"/>
    <w:rsid w:val="000154CD"/>
    <w:rsid w:val="00015A8C"/>
    <w:rsid w:val="00026F42"/>
    <w:rsid w:val="00027E4D"/>
    <w:rsid w:val="00033C49"/>
    <w:rsid w:val="00037AFE"/>
    <w:rsid w:val="0004703F"/>
    <w:rsid w:val="00055A92"/>
    <w:rsid w:val="00063C28"/>
    <w:rsid w:val="0006407B"/>
    <w:rsid w:val="00070740"/>
    <w:rsid w:val="00072259"/>
    <w:rsid w:val="00072B95"/>
    <w:rsid w:val="0007368D"/>
    <w:rsid w:val="00073AE8"/>
    <w:rsid w:val="00076B24"/>
    <w:rsid w:val="00076EBC"/>
    <w:rsid w:val="000821C4"/>
    <w:rsid w:val="0008424F"/>
    <w:rsid w:val="0008426F"/>
    <w:rsid w:val="00085E9F"/>
    <w:rsid w:val="00086ABF"/>
    <w:rsid w:val="000872F2"/>
    <w:rsid w:val="00087815"/>
    <w:rsid w:val="0009109A"/>
    <w:rsid w:val="000934E0"/>
    <w:rsid w:val="0009356D"/>
    <w:rsid w:val="0009636F"/>
    <w:rsid w:val="00096C9D"/>
    <w:rsid w:val="000A29C2"/>
    <w:rsid w:val="000A3CA2"/>
    <w:rsid w:val="000A7836"/>
    <w:rsid w:val="000B4CDA"/>
    <w:rsid w:val="000C25F2"/>
    <w:rsid w:val="000E4408"/>
    <w:rsid w:val="000E4C27"/>
    <w:rsid w:val="000E52AB"/>
    <w:rsid w:val="000E5C03"/>
    <w:rsid w:val="000F2CB9"/>
    <w:rsid w:val="000F312C"/>
    <w:rsid w:val="000F51A5"/>
    <w:rsid w:val="000F6C0E"/>
    <w:rsid w:val="000F748A"/>
    <w:rsid w:val="00105A4B"/>
    <w:rsid w:val="001065F9"/>
    <w:rsid w:val="001066D8"/>
    <w:rsid w:val="001133B9"/>
    <w:rsid w:val="0011410C"/>
    <w:rsid w:val="001149D6"/>
    <w:rsid w:val="0011616E"/>
    <w:rsid w:val="00122ABA"/>
    <w:rsid w:val="0012310B"/>
    <w:rsid w:val="00125085"/>
    <w:rsid w:val="00125151"/>
    <w:rsid w:val="00134FB9"/>
    <w:rsid w:val="00135A24"/>
    <w:rsid w:val="001376F0"/>
    <w:rsid w:val="00145584"/>
    <w:rsid w:val="00151A6F"/>
    <w:rsid w:val="0015501F"/>
    <w:rsid w:val="00156434"/>
    <w:rsid w:val="00156FA0"/>
    <w:rsid w:val="00164F18"/>
    <w:rsid w:val="001665FD"/>
    <w:rsid w:val="00172273"/>
    <w:rsid w:val="001736CD"/>
    <w:rsid w:val="00174F90"/>
    <w:rsid w:val="00176B51"/>
    <w:rsid w:val="001832CA"/>
    <w:rsid w:val="00186598"/>
    <w:rsid w:val="00190A38"/>
    <w:rsid w:val="00191565"/>
    <w:rsid w:val="00196459"/>
    <w:rsid w:val="001A078F"/>
    <w:rsid w:val="001A0D3F"/>
    <w:rsid w:val="001B0BE6"/>
    <w:rsid w:val="001C0C3D"/>
    <w:rsid w:val="001C3D2D"/>
    <w:rsid w:val="001C4354"/>
    <w:rsid w:val="001C6682"/>
    <w:rsid w:val="001D0720"/>
    <w:rsid w:val="001D0E0F"/>
    <w:rsid w:val="001D2B92"/>
    <w:rsid w:val="001D373F"/>
    <w:rsid w:val="001D7469"/>
    <w:rsid w:val="001E4907"/>
    <w:rsid w:val="001E54A5"/>
    <w:rsid w:val="001E5B2F"/>
    <w:rsid w:val="001E6A58"/>
    <w:rsid w:val="001F0410"/>
    <w:rsid w:val="001F1EF5"/>
    <w:rsid w:val="001F2245"/>
    <w:rsid w:val="001F283C"/>
    <w:rsid w:val="001F4E49"/>
    <w:rsid w:val="00202E3C"/>
    <w:rsid w:val="00203453"/>
    <w:rsid w:val="002041A5"/>
    <w:rsid w:val="00210FDD"/>
    <w:rsid w:val="00212AEA"/>
    <w:rsid w:val="00221B06"/>
    <w:rsid w:val="00223211"/>
    <w:rsid w:val="00226554"/>
    <w:rsid w:val="00226625"/>
    <w:rsid w:val="00230309"/>
    <w:rsid w:val="00234B37"/>
    <w:rsid w:val="00236EAA"/>
    <w:rsid w:val="00244139"/>
    <w:rsid w:val="00247604"/>
    <w:rsid w:val="0025033D"/>
    <w:rsid w:val="00252A83"/>
    <w:rsid w:val="00253B4F"/>
    <w:rsid w:val="002546B6"/>
    <w:rsid w:val="002718AC"/>
    <w:rsid w:val="00276509"/>
    <w:rsid w:val="00276BDE"/>
    <w:rsid w:val="00292DA0"/>
    <w:rsid w:val="00293BDD"/>
    <w:rsid w:val="002954BB"/>
    <w:rsid w:val="0029585D"/>
    <w:rsid w:val="00296313"/>
    <w:rsid w:val="00297AA6"/>
    <w:rsid w:val="002A06D5"/>
    <w:rsid w:val="002A0D1D"/>
    <w:rsid w:val="002A37D8"/>
    <w:rsid w:val="002A7B94"/>
    <w:rsid w:val="002B2653"/>
    <w:rsid w:val="002B4645"/>
    <w:rsid w:val="002B55F7"/>
    <w:rsid w:val="002B7680"/>
    <w:rsid w:val="002D033D"/>
    <w:rsid w:val="002D18A4"/>
    <w:rsid w:val="002D2349"/>
    <w:rsid w:val="002D2718"/>
    <w:rsid w:val="002E26F7"/>
    <w:rsid w:val="002E480B"/>
    <w:rsid w:val="002E60F3"/>
    <w:rsid w:val="002E6D2C"/>
    <w:rsid w:val="002E6FB3"/>
    <w:rsid w:val="002F2646"/>
    <w:rsid w:val="002F6401"/>
    <w:rsid w:val="002F67E9"/>
    <w:rsid w:val="00302461"/>
    <w:rsid w:val="0030342F"/>
    <w:rsid w:val="003055E4"/>
    <w:rsid w:val="00312B36"/>
    <w:rsid w:val="00313489"/>
    <w:rsid w:val="003166D1"/>
    <w:rsid w:val="00322AC8"/>
    <w:rsid w:val="003247F4"/>
    <w:rsid w:val="0032554F"/>
    <w:rsid w:val="00325728"/>
    <w:rsid w:val="00330009"/>
    <w:rsid w:val="00340F66"/>
    <w:rsid w:val="003449E5"/>
    <w:rsid w:val="0034617D"/>
    <w:rsid w:val="00357169"/>
    <w:rsid w:val="0036661B"/>
    <w:rsid w:val="00372854"/>
    <w:rsid w:val="0037425E"/>
    <w:rsid w:val="00375580"/>
    <w:rsid w:val="0037586D"/>
    <w:rsid w:val="00383E3F"/>
    <w:rsid w:val="00393648"/>
    <w:rsid w:val="003958BB"/>
    <w:rsid w:val="00395F60"/>
    <w:rsid w:val="0039673F"/>
    <w:rsid w:val="00396EDE"/>
    <w:rsid w:val="00396F95"/>
    <w:rsid w:val="003A6109"/>
    <w:rsid w:val="003B242B"/>
    <w:rsid w:val="003B6D89"/>
    <w:rsid w:val="003C21CE"/>
    <w:rsid w:val="003C2DFE"/>
    <w:rsid w:val="003C55D5"/>
    <w:rsid w:val="003C5F0B"/>
    <w:rsid w:val="003D4C98"/>
    <w:rsid w:val="003E42F3"/>
    <w:rsid w:val="003E4E3E"/>
    <w:rsid w:val="003E6F4F"/>
    <w:rsid w:val="003E7075"/>
    <w:rsid w:val="003F0ED2"/>
    <w:rsid w:val="003F4200"/>
    <w:rsid w:val="003F4EEB"/>
    <w:rsid w:val="003F79B4"/>
    <w:rsid w:val="004010BC"/>
    <w:rsid w:val="004019CD"/>
    <w:rsid w:val="00404FD7"/>
    <w:rsid w:val="00407E6A"/>
    <w:rsid w:val="0041004D"/>
    <w:rsid w:val="00416A81"/>
    <w:rsid w:val="00423BEA"/>
    <w:rsid w:val="004264BB"/>
    <w:rsid w:val="00427B9E"/>
    <w:rsid w:val="00427F18"/>
    <w:rsid w:val="00434618"/>
    <w:rsid w:val="004406CA"/>
    <w:rsid w:val="00440F7D"/>
    <w:rsid w:val="004453B1"/>
    <w:rsid w:val="004514DC"/>
    <w:rsid w:val="00453502"/>
    <w:rsid w:val="004560E4"/>
    <w:rsid w:val="00456D71"/>
    <w:rsid w:val="0046109B"/>
    <w:rsid w:val="004710EB"/>
    <w:rsid w:val="0047635E"/>
    <w:rsid w:val="00477527"/>
    <w:rsid w:val="00481C44"/>
    <w:rsid w:val="00481E87"/>
    <w:rsid w:val="00483810"/>
    <w:rsid w:val="0048396F"/>
    <w:rsid w:val="0049071C"/>
    <w:rsid w:val="00494863"/>
    <w:rsid w:val="004966C8"/>
    <w:rsid w:val="00497F18"/>
    <w:rsid w:val="004A07FB"/>
    <w:rsid w:val="004A19C0"/>
    <w:rsid w:val="004A3F83"/>
    <w:rsid w:val="004A532C"/>
    <w:rsid w:val="004A7A16"/>
    <w:rsid w:val="004A7B74"/>
    <w:rsid w:val="004B7A44"/>
    <w:rsid w:val="004C127F"/>
    <w:rsid w:val="004C13E3"/>
    <w:rsid w:val="004D4EE8"/>
    <w:rsid w:val="004D5428"/>
    <w:rsid w:val="004E321C"/>
    <w:rsid w:val="004F2FF0"/>
    <w:rsid w:val="0050143F"/>
    <w:rsid w:val="005051E4"/>
    <w:rsid w:val="00505CE8"/>
    <w:rsid w:val="005116D5"/>
    <w:rsid w:val="00511E33"/>
    <w:rsid w:val="00513034"/>
    <w:rsid w:val="00517F2D"/>
    <w:rsid w:val="00520127"/>
    <w:rsid w:val="00521919"/>
    <w:rsid w:val="00524515"/>
    <w:rsid w:val="00526AD6"/>
    <w:rsid w:val="0053631C"/>
    <w:rsid w:val="0053699A"/>
    <w:rsid w:val="00541040"/>
    <w:rsid w:val="0054155A"/>
    <w:rsid w:val="00542970"/>
    <w:rsid w:val="00543C43"/>
    <w:rsid w:val="00547327"/>
    <w:rsid w:val="00556856"/>
    <w:rsid w:val="0056369B"/>
    <w:rsid w:val="005705FB"/>
    <w:rsid w:val="005721C0"/>
    <w:rsid w:val="00574C99"/>
    <w:rsid w:val="00576943"/>
    <w:rsid w:val="00577505"/>
    <w:rsid w:val="00581610"/>
    <w:rsid w:val="00584406"/>
    <w:rsid w:val="00587587"/>
    <w:rsid w:val="0059037B"/>
    <w:rsid w:val="005908A7"/>
    <w:rsid w:val="005A1034"/>
    <w:rsid w:val="005A3AED"/>
    <w:rsid w:val="005A5399"/>
    <w:rsid w:val="005A602D"/>
    <w:rsid w:val="005B41DC"/>
    <w:rsid w:val="005B54F7"/>
    <w:rsid w:val="005B579C"/>
    <w:rsid w:val="005B7BFC"/>
    <w:rsid w:val="005C060F"/>
    <w:rsid w:val="005C0671"/>
    <w:rsid w:val="005D3235"/>
    <w:rsid w:val="005D654F"/>
    <w:rsid w:val="005E4B16"/>
    <w:rsid w:val="005F19CB"/>
    <w:rsid w:val="005F1C13"/>
    <w:rsid w:val="005F2182"/>
    <w:rsid w:val="005F2957"/>
    <w:rsid w:val="005F4149"/>
    <w:rsid w:val="00603B2D"/>
    <w:rsid w:val="00606370"/>
    <w:rsid w:val="00610FBD"/>
    <w:rsid w:val="006126B8"/>
    <w:rsid w:val="006206C1"/>
    <w:rsid w:val="00621006"/>
    <w:rsid w:val="00621D54"/>
    <w:rsid w:val="0062212C"/>
    <w:rsid w:val="0062389C"/>
    <w:rsid w:val="00623F72"/>
    <w:rsid w:val="0062404C"/>
    <w:rsid w:val="006246B6"/>
    <w:rsid w:val="00627D0D"/>
    <w:rsid w:val="00630A82"/>
    <w:rsid w:val="006319B8"/>
    <w:rsid w:val="00633A71"/>
    <w:rsid w:val="00636E84"/>
    <w:rsid w:val="006379C7"/>
    <w:rsid w:val="0064533C"/>
    <w:rsid w:val="0064749B"/>
    <w:rsid w:val="00651410"/>
    <w:rsid w:val="006528BE"/>
    <w:rsid w:val="006557F9"/>
    <w:rsid w:val="0065656E"/>
    <w:rsid w:val="00657D96"/>
    <w:rsid w:val="0066130D"/>
    <w:rsid w:val="00661B7D"/>
    <w:rsid w:val="00671A26"/>
    <w:rsid w:val="00671AD6"/>
    <w:rsid w:val="00672EBC"/>
    <w:rsid w:val="00673122"/>
    <w:rsid w:val="00673899"/>
    <w:rsid w:val="00682D83"/>
    <w:rsid w:val="00686440"/>
    <w:rsid w:val="00687BD9"/>
    <w:rsid w:val="00694AD4"/>
    <w:rsid w:val="006964E7"/>
    <w:rsid w:val="006965C4"/>
    <w:rsid w:val="006A04DB"/>
    <w:rsid w:val="006A0AA4"/>
    <w:rsid w:val="006A37D6"/>
    <w:rsid w:val="006B0566"/>
    <w:rsid w:val="006B1021"/>
    <w:rsid w:val="006B16F9"/>
    <w:rsid w:val="006B2ABB"/>
    <w:rsid w:val="006B2AD8"/>
    <w:rsid w:val="006B35DE"/>
    <w:rsid w:val="006B6BC0"/>
    <w:rsid w:val="006C5F1E"/>
    <w:rsid w:val="006C7EFC"/>
    <w:rsid w:val="006D047F"/>
    <w:rsid w:val="006F0C68"/>
    <w:rsid w:val="006F0D7E"/>
    <w:rsid w:val="006F7CD6"/>
    <w:rsid w:val="00703565"/>
    <w:rsid w:val="007036EA"/>
    <w:rsid w:val="0070492D"/>
    <w:rsid w:val="0070516F"/>
    <w:rsid w:val="00705A26"/>
    <w:rsid w:val="007062D9"/>
    <w:rsid w:val="00716A42"/>
    <w:rsid w:val="00720EBA"/>
    <w:rsid w:val="00723B2B"/>
    <w:rsid w:val="00724DC3"/>
    <w:rsid w:val="007374B3"/>
    <w:rsid w:val="00740C95"/>
    <w:rsid w:val="00745B9B"/>
    <w:rsid w:val="00745D4F"/>
    <w:rsid w:val="007467F4"/>
    <w:rsid w:val="007479E3"/>
    <w:rsid w:val="00747F20"/>
    <w:rsid w:val="00756E4C"/>
    <w:rsid w:val="007576CD"/>
    <w:rsid w:val="00766446"/>
    <w:rsid w:val="007769DD"/>
    <w:rsid w:val="00776D30"/>
    <w:rsid w:val="00780C36"/>
    <w:rsid w:val="007844D7"/>
    <w:rsid w:val="00787102"/>
    <w:rsid w:val="00790A7D"/>
    <w:rsid w:val="00793A11"/>
    <w:rsid w:val="00794697"/>
    <w:rsid w:val="00795CFF"/>
    <w:rsid w:val="00797EA3"/>
    <w:rsid w:val="007A4EE4"/>
    <w:rsid w:val="007A6E77"/>
    <w:rsid w:val="007A74EF"/>
    <w:rsid w:val="007B0C0B"/>
    <w:rsid w:val="007B3D51"/>
    <w:rsid w:val="007C096B"/>
    <w:rsid w:val="007C78C9"/>
    <w:rsid w:val="007D0884"/>
    <w:rsid w:val="007D0B09"/>
    <w:rsid w:val="007D3202"/>
    <w:rsid w:val="007D4342"/>
    <w:rsid w:val="007D5953"/>
    <w:rsid w:val="007D76CF"/>
    <w:rsid w:val="007E180E"/>
    <w:rsid w:val="007E2076"/>
    <w:rsid w:val="007E5F6A"/>
    <w:rsid w:val="00800858"/>
    <w:rsid w:val="0080195B"/>
    <w:rsid w:val="008024F3"/>
    <w:rsid w:val="00802F28"/>
    <w:rsid w:val="00804200"/>
    <w:rsid w:val="0080619B"/>
    <w:rsid w:val="00812333"/>
    <w:rsid w:val="008123D7"/>
    <w:rsid w:val="00814354"/>
    <w:rsid w:val="0082054F"/>
    <w:rsid w:val="008222C2"/>
    <w:rsid w:val="00833469"/>
    <w:rsid w:val="008361B3"/>
    <w:rsid w:val="00840EA6"/>
    <w:rsid w:val="00843898"/>
    <w:rsid w:val="00843E8B"/>
    <w:rsid w:val="00852F80"/>
    <w:rsid w:val="0085368B"/>
    <w:rsid w:val="0085602A"/>
    <w:rsid w:val="008570B3"/>
    <w:rsid w:val="00863281"/>
    <w:rsid w:val="00870854"/>
    <w:rsid w:val="00870C65"/>
    <w:rsid w:val="00884A7D"/>
    <w:rsid w:val="00886E0E"/>
    <w:rsid w:val="00890634"/>
    <w:rsid w:val="00891618"/>
    <w:rsid w:val="00893C1B"/>
    <w:rsid w:val="00894FB2"/>
    <w:rsid w:val="00897568"/>
    <w:rsid w:val="008A553C"/>
    <w:rsid w:val="008C4A00"/>
    <w:rsid w:val="008D04E9"/>
    <w:rsid w:val="008D1233"/>
    <w:rsid w:val="008D1B1F"/>
    <w:rsid w:val="008E015D"/>
    <w:rsid w:val="008E208D"/>
    <w:rsid w:val="008E271E"/>
    <w:rsid w:val="008F0717"/>
    <w:rsid w:val="008F2194"/>
    <w:rsid w:val="008F50BE"/>
    <w:rsid w:val="008F758C"/>
    <w:rsid w:val="008F76E2"/>
    <w:rsid w:val="00901588"/>
    <w:rsid w:val="00904A38"/>
    <w:rsid w:val="0090627A"/>
    <w:rsid w:val="00907FB7"/>
    <w:rsid w:val="00913014"/>
    <w:rsid w:val="009164D5"/>
    <w:rsid w:val="0091792B"/>
    <w:rsid w:val="00921620"/>
    <w:rsid w:val="00923E11"/>
    <w:rsid w:val="00924B5F"/>
    <w:rsid w:val="00927CED"/>
    <w:rsid w:val="009305DD"/>
    <w:rsid w:val="00932B76"/>
    <w:rsid w:val="00935609"/>
    <w:rsid w:val="00935D2C"/>
    <w:rsid w:val="00940EC1"/>
    <w:rsid w:val="009435CD"/>
    <w:rsid w:val="00951F77"/>
    <w:rsid w:val="0095248A"/>
    <w:rsid w:val="00952DDA"/>
    <w:rsid w:val="00954944"/>
    <w:rsid w:val="00955573"/>
    <w:rsid w:val="009606FC"/>
    <w:rsid w:val="00963E22"/>
    <w:rsid w:val="009675C2"/>
    <w:rsid w:val="0097113B"/>
    <w:rsid w:val="00971678"/>
    <w:rsid w:val="0098388A"/>
    <w:rsid w:val="009850CD"/>
    <w:rsid w:val="00987D16"/>
    <w:rsid w:val="00990185"/>
    <w:rsid w:val="00991018"/>
    <w:rsid w:val="009A0253"/>
    <w:rsid w:val="009A0FF7"/>
    <w:rsid w:val="009A1552"/>
    <w:rsid w:val="009A27B7"/>
    <w:rsid w:val="009A3F6A"/>
    <w:rsid w:val="009A528C"/>
    <w:rsid w:val="009A5CF7"/>
    <w:rsid w:val="009A62A3"/>
    <w:rsid w:val="009B3411"/>
    <w:rsid w:val="009B3587"/>
    <w:rsid w:val="009B63CB"/>
    <w:rsid w:val="009B76E0"/>
    <w:rsid w:val="009C1F39"/>
    <w:rsid w:val="009C2653"/>
    <w:rsid w:val="009C3F2E"/>
    <w:rsid w:val="009D201C"/>
    <w:rsid w:val="009D20BA"/>
    <w:rsid w:val="009D527C"/>
    <w:rsid w:val="009D681D"/>
    <w:rsid w:val="009E2782"/>
    <w:rsid w:val="009E2A20"/>
    <w:rsid w:val="009E5DBB"/>
    <w:rsid w:val="009F17B5"/>
    <w:rsid w:val="009F5AA2"/>
    <w:rsid w:val="00A00710"/>
    <w:rsid w:val="00A0567F"/>
    <w:rsid w:val="00A05BD8"/>
    <w:rsid w:val="00A07179"/>
    <w:rsid w:val="00A10D8E"/>
    <w:rsid w:val="00A11637"/>
    <w:rsid w:val="00A17612"/>
    <w:rsid w:val="00A17BED"/>
    <w:rsid w:val="00A2121D"/>
    <w:rsid w:val="00A2304C"/>
    <w:rsid w:val="00A242F0"/>
    <w:rsid w:val="00A24E5B"/>
    <w:rsid w:val="00A25FDB"/>
    <w:rsid w:val="00A3230E"/>
    <w:rsid w:val="00A36B27"/>
    <w:rsid w:val="00A42A1C"/>
    <w:rsid w:val="00A61DC2"/>
    <w:rsid w:val="00A628BD"/>
    <w:rsid w:val="00A66C82"/>
    <w:rsid w:val="00A745B6"/>
    <w:rsid w:val="00A7571C"/>
    <w:rsid w:val="00A75C89"/>
    <w:rsid w:val="00A812BA"/>
    <w:rsid w:val="00A81955"/>
    <w:rsid w:val="00A8330E"/>
    <w:rsid w:val="00A96F18"/>
    <w:rsid w:val="00AB0177"/>
    <w:rsid w:val="00AB23BC"/>
    <w:rsid w:val="00AC4E09"/>
    <w:rsid w:val="00AD1AA5"/>
    <w:rsid w:val="00AD40AC"/>
    <w:rsid w:val="00AE4446"/>
    <w:rsid w:val="00AE5153"/>
    <w:rsid w:val="00AE5AF3"/>
    <w:rsid w:val="00AE7F75"/>
    <w:rsid w:val="00AF1EF0"/>
    <w:rsid w:val="00AF4E9D"/>
    <w:rsid w:val="00AF6DE3"/>
    <w:rsid w:val="00B02A32"/>
    <w:rsid w:val="00B05053"/>
    <w:rsid w:val="00B0539D"/>
    <w:rsid w:val="00B061F8"/>
    <w:rsid w:val="00B07673"/>
    <w:rsid w:val="00B10CD9"/>
    <w:rsid w:val="00B1619B"/>
    <w:rsid w:val="00B171AF"/>
    <w:rsid w:val="00B17551"/>
    <w:rsid w:val="00B20BA9"/>
    <w:rsid w:val="00B210C6"/>
    <w:rsid w:val="00B21547"/>
    <w:rsid w:val="00B2503F"/>
    <w:rsid w:val="00B26C50"/>
    <w:rsid w:val="00B27DEA"/>
    <w:rsid w:val="00B31D0A"/>
    <w:rsid w:val="00B321FB"/>
    <w:rsid w:val="00B338CD"/>
    <w:rsid w:val="00B36CD8"/>
    <w:rsid w:val="00B43EB6"/>
    <w:rsid w:val="00B453AC"/>
    <w:rsid w:val="00B45E7E"/>
    <w:rsid w:val="00B511D4"/>
    <w:rsid w:val="00B514B8"/>
    <w:rsid w:val="00B53047"/>
    <w:rsid w:val="00B53704"/>
    <w:rsid w:val="00B5511D"/>
    <w:rsid w:val="00B571D4"/>
    <w:rsid w:val="00B61AB1"/>
    <w:rsid w:val="00B63D0B"/>
    <w:rsid w:val="00B64FCF"/>
    <w:rsid w:val="00B703A0"/>
    <w:rsid w:val="00B71346"/>
    <w:rsid w:val="00B723DF"/>
    <w:rsid w:val="00B84142"/>
    <w:rsid w:val="00B92458"/>
    <w:rsid w:val="00B947C4"/>
    <w:rsid w:val="00B9789E"/>
    <w:rsid w:val="00B97D62"/>
    <w:rsid w:val="00BA4671"/>
    <w:rsid w:val="00BA47B9"/>
    <w:rsid w:val="00BA5EE6"/>
    <w:rsid w:val="00BA751F"/>
    <w:rsid w:val="00BA7E59"/>
    <w:rsid w:val="00BB0A8A"/>
    <w:rsid w:val="00BB2F0F"/>
    <w:rsid w:val="00BB315C"/>
    <w:rsid w:val="00BB4663"/>
    <w:rsid w:val="00BB61CA"/>
    <w:rsid w:val="00BB7C30"/>
    <w:rsid w:val="00BC43A5"/>
    <w:rsid w:val="00BD422B"/>
    <w:rsid w:val="00BD59F5"/>
    <w:rsid w:val="00BD5BDA"/>
    <w:rsid w:val="00BE1909"/>
    <w:rsid w:val="00BE5A35"/>
    <w:rsid w:val="00BE637A"/>
    <w:rsid w:val="00BF2276"/>
    <w:rsid w:val="00BF5D35"/>
    <w:rsid w:val="00BF665A"/>
    <w:rsid w:val="00BF666C"/>
    <w:rsid w:val="00C10E92"/>
    <w:rsid w:val="00C11EF0"/>
    <w:rsid w:val="00C12A8B"/>
    <w:rsid w:val="00C24EEC"/>
    <w:rsid w:val="00C26D63"/>
    <w:rsid w:val="00C31025"/>
    <w:rsid w:val="00C32A4B"/>
    <w:rsid w:val="00C331C5"/>
    <w:rsid w:val="00C341F4"/>
    <w:rsid w:val="00C34996"/>
    <w:rsid w:val="00C422D1"/>
    <w:rsid w:val="00C43B3B"/>
    <w:rsid w:val="00C441D7"/>
    <w:rsid w:val="00C44DD5"/>
    <w:rsid w:val="00C47D26"/>
    <w:rsid w:val="00C505BF"/>
    <w:rsid w:val="00C52220"/>
    <w:rsid w:val="00C6072B"/>
    <w:rsid w:val="00C6456E"/>
    <w:rsid w:val="00C73D6F"/>
    <w:rsid w:val="00C74CCE"/>
    <w:rsid w:val="00C81560"/>
    <w:rsid w:val="00C8234A"/>
    <w:rsid w:val="00C84A75"/>
    <w:rsid w:val="00C84E5F"/>
    <w:rsid w:val="00C86D3B"/>
    <w:rsid w:val="00C875CF"/>
    <w:rsid w:val="00C906C0"/>
    <w:rsid w:val="00C90A6A"/>
    <w:rsid w:val="00CA0039"/>
    <w:rsid w:val="00CA2479"/>
    <w:rsid w:val="00CA56CE"/>
    <w:rsid w:val="00CA66D4"/>
    <w:rsid w:val="00CA7EC4"/>
    <w:rsid w:val="00CB100A"/>
    <w:rsid w:val="00CB1C19"/>
    <w:rsid w:val="00CB2B18"/>
    <w:rsid w:val="00CB5C35"/>
    <w:rsid w:val="00CB7208"/>
    <w:rsid w:val="00CC544C"/>
    <w:rsid w:val="00CD28A3"/>
    <w:rsid w:val="00CE0F42"/>
    <w:rsid w:val="00CE4E13"/>
    <w:rsid w:val="00CF256D"/>
    <w:rsid w:val="00CF48E7"/>
    <w:rsid w:val="00D000C2"/>
    <w:rsid w:val="00D0056A"/>
    <w:rsid w:val="00D15925"/>
    <w:rsid w:val="00D173FA"/>
    <w:rsid w:val="00D22564"/>
    <w:rsid w:val="00D234F1"/>
    <w:rsid w:val="00D23F47"/>
    <w:rsid w:val="00D2412C"/>
    <w:rsid w:val="00D243CF"/>
    <w:rsid w:val="00D25B8B"/>
    <w:rsid w:val="00D26D3A"/>
    <w:rsid w:val="00D27447"/>
    <w:rsid w:val="00D351EC"/>
    <w:rsid w:val="00D35BD6"/>
    <w:rsid w:val="00D36598"/>
    <w:rsid w:val="00D36EF9"/>
    <w:rsid w:val="00D403F9"/>
    <w:rsid w:val="00D473A7"/>
    <w:rsid w:val="00D5042B"/>
    <w:rsid w:val="00D602A3"/>
    <w:rsid w:val="00D602D6"/>
    <w:rsid w:val="00D62C57"/>
    <w:rsid w:val="00D676EB"/>
    <w:rsid w:val="00D75303"/>
    <w:rsid w:val="00D75A7A"/>
    <w:rsid w:val="00D81001"/>
    <w:rsid w:val="00D81F37"/>
    <w:rsid w:val="00D866B6"/>
    <w:rsid w:val="00D8755F"/>
    <w:rsid w:val="00D920B2"/>
    <w:rsid w:val="00D96C38"/>
    <w:rsid w:val="00DB1500"/>
    <w:rsid w:val="00DB589D"/>
    <w:rsid w:val="00DB64D5"/>
    <w:rsid w:val="00DB6C9A"/>
    <w:rsid w:val="00DC2B98"/>
    <w:rsid w:val="00DC3BD6"/>
    <w:rsid w:val="00DC4C61"/>
    <w:rsid w:val="00DD268C"/>
    <w:rsid w:val="00DD70A2"/>
    <w:rsid w:val="00DD7D4D"/>
    <w:rsid w:val="00DE0574"/>
    <w:rsid w:val="00DE150C"/>
    <w:rsid w:val="00DE2ACC"/>
    <w:rsid w:val="00DE33E0"/>
    <w:rsid w:val="00DE54B9"/>
    <w:rsid w:val="00DF2470"/>
    <w:rsid w:val="00DF459A"/>
    <w:rsid w:val="00E0099D"/>
    <w:rsid w:val="00E02EBA"/>
    <w:rsid w:val="00E1072C"/>
    <w:rsid w:val="00E1543E"/>
    <w:rsid w:val="00E17BEB"/>
    <w:rsid w:val="00E203C3"/>
    <w:rsid w:val="00E20D5B"/>
    <w:rsid w:val="00E307D4"/>
    <w:rsid w:val="00E32758"/>
    <w:rsid w:val="00E33235"/>
    <w:rsid w:val="00E33385"/>
    <w:rsid w:val="00E35DAB"/>
    <w:rsid w:val="00E44403"/>
    <w:rsid w:val="00E50911"/>
    <w:rsid w:val="00E54DA4"/>
    <w:rsid w:val="00E5638A"/>
    <w:rsid w:val="00E743EB"/>
    <w:rsid w:val="00E747A4"/>
    <w:rsid w:val="00E74BC0"/>
    <w:rsid w:val="00E75799"/>
    <w:rsid w:val="00E76E5E"/>
    <w:rsid w:val="00E779B6"/>
    <w:rsid w:val="00E82749"/>
    <w:rsid w:val="00E85B56"/>
    <w:rsid w:val="00E961F7"/>
    <w:rsid w:val="00E975E8"/>
    <w:rsid w:val="00EA0067"/>
    <w:rsid w:val="00EA6530"/>
    <w:rsid w:val="00EB34BF"/>
    <w:rsid w:val="00EB49A7"/>
    <w:rsid w:val="00EB7354"/>
    <w:rsid w:val="00EC4957"/>
    <w:rsid w:val="00EC53B1"/>
    <w:rsid w:val="00EE346E"/>
    <w:rsid w:val="00EE4651"/>
    <w:rsid w:val="00EE6C04"/>
    <w:rsid w:val="00EE79C0"/>
    <w:rsid w:val="00EF6AA9"/>
    <w:rsid w:val="00EF7D5C"/>
    <w:rsid w:val="00F00B09"/>
    <w:rsid w:val="00F14AE3"/>
    <w:rsid w:val="00F17596"/>
    <w:rsid w:val="00F17609"/>
    <w:rsid w:val="00F17DA3"/>
    <w:rsid w:val="00F24B0C"/>
    <w:rsid w:val="00F31031"/>
    <w:rsid w:val="00F3219A"/>
    <w:rsid w:val="00F354B7"/>
    <w:rsid w:val="00F366B0"/>
    <w:rsid w:val="00F40398"/>
    <w:rsid w:val="00F52291"/>
    <w:rsid w:val="00F52C44"/>
    <w:rsid w:val="00F54E07"/>
    <w:rsid w:val="00F57E40"/>
    <w:rsid w:val="00F60B8D"/>
    <w:rsid w:val="00F61F6E"/>
    <w:rsid w:val="00F674D1"/>
    <w:rsid w:val="00F676D6"/>
    <w:rsid w:val="00F72A68"/>
    <w:rsid w:val="00F84EA4"/>
    <w:rsid w:val="00F85EA3"/>
    <w:rsid w:val="00F8628B"/>
    <w:rsid w:val="00F92C96"/>
    <w:rsid w:val="00F95601"/>
    <w:rsid w:val="00F97835"/>
    <w:rsid w:val="00F97DD9"/>
    <w:rsid w:val="00FA0A0A"/>
    <w:rsid w:val="00FA0F46"/>
    <w:rsid w:val="00FA3CEE"/>
    <w:rsid w:val="00FD08DF"/>
    <w:rsid w:val="00FD7B6C"/>
    <w:rsid w:val="00FE1EB2"/>
    <w:rsid w:val="00FE68DA"/>
    <w:rsid w:val="00FF7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EA32E9"/>
  <w15:docId w15:val="{A9E9DC65-AE6D-4F70-9A55-022135F7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70740"/>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70740"/>
    <w:rPr>
      <w:u w:val="single"/>
    </w:rPr>
  </w:style>
  <w:style w:type="table" w:customStyle="1" w:styleId="TableNormal">
    <w:name w:val="Table Normal"/>
    <w:rsid w:val="00070740"/>
    <w:tblPr>
      <w:tblInd w:w="0" w:type="dxa"/>
      <w:tblCellMar>
        <w:top w:w="0" w:type="dxa"/>
        <w:left w:w="0" w:type="dxa"/>
        <w:bottom w:w="0" w:type="dxa"/>
        <w:right w:w="0" w:type="dxa"/>
      </w:tblCellMar>
    </w:tblPr>
  </w:style>
  <w:style w:type="paragraph" w:styleId="En-tte">
    <w:name w:val="header"/>
    <w:link w:val="En-tteCar"/>
    <w:uiPriority w:val="99"/>
    <w:rsid w:val="00070740"/>
    <w:pPr>
      <w:tabs>
        <w:tab w:val="center" w:pos="4419"/>
        <w:tab w:val="right" w:pos="8838"/>
      </w:tabs>
    </w:pPr>
    <w:rPr>
      <w:rFonts w:ascii="Trebuchet MS" w:hAnsi="Arial Unicode MS" w:cs="Arial Unicode MS"/>
      <w:color w:val="000000"/>
      <w:sz w:val="22"/>
      <w:szCs w:val="22"/>
      <w:u w:color="000000"/>
      <w:lang w:val="es-ES_tradnl"/>
    </w:rPr>
  </w:style>
  <w:style w:type="paragraph" w:customStyle="1" w:styleId="Cabeceraypie">
    <w:name w:val="Cabecera y pie"/>
    <w:rsid w:val="00070740"/>
    <w:pPr>
      <w:tabs>
        <w:tab w:val="right" w:pos="9020"/>
      </w:tabs>
    </w:pPr>
    <w:rPr>
      <w:rFonts w:ascii="Helvetica" w:eastAsia="Helvetica" w:hAnsi="Helvetica" w:cs="Helvetica"/>
      <w:color w:val="000000"/>
      <w:sz w:val="24"/>
      <w:szCs w:val="24"/>
    </w:rPr>
  </w:style>
  <w:style w:type="paragraph" w:customStyle="1" w:styleId="Cuerpo">
    <w:name w:val="Cuerpo"/>
    <w:rsid w:val="00070740"/>
    <w:pPr>
      <w:spacing w:after="200" w:line="276" w:lineRule="auto"/>
    </w:pPr>
    <w:rPr>
      <w:rFonts w:ascii="Calibri" w:eastAsia="Calibri" w:hAnsi="Calibri" w:cs="Calibri"/>
      <w:color w:val="000000"/>
      <w:sz w:val="22"/>
      <w:szCs w:val="22"/>
      <w:u w:color="000000"/>
      <w:lang w:val="es-ES_tradnl"/>
    </w:rPr>
  </w:style>
  <w:style w:type="paragraph" w:styleId="Bibliographie">
    <w:name w:val="Bibliography"/>
    <w:next w:val="Cuerpo"/>
    <w:rsid w:val="00070740"/>
    <w:pPr>
      <w:spacing w:after="200" w:line="276" w:lineRule="auto"/>
    </w:pPr>
    <w:rPr>
      <w:rFonts w:ascii="Trebuchet MS" w:hAnsi="Arial Unicode MS" w:cs="Arial Unicode MS"/>
      <w:color w:val="000000"/>
      <w:sz w:val="22"/>
      <w:szCs w:val="22"/>
      <w:u w:color="000000"/>
      <w:lang w:val="es-ES_tradnl"/>
    </w:rPr>
  </w:style>
  <w:style w:type="character" w:customStyle="1" w:styleId="shorttext">
    <w:name w:val="short_text"/>
    <w:rsid w:val="00070740"/>
  </w:style>
  <w:style w:type="character" w:customStyle="1" w:styleId="Hyperlink0">
    <w:name w:val="Hyperlink.0"/>
    <w:basedOn w:val="shorttext"/>
    <w:rsid w:val="00070740"/>
    <w:rPr>
      <w:sz w:val="24"/>
      <w:szCs w:val="24"/>
    </w:rPr>
  </w:style>
  <w:style w:type="paragraph" w:styleId="Pieddepage">
    <w:name w:val="footer"/>
    <w:basedOn w:val="Normal"/>
    <w:link w:val="PieddepageCar"/>
    <w:uiPriority w:val="99"/>
    <w:unhideWhenUsed/>
    <w:rsid w:val="00CB7208"/>
    <w:pPr>
      <w:tabs>
        <w:tab w:val="center" w:pos="4419"/>
        <w:tab w:val="right" w:pos="8838"/>
      </w:tabs>
    </w:pPr>
  </w:style>
  <w:style w:type="character" w:customStyle="1" w:styleId="PieddepageCar">
    <w:name w:val="Pied de page Car"/>
    <w:basedOn w:val="Policepardfaut"/>
    <w:link w:val="Pieddepage"/>
    <w:uiPriority w:val="99"/>
    <w:rsid w:val="00CB7208"/>
    <w:rPr>
      <w:sz w:val="24"/>
      <w:szCs w:val="24"/>
      <w:lang w:val="en-US" w:eastAsia="en-US"/>
    </w:rPr>
  </w:style>
  <w:style w:type="paragraph" w:styleId="Textedebulles">
    <w:name w:val="Balloon Text"/>
    <w:basedOn w:val="Normal"/>
    <w:link w:val="TextedebullesCar"/>
    <w:uiPriority w:val="99"/>
    <w:semiHidden/>
    <w:unhideWhenUsed/>
    <w:rsid w:val="00AE4446"/>
    <w:rPr>
      <w:rFonts w:ascii="Tahoma" w:hAnsi="Tahoma" w:cs="Tahoma"/>
      <w:sz w:val="16"/>
      <w:szCs w:val="16"/>
    </w:rPr>
  </w:style>
  <w:style w:type="character" w:customStyle="1" w:styleId="TextedebullesCar">
    <w:name w:val="Texte de bulles Car"/>
    <w:basedOn w:val="Policepardfaut"/>
    <w:link w:val="Textedebulles"/>
    <w:uiPriority w:val="99"/>
    <w:semiHidden/>
    <w:rsid w:val="00AE4446"/>
    <w:rPr>
      <w:rFonts w:ascii="Tahoma" w:hAnsi="Tahoma" w:cs="Tahoma"/>
      <w:sz w:val="16"/>
      <w:szCs w:val="16"/>
      <w:lang w:val="en-US" w:eastAsia="en-US"/>
    </w:rPr>
  </w:style>
  <w:style w:type="paragraph" w:styleId="Paragraphedeliste">
    <w:name w:val="List Paragraph"/>
    <w:basedOn w:val="Normal"/>
    <w:uiPriority w:val="34"/>
    <w:qFormat/>
    <w:rsid w:val="0001320D"/>
    <w:pPr>
      <w:ind w:left="720"/>
      <w:contextualSpacing/>
    </w:pPr>
  </w:style>
  <w:style w:type="character" w:customStyle="1" w:styleId="hps">
    <w:name w:val="hps"/>
    <w:basedOn w:val="Policepardfaut"/>
    <w:rsid w:val="003E6F4F"/>
  </w:style>
  <w:style w:type="character" w:customStyle="1" w:styleId="En-tteCar">
    <w:name w:val="En-tête Car"/>
    <w:basedOn w:val="Policepardfaut"/>
    <w:link w:val="En-tte"/>
    <w:uiPriority w:val="99"/>
    <w:rsid w:val="005D3235"/>
    <w:rPr>
      <w:rFonts w:ascii="Trebuchet MS" w:hAnsi="Arial Unicode MS" w:cs="Arial Unicode MS"/>
      <w:color w:val="000000"/>
      <w:sz w:val="22"/>
      <w:szCs w:val="22"/>
      <w:u w:color="000000"/>
      <w:lang w:val="es-ES_tradnl"/>
    </w:rPr>
  </w:style>
  <w:style w:type="paragraph" w:customStyle="1" w:styleId="Default">
    <w:name w:val="Default"/>
    <w:rsid w:val="003967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lang w:val="es-ES"/>
    </w:rPr>
  </w:style>
  <w:style w:type="character" w:styleId="Textedelespacerserv">
    <w:name w:val="Placeholder Text"/>
    <w:basedOn w:val="Policepardfaut"/>
    <w:uiPriority w:val="99"/>
    <w:semiHidden/>
    <w:rsid w:val="00247604"/>
    <w:rPr>
      <w:color w:val="808080"/>
    </w:rPr>
  </w:style>
  <w:style w:type="table" w:styleId="Grilledutableau">
    <w:name w:val="Table Grid"/>
    <w:basedOn w:val="TableauNormal"/>
    <w:uiPriority w:val="59"/>
    <w:rsid w:val="001D2B9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uiPriority w:val="20"/>
    <w:qFormat/>
    <w:rsid w:val="008123D7"/>
    <w:rPr>
      <w:i/>
      <w:iCs w:val="0"/>
    </w:rPr>
  </w:style>
  <w:style w:type="character" w:customStyle="1" w:styleId="st">
    <w:name w:val="st"/>
    <w:basedOn w:val="Policepardfaut"/>
    <w:rsid w:val="0004703F"/>
  </w:style>
  <w:style w:type="character" w:styleId="Marquedecommentaire">
    <w:name w:val="annotation reference"/>
    <w:basedOn w:val="Policepardfaut"/>
    <w:uiPriority w:val="99"/>
    <w:semiHidden/>
    <w:unhideWhenUsed/>
    <w:rsid w:val="00F676D6"/>
    <w:rPr>
      <w:sz w:val="18"/>
      <w:szCs w:val="18"/>
    </w:rPr>
  </w:style>
  <w:style w:type="paragraph" w:styleId="Commentaire">
    <w:name w:val="annotation text"/>
    <w:basedOn w:val="Normal"/>
    <w:link w:val="CommentaireCar"/>
    <w:uiPriority w:val="99"/>
    <w:unhideWhenUsed/>
    <w:rsid w:val="00F676D6"/>
  </w:style>
  <w:style w:type="character" w:customStyle="1" w:styleId="CommentaireCar">
    <w:name w:val="Commentaire Car"/>
    <w:basedOn w:val="Policepardfaut"/>
    <w:link w:val="Commentaire"/>
    <w:uiPriority w:val="99"/>
    <w:rsid w:val="00F676D6"/>
    <w:rPr>
      <w:sz w:val="24"/>
      <w:szCs w:val="24"/>
      <w:lang w:val="en-US" w:eastAsia="en-US"/>
    </w:rPr>
  </w:style>
  <w:style w:type="paragraph" w:styleId="Objetducommentaire">
    <w:name w:val="annotation subject"/>
    <w:basedOn w:val="Commentaire"/>
    <w:next w:val="Commentaire"/>
    <w:link w:val="ObjetducommentaireCar"/>
    <w:uiPriority w:val="99"/>
    <w:semiHidden/>
    <w:unhideWhenUsed/>
    <w:rsid w:val="00F676D6"/>
    <w:rPr>
      <w:b/>
      <w:bCs/>
      <w:sz w:val="20"/>
      <w:szCs w:val="20"/>
    </w:rPr>
  </w:style>
  <w:style w:type="character" w:customStyle="1" w:styleId="ObjetducommentaireCar">
    <w:name w:val="Objet du commentaire Car"/>
    <w:basedOn w:val="CommentaireCar"/>
    <w:link w:val="Objetducommentaire"/>
    <w:uiPriority w:val="99"/>
    <w:semiHidden/>
    <w:rsid w:val="00F676D6"/>
    <w:rPr>
      <w:b/>
      <w:bCs/>
      <w:sz w:val="24"/>
      <w:szCs w:val="24"/>
      <w:lang w:val="en-US" w:eastAsia="en-US"/>
    </w:rPr>
  </w:style>
  <w:style w:type="paragraph" w:styleId="NormalWeb">
    <w:name w:val="Normal (Web)"/>
    <w:basedOn w:val="Normal"/>
    <w:uiPriority w:val="99"/>
    <w:rsid w:val="00F52C44"/>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heme="minorHAnsi" w:hAnsi="Times"/>
      <w:sz w:val="20"/>
      <w:szCs w:val="20"/>
      <w:bdr w:val="none" w:sz="0" w:space="0" w:color="auto"/>
      <w:lang w:val="es-ES_tradnl"/>
    </w:rPr>
  </w:style>
  <w:style w:type="paragraph" w:styleId="Notedebasdepage">
    <w:name w:val="footnote text"/>
    <w:basedOn w:val="Normal"/>
    <w:link w:val="NotedebasdepageCar"/>
    <w:uiPriority w:val="99"/>
    <w:semiHidden/>
    <w:unhideWhenUsed/>
    <w:rsid w:val="00E33235"/>
    <w:rPr>
      <w:sz w:val="20"/>
      <w:szCs w:val="20"/>
    </w:rPr>
  </w:style>
  <w:style w:type="character" w:customStyle="1" w:styleId="NotedebasdepageCar">
    <w:name w:val="Note de bas de page Car"/>
    <w:basedOn w:val="Policepardfaut"/>
    <w:link w:val="Notedebasdepage"/>
    <w:uiPriority w:val="99"/>
    <w:semiHidden/>
    <w:rsid w:val="00E33235"/>
    <w:rPr>
      <w:lang w:val="en-US" w:eastAsia="en-US"/>
    </w:rPr>
  </w:style>
  <w:style w:type="character" w:styleId="Appelnotedebasdep">
    <w:name w:val="footnote reference"/>
    <w:basedOn w:val="Policepardfaut"/>
    <w:uiPriority w:val="99"/>
    <w:semiHidden/>
    <w:unhideWhenUsed/>
    <w:rsid w:val="00E33235"/>
    <w:rPr>
      <w:vertAlign w:val="superscript"/>
    </w:rPr>
  </w:style>
  <w:style w:type="character" w:styleId="lev">
    <w:name w:val="Strong"/>
    <w:basedOn w:val="Policepardfaut"/>
    <w:uiPriority w:val="22"/>
    <w:qFormat/>
    <w:rsid w:val="00D62C57"/>
    <w:rPr>
      <w:b/>
      <w:bCs/>
    </w:rPr>
  </w:style>
  <w:style w:type="paragraph" w:styleId="Sansinterligne">
    <w:name w:val="No Spacing"/>
    <w:uiPriority w:val="1"/>
    <w:qFormat/>
    <w:rsid w:val="00D25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8841">
      <w:bodyDiv w:val="1"/>
      <w:marLeft w:val="0"/>
      <w:marRight w:val="0"/>
      <w:marTop w:val="0"/>
      <w:marBottom w:val="0"/>
      <w:divBdr>
        <w:top w:val="none" w:sz="0" w:space="0" w:color="auto"/>
        <w:left w:val="none" w:sz="0" w:space="0" w:color="auto"/>
        <w:bottom w:val="none" w:sz="0" w:space="0" w:color="auto"/>
        <w:right w:val="none" w:sz="0" w:space="0" w:color="auto"/>
      </w:divBdr>
    </w:div>
    <w:div w:id="138962212">
      <w:bodyDiv w:val="1"/>
      <w:marLeft w:val="0"/>
      <w:marRight w:val="0"/>
      <w:marTop w:val="0"/>
      <w:marBottom w:val="0"/>
      <w:divBdr>
        <w:top w:val="none" w:sz="0" w:space="0" w:color="auto"/>
        <w:left w:val="none" w:sz="0" w:space="0" w:color="auto"/>
        <w:bottom w:val="none" w:sz="0" w:space="0" w:color="auto"/>
        <w:right w:val="none" w:sz="0" w:space="0" w:color="auto"/>
      </w:divBdr>
    </w:div>
    <w:div w:id="167914563">
      <w:bodyDiv w:val="1"/>
      <w:marLeft w:val="0"/>
      <w:marRight w:val="0"/>
      <w:marTop w:val="0"/>
      <w:marBottom w:val="0"/>
      <w:divBdr>
        <w:top w:val="none" w:sz="0" w:space="0" w:color="auto"/>
        <w:left w:val="none" w:sz="0" w:space="0" w:color="auto"/>
        <w:bottom w:val="none" w:sz="0" w:space="0" w:color="auto"/>
        <w:right w:val="none" w:sz="0" w:space="0" w:color="auto"/>
      </w:divBdr>
    </w:div>
    <w:div w:id="343243039">
      <w:bodyDiv w:val="1"/>
      <w:marLeft w:val="0"/>
      <w:marRight w:val="0"/>
      <w:marTop w:val="0"/>
      <w:marBottom w:val="0"/>
      <w:divBdr>
        <w:top w:val="none" w:sz="0" w:space="0" w:color="auto"/>
        <w:left w:val="none" w:sz="0" w:space="0" w:color="auto"/>
        <w:bottom w:val="none" w:sz="0" w:space="0" w:color="auto"/>
        <w:right w:val="none" w:sz="0" w:space="0" w:color="auto"/>
      </w:divBdr>
    </w:div>
    <w:div w:id="611326112">
      <w:bodyDiv w:val="1"/>
      <w:marLeft w:val="0"/>
      <w:marRight w:val="0"/>
      <w:marTop w:val="0"/>
      <w:marBottom w:val="0"/>
      <w:divBdr>
        <w:top w:val="none" w:sz="0" w:space="0" w:color="auto"/>
        <w:left w:val="none" w:sz="0" w:space="0" w:color="auto"/>
        <w:bottom w:val="none" w:sz="0" w:space="0" w:color="auto"/>
        <w:right w:val="none" w:sz="0" w:space="0" w:color="auto"/>
      </w:divBdr>
    </w:div>
    <w:div w:id="759524764">
      <w:bodyDiv w:val="1"/>
      <w:marLeft w:val="0"/>
      <w:marRight w:val="0"/>
      <w:marTop w:val="0"/>
      <w:marBottom w:val="0"/>
      <w:divBdr>
        <w:top w:val="none" w:sz="0" w:space="0" w:color="auto"/>
        <w:left w:val="none" w:sz="0" w:space="0" w:color="auto"/>
        <w:bottom w:val="none" w:sz="0" w:space="0" w:color="auto"/>
        <w:right w:val="none" w:sz="0" w:space="0" w:color="auto"/>
      </w:divBdr>
    </w:div>
    <w:div w:id="769659870">
      <w:bodyDiv w:val="1"/>
      <w:marLeft w:val="0"/>
      <w:marRight w:val="0"/>
      <w:marTop w:val="0"/>
      <w:marBottom w:val="0"/>
      <w:divBdr>
        <w:top w:val="none" w:sz="0" w:space="0" w:color="auto"/>
        <w:left w:val="none" w:sz="0" w:space="0" w:color="auto"/>
        <w:bottom w:val="none" w:sz="0" w:space="0" w:color="auto"/>
        <w:right w:val="none" w:sz="0" w:space="0" w:color="auto"/>
      </w:divBdr>
    </w:div>
    <w:div w:id="919368843">
      <w:bodyDiv w:val="1"/>
      <w:marLeft w:val="0"/>
      <w:marRight w:val="0"/>
      <w:marTop w:val="0"/>
      <w:marBottom w:val="0"/>
      <w:divBdr>
        <w:top w:val="none" w:sz="0" w:space="0" w:color="auto"/>
        <w:left w:val="none" w:sz="0" w:space="0" w:color="auto"/>
        <w:bottom w:val="none" w:sz="0" w:space="0" w:color="auto"/>
        <w:right w:val="none" w:sz="0" w:space="0" w:color="auto"/>
      </w:divBdr>
    </w:div>
    <w:div w:id="961573626">
      <w:bodyDiv w:val="1"/>
      <w:marLeft w:val="0"/>
      <w:marRight w:val="0"/>
      <w:marTop w:val="0"/>
      <w:marBottom w:val="0"/>
      <w:divBdr>
        <w:top w:val="none" w:sz="0" w:space="0" w:color="auto"/>
        <w:left w:val="none" w:sz="0" w:space="0" w:color="auto"/>
        <w:bottom w:val="none" w:sz="0" w:space="0" w:color="auto"/>
        <w:right w:val="none" w:sz="0" w:space="0" w:color="auto"/>
      </w:divBdr>
    </w:div>
    <w:div w:id="967778668">
      <w:bodyDiv w:val="1"/>
      <w:marLeft w:val="0"/>
      <w:marRight w:val="0"/>
      <w:marTop w:val="0"/>
      <w:marBottom w:val="0"/>
      <w:divBdr>
        <w:top w:val="none" w:sz="0" w:space="0" w:color="auto"/>
        <w:left w:val="none" w:sz="0" w:space="0" w:color="auto"/>
        <w:bottom w:val="none" w:sz="0" w:space="0" w:color="auto"/>
        <w:right w:val="none" w:sz="0" w:space="0" w:color="auto"/>
      </w:divBdr>
    </w:div>
    <w:div w:id="1017927941">
      <w:bodyDiv w:val="1"/>
      <w:marLeft w:val="0"/>
      <w:marRight w:val="0"/>
      <w:marTop w:val="0"/>
      <w:marBottom w:val="0"/>
      <w:divBdr>
        <w:top w:val="none" w:sz="0" w:space="0" w:color="auto"/>
        <w:left w:val="none" w:sz="0" w:space="0" w:color="auto"/>
        <w:bottom w:val="none" w:sz="0" w:space="0" w:color="auto"/>
        <w:right w:val="none" w:sz="0" w:space="0" w:color="auto"/>
      </w:divBdr>
    </w:div>
    <w:div w:id="1034039703">
      <w:bodyDiv w:val="1"/>
      <w:marLeft w:val="0"/>
      <w:marRight w:val="0"/>
      <w:marTop w:val="0"/>
      <w:marBottom w:val="0"/>
      <w:divBdr>
        <w:top w:val="none" w:sz="0" w:space="0" w:color="auto"/>
        <w:left w:val="none" w:sz="0" w:space="0" w:color="auto"/>
        <w:bottom w:val="none" w:sz="0" w:space="0" w:color="auto"/>
        <w:right w:val="none" w:sz="0" w:space="0" w:color="auto"/>
      </w:divBdr>
    </w:div>
    <w:div w:id="1092437980">
      <w:bodyDiv w:val="1"/>
      <w:marLeft w:val="0"/>
      <w:marRight w:val="0"/>
      <w:marTop w:val="0"/>
      <w:marBottom w:val="0"/>
      <w:divBdr>
        <w:top w:val="none" w:sz="0" w:space="0" w:color="auto"/>
        <w:left w:val="none" w:sz="0" w:space="0" w:color="auto"/>
        <w:bottom w:val="none" w:sz="0" w:space="0" w:color="auto"/>
        <w:right w:val="none" w:sz="0" w:space="0" w:color="auto"/>
      </w:divBdr>
    </w:div>
    <w:div w:id="1401633413">
      <w:bodyDiv w:val="1"/>
      <w:marLeft w:val="0"/>
      <w:marRight w:val="0"/>
      <w:marTop w:val="0"/>
      <w:marBottom w:val="0"/>
      <w:divBdr>
        <w:top w:val="none" w:sz="0" w:space="0" w:color="auto"/>
        <w:left w:val="none" w:sz="0" w:space="0" w:color="auto"/>
        <w:bottom w:val="none" w:sz="0" w:space="0" w:color="auto"/>
        <w:right w:val="none" w:sz="0" w:space="0" w:color="auto"/>
      </w:divBdr>
    </w:div>
    <w:div w:id="1447505071">
      <w:bodyDiv w:val="1"/>
      <w:marLeft w:val="0"/>
      <w:marRight w:val="0"/>
      <w:marTop w:val="0"/>
      <w:marBottom w:val="0"/>
      <w:divBdr>
        <w:top w:val="none" w:sz="0" w:space="0" w:color="auto"/>
        <w:left w:val="none" w:sz="0" w:space="0" w:color="auto"/>
        <w:bottom w:val="none" w:sz="0" w:space="0" w:color="auto"/>
        <w:right w:val="none" w:sz="0" w:space="0" w:color="auto"/>
      </w:divBdr>
    </w:div>
    <w:div w:id="1470856789">
      <w:bodyDiv w:val="1"/>
      <w:marLeft w:val="0"/>
      <w:marRight w:val="0"/>
      <w:marTop w:val="0"/>
      <w:marBottom w:val="0"/>
      <w:divBdr>
        <w:top w:val="none" w:sz="0" w:space="0" w:color="auto"/>
        <w:left w:val="none" w:sz="0" w:space="0" w:color="auto"/>
        <w:bottom w:val="none" w:sz="0" w:space="0" w:color="auto"/>
        <w:right w:val="none" w:sz="0" w:space="0" w:color="auto"/>
      </w:divBdr>
    </w:div>
    <w:div w:id="1558011246">
      <w:bodyDiv w:val="1"/>
      <w:marLeft w:val="0"/>
      <w:marRight w:val="0"/>
      <w:marTop w:val="0"/>
      <w:marBottom w:val="0"/>
      <w:divBdr>
        <w:top w:val="none" w:sz="0" w:space="0" w:color="auto"/>
        <w:left w:val="none" w:sz="0" w:space="0" w:color="auto"/>
        <w:bottom w:val="none" w:sz="0" w:space="0" w:color="auto"/>
        <w:right w:val="none" w:sz="0" w:space="0" w:color="auto"/>
      </w:divBdr>
    </w:div>
    <w:div w:id="1620724029">
      <w:bodyDiv w:val="1"/>
      <w:marLeft w:val="0"/>
      <w:marRight w:val="0"/>
      <w:marTop w:val="0"/>
      <w:marBottom w:val="0"/>
      <w:divBdr>
        <w:top w:val="none" w:sz="0" w:space="0" w:color="auto"/>
        <w:left w:val="none" w:sz="0" w:space="0" w:color="auto"/>
        <w:bottom w:val="none" w:sz="0" w:space="0" w:color="auto"/>
        <w:right w:val="none" w:sz="0" w:space="0" w:color="auto"/>
      </w:divBdr>
    </w:div>
    <w:div w:id="1642467435">
      <w:bodyDiv w:val="1"/>
      <w:marLeft w:val="0"/>
      <w:marRight w:val="0"/>
      <w:marTop w:val="0"/>
      <w:marBottom w:val="0"/>
      <w:divBdr>
        <w:top w:val="none" w:sz="0" w:space="0" w:color="auto"/>
        <w:left w:val="none" w:sz="0" w:space="0" w:color="auto"/>
        <w:bottom w:val="none" w:sz="0" w:space="0" w:color="auto"/>
        <w:right w:val="none" w:sz="0" w:space="0" w:color="auto"/>
      </w:divBdr>
    </w:div>
    <w:div w:id="1714308222">
      <w:bodyDiv w:val="1"/>
      <w:marLeft w:val="0"/>
      <w:marRight w:val="0"/>
      <w:marTop w:val="0"/>
      <w:marBottom w:val="0"/>
      <w:divBdr>
        <w:top w:val="none" w:sz="0" w:space="0" w:color="auto"/>
        <w:left w:val="none" w:sz="0" w:space="0" w:color="auto"/>
        <w:bottom w:val="none" w:sz="0" w:space="0" w:color="auto"/>
        <w:right w:val="none" w:sz="0" w:space="0" w:color="auto"/>
      </w:divBdr>
    </w:div>
    <w:div w:id="1732147071">
      <w:bodyDiv w:val="1"/>
      <w:marLeft w:val="0"/>
      <w:marRight w:val="0"/>
      <w:marTop w:val="0"/>
      <w:marBottom w:val="0"/>
      <w:divBdr>
        <w:top w:val="none" w:sz="0" w:space="0" w:color="auto"/>
        <w:left w:val="none" w:sz="0" w:space="0" w:color="auto"/>
        <w:bottom w:val="none" w:sz="0" w:space="0" w:color="auto"/>
        <w:right w:val="none" w:sz="0" w:space="0" w:color="auto"/>
      </w:divBdr>
    </w:div>
    <w:div w:id="1746565465">
      <w:bodyDiv w:val="1"/>
      <w:marLeft w:val="0"/>
      <w:marRight w:val="0"/>
      <w:marTop w:val="0"/>
      <w:marBottom w:val="0"/>
      <w:divBdr>
        <w:top w:val="none" w:sz="0" w:space="0" w:color="auto"/>
        <w:left w:val="none" w:sz="0" w:space="0" w:color="auto"/>
        <w:bottom w:val="none" w:sz="0" w:space="0" w:color="auto"/>
        <w:right w:val="none" w:sz="0" w:space="0" w:color="auto"/>
      </w:divBdr>
    </w:div>
    <w:div w:id="1816290621">
      <w:bodyDiv w:val="1"/>
      <w:marLeft w:val="0"/>
      <w:marRight w:val="0"/>
      <w:marTop w:val="0"/>
      <w:marBottom w:val="0"/>
      <w:divBdr>
        <w:top w:val="none" w:sz="0" w:space="0" w:color="auto"/>
        <w:left w:val="none" w:sz="0" w:space="0" w:color="auto"/>
        <w:bottom w:val="none" w:sz="0" w:space="0" w:color="auto"/>
        <w:right w:val="none" w:sz="0" w:space="0" w:color="auto"/>
      </w:divBdr>
    </w:div>
    <w:div w:id="1825588808">
      <w:bodyDiv w:val="1"/>
      <w:marLeft w:val="0"/>
      <w:marRight w:val="0"/>
      <w:marTop w:val="0"/>
      <w:marBottom w:val="0"/>
      <w:divBdr>
        <w:top w:val="none" w:sz="0" w:space="0" w:color="auto"/>
        <w:left w:val="none" w:sz="0" w:space="0" w:color="auto"/>
        <w:bottom w:val="none" w:sz="0" w:space="0" w:color="auto"/>
        <w:right w:val="none" w:sz="0" w:space="0" w:color="auto"/>
      </w:divBdr>
    </w:div>
    <w:div w:id="1883177311">
      <w:bodyDiv w:val="1"/>
      <w:marLeft w:val="0"/>
      <w:marRight w:val="0"/>
      <w:marTop w:val="0"/>
      <w:marBottom w:val="0"/>
      <w:divBdr>
        <w:top w:val="none" w:sz="0" w:space="0" w:color="auto"/>
        <w:left w:val="none" w:sz="0" w:space="0" w:color="auto"/>
        <w:bottom w:val="none" w:sz="0" w:space="0" w:color="auto"/>
        <w:right w:val="none" w:sz="0" w:space="0" w:color="auto"/>
      </w:divBdr>
    </w:div>
    <w:div w:id="1986817803">
      <w:bodyDiv w:val="1"/>
      <w:marLeft w:val="0"/>
      <w:marRight w:val="0"/>
      <w:marTop w:val="0"/>
      <w:marBottom w:val="0"/>
      <w:divBdr>
        <w:top w:val="none" w:sz="0" w:space="0" w:color="auto"/>
        <w:left w:val="none" w:sz="0" w:space="0" w:color="auto"/>
        <w:bottom w:val="none" w:sz="0" w:space="0" w:color="auto"/>
        <w:right w:val="none" w:sz="0" w:space="0" w:color="auto"/>
      </w:divBdr>
    </w:div>
    <w:div w:id="2057310292">
      <w:bodyDiv w:val="1"/>
      <w:marLeft w:val="0"/>
      <w:marRight w:val="0"/>
      <w:marTop w:val="0"/>
      <w:marBottom w:val="0"/>
      <w:divBdr>
        <w:top w:val="none" w:sz="0" w:space="0" w:color="auto"/>
        <w:left w:val="none" w:sz="0" w:space="0" w:color="auto"/>
        <w:bottom w:val="none" w:sz="0" w:space="0" w:color="auto"/>
        <w:right w:val="none" w:sz="0" w:space="0" w:color="auto"/>
      </w:divBdr>
    </w:div>
    <w:div w:id="2139254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C255D-2ABF-4B9B-83D8-91EABE07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7098</Words>
  <Characters>39040</Characters>
  <Application>Microsoft Office Word</Application>
  <DocSecurity>0</DocSecurity>
  <Lines>325</Lines>
  <Paragraphs>92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Empresas Publicas de Medellín</Company>
  <LinksUpToDate>false</LinksUpToDate>
  <CharactersWithSpaces>46046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ADRIANA MUNOZ DUQUE</dc:creator>
  <cp:lastModifiedBy>Oscar Navarro</cp:lastModifiedBy>
  <cp:revision>25</cp:revision>
  <cp:lastPrinted>2016-02-19T10:14:00Z</cp:lastPrinted>
  <dcterms:created xsi:type="dcterms:W3CDTF">2016-09-15T07:44:00Z</dcterms:created>
  <dcterms:modified xsi:type="dcterms:W3CDTF">2016-09-22T17:45:00Z</dcterms:modified>
</cp:coreProperties>
</file>