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23E0D" w14:textId="77777777" w:rsidR="00EC69B1" w:rsidRDefault="00EC69B1" w:rsidP="00EC69B1">
      <w:pPr>
        <w:widowControl w:val="0"/>
        <w:autoSpaceDE w:val="0"/>
        <w:autoSpaceDN w:val="0"/>
        <w:adjustRightInd w:val="0"/>
        <w:spacing w:line="480" w:lineRule="auto"/>
        <w:ind w:right="145" w:firstLine="700"/>
        <w:jc w:val="center"/>
        <w:rPr>
          <w:rFonts w:ascii="Times New Roman" w:hAnsi="Times New Roman" w:cs="Times New Roman"/>
        </w:rPr>
      </w:pPr>
    </w:p>
    <w:p w14:paraId="1CF36F69" w14:textId="77777777" w:rsidR="00EC69B1" w:rsidRPr="000A316A" w:rsidRDefault="00EC69B1" w:rsidP="000A316A">
      <w:pPr>
        <w:widowControl w:val="0"/>
        <w:autoSpaceDE w:val="0"/>
        <w:autoSpaceDN w:val="0"/>
        <w:adjustRightInd w:val="0"/>
        <w:ind w:right="145"/>
        <w:jc w:val="center"/>
        <w:rPr>
          <w:rFonts w:ascii="Times" w:hAnsi="Times" w:cs="Calibri"/>
          <w:b/>
          <w:caps/>
          <w:sz w:val="36"/>
        </w:rPr>
      </w:pPr>
      <w:r w:rsidRPr="000A316A">
        <w:rPr>
          <w:rFonts w:ascii="Times" w:hAnsi="Times" w:cs="Times New Roman"/>
          <w:b/>
          <w:caps/>
          <w:sz w:val="36"/>
        </w:rPr>
        <w:t>Social representations elements of athlete on Facebook</w:t>
      </w:r>
    </w:p>
    <w:p w14:paraId="4205DE32" w14:textId="77777777" w:rsidR="00EC69B1" w:rsidRDefault="00EC69B1" w:rsidP="00EC69B1">
      <w:pPr>
        <w:widowControl w:val="0"/>
        <w:autoSpaceDE w:val="0"/>
        <w:autoSpaceDN w:val="0"/>
        <w:adjustRightInd w:val="0"/>
        <w:spacing w:line="480" w:lineRule="auto"/>
        <w:ind w:right="145" w:firstLine="700"/>
        <w:rPr>
          <w:rFonts w:ascii="Calibri" w:hAnsi="Calibri" w:cs="Calibri"/>
        </w:rPr>
      </w:pPr>
    </w:p>
    <w:p w14:paraId="39E839F5" w14:textId="19A90C56" w:rsidR="000A316A" w:rsidRDefault="000A316A" w:rsidP="000A316A">
      <w:pPr>
        <w:widowControl w:val="0"/>
        <w:autoSpaceDE w:val="0"/>
        <w:autoSpaceDN w:val="0"/>
        <w:adjustRightInd w:val="0"/>
        <w:ind w:right="145"/>
        <w:jc w:val="both"/>
        <w:rPr>
          <w:rFonts w:ascii="Times New Roman" w:hAnsi="Times New Roman" w:cs="Times New Roman"/>
          <w:b/>
          <w:sz w:val="28"/>
          <w:szCs w:val="28"/>
        </w:rPr>
      </w:pPr>
      <w:r w:rsidRPr="000A316A">
        <w:rPr>
          <w:rFonts w:ascii="Times New Roman" w:hAnsi="Times New Roman" w:cs="Times New Roman"/>
          <w:b/>
          <w:sz w:val="28"/>
          <w:szCs w:val="28"/>
        </w:rPr>
        <w:t>Ana Carla Crispim</w:t>
      </w:r>
      <w:r>
        <w:rPr>
          <w:rStyle w:val="FootnoteReference"/>
          <w:rFonts w:ascii="Times New Roman" w:hAnsi="Times New Roman" w:cs="Times New Roman"/>
          <w:b/>
          <w:sz w:val="28"/>
          <w:szCs w:val="28"/>
        </w:rPr>
        <w:footnoteReference w:id="1"/>
      </w:r>
    </w:p>
    <w:p w14:paraId="3AC08C12" w14:textId="1E6E6F81" w:rsidR="000A316A" w:rsidRPr="000A316A" w:rsidRDefault="000A316A" w:rsidP="000A316A">
      <w:pPr>
        <w:widowControl w:val="0"/>
        <w:autoSpaceDE w:val="0"/>
        <w:autoSpaceDN w:val="0"/>
        <w:adjustRightInd w:val="0"/>
        <w:ind w:right="145"/>
        <w:jc w:val="both"/>
        <w:rPr>
          <w:rFonts w:ascii="Times New Roman" w:hAnsi="Times New Roman" w:cs="Times New Roman"/>
          <w:b/>
          <w:i/>
          <w:sz w:val="28"/>
          <w:szCs w:val="28"/>
        </w:rPr>
      </w:pPr>
      <w:r w:rsidRPr="000A316A">
        <w:rPr>
          <w:rFonts w:ascii="Times New Roman" w:hAnsi="Times New Roman" w:cs="Times New Roman"/>
          <w:i/>
        </w:rPr>
        <w:t>University of Kent</w:t>
      </w:r>
      <w:r w:rsidRPr="000A316A">
        <w:rPr>
          <w:rFonts w:ascii="Times New Roman" w:hAnsi="Times New Roman" w:cs="Times New Roman"/>
          <w:i/>
        </w:rPr>
        <w:t>, United Kin</w:t>
      </w:r>
      <w:r>
        <w:rPr>
          <w:rFonts w:ascii="Times New Roman" w:hAnsi="Times New Roman" w:cs="Times New Roman"/>
          <w:i/>
        </w:rPr>
        <w:t>g</w:t>
      </w:r>
      <w:r w:rsidRPr="000A316A">
        <w:rPr>
          <w:rFonts w:ascii="Times New Roman" w:hAnsi="Times New Roman" w:cs="Times New Roman"/>
          <w:i/>
        </w:rPr>
        <w:t xml:space="preserve">dom </w:t>
      </w:r>
    </w:p>
    <w:p w14:paraId="1D042E18" w14:textId="77777777" w:rsidR="000A316A" w:rsidRDefault="000A316A" w:rsidP="00EC69B1">
      <w:pPr>
        <w:widowControl w:val="0"/>
        <w:autoSpaceDE w:val="0"/>
        <w:autoSpaceDN w:val="0"/>
        <w:adjustRightInd w:val="0"/>
        <w:spacing w:line="480" w:lineRule="auto"/>
        <w:ind w:right="145"/>
        <w:jc w:val="both"/>
        <w:rPr>
          <w:rFonts w:ascii="Times New Roman" w:hAnsi="Times New Roman" w:cs="Times New Roman"/>
        </w:rPr>
      </w:pPr>
    </w:p>
    <w:p w14:paraId="543958F4" w14:textId="77777777" w:rsidR="000A316A" w:rsidRPr="000A316A" w:rsidRDefault="000A316A" w:rsidP="000A316A">
      <w:pPr>
        <w:widowControl w:val="0"/>
        <w:autoSpaceDE w:val="0"/>
        <w:autoSpaceDN w:val="0"/>
        <w:adjustRightInd w:val="0"/>
        <w:ind w:right="144"/>
        <w:contextualSpacing/>
        <w:rPr>
          <w:rFonts w:ascii="Times New Roman" w:hAnsi="Times New Roman" w:cs="Times New Roman"/>
          <w:b/>
          <w:smallCaps/>
          <w:sz w:val="22"/>
          <w:szCs w:val="22"/>
        </w:rPr>
      </w:pPr>
      <w:r w:rsidRPr="000A316A">
        <w:rPr>
          <w:rFonts w:ascii="Times New Roman" w:hAnsi="Times New Roman" w:cs="Times New Roman"/>
          <w:b/>
          <w:smallCaps/>
          <w:sz w:val="22"/>
          <w:szCs w:val="22"/>
        </w:rPr>
        <w:t>Resumo</w:t>
      </w:r>
    </w:p>
    <w:p w14:paraId="72090C20" w14:textId="77777777" w:rsidR="000A316A" w:rsidRPr="000A316A" w:rsidRDefault="000A316A" w:rsidP="000A316A">
      <w:pPr>
        <w:widowControl w:val="0"/>
        <w:autoSpaceDE w:val="0"/>
        <w:autoSpaceDN w:val="0"/>
        <w:adjustRightInd w:val="0"/>
        <w:ind w:right="144"/>
        <w:contextualSpacing/>
        <w:jc w:val="both"/>
        <w:rPr>
          <w:rFonts w:ascii="Times New Roman" w:hAnsi="Times New Roman" w:cs="Times New Roman"/>
          <w:sz w:val="22"/>
          <w:szCs w:val="22"/>
        </w:rPr>
      </w:pPr>
      <w:r w:rsidRPr="000A316A">
        <w:rPr>
          <w:rFonts w:ascii="Times New Roman" w:hAnsi="Times New Roman" w:cs="Times New Roman"/>
          <w:sz w:val="22"/>
          <w:szCs w:val="22"/>
        </w:rPr>
        <w:t xml:space="preserve">O objetivo do artigo foi identificar os elementos caracterizadores das representações sociais de usuários do </w:t>
      </w:r>
      <w:r w:rsidRPr="000A316A">
        <w:rPr>
          <w:rFonts w:ascii="Times New Roman" w:hAnsi="Times New Roman" w:cs="Times New Roman"/>
          <w:i/>
          <w:iCs/>
          <w:sz w:val="22"/>
          <w:szCs w:val="22"/>
        </w:rPr>
        <w:t>Facebook</w:t>
      </w:r>
      <w:r w:rsidRPr="000A316A">
        <w:rPr>
          <w:rFonts w:ascii="Times New Roman" w:hAnsi="Times New Roman" w:cs="Times New Roman"/>
          <w:sz w:val="22"/>
          <w:szCs w:val="22"/>
        </w:rPr>
        <w:t xml:space="preserve"> sobre o “atleta”. Para isso, solicitou-se aos respondentes que escrevessem as cinco primeiras palavras que lhe vinham à cabeça ao pensar nesse termo. Participaram desse estudo 203 sujeitos, com idade entre 18 e 61 anos. A análise dos dados fundamentou-se na abordagem estrutural das representações sociais e teve o auxílio dos softwares EVOC e IRAMUTEC. Os resultados indicam que as pessoas tendem a associar a imagem do atleta à ideia de saúde, ainda que lesões e comportamentos contrários ao conceito de saúde sejam comuns no contexto esportivo. Conclui-se a existência de incoerências nos elementos aqui encontrados, os quais podem ser justificados pela influência da mídia na formação dessas representações.</w:t>
      </w:r>
    </w:p>
    <w:p w14:paraId="6412516F" w14:textId="77777777" w:rsidR="000A316A" w:rsidRPr="000A316A" w:rsidRDefault="000A316A" w:rsidP="000A316A">
      <w:pPr>
        <w:widowControl w:val="0"/>
        <w:autoSpaceDE w:val="0"/>
        <w:autoSpaceDN w:val="0"/>
        <w:adjustRightInd w:val="0"/>
        <w:ind w:right="144"/>
        <w:contextualSpacing/>
        <w:rPr>
          <w:rFonts w:ascii="Times New Roman" w:hAnsi="Times New Roman" w:cs="Times New Roman"/>
          <w:sz w:val="22"/>
          <w:szCs w:val="22"/>
        </w:rPr>
      </w:pPr>
    </w:p>
    <w:p w14:paraId="16C06EF8" w14:textId="77777777" w:rsidR="000A316A" w:rsidRPr="000A316A" w:rsidRDefault="000A316A" w:rsidP="000A316A">
      <w:pPr>
        <w:widowControl w:val="0"/>
        <w:autoSpaceDE w:val="0"/>
        <w:autoSpaceDN w:val="0"/>
        <w:adjustRightInd w:val="0"/>
        <w:ind w:right="144"/>
        <w:contextualSpacing/>
        <w:rPr>
          <w:rFonts w:ascii="Times New Roman" w:hAnsi="Times New Roman" w:cs="Times New Roman"/>
          <w:b/>
          <w:sz w:val="22"/>
          <w:szCs w:val="22"/>
        </w:rPr>
      </w:pPr>
      <w:r w:rsidRPr="000A316A">
        <w:rPr>
          <w:rFonts w:ascii="Times New Roman" w:hAnsi="Times New Roman" w:cs="Times New Roman"/>
          <w:b/>
          <w:sz w:val="22"/>
          <w:szCs w:val="22"/>
        </w:rPr>
        <w:t xml:space="preserve">Palavras-chave: </w:t>
      </w:r>
    </w:p>
    <w:p w14:paraId="60232E6B" w14:textId="6F6DD85D" w:rsidR="000A316A" w:rsidRPr="000A316A" w:rsidRDefault="000A316A" w:rsidP="000A316A">
      <w:pPr>
        <w:widowControl w:val="0"/>
        <w:autoSpaceDE w:val="0"/>
        <w:autoSpaceDN w:val="0"/>
        <w:adjustRightInd w:val="0"/>
        <w:ind w:right="144"/>
        <w:contextualSpacing/>
        <w:rPr>
          <w:rFonts w:ascii="Times New Roman" w:hAnsi="Times New Roman" w:cs="Times New Roman"/>
          <w:b/>
          <w:bCs/>
          <w:sz w:val="22"/>
          <w:szCs w:val="22"/>
        </w:rPr>
      </w:pPr>
      <w:r w:rsidRPr="000A316A">
        <w:rPr>
          <w:rFonts w:ascii="Times New Roman" w:hAnsi="Times New Roman" w:cs="Times New Roman"/>
          <w:sz w:val="22"/>
          <w:szCs w:val="22"/>
        </w:rPr>
        <w:t xml:space="preserve">Representações sociais; atleta; </w:t>
      </w:r>
      <w:r w:rsidRPr="000A316A">
        <w:rPr>
          <w:rFonts w:ascii="Times New Roman" w:hAnsi="Times New Roman" w:cs="Times New Roman"/>
          <w:i/>
          <w:iCs/>
          <w:sz w:val="22"/>
          <w:szCs w:val="22"/>
        </w:rPr>
        <w:t>Facebook</w:t>
      </w:r>
      <w:r w:rsidRPr="000A316A">
        <w:rPr>
          <w:rFonts w:ascii="Times New Roman" w:hAnsi="Times New Roman" w:cs="Times New Roman"/>
          <w:sz w:val="22"/>
          <w:szCs w:val="22"/>
        </w:rPr>
        <w:t>.</w:t>
      </w:r>
    </w:p>
    <w:p w14:paraId="2DCAEDA9" w14:textId="77777777" w:rsidR="000A316A" w:rsidRPr="000A316A" w:rsidRDefault="000A316A" w:rsidP="000A316A">
      <w:pPr>
        <w:widowControl w:val="0"/>
        <w:autoSpaceDE w:val="0"/>
        <w:autoSpaceDN w:val="0"/>
        <w:adjustRightInd w:val="0"/>
        <w:ind w:right="144"/>
        <w:contextualSpacing/>
        <w:jc w:val="center"/>
        <w:rPr>
          <w:rFonts w:ascii="Times New Roman" w:hAnsi="Times New Roman" w:cs="Times New Roman"/>
          <w:sz w:val="22"/>
          <w:szCs w:val="22"/>
        </w:rPr>
      </w:pPr>
    </w:p>
    <w:p w14:paraId="40B8B662" w14:textId="77777777" w:rsidR="000A316A" w:rsidRPr="000A316A" w:rsidRDefault="000A316A" w:rsidP="000A316A">
      <w:pPr>
        <w:widowControl w:val="0"/>
        <w:autoSpaceDE w:val="0"/>
        <w:autoSpaceDN w:val="0"/>
        <w:adjustRightInd w:val="0"/>
        <w:ind w:right="144"/>
        <w:contextualSpacing/>
        <w:rPr>
          <w:rFonts w:ascii="Times New Roman" w:hAnsi="Times New Roman" w:cs="Times New Roman"/>
          <w:b/>
          <w:smallCaps/>
          <w:sz w:val="22"/>
          <w:szCs w:val="22"/>
        </w:rPr>
      </w:pPr>
      <w:r w:rsidRPr="000A316A">
        <w:rPr>
          <w:rFonts w:ascii="Times New Roman" w:hAnsi="Times New Roman" w:cs="Times New Roman"/>
          <w:b/>
          <w:smallCaps/>
          <w:sz w:val="22"/>
          <w:szCs w:val="22"/>
        </w:rPr>
        <w:t>Abstract</w:t>
      </w:r>
    </w:p>
    <w:p w14:paraId="02389E7B" w14:textId="77777777" w:rsidR="000A316A" w:rsidRPr="000A316A" w:rsidRDefault="000A316A" w:rsidP="000A316A">
      <w:pPr>
        <w:widowControl w:val="0"/>
        <w:autoSpaceDE w:val="0"/>
        <w:autoSpaceDN w:val="0"/>
        <w:adjustRightInd w:val="0"/>
        <w:ind w:right="144"/>
        <w:contextualSpacing/>
        <w:jc w:val="both"/>
        <w:rPr>
          <w:rFonts w:ascii="Times New Roman" w:hAnsi="Times New Roman" w:cs="Times New Roman"/>
          <w:sz w:val="22"/>
          <w:szCs w:val="22"/>
        </w:rPr>
      </w:pPr>
      <w:r w:rsidRPr="000A316A">
        <w:rPr>
          <w:rFonts w:ascii="Times New Roman" w:hAnsi="Times New Roman" w:cs="Times New Roman"/>
          <w:sz w:val="22"/>
          <w:szCs w:val="22"/>
        </w:rPr>
        <w:t>This article aims to identify the social representations elements of athlete from Facebook users. To that end, the participants were asked to write the first five words that came to their minds when thinking about the aforementioned term. The sample has 203 participants aged between 18 and 61 years. Data analysis was based on the structural approach of social representations and were performed with EVOC and IRAMUTEC softwares. The results showed that people tend to associate the figure of the athlete to the idea of ​​health, even though in reality, athletes suffer injuries in a daily basis and often perform behaviors that are not considered healthy. We concluded that there are inconsistencies in the elements found here when the athletes reality is taken in consideration, and these inconsistencies may be explained by the influence of media in shaping these representations.</w:t>
      </w:r>
    </w:p>
    <w:p w14:paraId="5D0C3A2B" w14:textId="77777777" w:rsidR="000A316A" w:rsidRDefault="000A316A" w:rsidP="000A316A">
      <w:pPr>
        <w:widowControl w:val="0"/>
        <w:autoSpaceDE w:val="0"/>
        <w:autoSpaceDN w:val="0"/>
        <w:adjustRightInd w:val="0"/>
        <w:spacing w:after="160"/>
        <w:ind w:right="144"/>
        <w:contextualSpacing/>
        <w:rPr>
          <w:rFonts w:ascii="Times New Roman" w:hAnsi="Times New Roman" w:cs="Times New Roman"/>
          <w:sz w:val="22"/>
          <w:szCs w:val="22"/>
        </w:rPr>
      </w:pPr>
    </w:p>
    <w:p w14:paraId="3920724A" w14:textId="77777777" w:rsidR="000A316A" w:rsidRPr="000A316A" w:rsidRDefault="000A316A" w:rsidP="000A316A">
      <w:pPr>
        <w:widowControl w:val="0"/>
        <w:autoSpaceDE w:val="0"/>
        <w:autoSpaceDN w:val="0"/>
        <w:adjustRightInd w:val="0"/>
        <w:spacing w:after="160"/>
        <w:ind w:right="144"/>
        <w:contextualSpacing/>
        <w:rPr>
          <w:rFonts w:ascii="Times New Roman" w:hAnsi="Times New Roman" w:cs="Times New Roman"/>
          <w:b/>
          <w:sz w:val="22"/>
          <w:szCs w:val="22"/>
        </w:rPr>
      </w:pPr>
      <w:r w:rsidRPr="000A316A">
        <w:rPr>
          <w:rFonts w:ascii="Times New Roman" w:hAnsi="Times New Roman" w:cs="Times New Roman"/>
          <w:b/>
          <w:sz w:val="22"/>
          <w:szCs w:val="22"/>
        </w:rPr>
        <w:t xml:space="preserve">Key words: </w:t>
      </w:r>
    </w:p>
    <w:p w14:paraId="51247773" w14:textId="2CCD6597" w:rsidR="000A316A" w:rsidRPr="000A316A" w:rsidRDefault="000A316A" w:rsidP="000A316A">
      <w:pPr>
        <w:widowControl w:val="0"/>
        <w:autoSpaceDE w:val="0"/>
        <w:autoSpaceDN w:val="0"/>
        <w:adjustRightInd w:val="0"/>
        <w:spacing w:after="160"/>
        <w:ind w:right="144"/>
        <w:contextualSpacing/>
        <w:rPr>
          <w:rFonts w:ascii="Times New Roman" w:hAnsi="Times New Roman" w:cs="Times New Roman"/>
          <w:b/>
          <w:bCs/>
          <w:sz w:val="22"/>
          <w:szCs w:val="22"/>
        </w:rPr>
      </w:pPr>
      <w:r w:rsidRPr="000A316A">
        <w:rPr>
          <w:rFonts w:ascii="Times New Roman" w:hAnsi="Times New Roman" w:cs="Times New Roman"/>
          <w:sz w:val="22"/>
          <w:szCs w:val="22"/>
        </w:rPr>
        <w:t>Social representations; athletes; Facebook.</w:t>
      </w:r>
    </w:p>
    <w:p w14:paraId="3B168B66" w14:textId="77777777" w:rsidR="00EC69B1" w:rsidRDefault="00EC69B1" w:rsidP="000A316A">
      <w:pPr>
        <w:widowControl w:val="0"/>
        <w:autoSpaceDE w:val="0"/>
        <w:autoSpaceDN w:val="0"/>
        <w:adjustRightInd w:val="0"/>
        <w:spacing w:line="480" w:lineRule="auto"/>
        <w:ind w:right="145"/>
        <w:rPr>
          <w:rFonts w:ascii="Calibri" w:hAnsi="Calibri" w:cs="Calibri"/>
        </w:rPr>
      </w:pPr>
    </w:p>
    <w:p w14:paraId="6AEEA32A" w14:textId="77777777" w:rsidR="00EC69B1" w:rsidRDefault="00EC69B1" w:rsidP="00EC69B1">
      <w:pPr>
        <w:widowControl w:val="0"/>
        <w:autoSpaceDE w:val="0"/>
        <w:autoSpaceDN w:val="0"/>
        <w:adjustRightInd w:val="0"/>
        <w:spacing w:line="480" w:lineRule="auto"/>
        <w:ind w:right="145" w:firstLine="700"/>
        <w:rPr>
          <w:rFonts w:ascii="Calibri" w:hAnsi="Calibri" w:cs="Calibri"/>
        </w:rPr>
      </w:pPr>
    </w:p>
    <w:p w14:paraId="5FF67DAA" w14:textId="77777777" w:rsidR="00EC69B1" w:rsidRDefault="00EC69B1" w:rsidP="00EC69B1">
      <w:pPr>
        <w:widowControl w:val="0"/>
        <w:autoSpaceDE w:val="0"/>
        <w:autoSpaceDN w:val="0"/>
        <w:adjustRightInd w:val="0"/>
        <w:spacing w:line="480" w:lineRule="auto"/>
        <w:ind w:right="145" w:firstLine="700"/>
        <w:rPr>
          <w:rFonts w:ascii="Calibri" w:hAnsi="Calibri" w:cs="Calibri"/>
        </w:rPr>
      </w:pPr>
    </w:p>
    <w:p w14:paraId="2A750AB6" w14:textId="1DAC1376" w:rsidR="000A316A" w:rsidRPr="000A316A" w:rsidRDefault="000A316A" w:rsidP="000A316A">
      <w:pPr>
        <w:widowControl w:val="0"/>
        <w:autoSpaceDE w:val="0"/>
        <w:autoSpaceDN w:val="0"/>
        <w:adjustRightInd w:val="0"/>
        <w:ind w:right="145" w:firstLine="700"/>
        <w:jc w:val="center"/>
        <w:rPr>
          <w:rFonts w:ascii="Times New Roman" w:hAnsi="Times New Roman" w:cs="Times New Roman"/>
          <w:smallCaps/>
          <w:sz w:val="20"/>
        </w:rPr>
      </w:pPr>
      <w:r w:rsidRPr="000A316A">
        <w:rPr>
          <w:rFonts w:ascii="Times New Roman" w:hAnsi="Times New Roman" w:cs="Times New Roman"/>
          <w:smallCaps/>
          <w:sz w:val="20"/>
        </w:rPr>
        <w:lastRenderedPageBreak/>
        <w:t>Representações Sociais elementos do atleta no Facebook</w:t>
      </w:r>
    </w:p>
    <w:p w14:paraId="6D7349F1" w14:textId="77777777" w:rsidR="000A316A" w:rsidRDefault="000A316A" w:rsidP="000A316A">
      <w:pPr>
        <w:widowControl w:val="0"/>
        <w:autoSpaceDE w:val="0"/>
        <w:autoSpaceDN w:val="0"/>
        <w:adjustRightInd w:val="0"/>
        <w:ind w:right="145" w:firstLine="700"/>
        <w:jc w:val="center"/>
        <w:rPr>
          <w:rFonts w:ascii="Times New Roman" w:hAnsi="Times New Roman" w:cs="Times New Roman"/>
        </w:rPr>
      </w:pPr>
    </w:p>
    <w:p w14:paraId="7F21AEA3" w14:textId="77777777" w:rsidR="00EC69B1" w:rsidRPr="009A714A" w:rsidRDefault="00EC69B1" w:rsidP="009A714A">
      <w:pPr>
        <w:widowControl w:val="0"/>
        <w:autoSpaceDE w:val="0"/>
        <w:autoSpaceDN w:val="0"/>
        <w:adjustRightInd w:val="0"/>
        <w:ind w:right="145" w:firstLine="700"/>
        <w:jc w:val="both"/>
        <w:rPr>
          <w:rFonts w:ascii="Calibri" w:hAnsi="Calibri" w:cs="Calibri"/>
          <w:sz w:val="22"/>
          <w:szCs w:val="22"/>
        </w:rPr>
      </w:pPr>
      <w:r w:rsidRPr="009A714A">
        <w:rPr>
          <w:rFonts w:ascii="Times New Roman" w:hAnsi="Times New Roman" w:cs="Times New Roman"/>
          <w:sz w:val="22"/>
          <w:szCs w:val="22"/>
        </w:rPr>
        <w:t>As representações sociais são um conjunto de conceitos, afirmações e explicações originadas das comunicações das pessoas durante a vida cotidiana. Na sociedade atual, elas são equivalentes aos mitos e sistemas de crenças das sociedades tradicionais e podem ser vistas como uma nova versão do senso comum (Moscovici, 1976). Essas representações são produzidas coletivamente e partilhadas por grupos; são decorrentes da interação e da comunicação no interior de um grupo social, o que confere o atributo social às representações (Vala, 2004).</w:t>
      </w:r>
    </w:p>
    <w:p w14:paraId="4A35B267" w14:textId="77777777" w:rsidR="00EC69B1" w:rsidRPr="009A714A" w:rsidRDefault="00EC69B1" w:rsidP="009A714A">
      <w:pPr>
        <w:widowControl w:val="0"/>
        <w:autoSpaceDE w:val="0"/>
        <w:autoSpaceDN w:val="0"/>
        <w:adjustRightInd w:val="0"/>
        <w:ind w:right="145" w:firstLine="700"/>
        <w:jc w:val="both"/>
        <w:rPr>
          <w:rFonts w:ascii="Calibri" w:hAnsi="Calibri" w:cs="Calibri"/>
          <w:sz w:val="22"/>
          <w:szCs w:val="22"/>
        </w:rPr>
      </w:pPr>
      <w:r w:rsidRPr="009A714A">
        <w:rPr>
          <w:rFonts w:ascii="Times New Roman" w:hAnsi="Times New Roman" w:cs="Times New Roman"/>
          <w:sz w:val="22"/>
          <w:szCs w:val="22"/>
        </w:rPr>
        <w:t>O contexto social em que um indivíduo está inserido, sua história, o lugar que ele ocupa dentro de um grupo e os valores que permeiam as relações sociais influenciam o conteúdo dessas representações. Dessa forma, as representações sociais não são apenas um reflexo da realidade que os sujeitos ao mesmo tempo criam e se apropriam, mas se referem ainda a reorganização na qual se estruturam o pensamento cotidiano e as práticas sociais (Moscovici, 2012; Jodelet, 2001; Sá, 2001).</w:t>
      </w:r>
    </w:p>
    <w:p w14:paraId="0909F7C2" w14:textId="77777777" w:rsidR="00EC69B1" w:rsidRPr="009A714A" w:rsidRDefault="00EC69B1" w:rsidP="009A714A">
      <w:pPr>
        <w:widowControl w:val="0"/>
        <w:autoSpaceDE w:val="0"/>
        <w:autoSpaceDN w:val="0"/>
        <w:adjustRightInd w:val="0"/>
        <w:ind w:right="145" w:firstLine="700"/>
        <w:jc w:val="both"/>
        <w:rPr>
          <w:rFonts w:ascii="Calibri" w:hAnsi="Calibri" w:cs="Calibri"/>
          <w:sz w:val="22"/>
          <w:szCs w:val="22"/>
        </w:rPr>
      </w:pPr>
      <w:r w:rsidRPr="009A714A">
        <w:rPr>
          <w:rFonts w:ascii="Times New Roman" w:hAnsi="Times New Roman" w:cs="Times New Roman"/>
          <w:sz w:val="22"/>
          <w:szCs w:val="22"/>
        </w:rPr>
        <w:t xml:space="preserve">No contexto do esporte, observam-se várias incoerências no que se refere às representações que as pessoas apresentam sobre determinadas modalidades esportivas e, principalmente, sobre a figura do atleta. Estereótipos, crenças e preconceitos permeiam o imaginário social a respeito do atleta. A ideia de que o atleta é um herói, um modelo de comportamento saudável e um exemplo para a sociedade são algumas das significações que as pessoas fazem sobre esse sujeito. Nesse sentido, destaca-se a importância midiática na construção dessas representações, já que estas são amplamente exploradas pelos veículos de informação que se valem disso em favor de seus próprios interesses. </w:t>
      </w:r>
    </w:p>
    <w:p w14:paraId="5E7274E3" w14:textId="77777777" w:rsidR="00EC69B1" w:rsidRPr="009A714A" w:rsidRDefault="00EC69B1" w:rsidP="009A714A">
      <w:pPr>
        <w:widowControl w:val="0"/>
        <w:autoSpaceDE w:val="0"/>
        <w:autoSpaceDN w:val="0"/>
        <w:adjustRightInd w:val="0"/>
        <w:ind w:right="145" w:firstLine="700"/>
        <w:jc w:val="both"/>
        <w:rPr>
          <w:rFonts w:ascii="Times New Roman" w:hAnsi="Times New Roman" w:cs="Times New Roman"/>
          <w:sz w:val="22"/>
          <w:szCs w:val="22"/>
        </w:rPr>
      </w:pPr>
      <w:r w:rsidRPr="009A714A">
        <w:rPr>
          <w:rFonts w:ascii="Times New Roman" w:hAnsi="Times New Roman" w:cs="Times New Roman"/>
          <w:sz w:val="22"/>
          <w:szCs w:val="22"/>
        </w:rPr>
        <w:t xml:space="preserve">Ainda em relação à questão midiática, observa-se que novas tecnologias de comunicação tem surgido nos últimos anos. As mídias sociais, por exemplo, destacam-se como um fenômeno do mundo moderno, especialmente em razão do crescimento das redes sociais na atualidade. Diante desse cenário, não há dúvidas de que as redes sociais, com as suas facilidades e o seu alcance universal, transformaram a forma de se comunicar da sociedade contemporânea. Essas redes, mais do que possibilitar a comunicação instantânea entre os seus usuários, tem o poder de influenciar opiniões, criar e mobilizar grupos, ultrapassando os limites da </w:t>
      </w:r>
      <w:r w:rsidRPr="009A714A">
        <w:rPr>
          <w:rFonts w:ascii="Times New Roman" w:hAnsi="Times New Roman" w:cs="Times New Roman"/>
          <w:i/>
          <w:iCs/>
          <w:sz w:val="22"/>
          <w:szCs w:val="22"/>
        </w:rPr>
        <w:t>internet</w:t>
      </w:r>
      <w:r w:rsidRPr="009A714A">
        <w:rPr>
          <w:rFonts w:ascii="Times New Roman" w:hAnsi="Times New Roman" w:cs="Times New Roman"/>
          <w:sz w:val="22"/>
          <w:szCs w:val="22"/>
        </w:rPr>
        <w:t xml:space="preserve">, atingindo até mesmo aqueles que não fazem parte dessas redes. </w:t>
      </w:r>
    </w:p>
    <w:p w14:paraId="67FB1722" w14:textId="77777777" w:rsidR="00EC69B1" w:rsidRPr="009A714A" w:rsidRDefault="00EC69B1" w:rsidP="009A714A">
      <w:pPr>
        <w:widowControl w:val="0"/>
        <w:autoSpaceDE w:val="0"/>
        <w:autoSpaceDN w:val="0"/>
        <w:adjustRightInd w:val="0"/>
        <w:ind w:right="145" w:firstLine="700"/>
        <w:jc w:val="both"/>
        <w:rPr>
          <w:rFonts w:ascii="Times New Roman" w:hAnsi="Times New Roman" w:cs="Times New Roman"/>
          <w:sz w:val="22"/>
          <w:szCs w:val="22"/>
        </w:rPr>
      </w:pPr>
      <w:r w:rsidRPr="009A714A">
        <w:rPr>
          <w:rFonts w:ascii="Times New Roman" w:hAnsi="Times New Roman" w:cs="Times New Roman"/>
          <w:sz w:val="22"/>
          <w:szCs w:val="22"/>
        </w:rPr>
        <w:t xml:space="preserve">Diante do atual nível de utilização e da ampla capacidade de abrangência das redes sociais, entende-se que esses espaços se tornam ambientes interessantes de pesquisa dada a quantidade de informação que nele se encontra e a rapidez com que a informação circula nesse meio. Dessa forma, o fato de novos estudos (Bachrach, Kosinski, Graepel, Kohli, &amp; Stillwell, 2012; Cheung, Chiu, &amp; Lee, 2011; De Fruyt &amp; Van Leeuwen, 2014; Golder &amp; Wacy, 2013) terem utilizados redes sociais para obterem nela os seus participantes de uma forma rápida e eficaz atenta para a existência de um novo panorama de pesquisa, uma vez que o mundo virtual está se constituindo como um contexto pouco explorado nas ciências humanas. </w:t>
      </w:r>
    </w:p>
    <w:p w14:paraId="26B3580F" w14:textId="77777777" w:rsidR="00EC69B1" w:rsidRPr="009A714A" w:rsidRDefault="00EC69B1" w:rsidP="009A714A">
      <w:pPr>
        <w:widowControl w:val="0"/>
        <w:autoSpaceDE w:val="0"/>
        <w:autoSpaceDN w:val="0"/>
        <w:adjustRightInd w:val="0"/>
        <w:ind w:right="145" w:firstLine="700"/>
        <w:jc w:val="both"/>
        <w:rPr>
          <w:rFonts w:ascii="Times New Roman" w:hAnsi="Times New Roman" w:cs="Times New Roman"/>
          <w:sz w:val="22"/>
          <w:szCs w:val="22"/>
        </w:rPr>
      </w:pPr>
      <w:r w:rsidRPr="009A714A">
        <w:rPr>
          <w:rFonts w:ascii="Times New Roman" w:hAnsi="Times New Roman" w:cs="Times New Roman"/>
          <w:sz w:val="22"/>
          <w:szCs w:val="22"/>
        </w:rPr>
        <w:t xml:space="preserve">Entender os elementos caraterizadores das representações sociais sobre o atleta nas mais diversas dimensões do convívio social, torna-se relevante tendo em vista que essas representações orientam os comportamentos e as condutas desses indivíduos nos seus meios sociais. Posto isso, o objetivo dessa pesquisa foi identificar os elementos caracterizadores das representações sociais de usuários da rede social </w:t>
      </w:r>
      <w:r w:rsidRPr="009A714A">
        <w:rPr>
          <w:rFonts w:ascii="Times New Roman" w:hAnsi="Times New Roman" w:cs="Times New Roman"/>
          <w:i/>
          <w:iCs/>
          <w:sz w:val="22"/>
          <w:szCs w:val="22"/>
        </w:rPr>
        <w:t>Facebook</w:t>
      </w:r>
      <w:r w:rsidRPr="009A714A">
        <w:rPr>
          <w:rFonts w:ascii="Times New Roman" w:hAnsi="Times New Roman" w:cs="Times New Roman"/>
          <w:sz w:val="22"/>
          <w:szCs w:val="22"/>
        </w:rPr>
        <w:t xml:space="preserve"> sobre o atleta.</w:t>
      </w:r>
    </w:p>
    <w:p w14:paraId="4945EFB8" w14:textId="77777777" w:rsidR="00EC69B1" w:rsidRPr="009A714A" w:rsidRDefault="00EC69B1" w:rsidP="009A714A">
      <w:pPr>
        <w:widowControl w:val="0"/>
        <w:autoSpaceDE w:val="0"/>
        <w:autoSpaceDN w:val="0"/>
        <w:adjustRightInd w:val="0"/>
        <w:ind w:right="145" w:firstLine="700"/>
        <w:jc w:val="both"/>
        <w:rPr>
          <w:rFonts w:ascii="Times New Roman" w:hAnsi="Times New Roman" w:cs="Times New Roman"/>
          <w:sz w:val="22"/>
          <w:szCs w:val="22"/>
        </w:rPr>
      </w:pPr>
    </w:p>
    <w:p w14:paraId="1B0A4F7F" w14:textId="77777777" w:rsidR="00EC69B1" w:rsidRPr="009A714A" w:rsidRDefault="00EC69B1" w:rsidP="009A714A">
      <w:pPr>
        <w:widowControl w:val="0"/>
        <w:autoSpaceDE w:val="0"/>
        <w:autoSpaceDN w:val="0"/>
        <w:adjustRightInd w:val="0"/>
        <w:ind w:right="145" w:firstLine="700"/>
        <w:jc w:val="both"/>
        <w:rPr>
          <w:rFonts w:ascii="Times New Roman" w:hAnsi="Times New Roman" w:cs="Times New Roman"/>
          <w:sz w:val="22"/>
          <w:szCs w:val="22"/>
        </w:rPr>
      </w:pPr>
    </w:p>
    <w:p w14:paraId="759872F5" w14:textId="77777777" w:rsidR="00EC69B1" w:rsidRPr="009A714A" w:rsidRDefault="00EC69B1" w:rsidP="009A714A">
      <w:pPr>
        <w:widowControl w:val="0"/>
        <w:autoSpaceDE w:val="0"/>
        <w:autoSpaceDN w:val="0"/>
        <w:adjustRightInd w:val="0"/>
        <w:ind w:right="145"/>
        <w:jc w:val="both"/>
        <w:rPr>
          <w:rFonts w:ascii="Times New Roman" w:hAnsi="Times New Roman" w:cs="Times New Roman"/>
          <w:sz w:val="22"/>
          <w:szCs w:val="22"/>
        </w:rPr>
      </w:pPr>
      <w:r w:rsidRPr="009A714A">
        <w:rPr>
          <w:rFonts w:ascii="Times New Roman" w:hAnsi="Times New Roman" w:cs="Times New Roman"/>
          <w:sz w:val="22"/>
          <w:szCs w:val="22"/>
        </w:rPr>
        <w:t>Redes sociais e suas utilizações em pesquisas na psicologia</w:t>
      </w:r>
    </w:p>
    <w:p w14:paraId="747F0734"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p>
    <w:p w14:paraId="48444CCD"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As redes sociais podem ser compreendidas como redes que permitem os seus usuários a se comunicarem uns com os outros, por meio de postagem de informações, comentários, mensagens, imagens, entre outros (Oxford, 2014). Certas redes sociais são mais comuns em países específicos, todavia algumas delas atingiram todo o globo e são internacionalmente utilizadas, como o </w:t>
      </w:r>
      <w:r w:rsidRPr="009A714A">
        <w:rPr>
          <w:rFonts w:ascii="Times New Roman" w:hAnsi="Times New Roman" w:cs="Times New Roman"/>
          <w:i/>
          <w:iCs/>
          <w:sz w:val="22"/>
          <w:szCs w:val="22"/>
        </w:rPr>
        <w:t>Twitter, Instagram, Google+, MySpace, LinkedIn</w:t>
      </w:r>
      <w:r w:rsidRPr="009A714A">
        <w:rPr>
          <w:rFonts w:ascii="Times New Roman" w:hAnsi="Times New Roman" w:cs="Times New Roman"/>
          <w:sz w:val="22"/>
          <w:szCs w:val="22"/>
        </w:rPr>
        <w:t xml:space="preserve"> e o </w:t>
      </w:r>
      <w:r w:rsidRPr="009A714A">
        <w:rPr>
          <w:rFonts w:ascii="Times New Roman" w:hAnsi="Times New Roman" w:cs="Times New Roman"/>
          <w:i/>
          <w:iCs/>
          <w:sz w:val="22"/>
          <w:szCs w:val="22"/>
        </w:rPr>
        <w:t xml:space="preserve">Facebook. </w:t>
      </w:r>
    </w:p>
    <w:p w14:paraId="7F433880" w14:textId="77777777" w:rsidR="00EC69B1" w:rsidRPr="009A714A" w:rsidRDefault="00EC69B1" w:rsidP="009A714A">
      <w:pPr>
        <w:widowControl w:val="0"/>
        <w:autoSpaceDE w:val="0"/>
        <w:autoSpaceDN w:val="0"/>
        <w:adjustRightInd w:val="0"/>
        <w:ind w:right="145" w:firstLine="700"/>
        <w:jc w:val="both"/>
        <w:rPr>
          <w:rFonts w:ascii="Calibri" w:hAnsi="Calibri" w:cs="Calibri"/>
          <w:sz w:val="22"/>
          <w:szCs w:val="22"/>
        </w:rPr>
      </w:pPr>
      <w:r w:rsidRPr="009A714A">
        <w:rPr>
          <w:rFonts w:ascii="Times New Roman" w:hAnsi="Times New Roman" w:cs="Times New Roman"/>
          <w:sz w:val="22"/>
          <w:szCs w:val="22"/>
        </w:rPr>
        <w:t xml:space="preserve">A rede social </w:t>
      </w:r>
      <w:r w:rsidRPr="009A714A">
        <w:rPr>
          <w:rFonts w:ascii="Times New Roman" w:hAnsi="Times New Roman" w:cs="Times New Roman"/>
          <w:i/>
          <w:iCs/>
          <w:sz w:val="22"/>
          <w:szCs w:val="22"/>
        </w:rPr>
        <w:t>Facebook</w:t>
      </w:r>
      <w:r w:rsidRPr="009A714A">
        <w:rPr>
          <w:rFonts w:ascii="Times New Roman" w:hAnsi="Times New Roman" w:cs="Times New Roman"/>
          <w:sz w:val="22"/>
          <w:szCs w:val="22"/>
        </w:rPr>
        <w:t xml:space="preserve">, fundada em 2004 nos Estados Unidos, conta hoje com 1,10 bilhões de </w:t>
      </w:r>
      <w:r w:rsidRPr="009A714A">
        <w:rPr>
          <w:rFonts w:ascii="Times New Roman" w:hAnsi="Times New Roman" w:cs="Times New Roman"/>
          <w:sz w:val="22"/>
          <w:szCs w:val="22"/>
        </w:rPr>
        <w:lastRenderedPageBreak/>
        <w:t xml:space="preserve">usuários ativos mensalmente, sendo que 48% desses usuários, com idade entre 18 e 34 anos, acessam a rede social ao acordarem e gastam, em média, 20 minutos na página a cada visita (Statistic Brain, 2013). Frente a expressividade desses números, o </w:t>
      </w:r>
      <w:r w:rsidRPr="009A714A">
        <w:rPr>
          <w:rFonts w:ascii="Times New Roman" w:hAnsi="Times New Roman" w:cs="Times New Roman"/>
          <w:i/>
          <w:iCs/>
          <w:sz w:val="22"/>
          <w:szCs w:val="22"/>
        </w:rPr>
        <w:t>Facebook</w:t>
      </w:r>
      <w:r w:rsidRPr="009A714A">
        <w:rPr>
          <w:rFonts w:ascii="Times New Roman" w:hAnsi="Times New Roman" w:cs="Times New Roman"/>
          <w:sz w:val="22"/>
          <w:szCs w:val="22"/>
        </w:rPr>
        <w:t xml:space="preserve"> se tornou uma grande ferramenta de pesquisa, como já evidenciado em alguns estudos (Gosling et al, 2011; Quercia et al, 2012; Kosinski, Stillwell &amp; Graepel, 2013). Diante da ampla possibilidade de exploração desses meios, as mídias sociais se apresentam como um ambiente de pesquisa promissor, possibilitando o estudo de grandes populações (Golder &amp; Wacy, 2013).</w:t>
      </w:r>
    </w:p>
    <w:p w14:paraId="50DB7325" w14:textId="77777777" w:rsidR="00EC69B1" w:rsidRPr="009A714A" w:rsidRDefault="00EC69B1" w:rsidP="009A714A">
      <w:pPr>
        <w:widowControl w:val="0"/>
        <w:autoSpaceDE w:val="0"/>
        <w:autoSpaceDN w:val="0"/>
        <w:adjustRightInd w:val="0"/>
        <w:ind w:right="145" w:firstLine="700"/>
        <w:jc w:val="both"/>
        <w:rPr>
          <w:rFonts w:ascii="Calibri" w:hAnsi="Calibri" w:cs="Calibri"/>
          <w:sz w:val="22"/>
          <w:szCs w:val="22"/>
        </w:rPr>
      </w:pPr>
      <w:r w:rsidRPr="009A714A">
        <w:rPr>
          <w:rFonts w:ascii="Times New Roman" w:hAnsi="Times New Roman" w:cs="Times New Roman"/>
          <w:sz w:val="22"/>
          <w:szCs w:val="22"/>
        </w:rPr>
        <w:t xml:space="preserve">Dentre as pesquisas recentemente realizadas por meio do </w:t>
      </w:r>
      <w:r w:rsidRPr="009A714A">
        <w:rPr>
          <w:rFonts w:ascii="Times New Roman" w:hAnsi="Times New Roman" w:cs="Times New Roman"/>
          <w:i/>
          <w:iCs/>
          <w:sz w:val="22"/>
          <w:szCs w:val="22"/>
        </w:rPr>
        <w:t xml:space="preserve">Facebook, </w:t>
      </w:r>
      <w:r w:rsidRPr="009A714A">
        <w:rPr>
          <w:rFonts w:ascii="Times New Roman" w:hAnsi="Times New Roman" w:cs="Times New Roman"/>
          <w:sz w:val="22"/>
          <w:szCs w:val="22"/>
        </w:rPr>
        <w:t>são destacadas aquelas relacionadas a personalidade dos usuários da rede. Variáveis como traços de personalidade, orientação sexual e visão política foram preditas por meio dos chamados “</w:t>
      </w:r>
      <w:r w:rsidRPr="009A714A">
        <w:rPr>
          <w:rFonts w:ascii="Times New Roman" w:hAnsi="Times New Roman" w:cs="Times New Roman"/>
          <w:i/>
          <w:iCs/>
          <w:sz w:val="22"/>
          <w:szCs w:val="22"/>
        </w:rPr>
        <w:t>likes”</w:t>
      </w:r>
      <w:r w:rsidRPr="009A714A">
        <w:rPr>
          <w:rFonts w:ascii="Times New Roman" w:hAnsi="Times New Roman" w:cs="Times New Roman"/>
          <w:sz w:val="22"/>
          <w:szCs w:val="22"/>
        </w:rPr>
        <w:t xml:space="preserve"> no </w:t>
      </w:r>
      <w:r w:rsidRPr="009A714A">
        <w:rPr>
          <w:rFonts w:ascii="Times New Roman" w:hAnsi="Times New Roman" w:cs="Times New Roman"/>
          <w:i/>
          <w:iCs/>
          <w:sz w:val="22"/>
          <w:szCs w:val="22"/>
        </w:rPr>
        <w:t xml:space="preserve">Facebook </w:t>
      </w:r>
      <w:r w:rsidRPr="009A714A">
        <w:rPr>
          <w:rFonts w:ascii="Times New Roman" w:hAnsi="Times New Roman" w:cs="Times New Roman"/>
          <w:sz w:val="22"/>
          <w:szCs w:val="22"/>
        </w:rPr>
        <w:t xml:space="preserve">recentemente, mostrando a potencialidade que a rede social possui para a ciência (Kosinski, Stillwell &amp; Graepel, 2013). Em outro estudo, foi observado que determinadas variáveis, como frequência de postagem e compromisso com o site, podem ser preditas pelo traço de extroversão (Gosling et al, 2011). Além da personalidade, outro estudo investigou o bem estar dos usuários a partir do índice </w:t>
      </w:r>
      <w:r w:rsidRPr="009A714A">
        <w:rPr>
          <w:rFonts w:ascii="Times New Roman" w:hAnsi="Times New Roman" w:cs="Times New Roman"/>
          <w:i/>
          <w:iCs/>
          <w:sz w:val="22"/>
          <w:szCs w:val="22"/>
        </w:rPr>
        <w:t xml:space="preserve">Facebook’s Gross National Happiness </w:t>
      </w:r>
      <w:r w:rsidRPr="009A714A">
        <w:rPr>
          <w:rFonts w:ascii="Times New Roman" w:hAnsi="Times New Roman" w:cs="Times New Roman"/>
          <w:sz w:val="22"/>
          <w:szCs w:val="22"/>
        </w:rPr>
        <w:t xml:space="preserve">(FGNH), utilizando a </w:t>
      </w:r>
      <w:r w:rsidRPr="009A714A">
        <w:rPr>
          <w:rFonts w:ascii="Times New Roman" w:hAnsi="Times New Roman" w:cs="Times New Roman"/>
          <w:i/>
          <w:iCs/>
          <w:sz w:val="22"/>
          <w:szCs w:val="22"/>
        </w:rPr>
        <w:t xml:space="preserve">Diener’s Satisfaction with Life Scale </w:t>
      </w:r>
      <w:r w:rsidRPr="009A714A">
        <w:rPr>
          <w:rFonts w:ascii="Times New Roman" w:hAnsi="Times New Roman" w:cs="Times New Roman"/>
          <w:sz w:val="22"/>
          <w:szCs w:val="22"/>
        </w:rPr>
        <w:t>(SWLS) (Wang, Kosinski, Stillwell, &amp; Rust, 2012).</w:t>
      </w:r>
    </w:p>
    <w:p w14:paraId="0DDD3AF8" w14:textId="77777777" w:rsidR="00EC69B1" w:rsidRPr="009A714A" w:rsidRDefault="00EC69B1" w:rsidP="009A714A">
      <w:pPr>
        <w:widowControl w:val="0"/>
        <w:autoSpaceDE w:val="0"/>
        <w:autoSpaceDN w:val="0"/>
        <w:adjustRightInd w:val="0"/>
        <w:ind w:right="145" w:firstLine="700"/>
        <w:jc w:val="both"/>
        <w:rPr>
          <w:rFonts w:ascii="Calibri" w:hAnsi="Calibri" w:cs="Calibri"/>
          <w:sz w:val="22"/>
          <w:szCs w:val="22"/>
        </w:rPr>
      </w:pPr>
      <w:r w:rsidRPr="009A714A">
        <w:rPr>
          <w:rFonts w:ascii="Times New Roman" w:hAnsi="Times New Roman" w:cs="Times New Roman"/>
          <w:sz w:val="22"/>
          <w:szCs w:val="22"/>
        </w:rPr>
        <w:t>O fato de as pesquisas em psicologia adentrarem o âmbito da tecnologia é tido como um avanço nos estudos do comportamento humano. Contudo, ainda há uma gama de caminhos a serem explorados (Golder &amp; Wacy, 2013). Uma possível forma de contribuir para a exploração desse novo nicho teria como base o desenvolvimento de estudos que contemplem também esses novos meios de comunicação, os quais chamamos de redes sociais.</w:t>
      </w:r>
    </w:p>
    <w:p w14:paraId="7B2BFE7A" w14:textId="77777777" w:rsidR="00EC69B1" w:rsidRPr="009A714A" w:rsidRDefault="00EC69B1" w:rsidP="009A714A">
      <w:pPr>
        <w:widowControl w:val="0"/>
        <w:autoSpaceDE w:val="0"/>
        <w:autoSpaceDN w:val="0"/>
        <w:adjustRightInd w:val="0"/>
        <w:ind w:right="145"/>
        <w:rPr>
          <w:rFonts w:ascii="Times New Roman" w:hAnsi="Times New Roman" w:cs="Times New Roman"/>
          <w:sz w:val="22"/>
          <w:szCs w:val="22"/>
        </w:rPr>
      </w:pPr>
    </w:p>
    <w:p w14:paraId="61CE8BF9" w14:textId="77777777" w:rsidR="00EC69B1" w:rsidRPr="009A714A" w:rsidRDefault="00EC69B1" w:rsidP="009A714A">
      <w:pPr>
        <w:widowControl w:val="0"/>
        <w:autoSpaceDE w:val="0"/>
        <w:autoSpaceDN w:val="0"/>
        <w:adjustRightInd w:val="0"/>
        <w:ind w:right="145"/>
        <w:rPr>
          <w:rFonts w:ascii="Times New Roman" w:hAnsi="Times New Roman" w:cs="Times New Roman"/>
          <w:sz w:val="22"/>
          <w:szCs w:val="22"/>
        </w:rPr>
      </w:pPr>
      <w:r w:rsidRPr="009A714A">
        <w:rPr>
          <w:rFonts w:ascii="Times New Roman" w:hAnsi="Times New Roman" w:cs="Times New Roman"/>
          <w:sz w:val="22"/>
          <w:szCs w:val="22"/>
        </w:rPr>
        <w:t>O atleta e as Representações Sociais</w:t>
      </w:r>
    </w:p>
    <w:p w14:paraId="4BDCC0D3" w14:textId="77777777" w:rsidR="00EC69B1" w:rsidRPr="009A714A" w:rsidRDefault="00EC69B1" w:rsidP="009A714A">
      <w:pPr>
        <w:widowControl w:val="0"/>
        <w:autoSpaceDE w:val="0"/>
        <w:autoSpaceDN w:val="0"/>
        <w:adjustRightInd w:val="0"/>
        <w:ind w:right="145"/>
        <w:rPr>
          <w:rFonts w:ascii="Calibri" w:hAnsi="Calibri" w:cs="Calibri"/>
          <w:sz w:val="22"/>
          <w:szCs w:val="22"/>
        </w:rPr>
      </w:pPr>
    </w:p>
    <w:p w14:paraId="6EDE31AC" w14:textId="77777777" w:rsidR="00EC69B1" w:rsidRPr="009A714A" w:rsidRDefault="00EC69B1" w:rsidP="009A714A">
      <w:pPr>
        <w:widowControl w:val="0"/>
        <w:autoSpaceDE w:val="0"/>
        <w:autoSpaceDN w:val="0"/>
        <w:adjustRightInd w:val="0"/>
        <w:ind w:right="145" w:firstLine="708"/>
        <w:jc w:val="both"/>
        <w:rPr>
          <w:rFonts w:ascii="Calibri" w:hAnsi="Calibri" w:cs="Calibri"/>
          <w:sz w:val="22"/>
          <w:szCs w:val="22"/>
        </w:rPr>
      </w:pPr>
      <w:r w:rsidRPr="009A714A">
        <w:rPr>
          <w:rFonts w:ascii="Times New Roman" w:hAnsi="Times New Roman" w:cs="Times New Roman"/>
          <w:sz w:val="22"/>
          <w:szCs w:val="22"/>
        </w:rPr>
        <w:t>Tanto nas mídias mais tradicionais quanto nas mídias do mundo moderno, a figura do atleta é objeto das mais distintas significações</w:t>
      </w:r>
      <w:r w:rsidRPr="009A714A">
        <w:rPr>
          <w:rFonts w:ascii="Times New Roman" w:hAnsi="Times New Roman" w:cs="Times New Roman"/>
          <w:color w:val="1C4587"/>
          <w:sz w:val="22"/>
          <w:szCs w:val="22"/>
        </w:rPr>
        <w:t xml:space="preserve">. </w:t>
      </w:r>
      <w:r w:rsidRPr="009A714A">
        <w:rPr>
          <w:rFonts w:ascii="Times New Roman" w:hAnsi="Times New Roman" w:cs="Times New Roman"/>
          <w:sz w:val="22"/>
          <w:szCs w:val="22"/>
        </w:rPr>
        <w:t xml:space="preserve">Uma pesquisa realizada por Santos e Medeiros (2009) encontrou resultados que vinculavam o atleta não somente a imagem de herói como também a imagem de vilão. O </w:t>
      </w:r>
      <w:r w:rsidRPr="009A714A">
        <w:rPr>
          <w:rFonts w:ascii="Times New Roman" w:hAnsi="Times New Roman" w:cs="Times New Roman"/>
          <w:i/>
          <w:iCs/>
          <w:sz w:val="22"/>
          <w:szCs w:val="22"/>
        </w:rPr>
        <w:t>doping</w:t>
      </w:r>
      <w:r w:rsidRPr="009A714A">
        <w:rPr>
          <w:rFonts w:ascii="Times New Roman" w:hAnsi="Times New Roman" w:cs="Times New Roman"/>
          <w:sz w:val="22"/>
          <w:szCs w:val="22"/>
        </w:rPr>
        <w:t xml:space="preserve"> da nadadora Rebeca Gusmão, nos Jogos Pan-Americanos do Rio de Janeiro, por exemplo, fez com que a o país perdesse as suas primeiras medalhas de ouro conquistadas na natação feminina, gerando revolta na população. Esse mesmo estudo verificou ainda a existência de associações da figura do atleta a um modelo de comportamento exemplar, como no caso do jogador de futebol Kaká. </w:t>
      </w:r>
    </w:p>
    <w:p w14:paraId="5D247736" w14:textId="77777777" w:rsidR="00EC69B1" w:rsidRPr="009A714A" w:rsidRDefault="00EC69B1" w:rsidP="009A714A">
      <w:pPr>
        <w:widowControl w:val="0"/>
        <w:autoSpaceDE w:val="0"/>
        <w:autoSpaceDN w:val="0"/>
        <w:adjustRightInd w:val="0"/>
        <w:ind w:right="145" w:firstLine="708"/>
        <w:jc w:val="both"/>
        <w:rPr>
          <w:rFonts w:ascii="Calibri" w:hAnsi="Calibri" w:cs="Calibri"/>
          <w:sz w:val="22"/>
          <w:szCs w:val="22"/>
        </w:rPr>
      </w:pPr>
      <w:r w:rsidRPr="009A714A">
        <w:rPr>
          <w:rFonts w:ascii="Times New Roman" w:hAnsi="Times New Roman" w:cs="Times New Roman"/>
          <w:sz w:val="22"/>
          <w:szCs w:val="22"/>
        </w:rPr>
        <w:t xml:space="preserve">Percebe-se, assim, que o atleta de hoje não carrega consigo apenas a vestimenta de esportista. A significação da imagem do atleta circunda também a ideia de um personagem mítico, heroico, exemplar ou até mesmo transgressor. A identidade de herói, fortemente atrelada à imagem do atleta, vem desde os tempos da Grécia Antiga, quando aqueles que participavam das competições, também lideravam exércitos nas guerras, sendo então atribuído a esta pessoa, o título de herói. Por mais que centenas de anos tenham se passado, o atleta ainda é visto como um indivíduo especial, o atleta é o ser humano que se atreve a ultrapassar seus próprios limites constantemente (Rubio, 2001). </w:t>
      </w:r>
    </w:p>
    <w:p w14:paraId="5AFE49D4" w14:textId="77777777" w:rsidR="00EC69B1" w:rsidRPr="009A714A" w:rsidRDefault="00EC69B1" w:rsidP="009A714A">
      <w:pPr>
        <w:widowControl w:val="0"/>
        <w:autoSpaceDE w:val="0"/>
        <w:autoSpaceDN w:val="0"/>
        <w:adjustRightInd w:val="0"/>
        <w:ind w:right="145" w:firstLine="708"/>
        <w:jc w:val="both"/>
        <w:rPr>
          <w:rFonts w:ascii="Calibri" w:hAnsi="Calibri" w:cs="Calibri"/>
          <w:sz w:val="22"/>
          <w:szCs w:val="22"/>
        </w:rPr>
      </w:pPr>
      <w:r w:rsidRPr="009A714A">
        <w:rPr>
          <w:rFonts w:ascii="Times New Roman" w:hAnsi="Times New Roman" w:cs="Times New Roman"/>
          <w:sz w:val="22"/>
          <w:szCs w:val="22"/>
        </w:rPr>
        <w:t>A repercussão do comportamento dos atletas extrapola a temática esportiva e mobiliza debates mais amplos que versam sobre a cultura do ídolo esportivo a qual é fomentada e mediada pelas mídias (Santos &amp; Medeiros, 2009). A constante exploração da imagem do atleta para os mais diversos objetivos da mídia, por vezes, relaciona-se ao lado comercial, de vendas de algum produto ou campanha (Rubio, 2006; Testa, 2008). Entende-se que a mídia contribui para o desenvolvimento de novos processos de formação de condutas. E quando a mídia divulga o conteúdo de determinado fenômeno, via jornal, televisão e/ou revista, as pessoas passam a olhar diferente para este fenômeno, possivelmente ressignificando-o.</w:t>
      </w:r>
    </w:p>
    <w:p w14:paraId="6863237A" w14:textId="77777777" w:rsidR="00EC69B1" w:rsidRPr="009A714A" w:rsidRDefault="00EC69B1" w:rsidP="009A714A">
      <w:pPr>
        <w:widowControl w:val="0"/>
        <w:autoSpaceDE w:val="0"/>
        <w:autoSpaceDN w:val="0"/>
        <w:adjustRightInd w:val="0"/>
        <w:ind w:right="145" w:firstLine="708"/>
        <w:jc w:val="both"/>
        <w:rPr>
          <w:rFonts w:ascii="Calibri" w:hAnsi="Calibri" w:cs="Calibri"/>
          <w:sz w:val="22"/>
          <w:szCs w:val="22"/>
        </w:rPr>
      </w:pPr>
      <w:r w:rsidRPr="009A714A">
        <w:rPr>
          <w:rFonts w:ascii="Times New Roman" w:hAnsi="Times New Roman" w:cs="Times New Roman"/>
          <w:sz w:val="22"/>
          <w:szCs w:val="22"/>
        </w:rPr>
        <w:t xml:space="preserve">A interferência do esporte e de grandes eventos na rotina das pessoas se mostra evidente. Espectadores quando assistem aos jogos, não assistem simplesmente a um espetáculo, mas posicionam-se frente ao mesmo (Rubio, 2006). Como Farr (1995) coloca, o indivíduo é fruto e agente de mudança na </w:t>
      </w:r>
      <w:r w:rsidRPr="009A714A">
        <w:rPr>
          <w:rFonts w:ascii="Times New Roman" w:hAnsi="Times New Roman" w:cs="Times New Roman"/>
          <w:sz w:val="22"/>
          <w:szCs w:val="22"/>
        </w:rPr>
        <w:lastRenderedPageBreak/>
        <w:t>sociedade em que vive, e a Teoria das Representações Sociais (TRS) vem a complementar o entendimento dessa relação. Assim, TRS é de grande valia pois possibilita olhar o fenômeno que se deseja, em sua dimensão social. As Representações Sociais (RS) são produzidas coletivamente, e contribuem para os processos de formação de condutas, orientando as comunicações sociais (Moscovici, 1976).</w:t>
      </w:r>
    </w:p>
    <w:p w14:paraId="3E54FAE1" w14:textId="77777777" w:rsidR="00EC69B1" w:rsidRPr="009A714A" w:rsidRDefault="00EC69B1" w:rsidP="009A714A">
      <w:pPr>
        <w:widowControl w:val="0"/>
        <w:autoSpaceDE w:val="0"/>
        <w:autoSpaceDN w:val="0"/>
        <w:adjustRightInd w:val="0"/>
        <w:ind w:right="145"/>
        <w:jc w:val="both"/>
        <w:rPr>
          <w:rFonts w:ascii="Times New Roman" w:hAnsi="Times New Roman" w:cs="Times New Roman"/>
          <w:b/>
          <w:bCs/>
          <w:sz w:val="22"/>
          <w:szCs w:val="22"/>
        </w:rPr>
      </w:pPr>
    </w:p>
    <w:p w14:paraId="5D29515E" w14:textId="77777777" w:rsidR="00EC69B1" w:rsidRPr="009A714A" w:rsidRDefault="00EC69B1" w:rsidP="009A714A">
      <w:pPr>
        <w:widowControl w:val="0"/>
        <w:autoSpaceDE w:val="0"/>
        <w:autoSpaceDN w:val="0"/>
        <w:adjustRightInd w:val="0"/>
        <w:ind w:right="145"/>
        <w:jc w:val="both"/>
        <w:rPr>
          <w:rFonts w:ascii="Times New Roman" w:hAnsi="Times New Roman" w:cs="Times New Roman"/>
          <w:sz w:val="22"/>
          <w:szCs w:val="22"/>
        </w:rPr>
      </w:pPr>
      <w:r w:rsidRPr="009A714A">
        <w:rPr>
          <w:rFonts w:ascii="Times New Roman" w:hAnsi="Times New Roman" w:cs="Times New Roman"/>
          <w:sz w:val="22"/>
          <w:szCs w:val="22"/>
        </w:rPr>
        <w:t>Abordagem Estrutural da Representações Sociais</w:t>
      </w:r>
    </w:p>
    <w:p w14:paraId="152375DE"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p>
    <w:p w14:paraId="0C6D7CA6" w14:textId="77777777" w:rsidR="00EC69B1" w:rsidRPr="009A714A" w:rsidRDefault="00EC69B1" w:rsidP="009A714A">
      <w:pPr>
        <w:widowControl w:val="0"/>
        <w:autoSpaceDE w:val="0"/>
        <w:autoSpaceDN w:val="0"/>
        <w:adjustRightInd w:val="0"/>
        <w:ind w:right="145" w:firstLine="708"/>
        <w:jc w:val="both"/>
        <w:rPr>
          <w:rFonts w:ascii="Calibri" w:hAnsi="Calibri" w:cs="Calibri"/>
          <w:sz w:val="22"/>
          <w:szCs w:val="22"/>
        </w:rPr>
      </w:pPr>
      <w:r w:rsidRPr="009A714A">
        <w:rPr>
          <w:rFonts w:ascii="Times New Roman" w:hAnsi="Times New Roman" w:cs="Times New Roman"/>
          <w:sz w:val="22"/>
          <w:szCs w:val="22"/>
        </w:rPr>
        <w:t>A abordagem estrutural das representações sociais foi desenvolvida por Abric (1993) e posteriormente complementada por Flament (2001) com base na ideia da existência de “um campo de representação” ou de “uma imagem” que expressa “uma unidade hierarquizada de elementos” os quais dimensionam e orientam os pontos que o compõem (Moscovici, 1976).  Essa abordagem propõe que as representações sociais são formadas por um núcleo central e um sistema periférico. O núcleo central é “estável, coerente, consensual e historicamente determinado” a medida que o sistema periférico é flexível, adaptativo e de conteúdo heterogêneo (Sá, 2001, p. 77). A abordagem estrutural entende que essas representações se organizam em torno deste núcleo central. Ele possui três funções essenciais: função geradora, função organizadora e função estabilizadora. A função geradora é responsável pela atribuição significados as representações, enquanto a função organizadora se refere a interligação e unificação dos termos periféricos dessas representações. Por fim, como o núcleo central é composto por elementos de maior estabilidade, estes são mais resistentes no que se refere às mudanças das representações, essa é a função estabilizadora do núcleo central (Deschamps &amp; Moliner, 2009; Galli, 2006).</w:t>
      </w:r>
    </w:p>
    <w:p w14:paraId="5F53AC38" w14:textId="77777777" w:rsidR="00EC69B1" w:rsidRPr="009A714A" w:rsidRDefault="00EC69B1" w:rsidP="009A714A">
      <w:pPr>
        <w:widowControl w:val="0"/>
        <w:autoSpaceDE w:val="0"/>
        <w:autoSpaceDN w:val="0"/>
        <w:adjustRightInd w:val="0"/>
        <w:ind w:right="145" w:firstLine="709"/>
        <w:jc w:val="both"/>
        <w:rPr>
          <w:rFonts w:ascii="Calibri" w:hAnsi="Calibri" w:cs="Calibri"/>
          <w:sz w:val="22"/>
          <w:szCs w:val="22"/>
        </w:rPr>
      </w:pPr>
      <w:r w:rsidRPr="009A714A">
        <w:rPr>
          <w:rFonts w:ascii="Times New Roman" w:hAnsi="Times New Roman" w:cs="Times New Roman"/>
          <w:sz w:val="22"/>
          <w:szCs w:val="22"/>
        </w:rPr>
        <w:t>Abric (2003) considera que o núcleo central é responsável pela consistência, permanência e pelo significado das representações. Modificações no núcleo central provocam modificações também na representação. Entende-se que, para que uma representação seja diferente de uma outra, estas devem se organizar em torno de núcleos diferentes, ou seja: que possuem elementos distintos.</w:t>
      </w:r>
    </w:p>
    <w:p w14:paraId="2802B7DD" w14:textId="77777777" w:rsidR="00EC69B1" w:rsidRPr="009A714A" w:rsidRDefault="00EC69B1" w:rsidP="009A714A">
      <w:pPr>
        <w:widowControl w:val="0"/>
        <w:autoSpaceDE w:val="0"/>
        <w:autoSpaceDN w:val="0"/>
        <w:adjustRightInd w:val="0"/>
        <w:ind w:right="145" w:firstLine="709"/>
        <w:jc w:val="both"/>
        <w:rPr>
          <w:rFonts w:ascii="Times New Roman" w:hAnsi="Times New Roman" w:cs="Times New Roman"/>
          <w:sz w:val="22"/>
          <w:szCs w:val="22"/>
        </w:rPr>
      </w:pPr>
      <w:r w:rsidRPr="009A714A">
        <w:rPr>
          <w:rFonts w:ascii="Times New Roman" w:hAnsi="Times New Roman" w:cs="Times New Roman"/>
          <w:sz w:val="22"/>
          <w:szCs w:val="22"/>
        </w:rPr>
        <w:t xml:space="preserve">Já o sistema periférico, constitui-se de elementos que se organizam em volta do núcleo central. Trata-se da parte mais acessível e viva de uma representação. As funções desse sistema podem ser resumidas em: concretização, regulação, prescrição de comportamentos, proteção do núcleo e personalização (Abric, 2003; Campos &amp; Rouquette, 2003). Os elementos do sistema periférico são responsáveis pelo ajustamento da representação ao seu contexto, à realidade concreta e às práticas sociais de um grupo específico. </w:t>
      </w:r>
    </w:p>
    <w:p w14:paraId="0B5452C2" w14:textId="77777777" w:rsidR="00EC69B1" w:rsidRPr="009A714A" w:rsidRDefault="00EC69B1" w:rsidP="009A714A">
      <w:pPr>
        <w:widowControl w:val="0"/>
        <w:autoSpaceDE w:val="0"/>
        <w:autoSpaceDN w:val="0"/>
        <w:adjustRightInd w:val="0"/>
        <w:ind w:right="145" w:firstLine="709"/>
        <w:jc w:val="both"/>
        <w:rPr>
          <w:rFonts w:ascii="Calibri" w:hAnsi="Calibri" w:cs="Calibri"/>
          <w:sz w:val="22"/>
          <w:szCs w:val="22"/>
        </w:rPr>
      </w:pPr>
    </w:p>
    <w:p w14:paraId="3CF79C2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b/>
          <w:sz w:val="22"/>
          <w:szCs w:val="22"/>
        </w:rPr>
      </w:pPr>
      <w:r w:rsidRPr="009A714A">
        <w:rPr>
          <w:rFonts w:ascii="Times New Roman" w:hAnsi="Times New Roman" w:cs="Times New Roman"/>
          <w:b/>
          <w:sz w:val="22"/>
          <w:szCs w:val="22"/>
        </w:rPr>
        <w:t>Método</w:t>
      </w:r>
    </w:p>
    <w:p w14:paraId="022EE03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5B5D23A1" w14:textId="77777777" w:rsidR="00EC69B1" w:rsidRPr="009A714A" w:rsidRDefault="00EC69B1" w:rsidP="009A714A">
      <w:pPr>
        <w:widowControl w:val="0"/>
        <w:autoSpaceDE w:val="0"/>
        <w:autoSpaceDN w:val="0"/>
        <w:adjustRightInd w:val="0"/>
        <w:ind w:right="145"/>
        <w:jc w:val="both"/>
        <w:rPr>
          <w:rFonts w:ascii="Times New Roman" w:hAnsi="Times New Roman" w:cs="Times New Roman"/>
          <w:sz w:val="22"/>
          <w:szCs w:val="22"/>
        </w:rPr>
      </w:pPr>
      <w:r w:rsidRPr="009A714A">
        <w:rPr>
          <w:rFonts w:ascii="Times New Roman" w:hAnsi="Times New Roman" w:cs="Times New Roman"/>
          <w:sz w:val="22"/>
          <w:szCs w:val="22"/>
        </w:rPr>
        <w:t>Participantes</w:t>
      </w:r>
    </w:p>
    <w:p w14:paraId="1F2CBC6C"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p>
    <w:p w14:paraId="1245390E" w14:textId="77777777" w:rsidR="00EC69B1" w:rsidRPr="009A714A" w:rsidRDefault="00EC69B1" w:rsidP="009A714A">
      <w:pPr>
        <w:widowControl w:val="0"/>
        <w:autoSpaceDE w:val="0"/>
        <w:autoSpaceDN w:val="0"/>
        <w:adjustRightInd w:val="0"/>
        <w:ind w:right="145" w:firstLine="708"/>
        <w:jc w:val="both"/>
        <w:rPr>
          <w:rFonts w:ascii="Calibri" w:hAnsi="Calibri" w:cs="Calibri"/>
          <w:sz w:val="22"/>
          <w:szCs w:val="22"/>
        </w:rPr>
      </w:pPr>
      <w:r w:rsidRPr="009A714A">
        <w:rPr>
          <w:rFonts w:ascii="Times New Roman" w:hAnsi="Times New Roman" w:cs="Times New Roman"/>
          <w:sz w:val="22"/>
          <w:szCs w:val="22"/>
        </w:rPr>
        <w:t xml:space="preserve">Participaram desse estudo 203 usuários da rede social </w:t>
      </w:r>
      <w:r w:rsidRPr="009A714A">
        <w:rPr>
          <w:rFonts w:ascii="Times New Roman" w:hAnsi="Times New Roman" w:cs="Times New Roman"/>
          <w:i/>
          <w:iCs/>
          <w:sz w:val="22"/>
          <w:szCs w:val="22"/>
        </w:rPr>
        <w:t>Facebook</w:t>
      </w:r>
      <w:r w:rsidRPr="009A714A">
        <w:rPr>
          <w:rFonts w:ascii="Times New Roman" w:hAnsi="Times New Roman" w:cs="Times New Roman"/>
          <w:sz w:val="22"/>
          <w:szCs w:val="22"/>
        </w:rPr>
        <w:t xml:space="preserve">, sendo 88 homens (43,4%) e 115 mulheres (56,6%). A idade dos participantes variou entre 18 e 61 anos, com média de 25,9 anos (DP=7,01).  Desses participantes, 32% assistiam eventos esportivos com frequência, 44% assistiam eventos esportivos eventualmente e 24% não costumavam assistir essas competições. </w:t>
      </w:r>
    </w:p>
    <w:p w14:paraId="04AA7BF2"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sz w:val="22"/>
          <w:szCs w:val="22"/>
        </w:rPr>
        <w:t>Instrumento</w:t>
      </w:r>
    </w:p>
    <w:p w14:paraId="1B61ACB0"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sz w:val="22"/>
          <w:szCs w:val="22"/>
        </w:rPr>
        <w:tab/>
        <w:t xml:space="preserve">Foi utilizado um questionário </w:t>
      </w:r>
      <w:r w:rsidRPr="009A714A">
        <w:rPr>
          <w:rFonts w:ascii="Times New Roman" w:hAnsi="Times New Roman" w:cs="Times New Roman"/>
          <w:i/>
          <w:iCs/>
          <w:sz w:val="22"/>
          <w:szCs w:val="22"/>
        </w:rPr>
        <w:t>online</w:t>
      </w:r>
      <w:r w:rsidRPr="009A714A">
        <w:rPr>
          <w:rFonts w:ascii="Times New Roman" w:hAnsi="Times New Roman" w:cs="Times New Roman"/>
          <w:sz w:val="22"/>
          <w:szCs w:val="22"/>
        </w:rPr>
        <w:t xml:space="preserve">, desenvolvido com base nos critérios de pesquisa de evocação e composto de quatro questões: 1- Qual é o seu sexo? 2- Qual é a sua idade?; 3- Você costuma assistir eventos esportivos? e 4- Escreva as cinco primeiras palavras que lhe vem à cabeça quando pensa em “atleta”.  As questões 1, 2 e 3 se referiam às variáveis de contexto. A questão 4 teve o objetivo de coletar os dados sobre as representações sociais dos participantes acerca do tema em questão. Caracterizava-se como uma pergunta de evocação livre com o termo indutor “atleta”. Para a elaboração do instrumento, utilizou-se o aplicativo “Formulários” do </w:t>
      </w:r>
      <w:r w:rsidRPr="009A714A">
        <w:rPr>
          <w:rFonts w:ascii="Times New Roman" w:hAnsi="Times New Roman" w:cs="Times New Roman"/>
          <w:i/>
          <w:iCs/>
          <w:sz w:val="22"/>
          <w:szCs w:val="22"/>
        </w:rPr>
        <w:t>Google Drive.</w:t>
      </w:r>
    </w:p>
    <w:p w14:paraId="0D2A9124"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sz w:val="22"/>
          <w:szCs w:val="22"/>
        </w:rPr>
        <w:t>Coleta de dados</w:t>
      </w:r>
    </w:p>
    <w:p w14:paraId="350EC435"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sz w:val="22"/>
          <w:szCs w:val="22"/>
        </w:rPr>
        <w:tab/>
        <w:t xml:space="preserve">Após a elaboração do instrumento, o </w:t>
      </w:r>
      <w:r w:rsidRPr="009A714A">
        <w:rPr>
          <w:rFonts w:ascii="Times New Roman" w:hAnsi="Times New Roman" w:cs="Times New Roman"/>
          <w:i/>
          <w:iCs/>
          <w:sz w:val="22"/>
          <w:szCs w:val="22"/>
        </w:rPr>
        <w:t>link</w:t>
      </w:r>
      <w:r w:rsidRPr="009A714A">
        <w:rPr>
          <w:rFonts w:ascii="Times New Roman" w:hAnsi="Times New Roman" w:cs="Times New Roman"/>
          <w:sz w:val="22"/>
          <w:szCs w:val="22"/>
        </w:rPr>
        <w:t xml:space="preserve"> para este foi disponibilizado </w:t>
      </w:r>
      <w:r w:rsidRPr="009A714A">
        <w:rPr>
          <w:rFonts w:ascii="Times New Roman" w:hAnsi="Times New Roman" w:cs="Times New Roman"/>
          <w:i/>
          <w:iCs/>
          <w:sz w:val="22"/>
          <w:szCs w:val="22"/>
        </w:rPr>
        <w:t>online</w:t>
      </w:r>
      <w:r w:rsidRPr="009A714A">
        <w:rPr>
          <w:rFonts w:ascii="Times New Roman" w:hAnsi="Times New Roman" w:cs="Times New Roman"/>
          <w:sz w:val="22"/>
          <w:szCs w:val="22"/>
        </w:rPr>
        <w:t xml:space="preserve"> nas páginas do </w:t>
      </w:r>
      <w:r w:rsidRPr="009A714A">
        <w:rPr>
          <w:rFonts w:ascii="Times New Roman" w:hAnsi="Times New Roman" w:cs="Times New Roman"/>
          <w:i/>
          <w:iCs/>
          <w:sz w:val="22"/>
          <w:szCs w:val="22"/>
        </w:rPr>
        <w:t>Facebook</w:t>
      </w:r>
      <w:r w:rsidRPr="009A714A">
        <w:rPr>
          <w:rFonts w:ascii="Times New Roman" w:hAnsi="Times New Roman" w:cs="Times New Roman"/>
          <w:sz w:val="22"/>
          <w:szCs w:val="22"/>
        </w:rPr>
        <w:t xml:space="preserve"> das autoras da pesquisa. Por meio dessa publicação, os participantes foram apresentados ao estudo e convidados a participar do mesmo. Caso concordassem em participar do estudo, os participantes </w:t>
      </w:r>
      <w:r w:rsidRPr="009A714A">
        <w:rPr>
          <w:rFonts w:ascii="Times New Roman" w:hAnsi="Times New Roman" w:cs="Times New Roman"/>
          <w:sz w:val="22"/>
          <w:szCs w:val="22"/>
        </w:rPr>
        <w:lastRenderedPageBreak/>
        <w:t>encontravam as quatro questões e, após responderem a elas, eram agradecidos pela participação.</w:t>
      </w:r>
    </w:p>
    <w:p w14:paraId="1289EC97" w14:textId="77777777" w:rsidR="00EC69B1" w:rsidRPr="009A714A" w:rsidRDefault="00EC69B1" w:rsidP="009A714A">
      <w:pPr>
        <w:widowControl w:val="0"/>
        <w:autoSpaceDE w:val="0"/>
        <w:autoSpaceDN w:val="0"/>
        <w:adjustRightInd w:val="0"/>
        <w:ind w:right="145"/>
        <w:jc w:val="both"/>
        <w:rPr>
          <w:rFonts w:ascii="Times New Roman" w:hAnsi="Times New Roman" w:cs="Times New Roman"/>
          <w:sz w:val="22"/>
          <w:szCs w:val="22"/>
        </w:rPr>
      </w:pPr>
    </w:p>
    <w:p w14:paraId="50460D55" w14:textId="77777777" w:rsidR="00EC69B1" w:rsidRPr="009A714A" w:rsidRDefault="00EC69B1" w:rsidP="009A714A">
      <w:pPr>
        <w:widowControl w:val="0"/>
        <w:autoSpaceDE w:val="0"/>
        <w:autoSpaceDN w:val="0"/>
        <w:adjustRightInd w:val="0"/>
        <w:ind w:right="145"/>
        <w:jc w:val="both"/>
        <w:rPr>
          <w:rFonts w:ascii="Times New Roman" w:hAnsi="Times New Roman" w:cs="Times New Roman"/>
          <w:sz w:val="22"/>
          <w:szCs w:val="22"/>
        </w:rPr>
      </w:pPr>
      <w:r w:rsidRPr="009A714A">
        <w:rPr>
          <w:rFonts w:ascii="Times New Roman" w:hAnsi="Times New Roman" w:cs="Times New Roman"/>
          <w:sz w:val="22"/>
          <w:szCs w:val="22"/>
        </w:rPr>
        <w:t>Análise de dados</w:t>
      </w:r>
    </w:p>
    <w:p w14:paraId="2A7A63BA"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p>
    <w:p w14:paraId="345094FD"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sz w:val="22"/>
          <w:szCs w:val="22"/>
        </w:rPr>
        <w:tab/>
        <w:t xml:space="preserve">Para a análise dos dados, foram utilizadas as ferramentas disponíveis no </w:t>
      </w:r>
      <w:r w:rsidRPr="009A714A">
        <w:rPr>
          <w:rFonts w:ascii="Times New Roman" w:hAnsi="Times New Roman" w:cs="Times New Roman"/>
          <w:i/>
          <w:iCs/>
          <w:sz w:val="22"/>
          <w:szCs w:val="22"/>
        </w:rPr>
        <w:t>Google Drive</w:t>
      </w:r>
      <w:r w:rsidRPr="009A714A">
        <w:rPr>
          <w:rFonts w:ascii="Times New Roman" w:hAnsi="Times New Roman" w:cs="Times New Roman"/>
          <w:sz w:val="22"/>
          <w:szCs w:val="22"/>
        </w:rPr>
        <w:t xml:space="preserve">, os </w:t>
      </w:r>
      <w:r w:rsidRPr="009A714A">
        <w:rPr>
          <w:rFonts w:ascii="Times New Roman" w:hAnsi="Times New Roman" w:cs="Times New Roman"/>
          <w:i/>
          <w:iCs/>
          <w:sz w:val="22"/>
          <w:szCs w:val="22"/>
        </w:rPr>
        <w:t>softwares</w:t>
      </w:r>
      <w:r w:rsidRPr="009A714A">
        <w:rPr>
          <w:rFonts w:ascii="Times New Roman" w:hAnsi="Times New Roman" w:cs="Times New Roman"/>
          <w:sz w:val="22"/>
          <w:szCs w:val="22"/>
        </w:rPr>
        <w:t xml:space="preserve"> EVOC 2005 (Vergès, 2006) e IRAMUTEQ (Camargo &amp; Justo, 2013). A estatística descritiva das variáveis de contexto foi realizada por meio do Google Drive, enquanto a pergunta de evocação livre teve seus resultados analisados pelo EVOC 2005 e a análise de similitude foi efetuada pelo IRAMUTEQ.</w:t>
      </w:r>
    </w:p>
    <w:p w14:paraId="12706D27"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 O EVOC possibilita a identificação dos elementos do núcleo central e do sistema periférico das representações sociais, com base nas respostas dadas ao estímulo indutor: "atleta" (Abric, 1998; Sá, 1998; 2001). Por meio desse programa foram consideradas a frequência e a ordem de evocação das palavras. Estes critérios permitem uma aproximação da noção de prototipicidade dos elementos de uma representação. Também foi realizada, por meio do EVOC, uma comparação entre as palavras evocadas pelos participantes dos sexos masculino e feminino. O teste do qui-quadrado foi utilizado com o objetivo de verificar a existência de diferenças significativas nas frequências das palavras evocadas em cada um dos grupos (Vergès, 2006). </w:t>
      </w:r>
    </w:p>
    <w:p w14:paraId="7E183054"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r w:rsidRPr="009A714A">
        <w:rPr>
          <w:rFonts w:ascii="Times New Roman" w:hAnsi="Times New Roman" w:cs="Times New Roman"/>
          <w:sz w:val="22"/>
          <w:szCs w:val="22"/>
        </w:rPr>
        <w:t>Por fim, foram realizadas duas análises de dados textuais por meio do programa   IRAMUTEQ: a análise de similitude e a nuvem de palavras.  A análise de similitude baseia-se na teoria dos grafos e possibilita identificar a co-ocorrência de palavras e seu resultado apresenta informações acerca da conexidade entre as palavras evocadas.  A nuvem de palavras agrupa as palavras e as organiza graficamente de acordo com a sua frequência. Assim, palavras visualmente maiores indicam maior frequência nas ocorrências (Camargo &amp; Justo, 2013).</w:t>
      </w:r>
    </w:p>
    <w:p w14:paraId="01030B71"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p>
    <w:p w14:paraId="6CDAAA8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Resultados e discussão</w:t>
      </w:r>
    </w:p>
    <w:p w14:paraId="1BCC7A3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0E78B94B" w14:textId="77777777" w:rsidR="00EC69B1" w:rsidRPr="009A714A" w:rsidRDefault="00EC69B1" w:rsidP="009A714A">
      <w:pPr>
        <w:widowControl w:val="0"/>
        <w:autoSpaceDE w:val="0"/>
        <w:autoSpaceDN w:val="0"/>
        <w:adjustRightInd w:val="0"/>
        <w:ind w:right="145"/>
        <w:jc w:val="both"/>
        <w:rPr>
          <w:rFonts w:ascii="Times New Roman" w:hAnsi="Times New Roman" w:cs="Times New Roman"/>
          <w:sz w:val="22"/>
          <w:szCs w:val="22"/>
        </w:rPr>
      </w:pPr>
      <w:r w:rsidRPr="009A714A">
        <w:rPr>
          <w:rFonts w:ascii="Times New Roman" w:hAnsi="Times New Roman" w:cs="Times New Roman"/>
          <w:b/>
          <w:bCs/>
          <w:sz w:val="22"/>
          <w:szCs w:val="22"/>
        </w:rPr>
        <w:tab/>
      </w:r>
      <w:r w:rsidRPr="009A714A">
        <w:rPr>
          <w:rFonts w:ascii="Times New Roman" w:hAnsi="Times New Roman" w:cs="Times New Roman"/>
          <w:sz w:val="22"/>
          <w:szCs w:val="22"/>
        </w:rPr>
        <w:t xml:space="preserve">Os dados analisados foram obtidos de um </w:t>
      </w:r>
      <w:r w:rsidRPr="009A714A">
        <w:rPr>
          <w:rFonts w:ascii="Times New Roman" w:hAnsi="Times New Roman" w:cs="Times New Roman"/>
          <w:i/>
          <w:iCs/>
          <w:sz w:val="22"/>
          <w:szCs w:val="22"/>
        </w:rPr>
        <w:t>corpus</w:t>
      </w:r>
      <w:r w:rsidRPr="009A714A">
        <w:rPr>
          <w:rFonts w:ascii="Times New Roman" w:hAnsi="Times New Roman" w:cs="Times New Roman"/>
          <w:sz w:val="22"/>
          <w:szCs w:val="22"/>
        </w:rPr>
        <w:t xml:space="preserve"> em que o conteúdo se referia a representação social de atletas de usuários da rede social </w:t>
      </w:r>
      <w:r w:rsidRPr="009A714A">
        <w:rPr>
          <w:rFonts w:ascii="Times New Roman" w:hAnsi="Times New Roman" w:cs="Times New Roman"/>
          <w:i/>
          <w:iCs/>
          <w:sz w:val="22"/>
          <w:szCs w:val="22"/>
        </w:rPr>
        <w:t xml:space="preserve">Facebook. </w:t>
      </w:r>
      <w:r w:rsidRPr="009A714A">
        <w:rPr>
          <w:rFonts w:ascii="Times New Roman" w:hAnsi="Times New Roman" w:cs="Times New Roman"/>
          <w:sz w:val="22"/>
          <w:szCs w:val="22"/>
        </w:rPr>
        <w:t xml:space="preserve">Visando analisar apenas o conhecimento que é compartilhado socialmente, excluiu-se 25% das palavras com menor frequência. Foram obtidas, no total, 768 palavras citadas e 81 palavras diferentes. A ordem média de evocação das palavras ficou em 2.98, ou seja, na 3ª posição. A frequência média das palavras foi igual a 9,48. </w:t>
      </w:r>
    </w:p>
    <w:p w14:paraId="48691FA7"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r w:rsidRPr="009A714A">
        <w:rPr>
          <w:rFonts w:ascii="Times New Roman" w:hAnsi="Times New Roman" w:cs="Times New Roman"/>
          <w:sz w:val="22"/>
          <w:szCs w:val="22"/>
        </w:rPr>
        <w:t>Os resultados obtidos estão distribuídos em um diagrama de quatro quadrantes (Tabela 1), em que o eixo horizontal se refere à ordem média de evocação (valores menores para o lado esquerdo e valores maiores para o direito) e o vertical à frequência de evocação (valores maiores na parte superior e memores na inferior). Desta forma, o quadrante superior esquerdo teve como conteúdo às evocações de maior frequência e as mais prontamente enunciadas, ou seja, ali se encontram os possíveis elementos núcleo central. Os elementos do quadrante superior direito e inferior esquerdo ocupam uma posição intermediária, visto que tratam de elementos os quais apesar de não estarem compondo o núcleo central, mantêm uma relação de proximidade com o mesmo (Vergès, 2006). Os elementos do quadrante inferior direito compõem o sistema periférico da representação social do atleta.</w:t>
      </w:r>
    </w:p>
    <w:p w14:paraId="03F0265C"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p>
    <w:p w14:paraId="2EFC3EFC"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sz w:val="22"/>
          <w:szCs w:val="22"/>
        </w:rPr>
        <w:t xml:space="preserve">Tabela 1:  Diagrama de quadrantes relativo as representações sociais de atleta. </w:t>
      </w:r>
    </w:p>
    <w:tbl>
      <w:tblPr>
        <w:tblW w:w="0" w:type="auto"/>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1342"/>
        <w:gridCol w:w="1562"/>
        <w:gridCol w:w="1256"/>
        <w:gridCol w:w="1110"/>
        <w:gridCol w:w="1376"/>
        <w:gridCol w:w="1254"/>
        <w:gridCol w:w="965"/>
      </w:tblGrid>
      <w:tr w:rsidR="00EC69B1" w:rsidRPr="009A714A" w14:paraId="1BC1177F" w14:textId="77777777">
        <w:tc>
          <w:tcPr>
            <w:tcW w:w="971" w:type="dxa"/>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1E091FC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5F1564D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Elemento</w:t>
            </w:r>
          </w:p>
        </w:tc>
        <w:tc>
          <w:tcPr>
            <w:tcW w:w="1256" w:type="dxa"/>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52CA91D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OME &lt; 3</w:t>
            </w:r>
          </w:p>
          <w:p w14:paraId="404A3AC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i/>
                <w:iCs/>
                <w:sz w:val="22"/>
                <w:szCs w:val="22"/>
              </w:rPr>
            </w:pPr>
            <w:r w:rsidRPr="009A714A">
              <w:rPr>
                <w:rFonts w:ascii="Times New Roman" w:hAnsi="Times New Roman" w:cs="Times New Roman"/>
                <w:i/>
                <w:iCs/>
                <w:sz w:val="22"/>
                <w:szCs w:val="22"/>
              </w:rPr>
              <w:t>f</w:t>
            </w:r>
          </w:p>
        </w:tc>
        <w:tc>
          <w:tcPr>
            <w:tcW w:w="1110" w:type="dxa"/>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7ABEA5C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OME</w:t>
            </w:r>
          </w:p>
        </w:tc>
        <w:tc>
          <w:tcPr>
            <w:tcW w:w="1376" w:type="dxa"/>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7EEBE02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Elemento</w:t>
            </w:r>
          </w:p>
        </w:tc>
        <w:tc>
          <w:tcPr>
            <w:tcW w:w="1254" w:type="dxa"/>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3A02E5A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OME &gt;= 3</w:t>
            </w:r>
          </w:p>
          <w:p w14:paraId="1C30F50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i/>
                <w:iCs/>
                <w:sz w:val="22"/>
                <w:szCs w:val="22"/>
              </w:rPr>
            </w:pPr>
            <w:r w:rsidRPr="009A714A">
              <w:rPr>
                <w:rFonts w:ascii="Times New Roman" w:hAnsi="Times New Roman" w:cs="Times New Roman"/>
                <w:i/>
                <w:iCs/>
                <w:sz w:val="22"/>
                <w:szCs w:val="22"/>
              </w:rPr>
              <w:t>f</w:t>
            </w:r>
          </w:p>
        </w:tc>
        <w:tc>
          <w:tcPr>
            <w:tcW w:w="965" w:type="dxa"/>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1D352B0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OME</w:t>
            </w:r>
          </w:p>
        </w:tc>
      </w:tr>
      <w:tr w:rsidR="00EC69B1" w:rsidRPr="009A714A" w14:paraId="26A61107" w14:textId="77777777">
        <w:tblPrEx>
          <w:tblBorders>
            <w:top w:val="none" w:sz="0" w:space="0" w:color="auto"/>
          </w:tblBorders>
        </w:tblPrEx>
        <w:tc>
          <w:tcPr>
            <w:tcW w:w="971" w:type="dxa"/>
            <w:vMerge w:val="restart"/>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59AF161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i/>
                <w:iCs/>
                <w:sz w:val="22"/>
                <w:szCs w:val="22"/>
              </w:rPr>
              <w:t>f</w:t>
            </w:r>
            <w:r w:rsidRPr="009A714A">
              <w:rPr>
                <w:rFonts w:ascii="Times New Roman" w:hAnsi="Times New Roman" w:cs="Times New Roman"/>
                <w:sz w:val="22"/>
                <w:szCs w:val="22"/>
              </w:rPr>
              <w:t>&gt;=9</w:t>
            </w:r>
          </w:p>
        </w:tc>
        <w:tc>
          <w:tcPr>
            <w:tcW w:w="1562"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2CEF379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Saúde</w:t>
            </w:r>
          </w:p>
        </w:tc>
        <w:tc>
          <w:tcPr>
            <w:tcW w:w="1256"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703551E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74</w:t>
            </w:r>
          </w:p>
        </w:tc>
        <w:tc>
          <w:tcPr>
            <w:tcW w:w="1110" w:type="dxa"/>
            <w:tcBorders>
              <w:top w:val="single" w:sz="4" w:space="0" w:color="BFBFBF"/>
              <w:left w:val="single" w:sz="4" w:space="0" w:color="FFFFFF"/>
              <w:bottom w:val="single" w:sz="4" w:space="0" w:color="FFFFFF"/>
              <w:right w:val="single" w:sz="4" w:space="0" w:color="BFBFBF"/>
            </w:tcBorders>
            <w:tcMar>
              <w:top w:w="100" w:type="nil"/>
              <w:right w:w="100" w:type="nil"/>
            </w:tcMar>
            <w:vAlign w:val="center"/>
          </w:tcPr>
          <w:p w14:paraId="4894233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2,378</w:t>
            </w:r>
          </w:p>
        </w:tc>
        <w:tc>
          <w:tcPr>
            <w:tcW w:w="1376" w:type="dxa"/>
            <w:tcBorders>
              <w:top w:val="single" w:sz="4" w:space="0" w:color="BFBFBF"/>
              <w:left w:val="single" w:sz="4" w:space="0" w:color="BFBFBF"/>
              <w:bottom w:val="single" w:sz="4" w:space="0" w:color="FFFFFF"/>
              <w:right w:val="single" w:sz="4" w:space="0" w:color="FFFFFF"/>
            </w:tcBorders>
            <w:tcMar>
              <w:top w:w="100" w:type="nil"/>
              <w:right w:w="100" w:type="nil"/>
            </w:tcMar>
            <w:vAlign w:val="center"/>
          </w:tcPr>
          <w:p w14:paraId="76190C5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Superação</w:t>
            </w:r>
          </w:p>
        </w:tc>
        <w:tc>
          <w:tcPr>
            <w:tcW w:w="1254"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39FC3BE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34</w:t>
            </w:r>
          </w:p>
        </w:tc>
        <w:tc>
          <w:tcPr>
            <w:tcW w:w="965"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1C91F66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3,118</w:t>
            </w:r>
          </w:p>
        </w:tc>
      </w:tr>
      <w:tr w:rsidR="00EC69B1" w:rsidRPr="009A714A" w14:paraId="2E57DC49" w14:textId="77777777">
        <w:tblPrEx>
          <w:tblBorders>
            <w:top w:val="none" w:sz="0" w:space="0" w:color="auto"/>
          </w:tblBorders>
        </w:tblPrEx>
        <w:tc>
          <w:tcPr>
            <w:tcW w:w="971" w:type="dxa"/>
            <w:vMerge/>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4BE803F2" w14:textId="77777777" w:rsidR="00EC69B1" w:rsidRPr="009A714A" w:rsidRDefault="00EC69B1" w:rsidP="009A714A">
            <w:pPr>
              <w:widowControl w:val="0"/>
              <w:autoSpaceDE w:val="0"/>
              <w:autoSpaceDN w:val="0"/>
              <w:adjustRightInd w:val="0"/>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EEC42E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Força</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8CFE95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43</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0B37A2B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2,047</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706B41B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Competição</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DC4080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30</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473ECF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3,633</w:t>
            </w:r>
          </w:p>
        </w:tc>
      </w:tr>
      <w:tr w:rsidR="00EC69B1" w:rsidRPr="009A714A" w14:paraId="070B1E63"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BAABAB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FC9719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Dedicação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E17A4C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32</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7C18D72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2,750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6002FF3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Treino</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E0580D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26</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42C000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3,500</w:t>
            </w:r>
          </w:p>
        </w:tc>
      </w:tr>
      <w:tr w:rsidR="00EC69B1" w:rsidRPr="009A714A" w14:paraId="72C32637"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09974C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A212A8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Esporte</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569D7D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31</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5889EF3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2,194</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3EAA7C2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Suor</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D69AAF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14</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9D1053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3,571</w:t>
            </w:r>
          </w:p>
        </w:tc>
      </w:tr>
      <w:tr w:rsidR="00EC69B1" w:rsidRPr="009A714A" w14:paraId="2CC55068"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39DEE2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CC58CC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Esforço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1B5B25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27</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128862F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2,741</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154A6F8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Vitória</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3A4A1C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12</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DDEF0B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3,917</w:t>
            </w:r>
          </w:p>
        </w:tc>
      </w:tr>
      <w:tr w:rsidR="00EC69B1" w:rsidRPr="009A714A" w14:paraId="1AF6082B"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AA7AE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F39B09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Corrida</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338149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26</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297B34E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2,154</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76AA784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Foco</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4D4681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11</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3AA651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4,091</w:t>
            </w:r>
          </w:p>
        </w:tc>
      </w:tr>
      <w:tr w:rsidR="00EC69B1" w:rsidRPr="009A714A" w14:paraId="41148289"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BA40C0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F6F0B9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Disciplina</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21B800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22</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640BA23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2,818</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2D5C47F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Persistência</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840C87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10</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78571D8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3,300</w:t>
            </w:r>
          </w:p>
        </w:tc>
      </w:tr>
      <w:tr w:rsidR="00EC69B1" w:rsidRPr="009A714A" w14:paraId="4ABCDF3C"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E0882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2D322F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Futebol</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8F15AC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7E34B0E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2,238</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4674611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Agilidade</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79BEA0D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9</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12CB23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3,111</w:t>
            </w:r>
          </w:p>
        </w:tc>
      </w:tr>
      <w:tr w:rsidR="00EC69B1" w:rsidRPr="009A714A" w14:paraId="11925CDD"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CCEE0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2D4EF6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Músculos</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DF0AF8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20</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058AFD4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2,300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4024475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Beleza</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AD1C2A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9</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C263A2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3,444</w:t>
            </w:r>
          </w:p>
        </w:tc>
      </w:tr>
      <w:tr w:rsidR="00EC69B1" w:rsidRPr="009A714A" w14:paraId="4A219A2D"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7014AA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7999D4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Determinação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B33272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19</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2472AB4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2,158</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5E21E35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51C4A7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9609AD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297A5552"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624894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2B3A6A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Corpo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10D85E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14</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7ED5AC1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2,643</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6638577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A800C2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D60110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61DFE359"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27F67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79271E9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Exercício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CCDDEF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13</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30EEE46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2,538</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57BDDC7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9BFF49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417D8A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49CC758F"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521B54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9337C5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Desempenho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7360DD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9</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5FBEC59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2,556</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34AEA6F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B492B2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109389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1ABCF982" w14:textId="77777777">
        <w:tblPrEx>
          <w:tblBorders>
            <w:top w:val="none" w:sz="0" w:space="0" w:color="auto"/>
          </w:tblBorders>
        </w:tblPrEx>
        <w:tc>
          <w:tcPr>
            <w:tcW w:w="971" w:type="dxa"/>
            <w:vMerge/>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43C6C917" w14:textId="77777777" w:rsidR="00EC69B1" w:rsidRPr="009A714A" w:rsidRDefault="00EC69B1" w:rsidP="009A714A">
            <w:pPr>
              <w:widowControl w:val="0"/>
              <w:autoSpaceDE w:val="0"/>
              <w:autoSpaceDN w:val="0"/>
              <w:adjustRightInd w:val="0"/>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C1D3E8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Olimpíadas</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8F4FD0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9</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799C385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2,333</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792ADF1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7CBD3BB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2A8A48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0219F871" w14:textId="77777777">
        <w:tblPrEx>
          <w:tblBorders>
            <w:top w:val="none" w:sz="0" w:space="0" w:color="auto"/>
          </w:tblBorders>
        </w:tblPrEx>
        <w:tc>
          <w:tcPr>
            <w:tcW w:w="971" w:type="dxa"/>
            <w:vMerge w:val="restart"/>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5EBCAC9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i/>
                <w:iCs/>
                <w:sz w:val="22"/>
                <w:szCs w:val="22"/>
              </w:rPr>
              <w:t>f</w:t>
            </w:r>
            <w:r w:rsidRPr="009A714A">
              <w:rPr>
                <w:rFonts w:ascii="Times New Roman" w:hAnsi="Times New Roman" w:cs="Times New Roman"/>
                <w:sz w:val="22"/>
                <w:szCs w:val="22"/>
              </w:rPr>
              <w:t>&lt;9</w:t>
            </w:r>
          </w:p>
        </w:tc>
        <w:tc>
          <w:tcPr>
            <w:tcW w:w="1562"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073729A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Físico</w:t>
            </w:r>
          </w:p>
        </w:tc>
        <w:tc>
          <w:tcPr>
            <w:tcW w:w="1256"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6A46AA7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8</w:t>
            </w:r>
          </w:p>
        </w:tc>
        <w:tc>
          <w:tcPr>
            <w:tcW w:w="1110" w:type="dxa"/>
            <w:tcBorders>
              <w:top w:val="single" w:sz="4" w:space="0" w:color="BFBFBF"/>
              <w:left w:val="single" w:sz="4" w:space="0" w:color="FFFFFF"/>
              <w:bottom w:val="single" w:sz="4" w:space="0" w:color="FFFFFF"/>
              <w:right w:val="single" w:sz="4" w:space="0" w:color="BFBFBF"/>
            </w:tcBorders>
            <w:tcMar>
              <w:top w:w="100" w:type="nil"/>
              <w:right w:w="100" w:type="nil"/>
            </w:tcMar>
            <w:vAlign w:val="center"/>
          </w:tcPr>
          <w:p w14:paraId="340752A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2,375</w:t>
            </w:r>
          </w:p>
        </w:tc>
        <w:tc>
          <w:tcPr>
            <w:tcW w:w="1376" w:type="dxa"/>
            <w:tcBorders>
              <w:top w:val="single" w:sz="4" w:space="0" w:color="BFBFBF"/>
              <w:left w:val="single" w:sz="4" w:space="0" w:color="BFBFBF"/>
              <w:bottom w:val="single" w:sz="4" w:space="0" w:color="FFFFFF"/>
              <w:right w:val="single" w:sz="4" w:space="0" w:color="FFFFFF"/>
            </w:tcBorders>
            <w:tcMar>
              <w:top w:w="100" w:type="nil"/>
              <w:right w:w="100" w:type="nil"/>
            </w:tcMar>
            <w:vAlign w:val="center"/>
          </w:tcPr>
          <w:p w14:paraId="17FBABD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Alimentação</w:t>
            </w:r>
          </w:p>
        </w:tc>
        <w:tc>
          <w:tcPr>
            <w:tcW w:w="1254"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2CFB12C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8</w:t>
            </w:r>
          </w:p>
        </w:tc>
        <w:tc>
          <w:tcPr>
            <w:tcW w:w="965" w:type="dxa"/>
            <w:tcBorders>
              <w:top w:val="single" w:sz="4" w:space="0" w:color="BFBFBF"/>
              <w:left w:val="single" w:sz="4" w:space="0" w:color="FFFFFF"/>
              <w:bottom w:val="single" w:sz="4" w:space="0" w:color="FFFFFF"/>
              <w:right w:val="single" w:sz="4" w:space="0" w:color="FFFFFF"/>
            </w:tcBorders>
            <w:tcMar>
              <w:top w:w="100" w:type="nil"/>
              <w:right w:w="100" w:type="nil"/>
            </w:tcMar>
            <w:vAlign w:val="center"/>
          </w:tcPr>
          <w:p w14:paraId="370CD37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3,250</w:t>
            </w:r>
          </w:p>
        </w:tc>
      </w:tr>
      <w:tr w:rsidR="00EC69B1" w:rsidRPr="009A714A" w14:paraId="47DA85EB" w14:textId="77777777">
        <w:tblPrEx>
          <w:tblBorders>
            <w:top w:val="none" w:sz="0" w:space="0" w:color="auto"/>
          </w:tblBorders>
        </w:tblPrEx>
        <w:tc>
          <w:tcPr>
            <w:tcW w:w="971" w:type="dxa"/>
            <w:vMerge/>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395CC9F6" w14:textId="77777777" w:rsidR="00EC69B1" w:rsidRPr="009A714A" w:rsidRDefault="00EC69B1" w:rsidP="009A714A">
            <w:pPr>
              <w:widowControl w:val="0"/>
              <w:autoSpaceDE w:val="0"/>
              <w:autoSpaceDN w:val="0"/>
              <w:adjustRightInd w:val="0"/>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7BCC41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Garra</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FBAF85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8</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22D65A4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2,375</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1453325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Resistência</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6BFCCF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8</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726D58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3,375</w:t>
            </w:r>
          </w:p>
        </w:tc>
      </w:tr>
      <w:tr w:rsidR="00EC69B1" w:rsidRPr="009A714A" w14:paraId="2C6C007F"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550551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5DD79E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Bola</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C9B246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7</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16D0832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2,143</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5844FD4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Dor</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9B5AC3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7</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799D8E6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3,571</w:t>
            </w:r>
          </w:p>
        </w:tc>
      </w:tr>
      <w:tr w:rsidR="00EC69B1" w:rsidRPr="009A714A" w14:paraId="6C61EBB9"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5BD94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CAB947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Velocidade</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D6C90D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7</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78FD9DF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2,143</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34A1CAF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Cansaço</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DF5706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6</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BE5079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3,333</w:t>
            </w:r>
          </w:p>
        </w:tc>
      </w:tr>
      <w:tr w:rsidR="00EC69B1" w:rsidRPr="009A714A" w14:paraId="26CB50B5"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9D024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96E4BF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Doping</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765369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7</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60EB51D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3,000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3EAF4D9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Sacrifício</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63F90C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5</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FA34CF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3,400</w:t>
            </w:r>
          </w:p>
        </w:tc>
      </w:tr>
      <w:tr w:rsidR="00EC69B1" w:rsidRPr="009A714A" w14:paraId="3F3BEE3F"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0E3E81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24BF7B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Rendimento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76A681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6</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282820E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2,000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26843DD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Medalha</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A45A38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5</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C9FF30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4,200</w:t>
            </w:r>
          </w:p>
        </w:tc>
      </w:tr>
      <w:tr w:rsidR="00EC69B1" w:rsidRPr="009A714A" w14:paraId="0AB22DBA"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92FCD6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9E73B6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Natação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76DE188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6</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415F215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2,400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799013F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Tênis</w:t>
            </w: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75A345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5</w:t>
            </w: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A967FD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4,200</w:t>
            </w:r>
          </w:p>
        </w:tc>
      </w:tr>
      <w:tr w:rsidR="00EC69B1" w:rsidRPr="009A714A" w14:paraId="395BBFDF"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90DFE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0EAAEF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Disposição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647BC0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6</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490476F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2,833</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4B559A2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E08C17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0F385A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1465D2B6"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FDCA42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E934E3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Atletismo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42C046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6</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77B178E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3,000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6E78D49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C80A39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E0F84C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07D51358"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15152B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47DF95C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Ginástica</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781652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5</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6A11968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3,000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3FC8965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D3BF3D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005C14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74C5A7FA"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53DA2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FE5EDE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Lesão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2E5876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5</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1A890A7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2,800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1663FF2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53F64C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3C0A5E0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1503E547"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DCA0A9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B045A7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Musculação</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610FF98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5</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3CE55A0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2,400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45BBCD8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50C7BD9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9C0D04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78287574" w14:textId="77777777">
        <w:tblPrEx>
          <w:tblBorders>
            <w:top w:val="none" w:sz="0" w:space="0" w:color="auto"/>
          </w:tblBorders>
        </w:tblPrEx>
        <w:tc>
          <w:tcPr>
            <w:tcW w:w="134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17F9D5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7C34C6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Perseverança</w:t>
            </w:r>
          </w:p>
        </w:tc>
        <w:tc>
          <w:tcPr>
            <w:tcW w:w="1256"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0A56B75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5</w:t>
            </w:r>
          </w:p>
        </w:tc>
        <w:tc>
          <w:tcPr>
            <w:tcW w:w="1110" w:type="dxa"/>
            <w:tcBorders>
              <w:top w:val="single" w:sz="4" w:space="0" w:color="FFFFFF"/>
              <w:left w:val="single" w:sz="4" w:space="0" w:color="FFFFFF"/>
              <w:bottom w:val="single" w:sz="4" w:space="0" w:color="FFFFFF"/>
              <w:right w:val="single" w:sz="4" w:space="0" w:color="BFBFBF"/>
            </w:tcBorders>
            <w:tcMar>
              <w:top w:w="100" w:type="nil"/>
              <w:right w:w="100" w:type="nil"/>
            </w:tcMar>
            <w:vAlign w:val="center"/>
          </w:tcPr>
          <w:p w14:paraId="3BC3D5E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1,800</w:t>
            </w:r>
          </w:p>
        </w:tc>
        <w:tc>
          <w:tcPr>
            <w:tcW w:w="1376" w:type="dxa"/>
            <w:tcBorders>
              <w:top w:val="single" w:sz="4" w:space="0" w:color="FFFFFF"/>
              <w:left w:val="single" w:sz="4" w:space="0" w:color="BFBFBF"/>
              <w:bottom w:val="single" w:sz="4" w:space="0" w:color="FFFFFF"/>
              <w:right w:val="single" w:sz="4" w:space="0" w:color="FFFFFF"/>
            </w:tcBorders>
            <w:tcMar>
              <w:top w:w="100" w:type="nil"/>
              <w:right w:w="100" w:type="nil"/>
            </w:tcMar>
            <w:vAlign w:val="center"/>
          </w:tcPr>
          <w:p w14:paraId="62F2B8B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14A5399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FFFFFF"/>
              <w:right w:val="single" w:sz="4" w:space="0" w:color="FFFFFF"/>
            </w:tcBorders>
            <w:tcMar>
              <w:top w:w="100" w:type="nil"/>
              <w:right w:w="100" w:type="nil"/>
            </w:tcMar>
            <w:vAlign w:val="center"/>
          </w:tcPr>
          <w:p w14:paraId="219F526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r w:rsidR="00EC69B1" w:rsidRPr="009A714A" w14:paraId="55A5A139" w14:textId="77777777">
        <w:tblPrEx>
          <w:tblBorders>
            <w:top w:val="none" w:sz="0" w:space="0" w:color="auto"/>
            <w:bottom w:val="single" w:sz="4" w:space="0" w:color="BFBFBF"/>
          </w:tblBorders>
        </w:tblPrEx>
        <w:tc>
          <w:tcPr>
            <w:tcW w:w="971" w:type="dxa"/>
            <w:vMerge/>
            <w:tcBorders>
              <w:top w:val="single" w:sz="4" w:space="0" w:color="BFBFBF"/>
              <w:left w:val="single" w:sz="4" w:space="0" w:color="FFFFFF"/>
              <w:bottom w:val="single" w:sz="4" w:space="0" w:color="BFBFBF"/>
              <w:right w:val="single" w:sz="4" w:space="0" w:color="FFFFFF"/>
            </w:tcBorders>
            <w:tcMar>
              <w:top w:w="100" w:type="nil"/>
              <w:right w:w="100" w:type="nil"/>
            </w:tcMar>
            <w:vAlign w:val="center"/>
          </w:tcPr>
          <w:p w14:paraId="432EED02" w14:textId="77777777" w:rsidR="00EC69B1" w:rsidRPr="009A714A" w:rsidRDefault="00EC69B1" w:rsidP="009A714A">
            <w:pPr>
              <w:widowControl w:val="0"/>
              <w:autoSpaceDE w:val="0"/>
              <w:autoSpaceDN w:val="0"/>
              <w:adjustRightInd w:val="0"/>
              <w:rPr>
                <w:rFonts w:ascii="Times New Roman" w:hAnsi="Times New Roman" w:cs="Times New Roman"/>
                <w:sz w:val="22"/>
                <w:szCs w:val="22"/>
              </w:rPr>
            </w:pPr>
          </w:p>
        </w:tc>
        <w:tc>
          <w:tcPr>
            <w:tcW w:w="1562" w:type="dxa"/>
            <w:tcBorders>
              <w:top w:val="single" w:sz="4" w:space="0" w:color="FFFFFF"/>
              <w:left w:val="single" w:sz="4" w:space="0" w:color="FFFFFF"/>
              <w:bottom w:val="single" w:sz="4" w:space="0" w:color="BFBFBF"/>
              <w:right w:val="single" w:sz="4" w:space="0" w:color="FFFFFF"/>
            </w:tcBorders>
            <w:tcMar>
              <w:top w:w="100" w:type="nil"/>
              <w:right w:w="100" w:type="nil"/>
            </w:tcMar>
            <w:vAlign w:val="center"/>
          </w:tcPr>
          <w:p w14:paraId="7A4747F4" w14:textId="77777777" w:rsidR="00EC69B1" w:rsidRPr="009A714A" w:rsidRDefault="00EC69B1" w:rsidP="009A714A">
            <w:pPr>
              <w:widowControl w:val="0"/>
              <w:autoSpaceDE w:val="0"/>
              <w:autoSpaceDN w:val="0"/>
              <w:adjustRightInd w:val="0"/>
              <w:ind w:right="145"/>
              <w:rPr>
                <w:rFonts w:ascii="Times New Roman" w:hAnsi="Times New Roman" w:cs="Times New Roman"/>
                <w:sz w:val="22"/>
                <w:szCs w:val="22"/>
              </w:rPr>
            </w:pPr>
          </w:p>
        </w:tc>
        <w:tc>
          <w:tcPr>
            <w:tcW w:w="1256" w:type="dxa"/>
            <w:tcBorders>
              <w:top w:val="single" w:sz="4" w:space="0" w:color="FFFFFF"/>
              <w:left w:val="single" w:sz="4" w:space="0" w:color="FFFFFF"/>
              <w:bottom w:val="single" w:sz="4" w:space="0" w:color="BFBFBF"/>
              <w:right w:val="single" w:sz="4" w:space="0" w:color="FFFFFF"/>
            </w:tcBorders>
            <w:tcMar>
              <w:top w:w="100" w:type="nil"/>
              <w:right w:w="100" w:type="nil"/>
            </w:tcMar>
            <w:vAlign w:val="center"/>
          </w:tcPr>
          <w:p w14:paraId="1BA060D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110" w:type="dxa"/>
            <w:tcBorders>
              <w:top w:val="single" w:sz="4" w:space="0" w:color="FFFFFF"/>
              <w:left w:val="single" w:sz="4" w:space="0" w:color="FFFFFF"/>
              <w:bottom w:val="single" w:sz="4" w:space="0" w:color="BFBFBF"/>
              <w:right w:val="single" w:sz="4" w:space="0" w:color="BFBFBF"/>
            </w:tcBorders>
            <w:tcMar>
              <w:top w:w="100" w:type="nil"/>
              <w:right w:w="100" w:type="nil"/>
            </w:tcMar>
            <w:vAlign w:val="center"/>
          </w:tcPr>
          <w:p w14:paraId="72B0D69F" w14:textId="77777777" w:rsidR="00EC69B1" w:rsidRPr="009A714A" w:rsidRDefault="00EC69B1" w:rsidP="009A714A">
            <w:pPr>
              <w:widowControl w:val="0"/>
              <w:autoSpaceDE w:val="0"/>
              <w:autoSpaceDN w:val="0"/>
              <w:adjustRightInd w:val="0"/>
              <w:ind w:right="145"/>
              <w:rPr>
                <w:rFonts w:ascii="Times New Roman" w:hAnsi="Times New Roman" w:cs="Times New Roman"/>
                <w:sz w:val="22"/>
                <w:szCs w:val="22"/>
              </w:rPr>
            </w:pPr>
          </w:p>
        </w:tc>
        <w:tc>
          <w:tcPr>
            <w:tcW w:w="1376" w:type="dxa"/>
            <w:tcBorders>
              <w:top w:val="single" w:sz="4" w:space="0" w:color="FFFFFF"/>
              <w:left w:val="single" w:sz="4" w:space="0" w:color="BFBFBF"/>
              <w:bottom w:val="single" w:sz="4" w:space="0" w:color="BFBFBF"/>
              <w:right w:val="single" w:sz="4" w:space="0" w:color="FFFFFF"/>
            </w:tcBorders>
            <w:tcMar>
              <w:top w:w="100" w:type="nil"/>
              <w:right w:w="100" w:type="nil"/>
            </w:tcMar>
            <w:vAlign w:val="center"/>
          </w:tcPr>
          <w:p w14:paraId="052697E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1254" w:type="dxa"/>
            <w:tcBorders>
              <w:top w:val="single" w:sz="4" w:space="0" w:color="FFFFFF"/>
              <w:left w:val="single" w:sz="4" w:space="0" w:color="FFFFFF"/>
              <w:bottom w:val="single" w:sz="4" w:space="0" w:color="BFBFBF"/>
              <w:right w:val="single" w:sz="4" w:space="0" w:color="FFFFFF"/>
            </w:tcBorders>
            <w:tcMar>
              <w:top w:w="100" w:type="nil"/>
              <w:right w:w="100" w:type="nil"/>
            </w:tcMar>
            <w:vAlign w:val="center"/>
          </w:tcPr>
          <w:p w14:paraId="349D985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c>
          <w:tcPr>
            <w:tcW w:w="965" w:type="dxa"/>
            <w:tcBorders>
              <w:top w:val="single" w:sz="4" w:space="0" w:color="FFFFFF"/>
              <w:left w:val="single" w:sz="4" w:space="0" w:color="FFFFFF"/>
              <w:bottom w:val="single" w:sz="4" w:space="0" w:color="BFBFBF"/>
              <w:right w:val="single" w:sz="4" w:space="0" w:color="FFFFFF"/>
            </w:tcBorders>
            <w:tcMar>
              <w:top w:w="100" w:type="nil"/>
              <w:right w:w="100" w:type="nil"/>
            </w:tcMar>
            <w:vAlign w:val="center"/>
          </w:tcPr>
          <w:p w14:paraId="1CE9EFE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tc>
      </w:tr>
    </w:tbl>
    <w:p w14:paraId="4E26F0E8"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p>
    <w:p w14:paraId="46F4CF05"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No primeiro quadrante, o elemento </w:t>
      </w:r>
      <w:r w:rsidRPr="009A714A">
        <w:rPr>
          <w:rFonts w:ascii="Times New Roman" w:hAnsi="Times New Roman" w:cs="Times New Roman"/>
          <w:i/>
          <w:iCs/>
          <w:sz w:val="22"/>
          <w:szCs w:val="22"/>
        </w:rPr>
        <w:t xml:space="preserve">saúde, </w:t>
      </w:r>
      <w:r w:rsidRPr="009A714A">
        <w:rPr>
          <w:rFonts w:ascii="Times New Roman" w:hAnsi="Times New Roman" w:cs="Times New Roman"/>
          <w:sz w:val="22"/>
          <w:szCs w:val="22"/>
        </w:rPr>
        <w:t xml:space="preserve">com ordem média de evocação correspondente a 2ª posição, teve destaque em razão da sua alta frequência (f=74). Isso significa que ao pensar no atleta, a maior parte dos participantes desta pesquisa trouxe em suas evocações a palavra </w:t>
      </w:r>
      <w:r w:rsidRPr="009A714A">
        <w:rPr>
          <w:rFonts w:ascii="Times New Roman" w:hAnsi="Times New Roman" w:cs="Times New Roman"/>
          <w:i/>
          <w:iCs/>
          <w:sz w:val="22"/>
          <w:szCs w:val="22"/>
        </w:rPr>
        <w:t>saúde</w:t>
      </w:r>
      <w:r w:rsidRPr="009A714A">
        <w:rPr>
          <w:rFonts w:ascii="Times New Roman" w:hAnsi="Times New Roman" w:cs="Times New Roman"/>
          <w:sz w:val="22"/>
          <w:szCs w:val="22"/>
        </w:rPr>
        <w:t xml:space="preserve">, o que se associa ao fato de atletas terem uma imagem que inspira uma vida saudável por conta da constante prática de exercício físico. Esse resultado converge com pesquisa recente em que foi identificado que a maior motivação dos jovens para a prática esportiva, é a saúde (Interdonato, Miarka, Oliveira, &amp; Gordatti, 2008). Como o imaginário social tende a enxergar o atleta como um herói, é comum que as pessoas não atentem para o fato de que o corpo de um atleta também possui limites. Esses limites levam o atleta a se lesionar frequentemente e adotar comportamentos em sua rotina de treinos e competições que são controversos à visão de saúde. Acrescenta-se que essa imagem do atleta saudável é constantemente explorada pela mídia, por meio de comerciais com produtos relacionados ao corpo e a saúde (Rubio, 2006; Testa, 2008). </w:t>
      </w:r>
    </w:p>
    <w:p w14:paraId="38B6CB62"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p>
    <w:p w14:paraId="57A53CE7" w14:textId="77777777" w:rsidR="00EC69B1" w:rsidRPr="009A714A" w:rsidRDefault="00EC69B1" w:rsidP="009A714A">
      <w:pPr>
        <w:widowControl w:val="0"/>
        <w:autoSpaceDE w:val="0"/>
        <w:autoSpaceDN w:val="0"/>
        <w:adjustRightInd w:val="0"/>
        <w:ind w:right="145"/>
        <w:rPr>
          <w:rFonts w:ascii="Calibri" w:hAnsi="Calibri" w:cs="Calibri"/>
          <w:sz w:val="22"/>
          <w:szCs w:val="22"/>
        </w:rPr>
      </w:pPr>
    </w:p>
    <w:p w14:paraId="791E3CA3"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r w:rsidRPr="009A714A">
        <w:rPr>
          <w:rFonts w:ascii="Times New Roman" w:hAnsi="Times New Roman" w:cs="Times New Roman"/>
          <w:sz w:val="22"/>
          <w:szCs w:val="22"/>
        </w:rPr>
        <w:t xml:space="preserve">Os outros elementos apresentados com frequência maior que a média e ordem média de evocação menor que 3, fazem referência à </w:t>
      </w:r>
      <w:r w:rsidRPr="009A714A">
        <w:rPr>
          <w:rFonts w:ascii="Times New Roman" w:hAnsi="Times New Roman" w:cs="Times New Roman"/>
          <w:i/>
          <w:iCs/>
          <w:sz w:val="22"/>
          <w:szCs w:val="22"/>
        </w:rPr>
        <w:t xml:space="preserve">força, dedicação, esporte, esforço, corrida, disciplina, futebol, músculo, determinação, corpo, exercício, desempenho e Olímpiadas. </w:t>
      </w:r>
      <w:r w:rsidRPr="009A714A">
        <w:rPr>
          <w:rFonts w:ascii="Times New Roman" w:hAnsi="Times New Roman" w:cs="Times New Roman"/>
          <w:sz w:val="22"/>
          <w:szCs w:val="22"/>
        </w:rPr>
        <w:t>Esses elementos se destacam graficamente na Figura 1.</w:t>
      </w:r>
    </w:p>
    <w:p w14:paraId="18092770"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r w:rsidRPr="009A714A">
        <w:rPr>
          <w:rFonts w:ascii="Times New Roman" w:hAnsi="Times New Roman" w:cs="Times New Roman"/>
          <w:sz w:val="22"/>
          <w:szCs w:val="22"/>
        </w:rPr>
        <w:t>Figura 1: Nuvem de palavras.</w:t>
      </w:r>
    </w:p>
    <w:p w14:paraId="323AAEA8"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p>
    <w:p w14:paraId="104B3B00"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Aspectos como </w:t>
      </w:r>
      <w:r w:rsidRPr="009A714A">
        <w:rPr>
          <w:rFonts w:ascii="Times New Roman" w:hAnsi="Times New Roman" w:cs="Times New Roman"/>
          <w:i/>
          <w:iCs/>
          <w:sz w:val="22"/>
          <w:szCs w:val="22"/>
        </w:rPr>
        <w:t xml:space="preserve">dedicação, esforço, disciplina, determinação </w:t>
      </w:r>
      <w:r w:rsidRPr="009A714A">
        <w:rPr>
          <w:rFonts w:ascii="Times New Roman" w:hAnsi="Times New Roman" w:cs="Times New Roman"/>
          <w:sz w:val="22"/>
          <w:szCs w:val="22"/>
        </w:rPr>
        <w:t>e</w:t>
      </w:r>
      <w:r w:rsidRPr="009A714A">
        <w:rPr>
          <w:rFonts w:ascii="Times New Roman" w:hAnsi="Times New Roman" w:cs="Times New Roman"/>
          <w:i/>
          <w:iCs/>
          <w:sz w:val="22"/>
          <w:szCs w:val="22"/>
        </w:rPr>
        <w:t xml:space="preserve"> desempenho</w:t>
      </w:r>
      <w:r w:rsidRPr="009A714A">
        <w:rPr>
          <w:rFonts w:ascii="Times New Roman" w:hAnsi="Times New Roman" w:cs="Times New Roman"/>
          <w:sz w:val="22"/>
          <w:szCs w:val="22"/>
        </w:rPr>
        <w:t xml:space="preserve"> apontam para a </w:t>
      </w:r>
      <w:r w:rsidRPr="009A714A">
        <w:rPr>
          <w:rFonts w:ascii="Times New Roman" w:hAnsi="Times New Roman" w:cs="Times New Roman"/>
          <w:sz w:val="22"/>
          <w:szCs w:val="22"/>
        </w:rPr>
        <w:lastRenderedPageBreak/>
        <w:t xml:space="preserve">questão do comprometimento e da perseverança atribuída ao atleta diante da sua intensa rotina esportiva.  As palavras </w:t>
      </w:r>
      <w:r w:rsidRPr="009A714A">
        <w:rPr>
          <w:rFonts w:ascii="Times New Roman" w:hAnsi="Times New Roman" w:cs="Times New Roman"/>
          <w:i/>
          <w:iCs/>
          <w:sz w:val="22"/>
          <w:szCs w:val="22"/>
        </w:rPr>
        <w:t>corpo, força e músculo</w:t>
      </w:r>
      <w:r w:rsidRPr="009A714A">
        <w:rPr>
          <w:rFonts w:ascii="Times New Roman" w:hAnsi="Times New Roman" w:cs="Times New Roman"/>
          <w:sz w:val="22"/>
          <w:szCs w:val="22"/>
        </w:rPr>
        <w:t xml:space="preserve"> trazem um significado voltado para o conteúdo estético e para a força física que está vinculada a imagem do atleta. Já </w:t>
      </w:r>
      <w:r w:rsidRPr="009A714A">
        <w:rPr>
          <w:rFonts w:ascii="Times New Roman" w:hAnsi="Times New Roman" w:cs="Times New Roman"/>
          <w:i/>
          <w:iCs/>
          <w:sz w:val="22"/>
          <w:szCs w:val="22"/>
        </w:rPr>
        <w:t>esporte, futebol</w:t>
      </w:r>
      <w:r w:rsidRPr="009A714A">
        <w:rPr>
          <w:rFonts w:ascii="Times New Roman" w:hAnsi="Times New Roman" w:cs="Times New Roman"/>
          <w:sz w:val="22"/>
          <w:szCs w:val="22"/>
        </w:rPr>
        <w:t xml:space="preserve"> e</w:t>
      </w:r>
      <w:r w:rsidRPr="009A714A">
        <w:rPr>
          <w:rFonts w:ascii="Times New Roman" w:hAnsi="Times New Roman" w:cs="Times New Roman"/>
          <w:i/>
          <w:iCs/>
          <w:sz w:val="22"/>
          <w:szCs w:val="22"/>
        </w:rPr>
        <w:t xml:space="preserve"> Olimpíadas</w:t>
      </w:r>
      <w:r w:rsidRPr="009A714A">
        <w:rPr>
          <w:rFonts w:ascii="Times New Roman" w:hAnsi="Times New Roman" w:cs="Times New Roman"/>
          <w:sz w:val="22"/>
          <w:szCs w:val="22"/>
        </w:rPr>
        <w:t xml:space="preserve"> evidenciam a perspectiva competitiva do esporte, eventualmente associada às modalidades mais populares ou aos grandes eventos esportivos como Copa do Mundo e os Jogos Olímpicos. Por se caracterizarem como elementos do núcleo central, essas temáticas do primeiro quadrante apresentam maior estabilidade e resistência com relação às representações sociais e se assemelham a atributos historicamente determinados (Sá, 2001; Abric, 2003). </w:t>
      </w:r>
    </w:p>
    <w:p w14:paraId="31232BEB"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Por mais discrepante que seja a visão do atleta como um exemplo de pessoa saudável, o que os meios midiáticos comunicam reforça a representação de que o atleta é um exemplo de </w:t>
      </w:r>
      <w:r w:rsidRPr="009A714A">
        <w:rPr>
          <w:rFonts w:ascii="Times New Roman" w:hAnsi="Times New Roman" w:cs="Times New Roman"/>
          <w:i/>
          <w:iCs/>
          <w:sz w:val="22"/>
          <w:szCs w:val="22"/>
        </w:rPr>
        <w:t xml:space="preserve">saúde </w:t>
      </w:r>
      <w:r w:rsidRPr="009A714A">
        <w:rPr>
          <w:rFonts w:ascii="Times New Roman" w:hAnsi="Times New Roman" w:cs="Times New Roman"/>
          <w:sz w:val="22"/>
          <w:szCs w:val="22"/>
        </w:rPr>
        <w:t xml:space="preserve">e </w:t>
      </w:r>
      <w:r w:rsidRPr="009A714A">
        <w:rPr>
          <w:rFonts w:ascii="Times New Roman" w:hAnsi="Times New Roman" w:cs="Times New Roman"/>
          <w:i/>
          <w:iCs/>
          <w:sz w:val="22"/>
          <w:szCs w:val="22"/>
        </w:rPr>
        <w:t xml:space="preserve">corpo, </w:t>
      </w:r>
      <w:r w:rsidRPr="009A714A">
        <w:rPr>
          <w:rFonts w:ascii="Times New Roman" w:hAnsi="Times New Roman" w:cs="Times New Roman"/>
          <w:sz w:val="22"/>
          <w:szCs w:val="22"/>
        </w:rPr>
        <w:t xml:space="preserve">por meio de comerciais que exaltam tais pontos. Os estudos realizados sobre as representações sociais do </w:t>
      </w:r>
      <w:r w:rsidRPr="009A714A">
        <w:rPr>
          <w:rFonts w:ascii="Times New Roman" w:hAnsi="Times New Roman" w:cs="Times New Roman"/>
          <w:i/>
          <w:iCs/>
          <w:sz w:val="22"/>
          <w:szCs w:val="22"/>
        </w:rPr>
        <w:t>corpo</w:t>
      </w:r>
      <w:r w:rsidRPr="009A714A">
        <w:rPr>
          <w:rFonts w:ascii="Times New Roman" w:hAnsi="Times New Roman" w:cs="Times New Roman"/>
          <w:sz w:val="22"/>
          <w:szCs w:val="22"/>
        </w:rPr>
        <w:t xml:space="preserve"> apontam que tal elemento possui um papel importante nas relações sociais, sendo constantemente associado ao poder de sedução e de influenciar nas relações pessoais em diferentes situações (Gamboa, Tura &amp; Burztyn, 2009; Camargo, Goetz, Barbará &amp; Justo, 2007; Jodelet, Ohana, Bessis-Moñino &amp; Dannenmuller, 1982).</w:t>
      </w:r>
    </w:p>
    <w:p w14:paraId="2D58A3B3"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r w:rsidRPr="009A714A">
        <w:rPr>
          <w:rFonts w:ascii="Times New Roman" w:hAnsi="Times New Roman" w:cs="Times New Roman"/>
          <w:sz w:val="22"/>
          <w:szCs w:val="22"/>
        </w:rPr>
        <w:t xml:space="preserve">No ambiente esportivo, é notório que muitas modalidades exigem dos atletas corpos magros. Assim, esses atletas são constantemente submetidos a um controle rígido sobre sua massa corporal e seu percentual de gordura corpórea, já que a combinação desses fatores em determinadas modalidades pode afetar o desempenho esportivo. Nesse contexto, permite-se pensar que a exploração da imagem corporal pela mídia junto a importância que as pessoas dão ao </w:t>
      </w:r>
      <w:r w:rsidRPr="009A714A">
        <w:rPr>
          <w:rFonts w:ascii="Times New Roman" w:hAnsi="Times New Roman" w:cs="Times New Roman"/>
          <w:i/>
          <w:iCs/>
          <w:sz w:val="22"/>
          <w:szCs w:val="22"/>
        </w:rPr>
        <w:t>corpo</w:t>
      </w:r>
      <w:r w:rsidRPr="009A714A">
        <w:rPr>
          <w:rFonts w:ascii="Times New Roman" w:hAnsi="Times New Roman" w:cs="Times New Roman"/>
          <w:sz w:val="22"/>
          <w:szCs w:val="22"/>
        </w:rPr>
        <w:t xml:space="preserve"> e a reconhecida pressão que os atletas sofrem para manterem-se “em forma” podem ter influenciado no aparecimento desse elemento como típico do núcleo central, como pode ser visto na Figura 2.</w:t>
      </w:r>
    </w:p>
    <w:p w14:paraId="3C8CCEE3"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p>
    <w:p w14:paraId="00E9B189" w14:textId="77777777" w:rsidR="00EC69B1" w:rsidRPr="009A714A" w:rsidRDefault="00EC69B1" w:rsidP="009A714A">
      <w:pPr>
        <w:widowControl w:val="0"/>
        <w:autoSpaceDE w:val="0"/>
        <w:autoSpaceDN w:val="0"/>
        <w:adjustRightInd w:val="0"/>
        <w:ind w:right="145" w:firstLine="135"/>
        <w:rPr>
          <w:rFonts w:ascii="Calibri" w:hAnsi="Calibri" w:cs="Calibri"/>
          <w:sz w:val="22"/>
          <w:szCs w:val="22"/>
        </w:rPr>
      </w:pPr>
    </w:p>
    <w:p w14:paraId="204C8ACC" w14:textId="77777777" w:rsidR="00EC69B1" w:rsidRPr="009A714A" w:rsidRDefault="00EC69B1" w:rsidP="009A714A">
      <w:pPr>
        <w:widowControl w:val="0"/>
        <w:autoSpaceDE w:val="0"/>
        <w:autoSpaceDN w:val="0"/>
        <w:adjustRightInd w:val="0"/>
        <w:ind w:right="145" w:firstLine="708"/>
        <w:jc w:val="both"/>
        <w:rPr>
          <w:rFonts w:ascii="Times New Roman" w:hAnsi="Times New Roman" w:cs="Times New Roman"/>
          <w:sz w:val="22"/>
          <w:szCs w:val="22"/>
        </w:rPr>
      </w:pPr>
      <w:r w:rsidRPr="009A714A">
        <w:rPr>
          <w:rFonts w:ascii="Times New Roman" w:hAnsi="Times New Roman" w:cs="Times New Roman"/>
          <w:sz w:val="22"/>
          <w:szCs w:val="22"/>
        </w:rPr>
        <w:t>Figura 2: Árvore de similitude</w:t>
      </w:r>
    </w:p>
    <w:p w14:paraId="3375662A" w14:textId="77777777" w:rsidR="00EC69B1" w:rsidRPr="009A714A" w:rsidRDefault="00EC69B1" w:rsidP="009A714A">
      <w:pPr>
        <w:widowControl w:val="0"/>
        <w:autoSpaceDE w:val="0"/>
        <w:autoSpaceDN w:val="0"/>
        <w:adjustRightInd w:val="0"/>
        <w:ind w:right="145" w:firstLine="708"/>
        <w:jc w:val="both"/>
        <w:rPr>
          <w:rFonts w:ascii="Calibri" w:hAnsi="Calibri" w:cs="Calibri"/>
          <w:sz w:val="22"/>
          <w:szCs w:val="22"/>
        </w:rPr>
      </w:pPr>
    </w:p>
    <w:p w14:paraId="39DD2520"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Os elementos periféricos</w:t>
      </w:r>
      <w:r w:rsidRPr="009A714A">
        <w:rPr>
          <w:rFonts w:ascii="Times New Roman" w:hAnsi="Times New Roman" w:cs="Times New Roman"/>
          <w:i/>
          <w:iCs/>
          <w:sz w:val="22"/>
          <w:szCs w:val="22"/>
        </w:rPr>
        <w:t xml:space="preserve"> superação, persistência, treino </w:t>
      </w:r>
      <w:r w:rsidRPr="009A714A">
        <w:rPr>
          <w:rFonts w:ascii="Times New Roman" w:hAnsi="Times New Roman" w:cs="Times New Roman"/>
          <w:sz w:val="22"/>
          <w:szCs w:val="22"/>
        </w:rPr>
        <w:t>e</w:t>
      </w:r>
      <w:r w:rsidRPr="009A714A">
        <w:rPr>
          <w:rFonts w:ascii="Times New Roman" w:hAnsi="Times New Roman" w:cs="Times New Roman"/>
          <w:i/>
          <w:iCs/>
          <w:sz w:val="22"/>
          <w:szCs w:val="22"/>
        </w:rPr>
        <w:t xml:space="preserve"> suor </w:t>
      </w:r>
      <w:r w:rsidRPr="009A714A">
        <w:rPr>
          <w:rFonts w:ascii="Times New Roman" w:hAnsi="Times New Roman" w:cs="Times New Roman"/>
          <w:sz w:val="22"/>
          <w:szCs w:val="22"/>
        </w:rPr>
        <w:t>obtiveram frequências maiores ou iguais a 9 e sua ordem média de evocação foi 4 ou 5. Esses elementos flexíveis das representações sociais evidenciam o aspecto referente aos obstáculos e dificuldades da carreira de um atleta. É interessante destacar que essas palavras co-ocorreram com palavras como</w:t>
      </w:r>
      <w:r w:rsidRPr="009A714A">
        <w:rPr>
          <w:rFonts w:ascii="Times New Roman" w:hAnsi="Times New Roman" w:cs="Times New Roman"/>
          <w:i/>
          <w:iCs/>
          <w:sz w:val="22"/>
          <w:szCs w:val="22"/>
        </w:rPr>
        <w:t xml:space="preserve"> determinação, persistência, dor </w:t>
      </w:r>
      <w:r w:rsidRPr="009A714A">
        <w:rPr>
          <w:rFonts w:ascii="Times New Roman" w:hAnsi="Times New Roman" w:cs="Times New Roman"/>
          <w:sz w:val="22"/>
          <w:szCs w:val="22"/>
        </w:rPr>
        <w:t xml:space="preserve">e </w:t>
      </w:r>
      <w:r w:rsidRPr="009A714A">
        <w:rPr>
          <w:rFonts w:ascii="Times New Roman" w:hAnsi="Times New Roman" w:cs="Times New Roman"/>
          <w:i/>
          <w:iCs/>
          <w:sz w:val="22"/>
          <w:szCs w:val="22"/>
        </w:rPr>
        <w:t>perfeição</w:t>
      </w:r>
      <w:r w:rsidRPr="009A714A">
        <w:rPr>
          <w:rFonts w:ascii="Times New Roman" w:hAnsi="Times New Roman" w:cs="Times New Roman"/>
          <w:sz w:val="22"/>
          <w:szCs w:val="22"/>
        </w:rPr>
        <w:t>. Esses elementos aparecem, inclusive no próprio discurso dos atletas quando eles falam sobre a importância de terem persistido, perseverado e buscado outras alternativas para lidarem com as adversidades ao longo da sua carreira (Silva &amp; Rubio, 2003).</w:t>
      </w:r>
    </w:p>
    <w:p w14:paraId="73E5FFDF"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Outros elementos periféricos referidos pelos participantes foram: </w:t>
      </w:r>
      <w:r w:rsidRPr="009A714A">
        <w:rPr>
          <w:rFonts w:ascii="Times New Roman" w:hAnsi="Times New Roman" w:cs="Times New Roman"/>
          <w:i/>
          <w:iCs/>
          <w:sz w:val="22"/>
          <w:szCs w:val="22"/>
        </w:rPr>
        <w:t>superação, competição, vitória, foco, agilidade, beleza, desempenho, físico, garra, bola, velocidade, doping, rendimento, natação, disposição, atletismo, ginástica, lesão, musculação, perseverança, alimentação, resistência, cansaço, sacrifício, medalha</w:t>
      </w:r>
      <w:r w:rsidRPr="009A714A">
        <w:rPr>
          <w:rFonts w:ascii="Times New Roman" w:hAnsi="Times New Roman" w:cs="Times New Roman"/>
          <w:sz w:val="22"/>
          <w:szCs w:val="22"/>
        </w:rPr>
        <w:t xml:space="preserve"> e </w:t>
      </w:r>
      <w:r w:rsidRPr="009A714A">
        <w:rPr>
          <w:rFonts w:ascii="Times New Roman" w:hAnsi="Times New Roman" w:cs="Times New Roman"/>
          <w:i/>
          <w:iCs/>
          <w:sz w:val="22"/>
          <w:szCs w:val="22"/>
        </w:rPr>
        <w:t xml:space="preserve">tênis. </w:t>
      </w:r>
      <w:r w:rsidRPr="009A714A">
        <w:rPr>
          <w:rFonts w:ascii="Times New Roman" w:hAnsi="Times New Roman" w:cs="Times New Roman"/>
          <w:sz w:val="22"/>
          <w:szCs w:val="22"/>
        </w:rPr>
        <w:t xml:space="preserve">Esses elementos, por serem periféricos se conectam a outros elementos nucleares, como apresentado na Figura 2. Os elementos </w:t>
      </w:r>
      <w:r w:rsidRPr="009A714A">
        <w:rPr>
          <w:rFonts w:ascii="Times New Roman" w:hAnsi="Times New Roman" w:cs="Times New Roman"/>
          <w:i/>
          <w:iCs/>
          <w:sz w:val="22"/>
          <w:szCs w:val="22"/>
        </w:rPr>
        <w:t>corredor, atletismo, bola</w:t>
      </w:r>
      <w:r w:rsidRPr="009A714A">
        <w:rPr>
          <w:rFonts w:ascii="Times New Roman" w:hAnsi="Times New Roman" w:cs="Times New Roman"/>
          <w:sz w:val="22"/>
          <w:szCs w:val="22"/>
        </w:rPr>
        <w:t xml:space="preserve"> e </w:t>
      </w:r>
      <w:r w:rsidRPr="009A714A">
        <w:rPr>
          <w:rFonts w:ascii="Times New Roman" w:hAnsi="Times New Roman" w:cs="Times New Roman"/>
          <w:i/>
          <w:iCs/>
          <w:sz w:val="22"/>
          <w:szCs w:val="22"/>
        </w:rPr>
        <w:t>natação</w:t>
      </w:r>
      <w:r w:rsidRPr="009A714A">
        <w:rPr>
          <w:rFonts w:ascii="Times New Roman" w:hAnsi="Times New Roman" w:cs="Times New Roman"/>
          <w:sz w:val="22"/>
          <w:szCs w:val="22"/>
        </w:rPr>
        <w:t xml:space="preserve"> se conectam ao elemento nuclear </w:t>
      </w:r>
      <w:r w:rsidRPr="009A714A">
        <w:rPr>
          <w:rFonts w:ascii="Times New Roman" w:hAnsi="Times New Roman" w:cs="Times New Roman"/>
          <w:i/>
          <w:iCs/>
          <w:sz w:val="22"/>
          <w:szCs w:val="22"/>
        </w:rPr>
        <w:t>futebol</w:t>
      </w:r>
      <w:r w:rsidRPr="009A714A">
        <w:rPr>
          <w:rFonts w:ascii="Times New Roman" w:hAnsi="Times New Roman" w:cs="Times New Roman"/>
          <w:sz w:val="22"/>
          <w:szCs w:val="22"/>
        </w:rPr>
        <w:t xml:space="preserve"> que por sua vez se conecta ao elemento nuclear </w:t>
      </w:r>
      <w:r w:rsidRPr="009A714A">
        <w:rPr>
          <w:rFonts w:ascii="Times New Roman" w:hAnsi="Times New Roman" w:cs="Times New Roman"/>
          <w:i/>
          <w:iCs/>
          <w:sz w:val="22"/>
          <w:szCs w:val="22"/>
        </w:rPr>
        <w:t>esporte</w:t>
      </w:r>
      <w:r w:rsidRPr="009A714A">
        <w:rPr>
          <w:rFonts w:ascii="Times New Roman" w:hAnsi="Times New Roman" w:cs="Times New Roman"/>
          <w:sz w:val="22"/>
          <w:szCs w:val="22"/>
        </w:rPr>
        <w:t>. É possível identificar que essas conexões parecem apontar para uma categoria de modalidades.</w:t>
      </w:r>
    </w:p>
    <w:p w14:paraId="5995FBDB"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b/>
          <w:bCs/>
          <w:sz w:val="22"/>
          <w:szCs w:val="22"/>
        </w:rPr>
        <w:tab/>
      </w:r>
      <w:r w:rsidRPr="009A714A">
        <w:rPr>
          <w:rFonts w:ascii="Times New Roman" w:hAnsi="Times New Roman" w:cs="Times New Roman"/>
          <w:sz w:val="22"/>
          <w:szCs w:val="22"/>
        </w:rPr>
        <w:t>Com essa análise, foi possível concluir que certos elementos das representações sociais sobre os atletas são permeados por pontos controversos. A questão da saúde no esporte, por exemplo, é discutível, já que no universo esportivo é comum que se encontrem atletas com transtornos alimentares, ou outros transtornos como a vigorexia. Destaca-se, ainda, o fato de que há uma alta incidência de lesão no universo esportivo. Pesquisas indicam que 6,1 milhões de pessoas foram hospitalizadas em decorrência de alguma lesão no campo esportivo na Europa (Eurosafe, 2013). Contudo, nesse estudo a palavra</w:t>
      </w:r>
      <w:r w:rsidRPr="009A714A">
        <w:rPr>
          <w:rFonts w:ascii="Times New Roman" w:hAnsi="Times New Roman" w:cs="Times New Roman"/>
          <w:i/>
          <w:iCs/>
          <w:sz w:val="22"/>
          <w:szCs w:val="22"/>
        </w:rPr>
        <w:t xml:space="preserve"> lesão </w:t>
      </w:r>
      <w:r w:rsidRPr="009A714A">
        <w:rPr>
          <w:rFonts w:ascii="Times New Roman" w:hAnsi="Times New Roman" w:cs="Times New Roman"/>
          <w:sz w:val="22"/>
          <w:szCs w:val="22"/>
        </w:rPr>
        <w:t xml:space="preserve">ocorreu apenas 5 vezes. </w:t>
      </w:r>
    </w:p>
    <w:p w14:paraId="69EBE57C"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No que se refere aos termos </w:t>
      </w:r>
      <w:r w:rsidRPr="009A714A">
        <w:rPr>
          <w:rFonts w:ascii="Times New Roman" w:hAnsi="Times New Roman" w:cs="Times New Roman"/>
          <w:i/>
          <w:iCs/>
          <w:sz w:val="22"/>
          <w:szCs w:val="22"/>
        </w:rPr>
        <w:t>beleza</w:t>
      </w:r>
      <w:r w:rsidRPr="009A714A">
        <w:rPr>
          <w:rFonts w:ascii="Times New Roman" w:hAnsi="Times New Roman" w:cs="Times New Roman"/>
          <w:sz w:val="22"/>
          <w:szCs w:val="22"/>
        </w:rPr>
        <w:t xml:space="preserve">, </w:t>
      </w:r>
      <w:r w:rsidRPr="009A714A">
        <w:rPr>
          <w:rFonts w:ascii="Times New Roman" w:hAnsi="Times New Roman" w:cs="Times New Roman"/>
          <w:i/>
          <w:iCs/>
          <w:sz w:val="22"/>
          <w:szCs w:val="22"/>
        </w:rPr>
        <w:t>corpo</w:t>
      </w:r>
      <w:r w:rsidRPr="009A714A">
        <w:rPr>
          <w:rFonts w:ascii="Times New Roman" w:hAnsi="Times New Roman" w:cs="Times New Roman"/>
          <w:sz w:val="22"/>
          <w:szCs w:val="22"/>
        </w:rPr>
        <w:t xml:space="preserve"> e </w:t>
      </w:r>
      <w:r w:rsidRPr="009A714A">
        <w:rPr>
          <w:rFonts w:ascii="Times New Roman" w:hAnsi="Times New Roman" w:cs="Times New Roman"/>
          <w:i/>
          <w:iCs/>
          <w:sz w:val="22"/>
          <w:szCs w:val="22"/>
        </w:rPr>
        <w:t>perfeição,</w:t>
      </w:r>
      <w:r w:rsidRPr="009A714A">
        <w:rPr>
          <w:rFonts w:ascii="Times New Roman" w:hAnsi="Times New Roman" w:cs="Times New Roman"/>
          <w:sz w:val="22"/>
          <w:szCs w:val="22"/>
        </w:rPr>
        <w:t xml:space="preserve"> verifica-se uma nova contradição. Sabe-se que o corpo está associado a padrões de beleza que exigem medidas precisas (Shohat &amp; Stam, 1996). </w:t>
      </w:r>
      <w:r w:rsidRPr="009A714A">
        <w:rPr>
          <w:rFonts w:ascii="Times New Roman" w:hAnsi="Times New Roman" w:cs="Times New Roman"/>
          <w:sz w:val="22"/>
          <w:szCs w:val="22"/>
        </w:rPr>
        <w:lastRenderedPageBreak/>
        <w:t xml:space="preserve">Porém, embora as pessoas vinculem a palavra “atleta” a esses elementos, é interessante destacar a existência de esportes cujas características físicas dos atletas fogem dos atuais padrões de beleza da sociedade. A luta japonesa sumô, por exemplo, é comumente praticada por atletas acima do seu peso ideal. Outro exemplo é a ginástica artística, modalidade em que os competidores costumam apresentar estatura mais baixa do que a média. Nesse contexto, entende-se que a cultura midiática de associar o esporte a elementos como saúde, beleza e perfeição tem uma participação relevante na produção das incoerências que foram encontradas nas representações sociais a respeito do atleta. </w:t>
      </w:r>
      <w:r w:rsidRPr="009A714A">
        <w:rPr>
          <w:rFonts w:ascii="Times New Roman" w:hAnsi="Times New Roman" w:cs="Times New Roman"/>
          <w:sz w:val="22"/>
          <w:szCs w:val="22"/>
        </w:rPr>
        <w:tab/>
      </w:r>
    </w:p>
    <w:p w14:paraId="19CFB997" w14:textId="77777777" w:rsidR="00EC69B1" w:rsidRPr="009A714A" w:rsidRDefault="00EC69B1" w:rsidP="009A714A">
      <w:pPr>
        <w:widowControl w:val="0"/>
        <w:autoSpaceDE w:val="0"/>
        <w:autoSpaceDN w:val="0"/>
        <w:adjustRightInd w:val="0"/>
        <w:ind w:right="145" w:firstLine="720"/>
        <w:jc w:val="both"/>
        <w:rPr>
          <w:rFonts w:ascii="Times New Roman" w:hAnsi="Times New Roman" w:cs="Times New Roman"/>
          <w:sz w:val="22"/>
          <w:szCs w:val="22"/>
        </w:rPr>
      </w:pPr>
      <w:r w:rsidRPr="009A714A">
        <w:rPr>
          <w:rFonts w:ascii="Times New Roman" w:hAnsi="Times New Roman" w:cs="Times New Roman"/>
          <w:sz w:val="22"/>
          <w:szCs w:val="22"/>
        </w:rPr>
        <w:t xml:space="preserve">Ao separar esses resultados entre homens e mulheres, identificou-se que havia 82 palavras que apenas os homens tinham citado, 106 palavras que apenas mulheres haviam citado e 83 palavras em comum entre os dois sexos (Tabela 2). No geral, os elementos em comum apresentaram frequências similares entre homens e mulheres. Por exemplo, a palavra </w:t>
      </w:r>
      <w:r w:rsidRPr="009A714A">
        <w:rPr>
          <w:rFonts w:ascii="Times New Roman" w:hAnsi="Times New Roman" w:cs="Times New Roman"/>
          <w:i/>
          <w:iCs/>
          <w:sz w:val="22"/>
          <w:szCs w:val="22"/>
        </w:rPr>
        <w:t xml:space="preserve">força </w:t>
      </w:r>
      <w:r w:rsidRPr="009A714A">
        <w:rPr>
          <w:rFonts w:ascii="Times New Roman" w:hAnsi="Times New Roman" w:cs="Times New Roman"/>
          <w:sz w:val="22"/>
          <w:szCs w:val="22"/>
        </w:rPr>
        <w:t xml:space="preserve">obteve 22 ocorrências por homens e 21 ocorrências por mulheres e a palavra </w:t>
      </w:r>
      <w:r w:rsidRPr="009A714A">
        <w:rPr>
          <w:rFonts w:ascii="Times New Roman" w:hAnsi="Times New Roman" w:cs="Times New Roman"/>
          <w:i/>
          <w:iCs/>
          <w:sz w:val="22"/>
          <w:szCs w:val="22"/>
        </w:rPr>
        <w:t xml:space="preserve">competição </w:t>
      </w:r>
      <w:r w:rsidRPr="009A714A">
        <w:rPr>
          <w:rFonts w:ascii="Times New Roman" w:hAnsi="Times New Roman" w:cs="Times New Roman"/>
          <w:sz w:val="22"/>
          <w:szCs w:val="22"/>
        </w:rPr>
        <w:t xml:space="preserve">obteve 15 ocorrências tanto em homens quanto em mulheres. No entanto, o termo </w:t>
      </w:r>
      <w:r w:rsidRPr="009A714A">
        <w:rPr>
          <w:rFonts w:ascii="Times New Roman" w:hAnsi="Times New Roman" w:cs="Times New Roman"/>
          <w:i/>
          <w:iCs/>
          <w:sz w:val="22"/>
          <w:szCs w:val="22"/>
        </w:rPr>
        <w:t>saúde</w:t>
      </w:r>
      <w:r w:rsidRPr="009A714A">
        <w:rPr>
          <w:rFonts w:ascii="Times New Roman" w:hAnsi="Times New Roman" w:cs="Times New Roman"/>
          <w:sz w:val="22"/>
          <w:szCs w:val="22"/>
        </w:rPr>
        <w:t xml:space="preserve">, o mais citado entre todos, obteve 29 ocorrências por homens e 45 ocorrências por mulheres, demonstrando que o sexo feminino aparentemente pensa em esporte como algo mais relacionado à saúde. Mas deve-se considerar que a amostra de mulheres foi superior a amostra de homens, o que pode ter interferido no número superior de ocorrências da palavra </w:t>
      </w:r>
      <w:r w:rsidRPr="009A714A">
        <w:rPr>
          <w:rFonts w:ascii="Times New Roman" w:hAnsi="Times New Roman" w:cs="Times New Roman"/>
          <w:i/>
          <w:iCs/>
          <w:sz w:val="22"/>
          <w:szCs w:val="22"/>
        </w:rPr>
        <w:t>saúde</w:t>
      </w:r>
      <w:r w:rsidRPr="009A714A">
        <w:rPr>
          <w:rFonts w:ascii="Times New Roman" w:hAnsi="Times New Roman" w:cs="Times New Roman"/>
          <w:sz w:val="22"/>
          <w:szCs w:val="22"/>
        </w:rPr>
        <w:t xml:space="preserve"> e também de outros termos comuns aos dois sexos.</w:t>
      </w:r>
    </w:p>
    <w:p w14:paraId="510F8CC7" w14:textId="77777777" w:rsidR="00EC69B1" w:rsidRPr="009A714A" w:rsidRDefault="00EC69B1" w:rsidP="009A714A">
      <w:pPr>
        <w:widowControl w:val="0"/>
        <w:autoSpaceDE w:val="0"/>
        <w:autoSpaceDN w:val="0"/>
        <w:adjustRightInd w:val="0"/>
        <w:ind w:right="145"/>
        <w:jc w:val="both"/>
        <w:rPr>
          <w:rFonts w:ascii="Times New Roman" w:hAnsi="Times New Roman" w:cs="Times New Roman"/>
          <w:sz w:val="22"/>
          <w:szCs w:val="22"/>
        </w:rPr>
      </w:pPr>
    </w:p>
    <w:p w14:paraId="5C988D9A"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sz w:val="22"/>
          <w:szCs w:val="22"/>
        </w:rPr>
        <w:t>Tabela 2: Elementos caracterizadores em comum nas evocações de homens e mulheres</w:t>
      </w:r>
    </w:p>
    <w:tbl>
      <w:tblPr>
        <w:tblW w:w="0" w:type="auto"/>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123"/>
        <w:gridCol w:w="2123"/>
        <w:gridCol w:w="2124"/>
      </w:tblGrid>
      <w:tr w:rsidR="00EC69B1" w:rsidRPr="009A714A" w14:paraId="40BE8A65" w14:textId="77777777">
        <w:tc>
          <w:tcPr>
            <w:tcW w:w="2123" w:type="dxa"/>
            <w:tcBorders>
              <w:top w:val="single" w:sz="4" w:space="0" w:color="BFBFBF"/>
              <w:left w:val="single" w:sz="4" w:space="0" w:color="FFFFFF"/>
              <w:bottom w:val="single" w:sz="4" w:space="0" w:color="BFBFBF"/>
              <w:right w:val="single" w:sz="4" w:space="0" w:color="FFFFFF"/>
            </w:tcBorders>
            <w:tcMar>
              <w:top w:w="100" w:type="nil"/>
              <w:right w:w="100" w:type="nil"/>
            </w:tcMar>
          </w:tcPr>
          <w:p w14:paraId="637D289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Homens</w:t>
            </w:r>
          </w:p>
        </w:tc>
        <w:tc>
          <w:tcPr>
            <w:tcW w:w="2123" w:type="dxa"/>
            <w:vMerge w:val="restart"/>
            <w:tcBorders>
              <w:top w:val="single" w:sz="4" w:space="0" w:color="BFBFBF"/>
              <w:left w:val="single" w:sz="4" w:space="0" w:color="FFFFFF"/>
              <w:bottom w:val="single" w:sz="4" w:space="0" w:color="BFBFBF"/>
              <w:right w:val="single" w:sz="4" w:space="0" w:color="FFFFFF"/>
            </w:tcBorders>
            <w:tcMar>
              <w:top w:w="100" w:type="nil"/>
              <w:right w:w="100" w:type="nil"/>
            </w:tcMar>
          </w:tcPr>
          <w:p w14:paraId="538ABB9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Evocações em comum</w:t>
            </w:r>
          </w:p>
        </w:tc>
        <w:tc>
          <w:tcPr>
            <w:tcW w:w="2124" w:type="dxa"/>
            <w:tcBorders>
              <w:top w:val="single" w:sz="4" w:space="0" w:color="BFBFBF"/>
              <w:left w:val="single" w:sz="4" w:space="0" w:color="FFFFFF"/>
              <w:bottom w:val="single" w:sz="4" w:space="0" w:color="BFBFBF"/>
              <w:right w:val="single" w:sz="4" w:space="0" w:color="FFFFFF"/>
            </w:tcBorders>
            <w:tcMar>
              <w:top w:w="100" w:type="nil"/>
              <w:right w:w="100" w:type="nil"/>
            </w:tcMar>
          </w:tcPr>
          <w:p w14:paraId="0C4B531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Mulheres</w:t>
            </w:r>
          </w:p>
        </w:tc>
      </w:tr>
      <w:tr w:rsidR="00EC69B1" w:rsidRPr="009A714A" w14:paraId="4124990D" w14:textId="77777777">
        <w:tblPrEx>
          <w:tblBorders>
            <w:top w:val="none" w:sz="0" w:space="0" w:color="auto"/>
          </w:tblBorders>
        </w:tblPrEx>
        <w:tc>
          <w:tcPr>
            <w:tcW w:w="2123" w:type="dxa"/>
            <w:tcBorders>
              <w:top w:val="single" w:sz="4" w:space="0" w:color="BFBFBF"/>
              <w:left w:val="single" w:sz="4" w:space="0" w:color="FFFFFF"/>
              <w:bottom w:val="single" w:sz="4" w:space="0" w:color="BFBFBF"/>
              <w:right w:val="single" w:sz="4" w:space="0" w:color="FFFFFF"/>
            </w:tcBorders>
            <w:tcMar>
              <w:top w:w="100" w:type="nil"/>
              <w:right w:w="100" w:type="nil"/>
            </w:tcMar>
          </w:tcPr>
          <w:p w14:paraId="68D008A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Frequência</w:t>
            </w:r>
          </w:p>
        </w:tc>
        <w:tc>
          <w:tcPr>
            <w:tcW w:w="2123" w:type="dxa"/>
            <w:vMerge/>
            <w:tcBorders>
              <w:top w:val="single" w:sz="4" w:space="0" w:color="BFBFBF"/>
              <w:left w:val="single" w:sz="4" w:space="0" w:color="FFFFFF"/>
              <w:bottom w:val="single" w:sz="4" w:space="0" w:color="BFBFBF"/>
              <w:right w:val="single" w:sz="4" w:space="0" w:color="FFFFFF"/>
            </w:tcBorders>
            <w:tcMar>
              <w:top w:w="100" w:type="nil"/>
              <w:right w:w="100" w:type="nil"/>
            </w:tcMar>
          </w:tcPr>
          <w:p w14:paraId="0FE8BED8" w14:textId="77777777" w:rsidR="00EC69B1" w:rsidRPr="009A714A" w:rsidRDefault="00EC69B1" w:rsidP="009A714A">
            <w:pPr>
              <w:widowControl w:val="0"/>
              <w:autoSpaceDE w:val="0"/>
              <w:autoSpaceDN w:val="0"/>
              <w:adjustRightInd w:val="0"/>
              <w:rPr>
                <w:rFonts w:ascii="Times New Roman" w:hAnsi="Times New Roman" w:cs="Times New Roman"/>
                <w:sz w:val="22"/>
                <w:szCs w:val="22"/>
              </w:rPr>
            </w:pPr>
          </w:p>
        </w:tc>
        <w:tc>
          <w:tcPr>
            <w:tcW w:w="2124" w:type="dxa"/>
            <w:tcBorders>
              <w:top w:val="single" w:sz="4" w:space="0" w:color="BFBFBF"/>
              <w:left w:val="single" w:sz="4" w:space="0" w:color="FFFFFF"/>
              <w:bottom w:val="single" w:sz="4" w:space="0" w:color="BFBFBF"/>
              <w:right w:val="single" w:sz="4" w:space="0" w:color="FFFFFF"/>
            </w:tcBorders>
            <w:tcMar>
              <w:top w:w="100" w:type="nil"/>
              <w:right w:w="100" w:type="nil"/>
            </w:tcMar>
          </w:tcPr>
          <w:p w14:paraId="6EEE259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Frequência</w:t>
            </w:r>
          </w:p>
        </w:tc>
      </w:tr>
      <w:tr w:rsidR="00EC69B1" w:rsidRPr="009A714A" w14:paraId="1A8D6918" w14:textId="77777777">
        <w:tblPrEx>
          <w:tblBorders>
            <w:top w:val="none" w:sz="0" w:space="0" w:color="auto"/>
          </w:tblBorders>
        </w:tblPrEx>
        <w:tc>
          <w:tcPr>
            <w:tcW w:w="2123" w:type="dxa"/>
            <w:tcBorders>
              <w:top w:val="single" w:sz="4" w:space="0" w:color="BFBFBF"/>
              <w:left w:val="single" w:sz="4" w:space="0" w:color="FFFFFF"/>
              <w:bottom w:val="single" w:sz="4" w:space="0" w:color="FFFFFF"/>
              <w:right w:val="single" w:sz="4" w:space="0" w:color="BFBFBF"/>
            </w:tcBorders>
            <w:tcMar>
              <w:top w:w="100" w:type="nil"/>
              <w:right w:w="100" w:type="nil"/>
            </w:tcMar>
          </w:tcPr>
          <w:p w14:paraId="34104BF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29</w:t>
            </w:r>
          </w:p>
        </w:tc>
        <w:tc>
          <w:tcPr>
            <w:tcW w:w="2123" w:type="dxa"/>
            <w:tcBorders>
              <w:top w:val="single" w:sz="4" w:space="0" w:color="BFBFBF"/>
              <w:left w:val="single" w:sz="4" w:space="0" w:color="BFBFBF"/>
              <w:bottom w:val="single" w:sz="4" w:space="0" w:color="FFFFFF"/>
              <w:right w:val="single" w:sz="4" w:space="0" w:color="BFBFBF"/>
            </w:tcBorders>
            <w:tcMar>
              <w:top w:w="100" w:type="nil"/>
              <w:right w:w="100" w:type="nil"/>
            </w:tcMar>
          </w:tcPr>
          <w:p w14:paraId="703FC83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Saúde</w:t>
            </w:r>
          </w:p>
        </w:tc>
        <w:tc>
          <w:tcPr>
            <w:tcW w:w="2124" w:type="dxa"/>
            <w:tcBorders>
              <w:top w:val="single" w:sz="4" w:space="0" w:color="BFBFBF"/>
              <w:left w:val="single" w:sz="4" w:space="0" w:color="BFBFBF"/>
              <w:bottom w:val="single" w:sz="4" w:space="0" w:color="FFFFFF"/>
              <w:right w:val="single" w:sz="4" w:space="0" w:color="FFFFFF"/>
            </w:tcBorders>
            <w:tcMar>
              <w:top w:w="100" w:type="nil"/>
              <w:right w:w="100" w:type="nil"/>
            </w:tcMar>
          </w:tcPr>
          <w:p w14:paraId="59F1566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45</w:t>
            </w:r>
          </w:p>
        </w:tc>
      </w:tr>
      <w:tr w:rsidR="00EC69B1" w:rsidRPr="009A714A" w14:paraId="1A61EBE3"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3E057AD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22</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73472C2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Força</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0C75B30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w:t>
            </w:r>
          </w:p>
        </w:tc>
      </w:tr>
      <w:tr w:rsidR="00EC69B1" w:rsidRPr="009A714A" w14:paraId="1978B654"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39A31CD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15</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4197030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Competição</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595B2A7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15</w:t>
            </w:r>
          </w:p>
        </w:tc>
      </w:tr>
      <w:tr w:rsidR="00EC69B1" w:rsidRPr="009A714A" w14:paraId="23BBCB1A"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46F7769A"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16</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1E8DD3B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Corrida</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420061F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10</w:t>
            </w:r>
          </w:p>
        </w:tc>
      </w:tr>
      <w:tr w:rsidR="00EC69B1" w:rsidRPr="009A714A" w14:paraId="5F46AF1E"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766B740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4</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134EB9E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Corpo</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4E3EEE3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10</w:t>
            </w:r>
          </w:p>
        </w:tc>
      </w:tr>
      <w:tr w:rsidR="00EC69B1" w:rsidRPr="009A714A" w14:paraId="2F3CC8D6"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35B8EFA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12</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12CDFC9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Dedicação</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0360AF9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20</w:t>
            </w:r>
          </w:p>
        </w:tc>
      </w:tr>
      <w:tr w:rsidR="00EC69B1" w:rsidRPr="009A714A" w14:paraId="3589F6E9"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49F18E3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7</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52E8961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Disciplina</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3FD3A5B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15</w:t>
            </w:r>
          </w:p>
        </w:tc>
      </w:tr>
      <w:tr w:rsidR="00EC69B1" w:rsidRPr="009A714A" w14:paraId="0263A12C"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08D22BC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4</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01E630B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Determinação</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76E676A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15</w:t>
            </w:r>
          </w:p>
        </w:tc>
      </w:tr>
      <w:tr w:rsidR="00EC69B1" w:rsidRPr="009A714A" w14:paraId="5CABFECA"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432AC2C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8</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5A7EB25E"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Esforço</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498DB6D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19</w:t>
            </w:r>
          </w:p>
        </w:tc>
      </w:tr>
      <w:tr w:rsidR="00EC69B1" w:rsidRPr="009A714A" w14:paraId="3B49EF35"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4D5A7D6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16</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238A839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Esporte</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13E7B65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15</w:t>
            </w:r>
          </w:p>
        </w:tc>
      </w:tr>
      <w:tr w:rsidR="00EC69B1" w:rsidRPr="009A714A" w14:paraId="09DE403F"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1E6A9D6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16</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7B25F18D"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Futebol</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79B0ACB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15</w:t>
            </w:r>
          </w:p>
        </w:tc>
      </w:tr>
      <w:tr w:rsidR="00EC69B1" w:rsidRPr="009A714A" w14:paraId="0337C946"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2E53760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3</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52E476E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Suor</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21B3A11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11</w:t>
            </w:r>
          </w:p>
        </w:tc>
      </w:tr>
      <w:tr w:rsidR="00EC69B1" w:rsidRPr="009A714A" w14:paraId="2C25FE30" w14:textId="77777777">
        <w:tblPrEx>
          <w:tblBorders>
            <w:top w:val="none" w:sz="0" w:space="0" w:color="auto"/>
          </w:tblBorders>
        </w:tblPrEx>
        <w:tc>
          <w:tcPr>
            <w:tcW w:w="2123" w:type="dxa"/>
            <w:tcBorders>
              <w:top w:val="single" w:sz="4" w:space="0" w:color="FFFFFF"/>
              <w:left w:val="single" w:sz="4" w:space="0" w:color="FFFFFF"/>
              <w:bottom w:val="single" w:sz="4" w:space="0" w:color="FFFFFF"/>
              <w:right w:val="single" w:sz="4" w:space="0" w:color="BFBFBF"/>
            </w:tcBorders>
            <w:tcMar>
              <w:top w:w="100" w:type="nil"/>
              <w:right w:w="100" w:type="nil"/>
            </w:tcMar>
          </w:tcPr>
          <w:p w14:paraId="0E3134B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13</w:t>
            </w:r>
          </w:p>
        </w:tc>
        <w:tc>
          <w:tcPr>
            <w:tcW w:w="2123" w:type="dxa"/>
            <w:tcBorders>
              <w:top w:val="single" w:sz="4" w:space="0" w:color="FFFFFF"/>
              <w:left w:val="single" w:sz="4" w:space="0" w:color="BFBFBF"/>
              <w:bottom w:val="single" w:sz="4" w:space="0" w:color="FFFFFF"/>
              <w:right w:val="single" w:sz="4" w:space="0" w:color="BFBFBF"/>
            </w:tcBorders>
            <w:tcMar>
              <w:top w:w="100" w:type="nil"/>
              <w:right w:w="100" w:type="nil"/>
            </w:tcMar>
          </w:tcPr>
          <w:p w14:paraId="10BFD90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Superação</w:t>
            </w:r>
          </w:p>
        </w:tc>
        <w:tc>
          <w:tcPr>
            <w:tcW w:w="2124" w:type="dxa"/>
            <w:tcBorders>
              <w:top w:val="single" w:sz="4" w:space="0" w:color="FFFFFF"/>
              <w:left w:val="single" w:sz="4" w:space="0" w:color="BFBFBF"/>
              <w:bottom w:val="single" w:sz="4" w:space="0" w:color="FFFFFF"/>
              <w:right w:val="single" w:sz="4" w:space="0" w:color="FFFFFF"/>
            </w:tcBorders>
            <w:tcMar>
              <w:top w:w="100" w:type="nil"/>
              <w:right w:w="100" w:type="nil"/>
            </w:tcMar>
          </w:tcPr>
          <w:p w14:paraId="2AF5A0C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21</w:t>
            </w:r>
          </w:p>
        </w:tc>
      </w:tr>
      <w:tr w:rsidR="00EC69B1" w:rsidRPr="009A714A" w14:paraId="71439EF1" w14:textId="77777777">
        <w:tblPrEx>
          <w:tblBorders>
            <w:top w:val="none" w:sz="0" w:space="0" w:color="auto"/>
            <w:bottom w:val="single" w:sz="4" w:space="0" w:color="BFBFBF"/>
          </w:tblBorders>
        </w:tblPrEx>
        <w:tc>
          <w:tcPr>
            <w:tcW w:w="2123" w:type="dxa"/>
            <w:tcBorders>
              <w:top w:val="single" w:sz="4" w:space="0" w:color="FFFFFF"/>
              <w:left w:val="single" w:sz="4" w:space="0" w:color="FFFFFF"/>
              <w:bottom w:val="single" w:sz="4" w:space="0" w:color="BFBFBF"/>
              <w:right w:val="single" w:sz="4" w:space="0" w:color="BFBFBF"/>
            </w:tcBorders>
            <w:tcMar>
              <w:top w:w="100" w:type="nil"/>
              <w:right w:w="100" w:type="nil"/>
            </w:tcMar>
          </w:tcPr>
          <w:p w14:paraId="48952FA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11</w:t>
            </w:r>
          </w:p>
        </w:tc>
        <w:tc>
          <w:tcPr>
            <w:tcW w:w="2123" w:type="dxa"/>
            <w:tcBorders>
              <w:top w:val="single" w:sz="4" w:space="0" w:color="FFFFFF"/>
              <w:left w:val="single" w:sz="4" w:space="0" w:color="BFBFBF"/>
              <w:bottom w:val="single" w:sz="4" w:space="0" w:color="BFBFBF"/>
              <w:right w:val="single" w:sz="4" w:space="0" w:color="BFBFBF"/>
            </w:tcBorders>
            <w:tcMar>
              <w:top w:w="100" w:type="nil"/>
              <w:right w:w="100" w:type="nil"/>
            </w:tcMar>
          </w:tcPr>
          <w:p w14:paraId="1E513C89"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Treino</w:t>
            </w:r>
          </w:p>
        </w:tc>
        <w:tc>
          <w:tcPr>
            <w:tcW w:w="2124" w:type="dxa"/>
            <w:tcBorders>
              <w:top w:val="single" w:sz="4" w:space="0" w:color="FFFFFF"/>
              <w:left w:val="single" w:sz="4" w:space="0" w:color="BFBFBF"/>
              <w:bottom w:val="single" w:sz="4" w:space="0" w:color="BFBFBF"/>
              <w:right w:val="single" w:sz="4" w:space="0" w:color="FFFFFF"/>
            </w:tcBorders>
            <w:tcMar>
              <w:top w:w="100" w:type="nil"/>
              <w:right w:w="100" w:type="nil"/>
            </w:tcMar>
          </w:tcPr>
          <w:p w14:paraId="2D8C0FB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15</w:t>
            </w:r>
          </w:p>
        </w:tc>
      </w:tr>
    </w:tbl>
    <w:p w14:paraId="4A357DFC" w14:textId="77777777" w:rsidR="00EC69B1" w:rsidRPr="009A714A" w:rsidRDefault="00EC69B1" w:rsidP="009A714A">
      <w:pPr>
        <w:widowControl w:val="0"/>
        <w:autoSpaceDE w:val="0"/>
        <w:autoSpaceDN w:val="0"/>
        <w:adjustRightInd w:val="0"/>
        <w:ind w:right="145" w:firstLine="720"/>
        <w:rPr>
          <w:rFonts w:ascii="Calibri" w:hAnsi="Calibri" w:cs="Calibri"/>
          <w:sz w:val="22"/>
          <w:szCs w:val="22"/>
        </w:rPr>
      </w:pPr>
    </w:p>
    <w:p w14:paraId="012EFEE6"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r w:rsidRPr="009A714A">
        <w:rPr>
          <w:rFonts w:ascii="Times New Roman" w:hAnsi="Times New Roman" w:cs="Times New Roman"/>
          <w:sz w:val="22"/>
          <w:szCs w:val="22"/>
        </w:rPr>
        <w:tab/>
        <w:t>No sexo feminino, exclusivamente, ocorreram palavras como</w:t>
      </w:r>
      <w:r w:rsidRPr="009A714A">
        <w:rPr>
          <w:rFonts w:ascii="Times New Roman" w:hAnsi="Times New Roman" w:cs="Times New Roman"/>
          <w:i/>
          <w:iCs/>
          <w:sz w:val="22"/>
          <w:szCs w:val="22"/>
        </w:rPr>
        <w:t xml:space="preserve"> habilidade, movimento, campeonato, coragem, desafio, malhação, obstáculos, magro, bonito, competência e motivação</w:t>
      </w:r>
      <w:r w:rsidRPr="009A714A">
        <w:rPr>
          <w:rFonts w:ascii="Times New Roman" w:hAnsi="Times New Roman" w:cs="Times New Roman"/>
          <w:sz w:val="22"/>
          <w:szCs w:val="22"/>
        </w:rPr>
        <w:t>. Ao conectar essas palavras com a ocorrência maior da palavra saúde por mulheres, é possível inferir que mulheres identificam atletas como um estímulo de estética e de superação de obstáculos. Tal inferência pode levar a pensar que o fato de que ser saudável para mulheres remete a um corpo bonito e magro. Já o sexo masculino, obteve ocorrências únicas de palavras como</w:t>
      </w:r>
      <w:r w:rsidRPr="009A714A">
        <w:rPr>
          <w:rFonts w:ascii="Times New Roman" w:hAnsi="Times New Roman" w:cs="Times New Roman"/>
          <w:i/>
          <w:iCs/>
          <w:sz w:val="22"/>
          <w:szCs w:val="22"/>
        </w:rPr>
        <w:t xml:space="preserve"> corredor, surf, água, conquista, longevidade, jogador, condicionamento, salto </w:t>
      </w:r>
      <w:r w:rsidRPr="009A714A">
        <w:rPr>
          <w:rFonts w:ascii="Times New Roman" w:hAnsi="Times New Roman" w:cs="Times New Roman"/>
          <w:sz w:val="22"/>
          <w:szCs w:val="22"/>
        </w:rPr>
        <w:t xml:space="preserve">e </w:t>
      </w:r>
      <w:r w:rsidRPr="009A714A">
        <w:rPr>
          <w:rFonts w:ascii="Times New Roman" w:hAnsi="Times New Roman" w:cs="Times New Roman"/>
          <w:i/>
          <w:iCs/>
          <w:sz w:val="22"/>
          <w:szCs w:val="22"/>
        </w:rPr>
        <w:t xml:space="preserve">triathlon. </w:t>
      </w:r>
      <w:r w:rsidRPr="009A714A">
        <w:rPr>
          <w:rFonts w:ascii="Times New Roman" w:hAnsi="Times New Roman" w:cs="Times New Roman"/>
          <w:sz w:val="22"/>
          <w:szCs w:val="22"/>
        </w:rPr>
        <w:t>Essas palavras parecem remeter a um aspecto mais relacionado a prática esportiva.</w:t>
      </w:r>
    </w:p>
    <w:p w14:paraId="02F56293"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Para finalizar, foi realizada uma categorização dos elementos. As categorias foram: modalidades (f=103), saúde (f=101), ausência de saúde (f=18), estética (f=73), esporte (f=229), núcleo afetivo (f=26), qualidades pessoais (f=280), transgressão (f=9), juízo de valor (f=11) e alimentação (f=20).  A categoria prevalente foi a referente às qualidades pessoais, com 280 ocorrências. Essa categoria tem palavras como determinação (f=19), disciplina (f=22), esforço (f=27), dedicação (f=32), superação (f=34) e força (f=43). Essa categoria evidencia indicadores relacionados a qualidades que os participantes indicam ao pensarem </w:t>
      </w:r>
      <w:r w:rsidRPr="009A714A">
        <w:rPr>
          <w:rFonts w:ascii="Times New Roman" w:hAnsi="Times New Roman" w:cs="Times New Roman"/>
          <w:sz w:val="22"/>
          <w:szCs w:val="22"/>
        </w:rPr>
        <w:lastRenderedPageBreak/>
        <w:t>em atletas.</w:t>
      </w:r>
    </w:p>
    <w:p w14:paraId="1AD34A8B" w14:textId="77777777" w:rsidR="00EC69B1" w:rsidRPr="009A714A" w:rsidRDefault="00EC69B1" w:rsidP="009A714A">
      <w:pPr>
        <w:widowControl w:val="0"/>
        <w:autoSpaceDE w:val="0"/>
        <w:autoSpaceDN w:val="0"/>
        <w:adjustRightInd w:val="0"/>
        <w:ind w:right="145"/>
        <w:rPr>
          <w:rFonts w:ascii="Calibri" w:hAnsi="Calibri" w:cs="Calibri"/>
          <w:sz w:val="22"/>
          <w:szCs w:val="22"/>
        </w:rPr>
      </w:pPr>
    </w:p>
    <w:p w14:paraId="36DF6AC2"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r w:rsidRPr="009A714A">
        <w:rPr>
          <w:rFonts w:ascii="Times New Roman" w:hAnsi="Times New Roman" w:cs="Times New Roman"/>
          <w:sz w:val="22"/>
          <w:szCs w:val="22"/>
        </w:rPr>
        <w:t>Considerações finais</w:t>
      </w:r>
    </w:p>
    <w:p w14:paraId="340F5EC5" w14:textId="77777777" w:rsidR="00EC69B1" w:rsidRPr="009A714A" w:rsidRDefault="00EC69B1" w:rsidP="009A714A">
      <w:pPr>
        <w:widowControl w:val="0"/>
        <w:autoSpaceDE w:val="0"/>
        <w:autoSpaceDN w:val="0"/>
        <w:adjustRightInd w:val="0"/>
        <w:ind w:right="145"/>
        <w:jc w:val="center"/>
        <w:rPr>
          <w:rFonts w:ascii="Calibri" w:hAnsi="Calibri" w:cs="Calibri"/>
          <w:sz w:val="22"/>
          <w:szCs w:val="22"/>
        </w:rPr>
      </w:pPr>
    </w:p>
    <w:p w14:paraId="4CB375E5"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Com base nas análises aqui discutidas, foi possível observar que o atleta tende a ser visto como um ser humano disciplinado, em constante superação dos seus próprios limites e com qualidades que sustentam tal traço. Além disso, os participantes parecem associar a imagem do atleta com a consequência da prática esportiva. A palavra “saúde”, por exemplo, foi amplamente citada nesse estudo. No entanto, a questão da saúde está relacionada a prática equilibrada de exercícios físicos e não necessariamente a prática do esporte profissional, o qual visa o alto desempenho para competições. Conclui-se, por fim, que a visão atual do atleta é enviesada na sociedade, tanto pelos meios midiáticos quanto pelos elementos nucleares que permeiam há muito tempo as representações sociais que a sociedade apresenta quando se trata do atleta.</w:t>
      </w:r>
    </w:p>
    <w:p w14:paraId="1BBEB33A" w14:textId="77777777" w:rsidR="00EC69B1" w:rsidRPr="009A714A" w:rsidRDefault="00EC69B1" w:rsidP="009A714A">
      <w:pPr>
        <w:widowControl w:val="0"/>
        <w:autoSpaceDE w:val="0"/>
        <w:autoSpaceDN w:val="0"/>
        <w:adjustRightInd w:val="0"/>
        <w:ind w:right="145" w:firstLine="720"/>
        <w:jc w:val="both"/>
        <w:rPr>
          <w:rFonts w:ascii="Calibri" w:hAnsi="Calibri" w:cs="Calibri"/>
          <w:sz w:val="22"/>
          <w:szCs w:val="22"/>
        </w:rPr>
      </w:pPr>
      <w:r w:rsidRPr="009A714A">
        <w:rPr>
          <w:rFonts w:ascii="Times New Roman" w:hAnsi="Times New Roman" w:cs="Times New Roman"/>
          <w:sz w:val="22"/>
          <w:szCs w:val="22"/>
        </w:rPr>
        <w:t xml:space="preserve">O espectro do ambiente esportivo perpassa diversas ramificações da sociedade. Grandes eventos como os Jogos Olímpicos e a Copa do Mundo de Futebol há muito tempo impressionam e mobilizam a sociedade.  Desse modo, a compreensão de como esses processos são suscitados deve ser um campo mais explorado pela Psicologia. </w:t>
      </w:r>
    </w:p>
    <w:p w14:paraId="7DEE7429" w14:textId="77777777" w:rsidR="00EC69B1" w:rsidRPr="009A714A" w:rsidRDefault="00EC69B1" w:rsidP="009A714A">
      <w:pPr>
        <w:widowControl w:val="0"/>
        <w:autoSpaceDE w:val="0"/>
        <w:autoSpaceDN w:val="0"/>
        <w:adjustRightInd w:val="0"/>
        <w:ind w:right="11"/>
        <w:jc w:val="both"/>
        <w:rPr>
          <w:rFonts w:ascii="Calibri" w:hAnsi="Calibri" w:cs="Calibri"/>
          <w:sz w:val="22"/>
          <w:szCs w:val="22"/>
        </w:rPr>
      </w:pPr>
      <w:r w:rsidRPr="009A714A">
        <w:rPr>
          <w:rFonts w:ascii="Times New Roman" w:hAnsi="Times New Roman" w:cs="Times New Roman"/>
          <w:sz w:val="22"/>
          <w:szCs w:val="22"/>
        </w:rPr>
        <w:tab/>
        <w:t>Esse estudo fixou-se em dois alicerces consideradas recentes no campo do conhecimento científico para a compreensão de alguns aspectos do universo esportivo e suas relações com a sociedade: o estudo de representações sociais e o uso do ambiente virtual para a realização da coleta de dados. Tal tecnologia permitiu que o estudo atingisse uma amostra considerável de uma forma rápida e eficaz e ainda possibilitou uma exploração inicial do ponto de vista da Psicologia nesse novo cenário onde se estabelecem as relações sociais. Assim, esse artigo tem um papel exploratório nas pesquisas nacionais, no que se refere uso das redes sociais para produção do conhecimento em Psicologia.</w:t>
      </w:r>
    </w:p>
    <w:p w14:paraId="3FEB3CA9" w14:textId="77777777" w:rsidR="00EC69B1" w:rsidRPr="009A714A" w:rsidRDefault="00EC69B1" w:rsidP="009A714A">
      <w:pPr>
        <w:widowControl w:val="0"/>
        <w:autoSpaceDE w:val="0"/>
        <w:autoSpaceDN w:val="0"/>
        <w:adjustRightInd w:val="0"/>
        <w:ind w:right="11"/>
        <w:jc w:val="both"/>
        <w:rPr>
          <w:rFonts w:ascii="Calibri" w:hAnsi="Calibri" w:cs="Calibri"/>
          <w:sz w:val="22"/>
          <w:szCs w:val="22"/>
        </w:rPr>
      </w:pPr>
      <w:r w:rsidRPr="009A714A">
        <w:rPr>
          <w:rFonts w:ascii="Times New Roman" w:hAnsi="Times New Roman" w:cs="Times New Roman"/>
          <w:color w:val="4A86E8"/>
          <w:sz w:val="22"/>
          <w:szCs w:val="22"/>
        </w:rPr>
        <w:tab/>
      </w:r>
      <w:r w:rsidRPr="009A714A">
        <w:rPr>
          <w:rFonts w:ascii="Times New Roman" w:hAnsi="Times New Roman" w:cs="Times New Roman"/>
          <w:sz w:val="22"/>
          <w:szCs w:val="22"/>
        </w:rPr>
        <w:t xml:space="preserve">Como limitações do estudo, primeiramente, não foi realizado do teste de confirmação do núcleo central, feito a partir da marcação das palavras que os participantes consideravam as mais importantes. No entanto, é sugerido que pesquisas futuras incluam no seu instrumento de coleta esta marcação. Outro ponto a ser destacado diz respeito a não equivalência da amostra no que se refere ao sexo dos participantes, dessa forma, as comparações entre os participantes do sexo masculino e feminino devem ser melhor investigadas para que se obtenha conclusões mais seguras. </w:t>
      </w:r>
    </w:p>
    <w:p w14:paraId="3E82EB4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3F899C8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1D46995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3874B40F"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702C720C"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742024F3"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1036826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16347FB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77140CA1"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5735807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3A8D1D9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52B4AF40"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78B40715"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2D80B2DB"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3D5A49B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4BCA8FE7"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34FF6104"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4439B6F6"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752CD368" w14:textId="77777777" w:rsidR="00EC69B1" w:rsidRPr="009A714A" w:rsidRDefault="00EC69B1" w:rsidP="009A714A">
      <w:pPr>
        <w:widowControl w:val="0"/>
        <w:autoSpaceDE w:val="0"/>
        <w:autoSpaceDN w:val="0"/>
        <w:adjustRightInd w:val="0"/>
        <w:ind w:right="145"/>
        <w:jc w:val="center"/>
        <w:rPr>
          <w:rFonts w:ascii="Times New Roman" w:hAnsi="Times New Roman" w:cs="Times New Roman"/>
          <w:sz w:val="22"/>
          <w:szCs w:val="22"/>
        </w:rPr>
      </w:pPr>
    </w:p>
    <w:p w14:paraId="0E479575" w14:textId="77777777" w:rsidR="00EC69B1" w:rsidRPr="008729F6" w:rsidRDefault="00EC69B1" w:rsidP="008729F6">
      <w:pPr>
        <w:widowControl w:val="0"/>
        <w:autoSpaceDE w:val="0"/>
        <w:autoSpaceDN w:val="0"/>
        <w:adjustRightInd w:val="0"/>
        <w:ind w:right="145"/>
        <w:jc w:val="center"/>
        <w:rPr>
          <w:rFonts w:ascii="Calibri" w:hAnsi="Calibri" w:cs="Calibri"/>
          <w:b/>
          <w:sz w:val="22"/>
          <w:szCs w:val="22"/>
        </w:rPr>
      </w:pPr>
      <w:bookmarkStart w:id="0" w:name="_GoBack"/>
      <w:r w:rsidRPr="008729F6">
        <w:rPr>
          <w:rFonts w:ascii="Times New Roman" w:hAnsi="Times New Roman" w:cs="Times New Roman"/>
          <w:b/>
          <w:sz w:val="22"/>
          <w:szCs w:val="22"/>
        </w:rPr>
        <w:lastRenderedPageBreak/>
        <w:t>Referências</w:t>
      </w:r>
    </w:p>
    <w:bookmarkEnd w:id="0"/>
    <w:p w14:paraId="6B3D5569"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p>
    <w:p w14:paraId="2B0287EB" w14:textId="77777777" w:rsidR="00EC69B1" w:rsidRPr="009A714A" w:rsidRDefault="00EC69B1" w:rsidP="009A714A">
      <w:pPr>
        <w:widowControl w:val="0"/>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Abric, J.C. (1993). Central system, perifheral system: their functions and roles in the dynamics of social representations. </w:t>
      </w:r>
      <w:r w:rsidRPr="009A714A">
        <w:rPr>
          <w:rFonts w:ascii="Times New Roman" w:hAnsi="Times New Roman" w:cs="Times New Roman"/>
          <w:i/>
          <w:iCs/>
          <w:sz w:val="22"/>
          <w:szCs w:val="22"/>
        </w:rPr>
        <w:t>Papers on Social Representations, 2</w:t>
      </w:r>
      <w:r w:rsidRPr="009A714A">
        <w:rPr>
          <w:rFonts w:ascii="Times New Roman" w:hAnsi="Times New Roman" w:cs="Times New Roman"/>
          <w:sz w:val="22"/>
          <w:szCs w:val="22"/>
        </w:rPr>
        <w:t>, 75-78.</w:t>
      </w:r>
    </w:p>
    <w:p w14:paraId="1B251612" w14:textId="77777777" w:rsidR="00EC69B1" w:rsidRPr="009A714A" w:rsidRDefault="00EC69B1" w:rsidP="009A714A">
      <w:pPr>
        <w:widowControl w:val="0"/>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Abric, J. C.(1998). A abordagem estrutural das representações sociais. Em A. S. Moreira &amp; D. C. Oliveira. (Orgs.).  </w:t>
      </w:r>
      <w:r w:rsidRPr="009A714A">
        <w:rPr>
          <w:rFonts w:ascii="Times New Roman" w:hAnsi="Times New Roman" w:cs="Times New Roman"/>
          <w:i/>
          <w:iCs/>
          <w:sz w:val="22"/>
          <w:szCs w:val="22"/>
        </w:rPr>
        <w:t>Estudos interdisciplinares de representações sociais</w:t>
      </w:r>
      <w:r w:rsidRPr="009A714A">
        <w:rPr>
          <w:rFonts w:ascii="Times New Roman" w:hAnsi="Times New Roman" w:cs="Times New Roman"/>
          <w:sz w:val="22"/>
          <w:szCs w:val="22"/>
        </w:rPr>
        <w:t>. Goiânia: AB, p. 27-38.</w:t>
      </w:r>
    </w:p>
    <w:p w14:paraId="78CC5FE4" w14:textId="77777777" w:rsidR="00EC69B1" w:rsidRPr="009A714A" w:rsidRDefault="00EC69B1" w:rsidP="009A714A">
      <w:pPr>
        <w:widowControl w:val="0"/>
        <w:autoSpaceDE w:val="0"/>
        <w:autoSpaceDN w:val="0"/>
        <w:adjustRightInd w:val="0"/>
        <w:ind w:left="555" w:right="145"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Abric, J. C. (2003). Abordagem estrutural das representações sociais: desenvolvimentos recentes. In Campos, P. H. F. &amp; Loureiro, M. C. S. (Orgs). </w:t>
      </w:r>
      <w:r w:rsidRPr="009A714A">
        <w:rPr>
          <w:rFonts w:ascii="Times New Roman" w:hAnsi="Times New Roman" w:cs="Times New Roman"/>
          <w:i/>
          <w:iCs/>
          <w:sz w:val="22"/>
          <w:szCs w:val="22"/>
        </w:rPr>
        <w:t>Representações sociais e práticas educativas</w:t>
      </w:r>
      <w:r w:rsidRPr="009A714A">
        <w:rPr>
          <w:rFonts w:ascii="Times New Roman" w:hAnsi="Times New Roman" w:cs="Times New Roman"/>
          <w:b/>
          <w:bCs/>
          <w:sz w:val="22"/>
          <w:szCs w:val="22"/>
        </w:rPr>
        <w:t>.</w:t>
      </w:r>
      <w:r w:rsidRPr="009A714A">
        <w:rPr>
          <w:rFonts w:ascii="Times New Roman" w:hAnsi="Times New Roman" w:cs="Times New Roman"/>
          <w:sz w:val="22"/>
          <w:szCs w:val="22"/>
        </w:rPr>
        <w:t xml:space="preserve">Goiânia: Ed. da UCG, p. 37-57. Camargo, B. V. &amp; Justo, A. M. (2013). IRAMUTEQ: Um software gratuito para análise de dados textuais. </w:t>
      </w:r>
      <w:r w:rsidRPr="009A714A">
        <w:rPr>
          <w:rFonts w:ascii="Times New Roman" w:hAnsi="Times New Roman" w:cs="Times New Roman"/>
          <w:i/>
          <w:iCs/>
          <w:sz w:val="22"/>
          <w:szCs w:val="22"/>
        </w:rPr>
        <w:t xml:space="preserve">Temas em Psicologia, </w:t>
      </w:r>
      <w:r w:rsidRPr="009A714A">
        <w:rPr>
          <w:rFonts w:ascii="Times New Roman" w:hAnsi="Times New Roman" w:cs="Times New Roman"/>
          <w:sz w:val="22"/>
          <w:szCs w:val="22"/>
        </w:rPr>
        <w:t>21(2), 513-518.</w:t>
      </w:r>
    </w:p>
    <w:p w14:paraId="5387A63D" w14:textId="77777777" w:rsidR="00EC69B1" w:rsidRPr="009A714A" w:rsidRDefault="00EC69B1" w:rsidP="009A714A">
      <w:pPr>
        <w:widowControl w:val="0"/>
        <w:autoSpaceDE w:val="0"/>
        <w:autoSpaceDN w:val="0"/>
        <w:adjustRightInd w:val="0"/>
        <w:ind w:left="540" w:right="145" w:hanging="540"/>
        <w:jc w:val="both"/>
        <w:rPr>
          <w:rFonts w:ascii="Times New Roman" w:hAnsi="Times New Roman" w:cs="Times New Roman"/>
          <w:sz w:val="22"/>
          <w:szCs w:val="22"/>
        </w:rPr>
      </w:pPr>
      <w:r w:rsidRPr="009A714A">
        <w:rPr>
          <w:rFonts w:ascii="Times New Roman" w:hAnsi="Times New Roman" w:cs="Times New Roman"/>
          <w:sz w:val="22"/>
          <w:szCs w:val="22"/>
        </w:rPr>
        <w:t xml:space="preserve">Bachrach, Y., Kosinski, M., Graepel, T., Kohli, P., &amp; Stillwell, D. (2012). </w:t>
      </w:r>
      <w:r w:rsidRPr="009A714A">
        <w:rPr>
          <w:rFonts w:ascii="Times New Roman" w:hAnsi="Times New Roman" w:cs="Times New Roman"/>
          <w:i/>
          <w:iCs/>
          <w:sz w:val="22"/>
          <w:szCs w:val="22"/>
        </w:rPr>
        <w:t>Personality and patterns of Facebook usage</w:t>
      </w:r>
      <w:r w:rsidRPr="009A714A">
        <w:rPr>
          <w:rFonts w:ascii="Times New Roman" w:hAnsi="Times New Roman" w:cs="Times New Roman"/>
          <w:sz w:val="22"/>
          <w:szCs w:val="22"/>
        </w:rPr>
        <w:t>.</w:t>
      </w:r>
    </w:p>
    <w:p w14:paraId="1601481B" w14:textId="77777777" w:rsidR="00EC69B1" w:rsidRPr="009A714A" w:rsidRDefault="00EC69B1" w:rsidP="009A714A">
      <w:pPr>
        <w:widowControl w:val="0"/>
        <w:autoSpaceDE w:val="0"/>
        <w:autoSpaceDN w:val="0"/>
        <w:adjustRightInd w:val="0"/>
        <w:ind w:left="567" w:right="145" w:hanging="567"/>
        <w:jc w:val="both"/>
        <w:rPr>
          <w:rFonts w:ascii="Times New Roman" w:hAnsi="Times New Roman" w:cs="Times New Roman"/>
          <w:sz w:val="22"/>
          <w:szCs w:val="22"/>
        </w:rPr>
      </w:pPr>
      <w:r w:rsidRPr="009A714A">
        <w:rPr>
          <w:rFonts w:ascii="Times New Roman" w:hAnsi="Times New Roman" w:cs="Times New Roman"/>
          <w:sz w:val="22"/>
          <w:szCs w:val="22"/>
        </w:rPr>
        <w:t xml:space="preserve">Camargo, B. V. &amp; Justo, A. M. (2013). IRAMUTEQ: Um software gratuito para análise de dados textuais. </w:t>
      </w:r>
      <w:r w:rsidRPr="009A714A">
        <w:rPr>
          <w:rFonts w:ascii="Times New Roman" w:hAnsi="Times New Roman" w:cs="Times New Roman"/>
          <w:i/>
          <w:iCs/>
          <w:sz w:val="22"/>
          <w:szCs w:val="22"/>
        </w:rPr>
        <w:t>Temas em Psicologia</w:t>
      </w:r>
      <w:r w:rsidRPr="009A714A">
        <w:rPr>
          <w:rFonts w:ascii="Times New Roman" w:hAnsi="Times New Roman" w:cs="Times New Roman"/>
          <w:sz w:val="22"/>
          <w:szCs w:val="22"/>
        </w:rPr>
        <w:t>, 21(2), 513-518.</w:t>
      </w:r>
    </w:p>
    <w:p w14:paraId="4A37F466" w14:textId="77777777" w:rsidR="00EC69B1" w:rsidRPr="009A714A" w:rsidRDefault="00EC69B1" w:rsidP="009A714A">
      <w:pPr>
        <w:widowControl w:val="0"/>
        <w:autoSpaceDE w:val="0"/>
        <w:autoSpaceDN w:val="0"/>
        <w:adjustRightInd w:val="0"/>
        <w:ind w:left="555" w:right="145"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Camargo, B. V., Goetz, E. R., Barbará, A., &amp; Justo, A. M.(2007). Representação social da beleza de estudantes de Educação Física e de Moda. In: </w:t>
      </w:r>
      <w:r w:rsidRPr="009A714A">
        <w:rPr>
          <w:rFonts w:ascii="Times New Roman" w:hAnsi="Times New Roman" w:cs="Times New Roman"/>
          <w:i/>
          <w:iCs/>
          <w:sz w:val="22"/>
          <w:szCs w:val="22"/>
        </w:rPr>
        <w:t>Resumos de comunicações científicas online</w:t>
      </w:r>
      <w:r w:rsidRPr="009A714A">
        <w:rPr>
          <w:rFonts w:ascii="Times New Roman" w:hAnsi="Times New Roman" w:cs="Times New Roman"/>
          <w:sz w:val="22"/>
          <w:szCs w:val="22"/>
        </w:rPr>
        <w:t>, V Jornada Internacional e III Conferência Brasileira sobre Representações Sociais. Brasília.</w:t>
      </w:r>
    </w:p>
    <w:p w14:paraId="5FA7B68F" w14:textId="77777777" w:rsidR="00EC69B1" w:rsidRPr="009A714A" w:rsidRDefault="00EC69B1" w:rsidP="009A714A">
      <w:pPr>
        <w:widowControl w:val="0"/>
        <w:autoSpaceDE w:val="0"/>
        <w:autoSpaceDN w:val="0"/>
        <w:adjustRightInd w:val="0"/>
        <w:ind w:left="567" w:right="145"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Campos, P.H.F. &amp; Rouquette, M. L. (2003). Abordagem estrutural e componente afetivo das representações sociais. </w:t>
      </w:r>
      <w:r w:rsidRPr="009A714A">
        <w:rPr>
          <w:rFonts w:ascii="Times New Roman" w:hAnsi="Times New Roman" w:cs="Times New Roman"/>
          <w:i/>
          <w:iCs/>
          <w:sz w:val="22"/>
          <w:szCs w:val="22"/>
        </w:rPr>
        <w:t>Psicologia: Reflexão e Crítica</w:t>
      </w:r>
      <w:r w:rsidRPr="009A714A">
        <w:rPr>
          <w:rFonts w:ascii="Times New Roman" w:hAnsi="Times New Roman" w:cs="Times New Roman"/>
          <w:sz w:val="22"/>
          <w:szCs w:val="22"/>
        </w:rPr>
        <w:t xml:space="preserve">, 16(3), 435-445. </w:t>
      </w:r>
    </w:p>
    <w:p w14:paraId="40136D0E" w14:textId="77777777" w:rsidR="00EC69B1" w:rsidRPr="009A714A" w:rsidRDefault="00EC69B1" w:rsidP="009A714A">
      <w:pPr>
        <w:widowControl w:val="0"/>
        <w:autoSpaceDE w:val="0"/>
        <w:autoSpaceDN w:val="0"/>
        <w:adjustRightInd w:val="0"/>
        <w:ind w:left="540" w:right="145" w:hanging="540"/>
        <w:jc w:val="both"/>
        <w:rPr>
          <w:rFonts w:ascii="Times New Roman" w:hAnsi="Times New Roman" w:cs="Times New Roman"/>
          <w:sz w:val="22"/>
          <w:szCs w:val="22"/>
        </w:rPr>
      </w:pPr>
      <w:r w:rsidRPr="009A714A">
        <w:rPr>
          <w:rFonts w:ascii="Times New Roman" w:hAnsi="Times New Roman" w:cs="Times New Roman"/>
          <w:sz w:val="22"/>
          <w:szCs w:val="22"/>
        </w:rPr>
        <w:t xml:space="preserve">Cheung, C. M. K., Chiu, P.-Y., &amp; Lee, M. K. O. (2011). Online social networks: Why do students use facebook? </w:t>
      </w:r>
      <w:r w:rsidRPr="009A714A">
        <w:rPr>
          <w:rFonts w:ascii="Times New Roman" w:hAnsi="Times New Roman" w:cs="Times New Roman"/>
          <w:i/>
          <w:iCs/>
          <w:sz w:val="22"/>
          <w:szCs w:val="22"/>
        </w:rPr>
        <w:t>Computers in Human Behavior</w:t>
      </w:r>
      <w:r w:rsidRPr="009A714A">
        <w:rPr>
          <w:rFonts w:ascii="Times New Roman" w:hAnsi="Times New Roman" w:cs="Times New Roman"/>
          <w:sz w:val="22"/>
          <w:szCs w:val="22"/>
        </w:rPr>
        <w:t xml:space="preserve">, </w:t>
      </w:r>
      <w:r w:rsidRPr="009A714A">
        <w:rPr>
          <w:rFonts w:ascii="Times New Roman" w:hAnsi="Times New Roman" w:cs="Times New Roman"/>
          <w:i/>
          <w:iCs/>
          <w:sz w:val="22"/>
          <w:szCs w:val="22"/>
        </w:rPr>
        <w:t>27</w:t>
      </w:r>
      <w:r w:rsidRPr="009A714A">
        <w:rPr>
          <w:rFonts w:ascii="Times New Roman" w:hAnsi="Times New Roman" w:cs="Times New Roman"/>
          <w:sz w:val="22"/>
          <w:szCs w:val="22"/>
        </w:rPr>
        <w:t>(4), 1337-1343. Retirado de http://wiki.stoa.usp.br/images/e/e6/Whyfacebook.pdf</w:t>
      </w:r>
    </w:p>
    <w:p w14:paraId="444B9B83" w14:textId="77777777" w:rsidR="00EC69B1" w:rsidRPr="009A714A" w:rsidRDefault="00EC69B1" w:rsidP="009A714A">
      <w:pPr>
        <w:widowControl w:val="0"/>
        <w:autoSpaceDE w:val="0"/>
        <w:autoSpaceDN w:val="0"/>
        <w:adjustRightInd w:val="0"/>
        <w:ind w:left="540" w:right="145" w:hanging="540"/>
        <w:jc w:val="both"/>
        <w:rPr>
          <w:rFonts w:ascii="Times New Roman" w:hAnsi="Times New Roman" w:cs="Times New Roman"/>
          <w:sz w:val="22"/>
          <w:szCs w:val="22"/>
        </w:rPr>
      </w:pPr>
      <w:r w:rsidRPr="009A714A">
        <w:rPr>
          <w:rFonts w:ascii="Times New Roman" w:hAnsi="Times New Roman" w:cs="Times New Roman"/>
          <w:sz w:val="22"/>
          <w:szCs w:val="22"/>
        </w:rPr>
        <w:t xml:space="preserve">De Fruyt, F., &amp; Van Leeuwen, K. (2014). Advancements in the field of personality development. </w:t>
      </w:r>
      <w:r w:rsidRPr="009A714A">
        <w:rPr>
          <w:rFonts w:ascii="Times New Roman" w:hAnsi="Times New Roman" w:cs="Times New Roman"/>
          <w:i/>
          <w:iCs/>
          <w:sz w:val="22"/>
          <w:szCs w:val="22"/>
        </w:rPr>
        <w:t xml:space="preserve">J Adolesc, </w:t>
      </w:r>
      <w:r w:rsidRPr="009A714A">
        <w:rPr>
          <w:rFonts w:ascii="Times New Roman" w:hAnsi="Times New Roman" w:cs="Times New Roman"/>
          <w:sz w:val="22"/>
          <w:szCs w:val="22"/>
        </w:rPr>
        <w:t>1-7. doi:10.1016/j.adolescence.2014.04.009</w:t>
      </w:r>
    </w:p>
    <w:p w14:paraId="2399B9DF" w14:textId="77777777" w:rsidR="00EC69B1" w:rsidRPr="009A714A" w:rsidRDefault="00EC69B1" w:rsidP="009A714A">
      <w:pPr>
        <w:widowControl w:val="0"/>
        <w:autoSpaceDE w:val="0"/>
        <w:autoSpaceDN w:val="0"/>
        <w:adjustRightInd w:val="0"/>
        <w:ind w:right="145"/>
        <w:jc w:val="both"/>
        <w:rPr>
          <w:rFonts w:ascii="Times New Roman" w:hAnsi="Times New Roman" w:cs="Times New Roman"/>
          <w:sz w:val="22"/>
          <w:szCs w:val="22"/>
        </w:rPr>
      </w:pPr>
      <w:r w:rsidRPr="009A714A">
        <w:rPr>
          <w:rFonts w:ascii="Times New Roman" w:hAnsi="Times New Roman" w:cs="Times New Roman"/>
          <w:sz w:val="22"/>
          <w:szCs w:val="22"/>
        </w:rPr>
        <w:t xml:space="preserve">Deschamps, J. C.&amp; Moliner, P. (2009). </w:t>
      </w:r>
      <w:r w:rsidRPr="009A714A">
        <w:rPr>
          <w:rFonts w:ascii="Times New Roman" w:hAnsi="Times New Roman" w:cs="Times New Roman"/>
          <w:i/>
          <w:iCs/>
          <w:sz w:val="22"/>
          <w:szCs w:val="22"/>
        </w:rPr>
        <w:t>Identidade em psicologia social</w:t>
      </w:r>
      <w:r w:rsidRPr="009A714A">
        <w:rPr>
          <w:rFonts w:ascii="Times New Roman" w:hAnsi="Times New Roman" w:cs="Times New Roman"/>
          <w:sz w:val="22"/>
          <w:szCs w:val="22"/>
        </w:rPr>
        <w:t>. Petrópolis: Vozes.</w:t>
      </w:r>
    </w:p>
    <w:p w14:paraId="5B7C6C36" w14:textId="77777777" w:rsidR="00EC69B1" w:rsidRPr="009A714A" w:rsidRDefault="00EC69B1" w:rsidP="009A714A">
      <w:pPr>
        <w:widowControl w:val="0"/>
        <w:autoSpaceDE w:val="0"/>
        <w:autoSpaceDN w:val="0"/>
        <w:adjustRightInd w:val="0"/>
        <w:ind w:left="555" w:right="3"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European Association for Injury Prevention and Safety Promotion (Eurosafe) (2013). </w:t>
      </w:r>
      <w:r w:rsidRPr="009A714A">
        <w:rPr>
          <w:rFonts w:ascii="Times New Roman" w:hAnsi="Times New Roman" w:cs="Times New Roman"/>
          <w:i/>
          <w:iCs/>
          <w:sz w:val="22"/>
          <w:szCs w:val="22"/>
        </w:rPr>
        <w:t xml:space="preserve">Injuries in the European Union: </w:t>
      </w:r>
      <w:r w:rsidRPr="009A714A">
        <w:rPr>
          <w:rFonts w:ascii="Times New Roman" w:hAnsi="Times New Roman" w:cs="Times New Roman"/>
          <w:sz w:val="22"/>
          <w:szCs w:val="22"/>
        </w:rPr>
        <w:t>Summary of injury statistics for the years 2008-2010. 4ªed. Amsterdam: Eurosafe.</w:t>
      </w:r>
    </w:p>
    <w:p w14:paraId="4F504967" w14:textId="77777777" w:rsidR="00EC69B1" w:rsidRPr="009A714A" w:rsidRDefault="00EC69B1" w:rsidP="009A714A">
      <w:pPr>
        <w:widowControl w:val="0"/>
        <w:autoSpaceDE w:val="0"/>
        <w:autoSpaceDN w:val="0"/>
        <w:adjustRightInd w:val="0"/>
        <w:ind w:left="555" w:right="145" w:hanging="569"/>
        <w:jc w:val="both"/>
        <w:rPr>
          <w:rFonts w:ascii="Times New Roman" w:hAnsi="Times New Roman" w:cs="Times New Roman"/>
          <w:sz w:val="22"/>
          <w:szCs w:val="22"/>
        </w:rPr>
      </w:pPr>
      <w:r w:rsidRPr="009A714A">
        <w:rPr>
          <w:rFonts w:ascii="Times New Roman" w:hAnsi="Times New Roman" w:cs="Times New Roman"/>
          <w:sz w:val="22"/>
          <w:szCs w:val="22"/>
        </w:rPr>
        <w:t>Farr, R. M. (1995). Representações Sociais: a teoria e sua história.</w:t>
      </w:r>
      <w:r w:rsidRPr="009A714A">
        <w:rPr>
          <w:rFonts w:ascii="Calibri" w:hAnsi="Calibri" w:cs="Calibri"/>
          <w:sz w:val="22"/>
          <w:szCs w:val="22"/>
        </w:rPr>
        <w:t> </w:t>
      </w:r>
      <w:r w:rsidRPr="009A714A">
        <w:rPr>
          <w:rFonts w:ascii="Times New Roman" w:hAnsi="Times New Roman" w:cs="Times New Roman"/>
          <w:sz w:val="22"/>
          <w:szCs w:val="22"/>
        </w:rPr>
        <w:t>In: Guareschi, P. &amp; Jovchelovitch, S. (Orgs). </w:t>
      </w:r>
      <w:r w:rsidRPr="009A714A">
        <w:rPr>
          <w:rFonts w:ascii="Calibri" w:hAnsi="Calibri" w:cs="Calibri"/>
          <w:sz w:val="22"/>
          <w:szCs w:val="22"/>
        </w:rPr>
        <w:t> </w:t>
      </w:r>
      <w:r w:rsidRPr="009A714A">
        <w:rPr>
          <w:rFonts w:ascii="Times New Roman" w:hAnsi="Times New Roman" w:cs="Times New Roman"/>
          <w:i/>
          <w:iCs/>
          <w:sz w:val="22"/>
          <w:szCs w:val="22"/>
        </w:rPr>
        <w:t>Textos</w:t>
      </w:r>
      <w:r w:rsidRPr="009A714A">
        <w:rPr>
          <w:rFonts w:ascii="Calibri" w:hAnsi="Calibri" w:cs="Calibri"/>
          <w:i/>
          <w:iCs/>
          <w:sz w:val="22"/>
          <w:szCs w:val="22"/>
        </w:rPr>
        <w:t> </w:t>
      </w:r>
      <w:r w:rsidRPr="009A714A">
        <w:rPr>
          <w:rFonts w:ascii="Times New Roman" w:hAnsi="Times New Roman" w:cs="Times New Roman"/>
          <w:i/>
          <w:iCs/>
          <w:sz w:val="22"/>
          <w:szCs w:val="22"/>
        </w:rPr>
        <w:t>em Representações Sociais</w:t>
      </w:r>
      <w:r w:rsidRPr="009A714A">
        <w:rPr>
          <w:rFonts w:ascii="Times New Roman" w:hAnsi="Times New Roman" w:cs="Times New Roman"/>
          <w:b/>
          <w:bCs/>
          <w:sz w:val="22"/>
          <w:szCs w:val="22"/>
        </w:rPr>
        <w:t>.</w:t>
      </w:r>
      <w:r w:rsidRPr="009A714A">
        <w:rPr>
          <w:rFonts w:ascii="Times New Roman" w:hAnsi="Times New Roman" w:cs="Times New Roman"/>
          <w:sz w:val="22"/>
          <w:szCs w:val="22"/>
        </w:rPr>
        <w:t>  </w:t>
      </w:r>
      <w:r w:rsidRPr="009A714A">
        <w:rPr>
          <w:rFonts w:ascii="Calibri" w:hAnsi="Calibri" w:cs="Calibri"/>
          <w:sz w:val="22"/>
          <w:szCs w:val="22"/>
        </w:rPr>
        <w:t> </w:t>
      </w:r>
      <w:r w:rsidRPr="009A714A">
        <w:rPr>
          <w:rFonts w:ascii="Times New Roman" w:hAnsi="Times New Roman" w:cs="Times New Roman"/>
          <w:sz w:val="22"/>
          <w:szCs w:val="22"/>
        </w:rPr>
        <w:t>Petrópolis: Vozes, p. 30-59.</w:t>
      </w:r>
    </w:p>
    <w:p w14:paraId="561CE2F0" w14:textId="77777777" w:rsidR="00EC69B1" w:rsidRPr="009A714A" w:rsidRDefault="00EC69B1" w:rsidP="009A714A">
      <w:pPr>
        <w:widowControl w:val="0"/>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Flament, C. (2001). Estrutura e dinâmica das representações sociais. In D. Jodelet (Org.). </w:t>
      </w:r>
      <w:r w:rsidRPr="009A714A">
        <w:rPr>
          <w:rFonts w:ascii="Times New Roman" w:hAnsi="Times New Roman" w:cs="Times New Roman"/>
          <w:i/>
          <w:iCs/>
          <w:sz w:val="22"/>
          <w:szCs w:val="22"/>
        </w:rPr>
        <w:t>As representações sociais.</w:t>
      </w:r>
      <w:r w:rsidRPr="009A714A">
        <w:rPr>
          <w:rFonts w:ascii="Times New Roman" w:hAnsi="Times New Roman" w:cs="Times New Roman"/>
          <w:sz w:val="22"/>
          <w:szCs w:val="22"/>
        </w:rPr>
        <w:t xml:space="preserve"> Rio de Janeiro: UERJ, p. 173-186.</w:t>
      </w:r>
    </w:p>
    <w:p w14:paraId="2D3AE7F5" w14:textId="77777777" w:rsidR="00EC69B1" w:rsidRPr="009A714A" w:rsidRDefault="00EC69B1" w:rsidP="009A714A">
      <w:pPr>
        <w:widowControl w:val="0"/>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Galli, I. (2006). </w:t>
      </w:r>
      <w:r w:rsidRPr="009A714A">
        <w:rPr>
          <w:rFonts w:ascii="Times New Roman" w:hAnsi="Times New Roman" w:cs="Times New Roman"/>
          <w:i/>
          <w:iCs/>
          <w:sz w:val="22"/>
          <w:szCs w:val="22"/>
        </w:rPr>
        <w:t>La teoria delle rappresentazioni sociali</w:t>
      </w:r>
      <w:r w:rsidRPr="009A714A">
        <w:rPr>
          <w:rFonts w:ascii="Times New Roman" w:hAnsi="Times New Roman" w:cs="Times New Roman"/>
          <w:sz w:val="22"/>
          <w:szCs w:val="22"/>
        </w:rPr>
        <w:t>. Bologna: Il Mulino.</w:t>
      </w:r>
    </w:p>
    <w:p w14:paraId="47E16284" w14:textId="77777777" w:rsidR="00EC69B1" w:rsidRPr="009A714A" w:rsidRDefault="00EC69B1" w:rsidP="009A714A">
      <w:pPr>
        <w:widowControl w:val="0"/>
        <w:autoSpaceDE w:val="0"/>
        <w:autoSpaceDN w:val="0"/>
        <w:adjustRightInd w:val="0"/>
        <w:ind w:left="555" w:right="145" w:hanging="569"/>
        <w:jc w:val="both"/>
        <w:rPr>
          <w:rFonts w:ascii="Times New Roman" w:hAnsi="Times New Roman" w:cs="Times New Roman"/>
          <w:i/>
          <w:iCs/>
          <w:sz w:val="22"/>
          <w:szCs w:val="22"/>
        </w:rPr>
      </w:pPr>
      <w:r w:rsidRPr="009A714A">
        <w:rPr>
          <w:rFonts w:ascii="Times New Roman" w:hAnsi="Times New Roman" w:cs="Times New Roman"/>
          <w:sz w:val="22"/>
          <w:szCs w:val="22"/>
        </w:rPr>
        <w:t xml:space="preserve">Gamboa, J. A. J., Tura, L. F. R., &amp; Bursztyn, I. (2009). Representações sociais do corpo em estudantes do ensino médio. In: </w:t>
      </w:r>
      <w:r w:rsidRPr="009A714A">
        <w:rPr>
          <w:rFonts w:ascii="Times New Roman" w:hAnsi="Times New Roman" w:cs="Times New Roman"/>
          <w:i/>
          <w:iCs/>
          <w:sz w:val="22"/>
          <w:szCs w:val="22"/>
        </w:rPr>
        <w:t>Anais IV Conferência Brasileira sobre representações sociais.</w:t>
      </w:r>
    </w:p>
    <w:p w14:paraId="2C8D4ADB" w14:textId="77777777" w:rsidR="00EC69B1" w:rsidRPr="009A714A" w:rsidRDefault="00EC69B1" w:rsidP="009A714A">
      <w:pPr>
        <w:widowControl w:val="0"/>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Golder, S. C., &amp; Wacy, M. W. (2013). Social media as a research environment.              </w:t>
      </w:r>
      <w:r w:rsidRPr="009A714A">
        <w:rPr>
          <w:rFonts w:ascii="Times New Roman" w:hAnsi="Times New Roman" w:cs="Times New Roman"/>
          <w:i/>
          <w:iCs/>
          <w:sz w:val="22"/>
          <w:szCs w:val="22"/>
        </w:rPr>
        <w:t xml:space="preserve">Cyberpsychology, behavior and social networks, </w:t>
      </w:r>
      <w:r w:rsidRPr="009A714A">
        <w:rPr>
          <w:rFonts w:ascii="Times New Roman" w:hAnsi="Times New Roman" w:cs="Times New Roman"/>
          <w:sz w:val="22"/>
          <w:szCs w:val="22"/>
        </w:rPr>
        <w:t>16 (9), 627-628.</w:t>
      </w:r>
    </w:p>
    <w:p w14:paraId="437D726C" w14:textId="77777777" w:rsidR="00EC69B1" w:rsidRPr="009A714A" w:rsidRDefault="00EC69B1" w:rsidP="009A714A">
      <w:pPr>
        <w:widowControl w:val="0"/>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Gosling, S. M.; Augustine, A. A.; Vazire, M. S. S.; Holtzman, N., &amp; Gaddis, S. (2011). Manifestations of personality in online social network: Self-reported facebook-related behaviors and observable profile information. </w:t>
      </w:r>
      <w:r w:rsidRPr="009A714A">
        <w:rPr>
          <w:rFonts w:ascii="Times New Roman" w:hAnsi="Times New Roman" w:cs="Times New Roman"/>
          <w:i/>
          <w:iCs/>
          <w:sz w:val="22"/>
          <w:szCs w:val="22"/>
        </w:rPr>
        <w:t xml:space="preserve">Cyberpsychology, behavior and social networks, </w:t>
      </w:r>
      <w:r w:rsidRPr="009A714A">
        <w:rPr>
          <w:rFonts w:ascii="Times New Roman" w:hAnsi="Times New Roman" w:cs="Times New Roman"/>
          <w:sz w:val="22"/>
          <w:szCs w:val="22"/>
        </w:rPr>
        <w:t>14 (9), 483-488.</w:t>
      </w:r>
    </w:p>
    <w:p w14:paraId="3E9B8249" w14:textId="77777777" w:rsidR="00EC69B1" w:rsidRPr="009A714A" w:rsidRDefault="00EC69B1" w:rsidP="009A714A">
      <w:pPr>
        <w:widowControl w:val="0"/>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Hamm, S. (2009). Online interest in UFC skyrockets while Nascar, NF land NHL fall. </w:t>
      </w:r>
      <w:r w:rsidRPr="009A714A">
        <w:rPr>
          <w:rFonts w:ascii="Times New Roman" w:hAnsi="Times New Roman" w:cs="Times New Roman"/>
          <w:i/>
          <w:iCs/>
          <w:sz w:val="22"/>
          <w:szCs w:val="22"/>
        </w:rPr>
        <w:t>Newswire</w:t>
      </w:r>
      <w:r w:rsidRPr="009A714A">
        <w:rPr>
          <w:rFonts w:ascii="Times New Roman" w:hAnsi="Times New Roman" w:cs="Times New Roman"/>
          <w:sz w:val="22"/>
          <w:szCs w:val="22"/>
        </w:rPr>
        <w:t>. Disponível em: &lt;</w:t>
      </w:r>
      <w:hyperlink r:id="rId6" w:history="1">
        <w:r w:rsidRPr="009A714A">
          <w:rPr>
            <w:rFonts w:ascii="Times New Roman" w:hAnsi="Times New Roman" w:cs="Times New Roman"/>
            <w:sz w:val="22"/>
            <w:szCs w:val="22"/>
            <w:u w:val="single"/>
          </w:rPr>
          <w:t>http://www.nielsen.com/us/en/newswire/2009/online-interest-in-ufc-skyrockets-while-nascar-nfl-and-nhl-fall-2.html</w:t>
        </w:r>
      </w:hyperlink>
      <w:r w:rsidRPr="009A714A">
        <w:rPr>
          <w:rFonts w:ascii="Times New Roman" w:hAnsi="Times New Roman" w:cs="Times New Roman"/>
          <w:sz w:val="22"/>
          <w:szCs w:val="22"/>
        </w:rPr>
        <w:t>&gt;. Acesso em: 02 de agosto de 2013.</w:t>
      </w:r>
    </w:p>
    <w:p w14:paraId="6EE1F752" w14:textId="77777777" w:rsidR="00EC69B1" w:rsidRPr="009A714A" w:rsidRDefault="00EC69B1" w:rsidP="009A714A">
      <w:pPr>
        <w:widowControl w:val="0"/>
        <w:autoSpaceDE w:val="0"/>
        <w:autoSpaceDN w:val="0"/>
        <w:adjustRightInd w:val="0"/>
        <w:ind w:left="555" w:right="3"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Interdonato, G. C., Miarka, B, Oliveira, A. R., &amp; Gordatti, M. G. (2008). Fatores motivacionais de atletas para a prática esportiva. </w:t>
      </w:r>
      <w:r w:rsidRPr="009A714A">
        <w:rPr>
          <w:rFonts w:ascii="Times New Roman" w:hAnsi="Times New Roman" w:cs="Times New Roman"/>
          <w:i/>
          <w:iCs/>
          <w:sz w:val="22"/>
          <w:szCs w:val="22"/>
        </w:rPr>
        <w:t>Motriz</w:t>
      </w:r>
      <w:r w:rsidRPr="009A714A">
        <w:rPr>
          <w:rFonts w:ascii="Times New Roman" w:hAnsi="Times New Roman" w:cs="Times New Roman"/>
          <w:sz w:val="22"/>
          <w:szCs w:val="22"/>
        </w:rPr>
        <w:t>, v.14, n.1, p.63-66.</w:t>
      </w:r>
    </w:p>
    <w:p w14:paraId="6DD9E598" w14:textId="77777777" w:rsidR="00EC69B1" w:rsidRPr="009A714A" w:rsidRDefault="00EC69B1" w:rsidP="009A714A">
      <w:pPr>
        <w:widowControl w:val="0"/>
        <w:autoSpaceDE w:val="0"/>
        <w:autoSpaceDN w:val="0"/>
        <w:adjustRightInd w:val="0"/>
        <w:ind w:left="540" w:right="145"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International Test Commission. (2006). International guidelines on computer-based and Internet-delivered testing. </w:t>
      </w:r>
      <w:r w:rsidRPr="009A714A">
        <w:rPr>
          <w:rFonts w:ascii="Times New Roman" w:hAnsi="Times New Roman" w:cs="Times New Roman"/>
          <w:i/>
          <w:iCs/>
          <w:sz w:val="22"/>
          <w:szCs w:val="22"/>
        </w:rPr>
        <w:t>International Journal of Testing</w:t>
      </w:r>
      <w:r w:rsidRPr="009A714A">
        <w:rPr>
          <w:rFonts w:ascii="Times New Roman" w:hAnsi="Times New Roman" w:cs="Times New Roman"/>
          <w:sz w:val="22"/>
          <w:szCs w:val="22"/>
        </w:rPr>
        <w:t xml:space="preserve">, </w:t>
      </w:r>
      <w:r w:rsidRPr="009A714A">
        <w:rPr>
          <w:rFonts w:ascii="Times New Roman" w:hAnsi="Times New Roman" w:cs="Times New Roman"/>
          <w:i/>
          <w:iCs/>
          <w:sz w:val="22"/>
          <w:szCs w:val="22"/>
        </w:rPr>
        <w:t>6</w:t>
      </w:r>
      <w:r w:rsidRPr="009A714A">
        <w:rPr>
          <w:rFonts w:ascii="Times New Roman" w:hAnsi="Times New Roman" w:cs="Times New Roman"/>
          <w:sz w:val="22"/>
          <w:szCs w:val="22"/>
        </w:rPr>
        <w:t>(2), 143-171. Retirado de http://www.intestcom.org/upload/sitefiles/62.pdf</w:t>
      </w:r>
    </w:p>
    <w:p w14:paraId="5B49EC22" w14:textId="77777777" w:rsidR="00EC69B1" w:rsidRPr="009A714A" w:rsidRDefault="00EC69B1" w:rsidP="009A714A">
      <w:pPr>
        <w:widowControl w:val="0"/>
        <w:autoSpaceDE w:val="0"/>
        <w:autoSpaceDN w:val="0"/>
        <w:adjustRightInd w:val="0"/>
        <w:ind w:left="567" w:right="3" w:hanging="569"/>
        <w:jc w:val="both"/>
        <w:rPr>
          <w:rFonts w:ascii="Calibri" w:hAnsi="Calibri" w:cs="Calibri"/>
          <w:sz w:val="22"/>
          <w:szCs w:val="22"/>
        </w:rPr>
      </w:pPr>
      <w:r w:rsidRPr="009A714A">
        <w:rPr>
          <w:rFonts w:ascii="Times New Roman" w:hAnsi="Times New Roman" w:cs="Times New Roman"/>
          <w:sz w:val="22"/>
          <w:szCs w:val="22"/>
        </w:rPr>
        <w:t xml:space="preserve">Jodelet, D. (2001) Representações sociais: um domínio em expansão. In D. Jodelet (Org.). </w:t>
      </w:r>
      <w:r w:rsidRPr="009A714A">
        <w:rPr>
          <w:rFonts w:ascii="Times New Roman" w:hAnsi="Times New Roman" w:cs="Times New Roman"/>
          <w:i/>
          <w:iCs/>
          <w:sz w:val="22"/>
          <w:szCs w:val="22"/>
        </w:rPr>
        <w:t>As representações sociais</w:t>
      </w:r>
      <w:r w:rsidRPr="009A714A">
        <w:rPr>
          <w:rFonts w:ascii="Times New Roman" w:hAnsi="Times New Roman" w:cs="Times New Roman"/>
          <w:sz w:val="22"/>
          <w:szCs w:val="22"/>
        </w:rPr>
        <w:t xml:space="preserve"> (pp. 17-44). Rio de Janeiro: UDUERJ.</w:t>
      </w:r>
    </w:p>
    <w:p w14:paraId="3DF4AE31" w14:textId="77777777" w:rsidR="00EC69B1" w:rsidRPr="009A714A" w:rsidRDefault="00EC69B1" w:rsidP="009A714A">
      <w:pPr>
        <w:widowControl w:val="0"/>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Jodelet, D., Ohana, J., Bessis-Moñino, C., &amp; Dannenmüller, E. (1982). Systeme de representation du corps et groupes sociaux (Tech. Rep. No. 1). Paris: École des Hautes Études en Sciences Sociales.  </w:t>
      </w:r>
    </w:p>
    <w:p w14:paraId="6ECB5F78" w14:textId="77777777" w:rsidR="00EC69B1" w:rsidRPr="009A714A" w:rsidRDefault="00EC69B1" w:rsidP="009A714A">
      <w:pPr>
        <w:widowControl w:val="0"/>
        <w:autoSpaceDE w:val="0"/>
        <w:autoSpaceDN w:val="0"/>
        <w:adjustRightInd w:val="0"/>
        <w:ind w:left="555" w:right="145" w:hanging="569"/>
        <w:jc w:val="both"/>
        <w:rPr>
          <w:rFonts w:ascii="Times New Roman" w:hAnsi="Times New Roman" w:cs="Times New Roman"/>
          <w:sz w:val="22"/>
          <w:szCs w:val="22"/>
        </w:rPr>
      </w:pPr>
      <w:r w:rsidRPr="009A714A">
        <w:rPr>
          <w:rFonts w:ascii="Times New Roman" w:hAnsi="Times New Roman" w:cs="Times New Roman"/>
          <w:sz w:val="22"/>
          <w:szCs w:val="22"/>
        </w:rPr>
        <w:lastRenderedPageBreak/>
        <w:t xml:space="preserve">Jones, M. V.; Coffee, P.; Sheffield, D.; Yangues, M. &amp; Barker, J. B. (2012) Just a game? Changes in English and Spanish soccer fans’ emotions in the 2010 World Cup. </w:t>
      </w:r>
      <w:r w:rsidRPr="009A714A">
        <w:rPr>
          <w:rFonts w:ascii="Times New Roman" w:hAnsi="Times New Roman" w:cs="Times New Roman"/>
          <w:i/>
          <w:iCs/>
          <w:sz w:val="22"/>
          <w:szCs w:val="22"/>
        </w:rPr>
        <w:t>Psychology of Sport and Exercise</w:t>
      </w:r>
      <w:r w:rsidRPr="009A714A">
        <w:rPr>
          <w:rFonts w:ascii="Times New Roman" w:hAnsi="Times New Roman" w:cs="Times New Roman"/>
          <w:sz w:val="22"/>
          <w:szCs w:val="22"/>
        </w:rPr>
        <w:t>, 13, 162-169.</w:t>
      </w:r>
    </w:p>
    <w:p w14:paraId="0B1A7E5A" w14:textId="77777777" w:rsidR="00EC69B1" w:rsidRPr="009A714A" w:rsidRDefault="00EC69B1" w:rsidP="009A714A">
      <w:pPr>
        <w:widowControl w:val="0"/>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Moscovici, S. (1976). </w:t>
      </w:r>
      <w:r w:rsidRPr="009A714A">
        <w:rPr>
          <w:rFonts w:ascii="Times New Roman" w:hAnsi="Times New Roman" w:cs="Times New Roman"/>
          <w:i/>
          <w:iCs/>
          <w:sz w:val="22"/>
          <w:szCs w:val="22"/>
        </w:rPr>
        <w:t>La psychanalyse, son image et son public.</w:t>
      </w:r>
      <w:r w:rsidRPr="009A714A">
        <w:rPr>
          <w:rFonts w:ascii="Times New Roman" w:hAnsi="Times New Roman" w:cs="Times New Roman"/>
          <w:sz w:val="22"/>
          <w:szCs w:val="22"/>
        </w:rPr>
        <w:t>Paris: PUF.</w:t>
      </w:r>
    </w:p>
    <w:p w14:paraId="126DEAA3" w14:textId="77777777" w:rsidR="00EC69B1" w:rsidRPr="009A714A" w:rsidRDefault="00EC69B1" w:rsidP="009A714A">
      <w:pPr>
        <w:widowControl w:val="0"/>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Moscovici, S. (2012). </w:t>
      </w:r>
      <w:r w:rsidRPr="009A714A">
        <w:rPr>
          <w:rFonts w:ascii="Times New Roman" w:hAnsi="Times New Roman" w:cs="Times New Roman"/>
          <w:i/>
          <w:iCs/>
          <w:sz w:val="22"/>
          <w:szCs w:val="22"/>
        </w:rPr>
        <w:t xml:space="preserve">A psicanálise, sua imagem e seu público. </w:t>
      </w:r>
      <w:r w:rsidRPr="009A714A">
        <w:rPr>
          <w:rFonts w:ascii="Times New Roman" w:hAnsi="Times New Roman" w:cs="Times New Roman"/>
          <w:sz w:val="22"/>
          <w:szCs w:val="22"/>
        </w:rPr>
        <w:t>Petrópolis: Vozes (originalmente publicado em 1961).</w:t>
      </w:r>
    </w:p>
    <w:p w14:paraId="1DCF1B93" w14:textId="77777777" w:rsidR="00EC69B1" w:rsidRPr="009A714A" w:rsidRDefault="00EC69B1" w:rsidP="009A714A">
      <w:pPr>
        <w:widowControl w:val="0"/>
        <w:tabs>
          <w:tab w:val="left" w:pos="993"/>
        </w:tabs>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Nunes, C. H. S. S. &amp; Primi, R. (2009). Teoria de Resposta ao Item: Conceitos e Aplicações na Psicologia e na Educação. In: C. S. Hutz. (Org.). </w:t>
      </w:r>
      <w:r w:rsidRPr="009A714A">
        <w:rPr>
          <w:rFonts w:ascii="Times New Roman" w:hAnsi="Times New Roman" w:cs="Times New Roman"/>
          <w:i/>
          <w:iCs/>
          <w:sz w:val="22"/>
          <w:szCs w:val="22"/>
        </w:rPr>
        <w:t>Avanços e polêmicas em avaliação psicológica</w:t>
      </w:r>
      <w:r w:rsidRPr="009A714A">
        <w:rPr>
          <w:rFonts w:ascii="Times New Roman" w:hAnsi="Times New Roman" w:cs="Times New Roman"/>
          <w:sz w:val="22"/>
          <w:szCs w:val="22"/>
        </w:rPr>
        <w:t xml:space="preserve"> (pp. 25-69). São Paulo: Casa do Psicólogo.</w:t>
      </w:r>
    </w:p>
    <w:p w14:paraId="2D619E43"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Oxford Dictionaries (2014). Acesso em: 23 de julho de 2014. Disponível em: &lt;http://www.oxforddictionaries.com/us/definition/american_english/social-network?q=social+network&gt;</w:t>
      </w:r>
    </w:p>
    <w:p w14:paraId="15012B3D"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Pasquali, L. (org). (2001). </w:t>
      </w:r>
      <w:r w:rsidRPr="009A714A">
        <w:rPr>
          <w:rFonts w:ascii="Times New Roman" w:hAnsi="Times New Roman" w:cs="Times New Roman"/>
          <w:i/>
          <w:iCs/>
          <w:sz w:val="22"/>
          <w:szCs w:val="22"/>
        </w:rPr>
        <w:t>Técnicas de Exame Psicológico – TEP – Manual</w:t>
      </w:r>
      <w:r w:rsidRPr="009A714A">
        <w:rPr>
          <w:rFonts w:ascii="Times New Roman" w:hAnsi="Times New Roman" w:cs="Times New Roman"/>
          <w:b/>
          <w:bCs/>
          <w:sz w:val="22"/>
          <w:szCs w:val="22"/>
        </w:rPr>
        <w:t>.</w:t>
      </w:r>
      <w:r w:rsidRPr="009A714A">
        <w:rPr>
          <w:rFonts w:ascii="Times New Roman" w:hAnsi="Times New Roman" w:cs="Times New Roman"/>
          <w:sz w:val="22"/>
          <w:szCs w:val="22"/>
        </w:rPr>
        <w:t xml:space="preserve"> São Paulo: Casa do psicólogo, Conselho Federal de Psicologia. </w:t>
      </w:r>
    </w:p>
    <w:p w14:paraId="68E46DCB"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Quercia, D.; Lambiotte, R.; Stillwell, D.; Kosinski, M. &amp;Crowcroft,, J. (2012). The Personality of popular Facebook users. </w:t>
      </w:r>
      <w:r w:rsidRPr="009A714A">
        <w:rPr>
          <w:rFonts w:ascii="Times New Roman" w:hAnsi="Times New Roman" w:cs="Times New Roman"/>
          <w:i/>
          <w:iCs/>
          <w:sz w:val="22"/>
          <w:szCs w:val="22"/>
        </w:rPr>
        <w:t>ACM Conference on Computer Supported Cooperative Work. Proceedings of the ACM 2012 Conference on Computer Supported Cooperative Work</w:t>
      </w:r>
      <w:r w:rsidRPr="009A714A">
        <w:rPr>
          <w:rFonts w:ascii="Times New Roman" w:hAnsi="Times New Roman" w:cs="Times New Roman"/>
          <w:sz w:val="22"/>
          <w:szCs w:val="22"/>
        </w:rPr>
        <w:t>, pp 955–964</w:t>
      </w:r>
    </w:p>
    <w:p w14:paraId="1E54EC26" w14:textId="77777777" w:rsidR="00EC69B1" w:rsidRPr="009A714A" w:rsidRDefault="00EC69B1" w:rsidP="009A714A">
      <w:pPr>
        <w:widowControl w:val="0"/>
        <w:tabs>
          <w:tab w:val="left" w:pos="993"/>
        </w:tabs>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Rubio, K (2001). </w:t>
      </w:r>
      <w:r w:rsidRPr="009A714A">
        <w:rPr>
          <w:rFonts w:ascii="Times New Roman" w:hAnsi="Times New Roman" w:cs="Times New Roman"/>
          <w:i/>
          <w:iCs/>
          <w:sz w:val="22"/>
          <w:szCs w:val="22"/>
        </w:rPr>
        <w:t>O atleta e o mito do herói:</w:t>
      </w:r>
      <w:r w:rsidRPr="009A714A">
        <w:rPr>
          <w:rFonts w:ascii="Times New Roman" w:hAnsi="Times New Roman" w:cs="Times New Roman"/>
          <w:sz w:val="22"/>
          <w:szCs w:val="22"/>
        </w:rPr>
        <w:t xml:space="preserve"> O imaginário esportivo espontâneo. São Paulo: Casa do Psicólogo.</w:t>
      </w:r>
    </w:p>
    <w:p w14:paraId="3AF43AC2" w14:textId="77777777" w:rsidR="00EC69B1" w:rsidRPr="009A714A" w:rsidRDefault="00EC69B1" w:rsidP="009A714A">
      <w:pPr>
        <w:widowControl w:val="0"/>
        <w:tabs>
          <w:tab w:val="left" w:pos="993"/>
        </w:tabs>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Rubio, K. (2006). O imaginário da derrota no esporte contemporâneo. </w:t>
      </w:r>
      <w:r w:rsidRPr="009A714A">
        <w:rPr>
          <w:rFonts w:ascii="Times New Roman" w:hAnsi="Times New Roman" w:cs="Times New Roman"/>
          <w:i/>
          <w:iCs/>
          <w:sz w:val="22"/>
          <w:szCs w:val="22"/>
        </w:rPr>
        <w:t>Psicologia &amp; Sáude</w:t>
      </w:r>
      <w:r w:rsidRPr="009A714A">
        <w:rPr>
          <w:rFonts w:ascii="Times New Roman" w:hAnsi="Times New Roman" w:cs="Times New Roman"/>
          <w:sz w:val="22"/>
          <w:szCs w:val="22"/>
        </w:rPr>
        <w:t>, v.18, n.1, p. 86-91.</w:t>
      </w:r>
    </w:p>
    <w:p w14:paraId="467EECDB" w14:textId="77777777" w:rsidR="00EC69B1" w:rsidRPr="009A714A" w:rsidRDefault="00EC69B1" w:rsidP="009A714A">
      <w:pPr>
        <w:widowControl w:val="0"/>
        <w:tabs>
          <w:tab w:val="left" w:pos="993"/>
        </w:tabs>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Sá, C. P. (1998).</w:t>
      </w:r>
      <w:r w:rsidRPr="009A714A">
        <w:rPr>
          <w:rFonts w:ascii="Times New Roman" w:hAnsi="Times New Roman" w:cs="Times New Roman"/>
          <w:i/>
          <w:iCs/>
          <w:sz w:val="22"/>
          <w:szCs w:val="22"/>
        </w:rPr>
        <w:t xml:space="preserve"> A construção do objeto de pesquisa em representações sociais. </w:t>
      </w:r>
      <w:r w:rsidRPr="009A714A">
        <w:rPr>
          <w:rFonts w:ascii="Times New Roman" w:hAnsi="Times New Roman" w:cs="Times New Roman"/>
          <w:sz w:val="22"/>
          <w:szCs w:val="22"/>
        </w:rPr>
        <w:t>Rio de Janeiro: UERJ.</w:t>
      </w:r>
    </w:p>
    <w:p w14:paraId="0E51793C"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Sá, C. P. (2001). </w:t>
      </w:r>
      <w:r w:rsidRPr="009A714A">
        <w:rPr>
          <w:rFonts w:ascii="Times New Roman" w:hAnsi="Times New Roman" w:cs="Times New Roman"/>
          <w:i/>
          <w:iCs/>
          <w:sz w:val="22"/>
          <w:szCs w:val="22"/>
        </w:rPr>
        <w:t>Núcleo central das representações sociais.</w:t>
      </w:r>
      <w:r w:rsidRPr="009A714A">
        <w:rPr>
          <w:rFonts w:ascii="Times New Roman" w:hAnsi="Times New Roman" w:cs="Times New Roman"/>
          <w:sz w:val="22"/>
          <w:szCs w:val="22"/>
        </w:rPr>
        <w:t>2ª ed. Rio de Janeiro: Vozes.</w:t>
      </w:r>
    </w:p>
    <w:p w14:paraId="66A4A6F2" w14:textId="77777777" w:rsidR="00EC69B1" w:rsidRPr="009A714A" w:rsidRDefault="00EC69B1" w:rsidP="009A714A">
      <w:pPr>
        <w:widowControl w:val="0"/>
        <w:tabs>
          <w:tab w:val="left" w:pos="993"/>
        </w:tabs>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Santos, D.S. &amp; Medeiros, A. G. A.  (2009). O discurso midiático e as representações sociais do esporte: o atleta como modelo de comportamento. </w:t>
      </w:r>
      <w:r w:rsidRPr="009A714A">
        <w:rPr>
          <w:rFonts w:ascii="Times New Roman" w:hAnsi="Times New Roman" w:cs="Times New Roman"/>
          <w:i/>
          <w:iCs/>
          <w:sz w:val="22"/>
          <w:szCs w:val="22"/>
        </w:rPr>
        <w:t>Revista Pensar a Prática</w:t>
      </w:r>
      <w:r w:rsidRPr="009A714A">
        <w:rPr>
          <w:rFonts w:ascii="Times New Roman" w:hAnsi="Times New Roman" w:cs="Times New Roman"/>
          <w:sz w:val="22"/>
          <w:szCs w:val="22"/>
        </w:rPr>
        <w:t>, v. 12, n.3, p.1-11.</w:t>
      </w:r>
    </w:p>
    <w:p w14:paraId="55A57BF0" w14:textId="77777777" w:rsidR="00EC69B1" w:rsidRPr="009A714A" w:rsidRDefault="00EC69B1" w:rsidP="009A714A">
      <w:pPr>
        <w:widowControl w:val="0"/>
        <w:tabs>
          <w:tab w:val="left" w:pos="993"/>
        </w:tabs>
        <w:autoSpaceDE w:val="0"/>
        <w:autoSpaceDN w:val="0"/>
        <w:adjustRightInd w:val="0"/>
        <w:ind w:left="555" w:right="3" w:hanging="569"/>
        <w:jc w:val="both"/>
        <w:rPr>
          <w:rFonts w:ascii="Calibri" w:hAnsi="Calibri" w:cs="Calibri"/>
          <w:sz w:val="22"/>
          <w:szCs w:val="22"/>
        </w:rPr>
      </w:pPr>
      <w:r w:rsidRPr="009A714A">
        <w:rPr>
          <w:rFonts w:ascii="Times New Roman" w:hAnsi="Times New Roman" w:cs="Times New Roman"/>
          <w:sz w:val="22"/>
          <w:szCs w:val="22"/>
        </w:rPr>
        <w:t xml:space="preserve">Shohat, E., &amp; Stam, R. (1996). </w:t>
      </w:r>
      <w:r w:rsidRPr="009A714A">
        <w:rPr>
          <w:rFonts w:ascii="Times New Roman" w:hAnsi="Times New Roman" w:cs="Times New Roman"/>
          <w:i/>
          <w:iCs/>
          <w:sz w:val="22"/>
          <w:szCs w:val="22"/>
        </w:rPr>
        <w:t>Unthinking eurocentrism: Multiculturalism and the media</w:t>
      </w:r>
      <w:r w:rsidRPr="009A714A">
        <w:rPr>
          <w:rFonts w:ascii="Times New Roman" w:hAnsi="Times New Roman" w:cs="Times New Roman"/>
          <w:sz w:val="22"/>
          <w:szCs w:val="22"/>
        </w:rPr>
        <w:t>. New York: Routledge.</w:t>
      </w:r>
    </w:p>
    <w:p w14:paraId="489080DA"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  Silva, M.L. &amp; Rúbio, K. (2003). Superação no esporte: limites individuais ou sociais? </w:t>
      </w:r>
      <w:r w:rsidRPr="009A714A">
        <w:rPr>
          <w:rFonts w:ascii="Times New Roman" w:hAnsi="Times New Roman" w:cs="Times New Roman"/>
          <w:i/>
          <w:iCs/>
          <w:sz w:val="22"/>
          <w:szCs w:val="22"/>
        </w:rPr>
        <w:t>Revista Portuguesa de Ciências do Desporto</w:t>
      </w:r>
      <w:r w:rsidRPr="009A714A">
        <w:rPr>
          <w:rFonts w:ascii="Times New Roman" w:hAnsi="Times New Roman" w:cs="Times New Roman"/>
          <w:sz w:val="22"/>
          <w:szCs w:val="22"/>
        </w:rPr>
        <w:t>, 3 (3), 69-76.</w:t>
      </w:r>
    </w:p>
    <w:p w14:paraId="6AABFCCA"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Statistic Brain (2013). Facebook statistics. Disponível em: &lt;</w:t>
      </w:r>
      <w:hyperlink r:id="rId7" w:history="1">
        <w:r w:rsidRPr="009A714A">
          <w:rPr>
            <w:rFonts w:ascii="Times New Roman" w:hAnsi="Times New Roman" w:cs="Times New Roman"/>
            <w:sz w:val="22"/>
            <w:szCs w:val="22"/>
            <w:u w:val="single"/>
          </w:rPr>
          <w:t>http://www.statisticbrain.com/facebook-statistics/</w:t>
        </w:r>
      </w:hyperlink>
      <w:r w:rsidRPr="009A714A">
        <w:rPr>
          <w:rFonts w:ascii="Times New Roman" w:hAnsi="Times New Roman" w:cs="Times New Roman"/>
          <w:sz w:val="22"/>
          <w:szCs w:val="22"/>
        </w:rPr>
        <w:t>&gt;. Acesso em: 25 de setembro de 2013.</w:t>
      </w:r>
    </w:p>
    <w:p w14:paraId="630DCA2A"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Testa, A. F. (2008). Super-homens, narcisos do ringue e cultura da violência. </w:t>
      </w:r>
      <w:r w:rsidRPr="009A714A">
        <w:rPr>
          <w:rFonts w:ascii="Times New Roman" w:hAnsi="Times New Roman" w:cs="Times New Roman"/>
          <w:i/>
          <w:iCs/>
          <w:sz w:val="22"/>
          <w:szCs w:val="22"/>
        </w:rPr>
        <w:t>Educação física em revista</w:t>
      </w:r>
      <w:r w:rsidRPr="009A714A">
        <w:rPr>
          <w:rFonts w:ascii="Times New Roman" w:hAnsi="Times New Roman" w:cs="Times New Roman"/>
          <w:sz w:val="22"/>
          <w:szCs w:val="22"/>
        </w:rPr>
        <w:t>, v.2, n.1.</w:t>
      </w:r>
    </w:p>
    <w:p w14:paraId="2311A5F8" w14:textId="77777777" w:rsidR="00EC69B1" w:rsidRPr="009A714A" w:rsidRDefault="00EC69B1" w:rsidP="009A714A">
      <w:pPr>
        <w:widowControl w:val="0"/>
        <w:tabs>
          <w:tab w:val="left" w:pos="993"/>
        </w:tabs>
        <w:autoSpaceDE w:val="0"/>
        <w:autoSpaceDN w:val="0"/>
        <w:adjustRightInd w:val="0"/>
        <w:ind w:left="555" w:right="145" w:hanging="569"/>
        <w:jc w:val="both"/>
        <w:rPr>
          <w:rFonts w:ascii="Times New Roman" w:hAnsi="Times New Roman" w:cs="Times New Roman"/>
          <w:sz w:val="22"/>
          <w:szCs w:val="22"/>
        </w:rPr>
      </w:pPr>
      <w:r w:rsidRPr="009A714A">
        <w:rPr>
          <w:rFonts w:ascii="Times New Roman" w:hAnsi="Times New Roman" w:cs="Times New Roman"/>
          <w:sz w:val="22"/>
          <w:szCs w:val="22"/>
        </w:rPr>
        <w:t xml:space="preserve">Vala, J. (2004). Representações sociais: Para uma psicologia social do pensamento social. In J. Vala &amp; M. B. Monteiro. </w:t>
      </w:r>
      <w:r w:rsidRPr="009A714A">
        <w:rPr>
          <w:rFonts w:ascii="Times New Roman" w:hAnsi="Times New Roman" w:cs="Times New Roman"/>
          <w:i/>
          <w:iCs/>
          <w:sz w:val="22"/>
          <w:szCs w:val="22"/>
        </w:rPr>
        <w:t>Psicologia Social</w:t>
      </w:r>
      <w:r w:rsidRPr="009A714A">
        <w:rPr>
          <w:rFonts w:ascii="Times New Roman" w:hAnsi="Times New Roman" w:cs="Times New Roman"/>
          <w:sz w:val="22"/>
          <w:szCs w:val="22"/>
        </w:rPr>
        <w:t>. 2a ed. (353-384). Lisboa: Fundação Calouste Gulbenkian.</w:t>
      </w:r>
    </w:p>
    <w:p w14:paraId="7718E678" w14:textId="77777777" w:rsidR="00EC69B1" w:rsidRPr="009A714A" w:rsidRDefault="00EC69B1" w:rsidP="009A714A">
      <w:pPr>
        <w:widowControl w:val="0"/>
        <w:tabs>
          <w:tab w:val="left" w:pos="993"/>
        </w:tabs>
        <w:autoSpaceDE w:val="0"/>
        <w:autoSpaceDN w:val="0"/>
        <w:adjustRightInd w:val="0"/>
        <w:ind w:left="555" w:right="145" w:hanging="569"/>
        <w:jc w:val="both"/>
        <w:rPr>
          <w:rFonts w:ascii="Times New Roman" w:hAnsi="Times New Roman" w:cs="Times New Roman"/>
          <w:i/>
          <w:iCs/>
          <w:sz w:val="22"/>
          <w:szCs w:val="22"/>
        </w:rPr>
      </w:pPr>
      <w:r w:rsidRPr="009A714A">
        <w:rPr>
          <w:rFonts w:ascii="Times New Roman" w:hAnsi="Times New Roman" w:cs="Times New Roman"/>
          <w:sz w:val="22"/>
          <w:szCs w:val="22"/>
        </w:rPr>
        <w:t xml:space="preserve">Vergès, P. (2006). Ensemble de programmes permettant l’analyse des évocations, EVOC2005. Aix em Provence: </w:t>
      </w:r>
      <w:r w:rsidRPr="009A714A">
        <w:rPr>
          <w:rFonts w:ascii="Times New Roman" w:hAnsi="Times New Roman" w:cs="Times New Roman"/>
          <w:i/>
          <w:iCs/>
          <w:sz w:val="22"/>
          <w:szCs w:val="22"/>
        </w:rPr>
        <w:t>Manuel d’utilsateur.</w:t>
      </w:r>
    </w:p>
    <w:p w14:paraId="114E7F76" w14:textId="77777777" w:rsidR="00EC69B1" w:rsidRPr="009A714A" w:rsidRDefault="00EC69B1" w:rsidP="009A714A">
      <w:pPr>
        <w:widowControl w:val="0"/>
        <w:tabs>
          <w:tab w:val="left" w:pos="993"/>
        </w:tabs>
        <w:autoSpaceDE w:val="0"/>
        <w:autoSpaceDN w:val="0"/>
        <w:adjustRightInd w:val="0"/>
        <w:ind w:left="555" w:right="145" w:hanging="569"/>
        <w:jc w:val="both"/>
        <w:rPr>
          <w:rFonts w:ascii="Calibri" w:hAnsi="Calibri" w:cs="Calibri"/>
          <w:sz w:val="22"/>
          <w:szCs w:val="22"/>
        </w:rPr>
      </w:pPr>
      <w:r w:rsidRPr="009A714A">
        <w:rPr>
          <w:rFonts w:ascii="Times New Roman" w:hAnsi="Times New Roman" w:cs="Times New Roman"/>
          <w:sz w:val="22"/>
          <w:szCs w:val="22"/>
        </w:rPr>
        <w:t xml:space="preserve">Wang, N.; Kosinski, M.; Stillwell, D. J. &amp; Rust, J. (2012). Can well-being be measured using facebook status updates? Validation of Facebook’s Gross National Happiness Index. </w:t>
      </w:r>
      <w:r w:rsidRPr="009A714A">
        <w:rPr>
          <w:rFonts w:ascii="Times New Roman" w:hAnsi="Times New Roman" w:cs="Times New Roman"/>
          <w:i/>
          <w:iCs/>
          <w:sz w:val="22"/>
          <w:szCs w:val="22"/>
        </w:rPr>
        <w:t>Social Indicators Research.</w:t>
      </w:r>
    </w:p>
    <w:p w14:paraId="0B7C7AB5" w14:textId="77777777" w:rsidR="00EC69B1" w:rsidRPr="009A714A" w:rsidRDefault="00EC69B1" w:rsidP="009A714A">
      <w:pPr>
        <w:widowControl w:val="0"/>
        <w:autoSpaceDE w:val="0"/>
        <w:autoSpaceDN w:val="0"/>
        <w:adjustRightInd w:val="0"/>
        <w:ind w:left="540" w:right="145" w:hanging="540"/>
        <w:rPr>
          <w:rFonts w:ascii="Times New Roman" w:hAnsi="Times New Roman" w:cs="Times New Roman"/>
          <w:sz w:val="22"/>
          <w:szCs w:val="22"/>
        </w:rPr>
      </w:pPr>
    </w:p>
    <w:p w14:paraId="417C2501" w14:textId="77777777" w:rsidR="00EC69B1" w:rsidRPr="009A714A" w:rsidRDefault="00EC69B1" w:rsidP="009A714A">
      <w:pPr>
        <w:widowControl w:val="0"/>
        <w:autoSpaceDE w:val="0"/>
        <w:autoSpaceDN w:val="0"/>
        <w:adjustRightInd w:val="0"/>
        <w:ind w:right="145"/>
        <w:jc w:val="both"/>
        <w:rPr>
          <w:rFonts w:ascii="Calibri" w:hAnsi="Calibri" w:cs="Calibri"/>
          <w:sz w:val="22"/>
          <w:szCs w:val="22"/>
        </w:rPr>
      </w:pPr>
    </w:p>
    <w:p w14:paraId="52A47A7E" w14:textId="77777777" w:rsidR="00A75D02" w:rsidRPr="009A714A" w:rsidRDefault="00A75D02" w:rsidP="009A714A">
      <w:pPr>
        <w:rPr>
          <w:sz w:val="22"/>
          <w:szCs w:val="22"/>
        </w:rPr>
      </w:pPr>
    </w:p>
    <w:sectPr w:rsidR="00A75D02" w:rsidRPr="009A714A" w:rsidSect="007A1AF7">
      <w:headerReference w:type="even" r:id="rId8"/>
      <w:headerReference w:type="default" r:id="rId9"/>
      <w:headerReference w:type="first" r:id="rId10"/>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4004E" w14:textId="77777777" w:rsidR="007A1AF7" w:rsidRDefault="007A1AF7" w:rsidP="007A1AF7">
      <w:r>
        <w:separator/>
      </w:r>
    </w:p>
  </w:endnote>
  <w:endnote w:type="continuationSeparator" w:id="0">
    <w:p w14:paraId="7B35D612" w14:textId="77777777" w:rsidR="007A1AF7" w:rsidRDefault="007A1AF7" w:rsidP="007A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1E896" w14:textId="77777777" w:rsidR="007A1AF7" w:rsidRDefault="007A1AF7" w:rsidP="007A1AF7">
      <w:r>
        <w:separator/>
      </w:r>
    </w:p>
  </w:footnote>
  <w:footnote w:type="continuationSeparator" w:id="0">
    <w:p w14:paraId="56E1A448" w14:textId="77777777" w:rsidR="007A1AF7" w:rsidRDefault="007A1AF7" w:rsidP="007A1AF7">
      <w:r>
        <w:continuationSeparator/>
      </w:r>
    </w:p>
  </w:footnote>
  <w:footnote w:id="1">
    <w:p w14:paraId="402A99A8" w14:textId="77777777" w:rsidR="000A316A" w:rsidRPr="000A316A" w:rsidRDefault="000A316A" w:rsidP="000A316A">
      <w:pPr>
        <w:widowControl w:val="0"/>
        <w:autoSpaceDE w:val="0"/>
        <w:autoSpaceDN w:val="0"/>
        <w:adjustRightInd w:val="0"/>
        <w:ind w:right="145"/>
        <w:jc w:val="both"/>
        <w:rPr>
          <w:rFonts w:ascii="Times" w:hAnsi="Times" w:cs="Calibri"/>
          <w:sz w:val="16"/>
          <w:szCs w:val="16"/>
        </w:rPr>
      </w:pPr>
      <w:r w:rsidRPr="000A316A">
        <w:rPr>
          <w:rStyle w:val="FootnoteReference"/>
          <w:rFonts w:ascii="Times" w:hAnsi="Times"/>
          <w:sz w:val="16"/>
          <w:szCs w:val="16"/>
        </w:rPr>
        <w:footnoteRef/>
      </w:r>
      <w:r w:rsidRPr="000A316A">
        <w:rPr>
          <w:rFonts w:ascii="Times" w:hAnsi="Times"/>
          <w:sz w:val="16"/>
          <w:szCs w:val="16"/>
        </w:rPr>
        <w:t xml:space="preserve"> </w:t>
      </w:r>
      <w:r w:rsidRPr="000A316A">
        <w:rPr>
          <w:rFonts w:ascii="Times" w:hAnsi="Times" w:cs="Times New Roman"/>
          <w:sz w:val="16"/>
          <w:szCs w:val="16"/>
        </w:rPr>
        <w:t>Correspondence: Ana Carla Crispim, School of Psychology, Keynes College, University of Kent, Canterbury, Kent, Reino Unido, CT27NP. Email: anacarlacrispim@gmail.com. Telefone: (+44) 0122782(3181).</w:t>
      </w:r>
    </w:p>
    <w:p w14:paraId="054B04A1" w14:textId="75E3D335" w:rsidR="000A316A" w:rsidRDefault="000A316A">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0626" w14:textId="01317E5C" w:rsidR="000A316A" w:rsidRPr="000A316A" w:rsidRDefault="000A316A" w:rsidP="000A316A">
    <w:pPr>
      <w:pStyle w:val="Header"/>
      <w:jc w:val="center"/>
      <w:rPr>
        <w:smallCaps/>
        <w:sz w:val="20"/>
      </w:rPr>
    </w:pPr>
    <w:r w:rsidRPr="000A316A">
      <w:rPr>
        <w:rFonts w:ascii="Times New Roman" w:hAnsi="Times New Roman" w:cs="Times New Roman"/>
        <w:b/>
        <w:smallCaps/>
        <w:sz w:val="20"/>
        <w:szCs w:val="28"/>
      </w:rPr>
      <w:t>Crispim</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EF5D0" w14:textId="77777777" w:rsidR="007A1AF7" w:rsidRPr="00757369" w:rsidRDefault="007A1AF7" w:rsidP="007A1AF7">
    <w:pPr>
      <w:pStyle w:val="Header"/>
      <w:jc w:val="right"/>
      <w:rPr>
        <w:rFonts w:ascii="Times" w:hAnsi="Times"/>
        <w:i/>
        <w:sz w:val="16"/>
        <w:szCs w:val="16"/>
      </w:rPr>
    </w:pPr>
    <w:r>
      <w:rPr>
        <w:noProof/>
      </w:rPr>
      <w:drawing>
        <wp:anchor distT="0" distB="0" distL="114300" distR="114300" simplePos="0" relativeHeight="251659264" behindDoc="0" locked="0" layoutInCell="1" allowOverlap="1" wp14:anchorId="0EA2CD0D" wp14:editId="16A13561">
          <wp:simplePos x="0" y="0"/>
          <wp:positionH relativeFrom="column">
            <wp:posOffset>153035</wp:posOffset>
          </wp:positionH>
          <wp:positionV relativeFrom="paragraph">
            <wp:posOffset>-149225</wp:posOffset>
          </wp:positionV>
          <wp:extent cx="694690" cy="756285"/>
          <wp:effectExtent l="0" t="0" r="0" b="5715"/>
          <wp:wrapNone/>
          <wp:docPr id="3" name="Picture 3"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369">
      <w:rPr>
        <w:rFonts w:ascii="Times" w:hAnsi="Times"/>
        <w:b/>
        <w:i/>
        <w:sz w:val="16"/>
        <w:szCs w:val="16"/>
      </w:rPr>
      <w:t>Revista Interamericana de Psicologia/Interamerican Journal of Psychology (IJP</w:t>
    </w:r>
    <w:r w:rsidRPr="00757369">
      <w:rPr>
        <w:rFonts w:ascii="Times" w:hAnsi="Times"/>
        <w:i/>
        <w:sz w:val="16"/>
        <w:szCs w:val="16"/>
      </w:rPr>
      <w:t>)</w:t>
    </w:r>
  </w:p>
  <w:p w14:paraId="35A8EC54" w14:textId="754B9AB1" w:rsidR="007A1AF7" w:rsidRPr="00757369" w:rsidRDefault="007A1AF7" w:rsidP="007A1AF7">
    <w:pPr>
      <w:pStyle w:val="Header"/>
      <w:jc w:val="right"/>
      <w:rPr>
        <w:rFonts w:ascii="Times" w:hAnsi="Times"/>
        <w:sz w:val="16"/>
        <w:szCs w:val="16"/>
      </w:rPr>
    </w:pPr>
    <w:r>
      <w:rPr>
        <w:rFonts w:ascii="Times" w:hAnsi="Times"/>
        <w:i/>
        <w:sz w:val="16"/>
        <w:szCs w:val="16"/>
      </w:rPr>
      <w:t>2015</w:t>
    </w:r>
    <w:r w:rsidRPr="00757369">
      <w:rPr>
        <w:rFonts w:ascii="Times" w:hAnsi="Times"/>
        <w:i/>
        <w:sz w:val="16"/>
        <w:szCs w:val="16"/>
      </w:rPr>
      <w:t>, Vol.</w:t>
    </w:r>
    <w:r w:rsidR="0012342B">
      <w:rPr>
        <w:rFonts w:ascii="Times" w:hAnsi="Times"/>
        <w:i/>
        <w:sz w:val="16"/>
        <w:szCs w:val="16"/>
      </w:rPr>
      <w:t>, 49, No. 3, pp. 309-325</w:t>
    </w:r>
    <w:r w:rsidRPr="00757369">
      <w:rPr>
        <w:rFonts w:ascii="Times" w:hAnsi="Times"/>
        <w:i/>
        <w:sz w:val="16"/>
        <w:szCs w:val="16"/>
      </w:rPr>
      <w:t xml:space="preserve"> </w:t>
    </w:r>
  </w:p>
  <w:p w14:paraId="2C7F1C19" w14:textId="77777777" w:rsidR="007A1AF7" w:rsidRDefault="007A1AF7" w:rsidP="007A1AF7">
    <w:pPr>
      <w:pStyle w:val="Header"/>
    </w:pPr>
  </w:p>
  <w:p w14:paraId="2365ACCC" w14:textId="77777777" w:rsidR="007A1AF7" w:rsidRDefault="007A1AF7" w:rsidP="007A1AF7">
    <w:pPr>
      <w:pStyle w:val="Header"/>
    </w:pPr>
  </w:p>
  <w:p w14:paraId="0D9B6E67" w14:textId="77777777" w:rsidR="007A1AF7" w:rsidRDefault="007A1AF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6228D" w14:textId="77777777" w:rsidR="007A1AF7" w:rsidRPr="00757369" w:rsidRDefault="007A1AF7" w:rsidP="007A1AF7">
    <w:pPr>
      <w:pStyle w:val="Header"/>
      <w:jc w:val="right"/>
      <w:rPr>
        <w:rFonts w:ascii="Times" w:hAnsi="Times"/>
        <w:i/>
        <w:sz w:val="16"/>
        <w:szCs w:val="16"/>
      </w:rPr>
    </w:pPr>
    <w:r>
      <w:rPr>
        <w:noProof/>
      </w:rPr>
      <w:drawing>
        <wp:anchor distT="0" distB="0" distL="114300" distR="114300" simplePos="0" relativeHeight="251661312" behindDoc="0" locked="0" layoutInCell="1" allowOverlap="1" wp14:anchorId="7465B1F1" wp14:editId="7C686AD3">
          <wp:simplePos x="0" y="0"/>
          <wp:positionH relativeFrom="column">
            <wp:posOffset>153035</wp:posOffset>
          </wp:positionH>
          <wp:positionV relativeFrom="paragraph">
            <wp:posOffset>-149225</wp:posOffset>
          </wp:positionV>
          <wp:extent cx="694690" cy="756285"/>
          <wp:effectExtent l="0" t="0" r="0" b="5715"/>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369">
      <w:rPr>
        <w:rFonts w:ascii="Times" w:hAnsi="Times"/>
        <w:b/>
        <w:i/>
        <w:sz w:val="16"/>
        <w:szCs w:val="16"/>
      </w:rPr>
      <w:t>Revista Interamericana de Psicologia/Interamerican Journal of Psychology (IJP</w:t>
    </w:r>
    <w:r w:rsidRPr="00757369">
      <w:rPr>
        <w:rFonts w:ascii="Times" w:hAnsi="Times"/>
        <w:i/>
        <w:sz w:val="16"/>
        <w:szCs w:val="16"/>
      </w:rPr>
      <w:t>)</w:t>
    </w:r>
  </w:p>
  <w:p w14:paraId="12F86B9E" w14:textId="68FEA61A" w:rsidR="007A1AF7" w:rsidRPr="00757369" w:rsidRDefault="007A1AF7" w:rsidP="007A1AF7">
    <w:pPr>
      <w:pStyle w:val="Header"/>
      <w:jc w:val="right"/>
      <w:rPr>
        <w:rFonts w:ascii="Times" w:hAnsi="Times"/>
        <w:sz w:val="16"/>
        <w:szCs w:val="16"/>
      </w:rPr>
    </w:pPr>
    <w:r>
      <w:rPr>
        <w:rFonts w:ascii="Times" w:hAnsi="Times"/>
        <w:i/>
        <w:sz w:val="16"/>
        <w:szCs w:val="16"/>
      </w:rPr>
      <w:t>2015</w:t>
    </w:r>
    <w:r w:rsidRPr="00757369">
      <w:rPr>
        <w:rFonts w:ascii="Times" w:hAnsi="Times"/>
        <w:i/>
        <w:sz w:val="16"/>
        <w:szCs w:val="16"/>
      </w:rPr>
      <w:t>, Vol.</w:t>
    </w:r>
    <w:r w:rsidR="000A316A">
      <w:rPr>
        <w:rFonts w:ascii="Times" w:hAnsi="Times"/>
        <w:i/>
        <w:sz w:val="16"/>
        <w:szCs w:val="16"/>
      </w:rPr>
      <w:t>, 49, No. 3, pp. 309-325</w:t>
    </w:r>
    <w:r w:rsidRPr="00757369">
      <w:rPr>
        <w:rFonts w:ascii="Times" w:hAnsi="Times"/>
        <w:i/>
        <w:sz w:val="16"/>
        <w:szCs w:val="16"/>
      </w:rPr>
      <w:t xml:space="preserve"> </w:t>
    </w:r>
  </w:p>
  <w:p w14:paraId="5F45518E" w14:textId="77777777" w:rsidR="007A1AF7" w:rsidRDefault="007A1AF7" w:rsidP="007A1AF7">
    <w:pPr>
      <w:pStyle w:val="Header"/>
    </w:pPr>
  </w:p>
  <w:p w14:paraId="0156A788" w14:textId="77777777" w:rsidR="007A1AF7" w:rsidRDefault="007A1AF7" w:rsidP="007A1AF7">
    <w:pPr>
      <w:pStyle w:val="Header"/>
    </w:pPr>
  </w:p>
  <w:p w14:paraId="6E297587" w14:textId="77777777" w:rsidR="007A1AF7" w:rsidRDefault="007A1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evenAndOddHeaders/>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B1"/>
    <w:rsid w:val="000A316A"/>
    <w:rsid w:val="0012342B"/>
    <w:rsid w:val="00377568"/>
    <w:rsid w:val="0054517A"/>
    <w:rsid w:val="005B5525"/>
    <w:rsid w:val="007A1AF7"/>
    <w:rsid w:val="008729F6"/>
    <w:rsid w:val="0087493D"/>
    <w:rsid w:val="009A714A"/>
    <w:rsid w:val="00A75D02"/>
    <w:rsid w:val="00EC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AFA7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AF7"/>
    <w:pPr>
      <w:tabs>
        <w:tab w:val="center" w:pos="4680"/>
        <w:tab w:val="right" w:pos="9360"/>
      </w:tabs>
    </w:pPr>
  </w:style>
  <w:style w:type="character" w:customStyle="1" w:styleId="HeaderChar">
    <w:name w:val="Header Char"/>
    <w:basedOn w:val="DefaultParagraphFont"/>
    <w:link w:val="Header"/>
    <w:uiPriority w:val="99"/>
    <w:rsid w:val="007A1AF7"/>
  </w:style>
  <w:style w:type="paragraph" w:styleId="Footer">
    <w:name w:val="footer"/>
    <w:basedOn w:val="Normal"/>
    <w:link w:val="FooterChar"/>
    <w:uiPriority w:val="99"/>
    <w:unhideWhenUsed/>
    <w:rsid w:val="007A1AF7"/>
    <w:pPr>
      <w:tabs>
        <w:tab w:val="center" w:pos="4680"/>
        <w:tab w:val="right" w:pos="9360"/>
      </w:tabs>
    </w:pPr>
  </w:style>
  <w:style w:type="character" w:customStyle="1" w:styleId="FooterChar">
    <w:name w:val="Footer Char"/>
    <w:basedOn w:val="DefaultParagraphFont"/>
    <w:link w:val="Footer"/>
    <w:uiPriority w:val="99"/>
    <w:rsid w:val="007A1AF7"/>
  </w:style>
  <w:style w:type="paragraph" w:styleId="FootnoteText">
    <w:name w:val="footnote text"/>
    <w:basedOn w:val="Normal"/>
    <w:link w:val="FootnoteTextChar"/>
    <w:uiPriority w:val="99"/>
    <w:unhideWhenUsed/>
    <w:rsid w:val="000A316A"/>
  </w:style>
  <w:style w:type="character" w:customStyle="1" w:styleId="FootnoteTextChar">
    <w:name w:val="Footnote Text Char"/>
    <w:basedOn w:val="DefaultParagraphFont"/>
    <w:link w:val="FootnoteText"/>
    <w:uiPriority w:val="99"/>
    <w:rsid w:val="000A316A"/>
  </w:style>
  <w:style w:type="character" w:styleId="FootnoteReference">
    <w:name w:val="footnote reference"/>
    <w:basedOn w:val="DefaultParagraphFont"/>
    <w:uiPriority w:val="99"/>
    <w:unhideWhenUsed/>
    <w:rsid w:val="000A31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nielsen.com/us/en/newswire/2009/online-interest-in-ufc-skyrockets-while-nascar-nfl-and-nhl-fall-2.html" TargetMode="External"/><Relationship Id="rId7" Type="http://schemas.openxmlformats.org/officeDocument/2006/relationships/hyperlink" Target="http://www.statisticbrain.com/facebook-statistics/"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5538</Words>
  <Characters>31569</Characters>
  <Application>Microsoft Macintosh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 Torres Rivera</dc:creator>
  <cp:keywords/>
  <dc:description/>
  <cp:lastModifiedBy>Edil Torres Rivera</cp:lastModifiedBy>
  <cp:revision>3</cp:revision>
  <cp:lastPrinted>2016-06-08T16:46:00Z</cp:lastPrinted>
  <dcterms:created xsi:type="dcterms:W3CDTF">2016-06-08T16:46:00Z</dcterms:created>
  <dcterms:modified xsi:type="dcterms:W3CDTF">2016-06-08T16:46:00Z</dcterms:modified>
</cp:coreProperties>
</file>