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DAF65" w14:textId="77777777" w:rsidR="00A30A72" w:rsidRDefault="00A30A72" w:rsidP="00FE11BE">
      <w:pPr>
        <w:spacing w:after="160"/>
        <w:jc w:val="center"/>
        <w:rPr>
          <w:rStyle w:val="hps"/>
          <w:rFonts w:eastAsia="Arial,Arial,Calibri"/>
          <w:b/>
          <w:color w:val="000000" w:themeColor="text1"/>
          <w:lang w:val="es-ES_tradnl"/>
        </w:rPr>
      </w:pPr>
      <w:r w:rsidRPr="00A30A72">
        <w:rPr>
          <w:rStyle w:val="hps"/>
          <w:rFonts w:eastAsia="Arial,Arial,Calibri"/>
          <w:b/>
          <w:color w:val="000000" w:themeColor="text1"/>
          <w:lang w:val="es-ES_tradnl"/>
        </w:rPr>
        <w:t>Resumen</w:t>
      </w:r>
    </w:p>
    <w:p w14:paraId="3F9E9932" w14:textId="56B2A0D6" w:rsidR="00A30A72" w:rsidRPr="00A30A72" w:rsidRDefault="00A30A72" w:rsidP="00FE11BE">
      <w:pPr>
        <w:spacing w:after="160"/>
        <w:jc w:val="both"/>
        <w:rPr>
          <w:rStyle w:val="hps"/>
          <w:rFonts w:eastAsia="Arial,Arial,Calibri"/>
          <w:color w:val="000000" w:themeColor="text1"/>
          <w:lang w:val="es-ES_tradnl"/>
        </w:rPr>
      </w:pPr>
      <w:r w:rsidRPr="00A30A72">
        <w:rPr>
          <w:rStyle w:val="hps"/>
          <w:rFonts w:eastAsia="Arial,Arial,Calibri"/>
          <w:color w:val="000000" w:themeColor="text1"/>
          <w:lang w:val="es-ES_tradnl"/>
        </w:rPr>
        <w:t xml:space="preserve">El desempeño social de los individuos se ve influido por las expectativas que las personas tienen sobre el resultado de su conducta, </w:t>
      </w:r>
      <w:r w:rsidR="00FF5FA1">
        <w:rPr>
          <w:rStyle w:val="hps"/>
          <w:rFonts w:eastAsia="Arial,Arial,Calibri"/>
          <w:color w:val="000000" w:themeColor="text1"/>
          <w:lang w:val="es-ES_tradnl"/>
        </w:rPr>
        <w:t xml:space="preserve">ya que estas permiten </w:t>
      </w:r>
      <w:r w:rsidRPr="00A30A72">
        <w:rPr>
          <w:rStyle w:val="hps"/>
          <w:rFonts w:eastAsia="Arial,Arial,Calibri"/>
          <w:color w:val="000000" w:themeColor="text1"/>
          <w:lang w:val="es-ES_tradnl"/>
        </w:rPr>
        <w:t>anticipar</w:t>
      </w:r>
      <w:r w:rsidR="00FF5FA1">
        <w:rPr>
          <w:rStyle w:val="hps"/>
          <w:rFonts w:eastAsia="Arial,Arial,Calibri"/>
          <w:color w:val="000000" w:themeColor="text1"/>
          <w:lang w:val="es-ES_tradnl"/>
        </w:rPr>
        <w:t xml:space="preserve"> e</w:t>
      </w:r>
      <w:r w:rsidRPr="00A30A72">
        <w:rPr>
          <w:rStyle w:val="hps"/>
          <w:rFonts w:eastAsia="Arial,Arial,Calibri"/>
          <w:color w:val="000000" w:themeColor="text1"/>
          <w:lang w:val="es-ES_tradnl"/>
        </w:rPr>
        <w:t xml:space="preserve">l futuro y </w:t>
      </w:r>
      <w:r w:rsidR="005A3E3B">
        <w:rPr>
          <w:rStyle w:val="hps"/>
          <w:rFonts w:eastAsia="Arial,Arial,Calibri"/>
          <w:color w:val="000000" w:themeColor="text1"/>
          <w:lang w:val="es-ES_tradnl"/>
        </w:rPr>
        <w:t>planificar cursos de acción</w:t>
      </w:r>
      <w:r w:rsidRPr="00A30A72">
        <w:rPr>
          <w:rStyle w:val="hps"/>
          <w:rFonts w:eastAsia="Arial,Arial,Calibri"/>
          <w:color w:val="000000" w:themeColor="text1"/>
          <w:lang w:val="es-ES_tradnl"/>
        </w:rPr>
        <w:t xml:space="preserve">. Las expectativas de rechazo social </w:t>
      </w:r>
      <w:r w:rsidR="00FF5FA1">
        <w:rPr>
          <w:rStyle w:val="hps"/>
          <w:rFonts w:eastAsia="Arial,Arial,Calibri"/>
          <w:color w:val="000000" w:themeColor="text1"/>
          <w:lang w:val="es-ES_tradnl"/>
        </w:rPr>
        <w:t>han sido</w:t>
      </w:r>
      <w:r w:rsidR="00FF5FA1" w:rsidRPr="00A30A72">
        <w:rPr>
          <w:rStyle w:val="hps"/>
          <w:rFonts w:eastAsia="Arial,Arial,Calibri"/>
          <w:color w:val="000000" w:themeColor="text1"/>
          <w:lang w:val="es-ES_tradnl"/>
        </w:rPr>
        <w:t xml:space="preserve"> </w:t>
      </w:r>
      <w:r w:rsidRPr="00A30A72">
        <w:rPr>
          <w:rStyle w:val="hps"/>
          <w:rFonts w:eastAsia="Arial,Arial,Calibri"/>
          <w:color w:val="000000" w:themeColor="text1"/>
          <w:lang w:val="es-ES_tradnl"/>
        </w:rPr>
        <w:t xml:space="preserve">definidas como pensamientos que anticipan la posibilidad de ser rechazado en una situación interpersonal y </w:t>
      </w:r>
      <w:r w:rsidR="00FF5FA1">
        <w:rPr>
          <w:rStyle w:val="hps"/>
          <w:rFonts w:eastAsia="Arial,Arial,Calibri"/>
          <w:color w:val="000000" w:themeColor="text1"/>
          <w:lang w:val="es-ES_tradnl"/>
        </w:rPr>
        <w:t xml:space="preserve">cuando son muy frecuentes </w:t>
      </w:r>
      <w:r w:rsidRPr="00A30A72">
        <w:rPr>
          <w:rStyle w:val="hps"/>
          <w:rFonts w:eastAsia="Arial,Arial,Calibri"/>
          <w:color w:val="000000" w:themeColor="text1"/>
          <w:lang w:val="es-ES_tradnl"/>
        </w:rPr>
        <w:t>pueden traer aparejado un sinnúmero de dificultades en la vida social de las personas. El objetivo de este estudio fue construir la Escala de Expectativas de Rechazo Social (ERS) para población adulta. En primer lugar, se confeccionaron 51 ítems preliminares que fueron sometidos a juicio de expertos (N = 6) para obtener evidencia de validez de contenido. En segundo lugar, utilizando muestreo accidental, se llevó a cabo un análisis factorial exploratorio (N = 320) y confirmatorio (N= 458). Como resultado se obtuvo una escala final compuesta por 27 ítems distribuidos en tres factores interpretados como Expectativas de rechazo ante situaciones con vínculos establecidos, Expectativas de rechazo en situaciones de establecimiento de nuevos vínculos y Expectativas de rechazo en lugares públicos y ante desconocidos.</w:t>
      </w:r>
      <w:r>
        <w:rPr>
          <w:rStyle w:val="hps"/>
          <w:rFonts w:eastAsia="Arial,Arial,Calibri"/>
          <w:color w:val="000000" w:themeColor="text1"/>
          <w:lang w:val="es-ES_tradnl"/>
        </w:rPr>
        <w:t xml:space="preserve"> S</w:t>
      </w:r>
      <w:r w:rsidRPr="00A30A72">
        <w:rPr>
          <w:rStyle w:val="hps"/>
          <w:rFonts w:eastAsia="Arial,Arial,Calibri"/>
          <w:color w:val="000000" w:themeColor="text1"/>
          <w:lang w:val="es-ES_tradnl"/>
        </w:rPr>
        <w:t xml:space="preserve">e evaluó la consistencia interna de la escala, obteniendo coeficientes muy buenos y excelentes para cada factor (de .71 a .88). </w:t>
      </w:r>
      <w:r>
        <w:rPr>
          <w:rStyle w:val="hps"/>
          <w:rFonts w:eastAsia="Arial,Arial,Calibri"/>
          <w:color w:val="000000" w:themeColor="text1"/>
          <w:lang w:val="es-ES_tradnl"/>
        </w:rPr>
        <w:t xml:space="preserve">Finalmente, se obtuvieron correlaciones positivas significativas entre las escalas del test y diferentes medidas de ansiedad social. </w:t>
      </w:r>
      <w:r w:rsidRPr="00A30A72">
        <w:rPr>
          <w:rStyle w:val="hps"/>
          <w:rFonts w:eastAsia="Arial,Arial,Calibri"/>
          <w:color w:val="000000" w:themeColor="text1"/>
          <w:lang w:val="es-ES_tradnl"/>
        </w:rPr>
        <w:t xml:space="preserve">Se puede concluir que la ERS es un instrumento válido y confiable para la evaluación de las expectativas de rechazo social en población </w:t>
      </w:r>
      <w:r w:rsidR="00056EC9">
        <w:rPr>
          <w:rStyle w:val="hps"/>
          <w:rFonts w:eastAsia="Arial,Arial,Calibri"/>
          <w:color w:val="000000" w:themeColor="text1"/>
          <w:lang w:val="es-ES_tradnl"/>
        </w:rPr>
        <w:t>adulta</w:t>
      </w:r>
      <w:r w:rsidRPr="00A30A72">
        <w:rPr>
          <w:rStyle w:val="hps"/>
          <w:rFonts w:eastAsia="Arial,Arial,Calibri"/>
          <w:color w:val="000000" w:themeColor="text1"/>
          <w:lang w:val="es-ES_tradnl"/>
        </w:rPr>
        <w:t xml:space="preserve">, resultando una herramienta </w:t>
      </w:r>
      <w:r w:rsidR="00FF5FA1">
        <w:rPr>
          <w:rStyle w:val="hps"/>
          <w:rFonts w:eastAsia="Arial,Arial,Calibri"/>
          <w:color w:val="000000" w:themeColor="text1"/>
          <w:lang w:val="es-ES_tradnl"/>
        </w:rPr>
        <w:t xml:space="preserve">de utilidad </w:t>
      </w:r>
      <w:r w:rsidRPr="00A30A72">
        <w:rPr>
          <w:rStyle w:val="hps"/>
          <w:rFonts w:eastAsia="Arial,Arial,Calibri"/>
          <w:color w:val="000000" w:themeColor="text1"/>
          <w:lang w:val="es-ES_tradnl"/>
        </w:rPr>
        <w:t xml:space="preserve">en investigación y diagnóstico. </w:t>
      </w:r>
    </w:p>
    <w:p w14:paraId="4267F565" w14:textId="77777777" w:rsidR="00A30A72" w:rsidRPr="009C6622" w:rsidRDefault="00A30A72" w:rsidP="00FE11BE">
      <w:pPr>
        <w:spacing w:after="160"/>
        <w:jc w:val="both"/>
        <w:rPr>
          <w:rStyle w:val="hps"/>
          <w:rFonts w:eastAsia="Arial,Arial,Calibri"/>
          <w:color w:val="000000" w:themeColor="text1"/>
          <w:lang w:val="en-US"/>
        </w:rPr>
      </w:pPr>
      <w:r w:rsidRPr="009C6622">
        <w:rPr>
          <w:rStyle w:val="hps"/>
          <w:rFonts w:eastAsia="Arial,Arial,Calibri"/>
          <w:color w:val="000000" w:themeColor="text1"/>
          <w:lang w:val="en-US"/>
        </w:rPr>
        <w:t xml:space="preserve">Palabras clave: </w:t>
      </w:r>
      <w:proofErr w:type="spellStart"/>
      <w:r w:rsidRPr="009C6622">
        <w:rPr>
          <w:rStyle w:val="hps"/>
          <w:rFonts w:eastAsia="Arial,Arial,Calibri"/>
          <w:color w:val="000000" w:themeColor="text1"/>
          <w:lang w:val="en-US"/>
        </w:rPr>
        <w:t>expectativas</w:t>
      </w:r>
      <w:proofErr w:type="spellEnd"/>
      <w:r w:rsidRPr="009C6622">
        <w:rPr>
          <w:rStyle w:val="hps"/>
          <w:rFonts w:eastAsia="Arial,Arial,Calibri"/>
          <w:color w:val="000000" w:themeColor="text1"/>
          <w:lang w:val="en-US"/>
        </w:rPr>
        <w:t xml:space="preserve"> de </w:t>
      </w:r>
      <w:proofErr w:type="spellStart"/>
      <w:r w:rsidRPr="009C6622">
        <w:rPr>
          <w:rStyle w:val="hps"/>
          <w:rFonts w:eastAsia="Arial,Arial,Calibri"/>
          <w:color w:val="000000" w:themeColor="text1"/>
          <w:lang w:val="en-US"/>
        </w:rPr>
        <w:t>rechazo</w:t>
      </w:r>
      <w:proofErr w:type="spellEnd"/>
      <w:r w:rsidRPr="009C6622">
        <w:rPr>
          <w:rStyle w:val="hps"/>
          <w:rFonts w:eastAsia="Arial,Arial,Calibri"/>
          <w:color w:val="000000" w:themeColor="text1"/>
          <w:lang w:val="en-US"/>
        </w:rPr>
        <w:t xml:space="preserve"> social- </w:t>
      </w:r>
      <w:proofErr w:type="spellStart"/>
      <w:r w:rsidRPr="009C6622">
        <w:rPr>
          <w:rStyle w:val="hps"/>
          <w:rFonts w:eastAsia="Arial,Arial,Calibri"/>
          <w:color w:val="000000" w:themeColor="text1"/>
          <w:lang w:val="en-US"/>
        </w:rPr>
        <w:t>desempeño</w:t>
      </w:r>
      <w:proofErr w:type="spellEnd"/>
      <w:r w:rsidRPr="009C6622">
        <w:rPr>
          <w:rStyle w:val="hps"/>
          <w:rFonts w:eastAsia="Arial,Arial,Calibri"/>
          <w:color w:val="000000" w:themeColor="text1"/>
          <w:lang w:val="en-US"/>
        </w:rPr>
        <w:t xml:space="preserve"> interpersonal- </w:t>
      </w:r>
      <w:proofErr w:type="spellStart"/>
      <w:r w:rsidRPr="009C6622">
        <w:rPr>
          <w:rStyle w:val="hps"/>
          <w:rFonts w:eastAsia="Arial,Arial,Calibri"/>
          <w:color w:val="000000" w:themeColor="text1"/>
          <w:lang w:val="en-US"/>
        </w:rPr>
        <w:t>adultos</w:t>
      </w:r>
      <w:proofErr w:type="spellEnd"/>
      <w:r w:rsidRPr="009C6622">
        <w:rPr>
          <w:rStyle w:val="hps"/>
          <w:rFonts w:eastAsia="Arial,Arial,Calibri"/>
          <w:color w:val="000000" w:themeColor="text1"/>
          <w:lang w:val="en-US"/>
        </w:rPr>
        <w:t xml:space="preserve"> </w:t>
      </w:r>
      <w:proofErr w:type="spellStart"/>
      <w:r w:rsidRPr="009C6622">
        <w:rPr>
          <w:rStyle w:val="hps"/>
          <w:rFonts w:eastAsia="Arial,Arial,Calibri"/>
          <w:color w:val="000000" w:themeColor="text1"/>
          <w:lang w:val="en-US"/>
        </w:rPr>
        <w:t>argentinos</w:t>
      </w:r>
      <w:proofErr w:type="spellEnd"/>
      <w:r w:rsidRPr="009C6622">
        <w:rPr>
          <w:rStyle w:val="hps"/>
          <w:rFonts w:eastAsia="Arial,Arial,Calibri"/>
          <w:color w:val="000000" w:themeColor="text1"/>
          <w:lang w:val="en-US"/>
        </w:rPr>
        <w:t>.</w:t>
      </w:r>
    </w:p>
    <w:p w14:paraId="471CAE87" w14:textId="2368205F" w:rsidR="00AC7577" w:rsidRPr="00303EA9" w:rsidRDefault="00AC7577" w:rsidP="00AC7577">
      <w:pPr>
        <w:spacing w:after="160"/>
        <w:jc w:val="center"/>
        <w:rPr>
          <w:rStyle w:val="hps"/>
          <w:rFonts w:eastAsia="Arial,Arial,Calibri"/>
          <w:color w:val="000000" w:themeColor="text1"/>
          <w:lang w:val="en-GB"/>
        </w:rPr>
      </w:pPr>
      <w:r w:rsidRPr="00303EA9">
        <w:rPr>
          <w:rStyle w:val="hps"/>
          <w:rFonts w:eastAsia="Arial,Arial,Calibri"/>
          <w:b/>
          <w:color w:val="000000" w:themeColor="text1"/>
          <w:lang w:val="en-GB"/>
        </w:rPr>
        <w:t>Abstract</w:t>
      </w:r>
    </w:p>
    <w:p w14:paraId="5D4BC04B" w14:textId="37C5CAE2" w:rsidR="00684CB3" w:rsidRDefault="00684CB3" w:rsidP="00AC7577">
      <w:pPr>
        <w:spacing w:after="160"/>
        <w:jc w:val="both"/>
        <w:rPr>
          <w:rStyle w:val="hps"/>
          <w:rFonts w:eastAsia="Arial,Arial,Calibri"/>
          <w:color w:val="000000" w:themeColor="text1"/>
          <w:lang w:val="en-GB"/>
        </w:rPr>
      </w:pPr>
      <w:r w:rsidRPr="00684CB3">
        <w:rPr>
          <w:rStyle w:val="hps"/>
          <w:rFonts w:eastAsia="Arial,Arial,Calibri"/>
          <w:color w:val="000000" w:themeColor="text1"/>
          <w:lang w:val="en-GB"/>
        </w:rPr>
        <w:t xml:space="preserve">The social performance of individuals is influenced by the expectations that people have about the outcome of their </w:t>
      </w:r>
      <w:proofErr w:type="spellStart"/>
      <w:r w:rsidRPr="00684CB3">
        <w:rPr>
          <w:rStyle w:val="hps"/>
          <w:rFonts w:eastAsia="Arial,Arial,Calibri"/>
          <w:color w:val="000000" w:themeColor="text1"/>
          <w:lang w:val="en-GB"/>
        </w:rPr>
        <w:t>behavior</w:t>
      </w:r>
      <w:proofErr w:type="spellEnd"/>
      <w:r w:rsidRPr="00684CB3">
        <w:rPr>
          <w:rStyle w:val="hps"/>
          <w:rFonts w:eastAsia="Arial,Arial,Calibri"/>
          <w:color w:val="000000" w:themeColor="text1"/>
          <w:lang w:val="en-GB"/>
        </w:rPr>
        <w:t>, since these allow us to anticipate the future and plan courses of action. The expectations of social rejection have been defined as thoughts that anticipate the possibility of being rejected in an interpersonal situation</w:t>
      </w:r>
      <w:r>
        <w:rPr>
          <w:rStyle w:val="hps"/>
          <w:rFonts w:eastAsia="Arial,Arial,Calibri"/>
          <w:color w:val="000000" w:themeColor="text1"/>
          <w:lang w:val="en-GB"/>
        </w:rPr>
        <w:t xml:space="preserve">. When they are </w:t>
      </w:r>
      <w:r w:rsidRPr="00684CB3">
        <w:rPr>
          <w:rStyle w:val="hps"/>
          <w:rFonts w:eastAsia="Arial,Arial,Calibri"/>
          <w:color w:val="000000" w:themeColor="text1"/>
          <w:lang w:val="en-GB"/>
        </w:rPr>
        <w:t xml:space="preserve">frequent can bring a number of difficulties in the social life of people. The </w:t>
      </w:r>
      <w:r>
        <w:rPr>
          <w:rStyle w:val="hps"/>
          <w:rFonts w:eastAsia="Arial,Arial,Calibri"/>
          <w:color w:val="000000" w:themeColor="text1"/>
          <w:lang w:val="en-GB"/>
        </w:rPr>
        <w:t>aim</w:t>
      </w:r>
      <w:r w:rsidRPr="00684CB3">
        <w:rPr>
          <w:rStyle w:val="hps"/>
          <w:rFonts w:eastAsia="Arial,Arial,Calibri"/>
          <w:color w:val="000000" w:themeColor="text1"/>
          <w:lang w:val="en-GB"/>
        </w:rPr>
        <w:t xml:space="preserve"> of this study was to build the Social Rejection Expectations Scale (</w:t>
      </w:r>
      <w:r>
        <w:rPr>
          <w:rStyle w:val="hps"/>
          <w:rFonts w:eastAsia="Arial,Arial,Calibri"/>
          <w:color w:val="000000" w:themeColor="text1"/>
          <w:lang w:val="en-GB"/>
        </w:rPr>
        <w:t>SRE</w:t>
      </w:r>
      <w:r w:rsidRPr="00684CB3">
        <w:rPr>
          <w:rStyle w:val="hps"/>
          <w:rFonts w:eastAsia="Arial,Arial,Calibri"/>
          <w:color w:val="000000" w:themeColor="text1"/>
          <w:lang w:val="en-GB"/>
        </w:rPr>
        <w:t xml:space="preserve">) for the adult population. First, 51 preliminary items were submitted to expert judgment (N = 6) to obtain evidence of content validity. Second, using an accidental sampling, an exploratory (N = 320) and confirmatory factor analysis (N = 458) was performed. As a result, a final scale was obtained, consisting of 27 items distributed in three factors </w:t>
      </w:r>
      <w:r>
        <w:rPr>
          <w:rStyle w:val="hps"/>
          <w:rFonts w:eastAsia="Arial,Arial,Calibri"/>
          <w:color w:val="000000" w:themeColor="text1"/>
          <w:lang w:val="en-GB"/>
        </w:rPr>
        <w:t>named</w:t>
      </w:r>
      <w:r w:rsidRPr="00684CB3">
        <w:rPr>
          <w:rStyle w:val="hps"/>
          <w:rFonts w:eastAsia="Arial,Arial,Calibri"/>
          <w:color w:val="000000" w:themeColor="text1"/>
          <w:lang w:val="en-GB"/>
        </w:rPr>
        <w:t xml:space="preserve"> as Expectations of rejection in situations with </w:t>
      </w:r>
      <w:r>
        <w:rPr>
          <w:rStyle w:val="hps"/>
          <w:rFonts w:eastAsia="Arial,Arial,Calibri"/>
          <w:color w:val="000000" w:themeColor="text1"/>
          <w:lang w:val="en-GB"/>
        </w:rPr>
        <w:t>known people</w:t>
      </w:r>
      <w:r w:rsidRPr="00684CB3">
        <w:rPr>
          <w:rStyle w:val="hps"/>
          <w:rFonts w:eastAsia="Arial,Arial,Calibri"/>
          <w:color w:val="000000" w:themeColor="text1"/>
          <w:lang w:val="en-GB"/>
        </w:rPr>
        <w:t xml:space="preserve">, Expectations of rejection in situations of establishment of new </w:t>
      </w:r>
      <w:r>
        <w:rPr>
          <w:rStyle w:val="hps"/>
          <w:rFonts w:eastAsia="Arial,Arial,Calibri"/>
          <w:color w:val="000000" w:themeColor="text1"/>
          <w:lang w:val="en-GB"/>
        </w:rPr>
        <w:t>relationships</w:t>
      </w:r>
      <w:r w:rsidRPr="00684CB3">
        <w:rPr>
          <w:rStyle w:val="hps"/>
          <w:rFonts w:eastAsia="Arial,Arial,Calibri"/>
          <w:color w:val="000000" w:themeColor="text1"/>
          <w:lang w:val="en-GB"/>
        </w:rPr>
        <w:t xml:space="preserve"> and Expectations of rejection in public places and </w:t>
      </w:r>
      <w:r>
        <w:rPr>
          <w:rStyle w:val="hps"/>
          <w:rFonts w:eastAsia="Arial,Arial,Calibri"/>
          <w:color w:val="000000" w:themeColor="text1"/>
          <w:lang w:val="en-GB"/>
        </w:rPr>
        <w:t>with</w:t>
      </w:r>
      <w:r w:rsidRPr="00684CB3">
        <w:rPr>
          <w:rStyle w:val="hps"/>
          <w:rFonts w:eastAsia="Arial,Arial,Calibri"/>
          <w:color w:val="000000" w:themeColor="text1"/>
          <w:lang w:val="en-GB"/>
        </w:rPr>
        <w:t xml:space="preserve"> unknown</w:t>
      </w:r>
      <w:r>
        <w:rPr>
          <w:rStyle w:val="hps"/>
          <w:rFonts w:eastAsia="Arial,Arial,Calibri"/>
          <w:color w:val="000000" w:themeColor="text1"/>
          <w:lang w:val="en-GB"/>
        </w:rPr>
        <w:t xml:space="preserve"> people</w:t>
      </w:r>
      <w:r w:rsidRPr="00684CB3">
        <w:rPr>
          <w:rStyle w:val="hps"/>
          <w:rFonts w:eastAsia="Arial,Arial,Calibri"/>
          <w:color w:val="000000" w:themeColor="text1"/>
          <w:lang w:val="en-GB"/>
        </w:rPr>
        <w:t>. The internal consistency of the scale was evaluated, ob</w:t>
      </w:r>
      <w:r w:rsidR="00124834">
        <w:rPr>
          <w:rStyle w:val="hps"/>
          <w:rFonts w:eastAsia="Arial,Arial,Calibri"/>
          <w:color w:val="000000" w:themeColor="text1"/>
          <w:lang w:val="en-GB"/>
        </w:rPr>
        <w:t>taining very good and excellent</w:t>
      </w:r>
      <w:r>
        <w:rPr>
          <w:rStyle w:val="hps"/>
          <w:rFonts w:eastAsia="Arial,Arial,Calibri"/>
          <w:color w:val="000000" w:themeColor="text1"/>
          <w:lang w:val="en-GB"/>
        </w:rPr>
        <w:t xml:space="preserve"> </w:t>
      </w:r>
      <w:r w:rsidRPr="00684CB3">
        <w:rPr>
          <w:rStyle w:val="hps"/>
          <w:rFonts w:eastAsia="Arial,Arial,Calibri"/>
          <w:color w:val="000000" w:themeColor="text1"/>
          <w:lang w:val="en-GB"/>
        </w:rPr>
        <w:t>coefficients for each factor (from .71 to .88). Finally, significant positive correlations were obtained between the scales of the test and different measures of social anxiety. It can be concluded that the SR</w:t>
      </w:r>
      <w:r>
        <w:rPr>
          <w:rStyle w:val="hps"/>
          <w:rFonts w:eastAsia="Arial,Arial,Calibri"/>
          <w:color w:val="000000" w:themeColor="text1"/>
          <w:lang w:val="en-GB"/>
        </w:rPr>
        <w:t>E</w:t>
      </w:r>
      <w:r w:rsidRPr="00684CB3">
        <w:rPr>
          <w:rStyle w:val="hps"/>
          <w:rFonts w:eastAsia="Arial,Arial,Calibri"/>
          <w:color w:val="000000" w:themeColor="text1"/>
          <w:lang w:val="en-GB"/>
        </w:rPr>
        <w:t xml:space="preserve"> is a valid and reliable instrument for the evaluation of expectations of social rejection in the adult population, being a useful tool in research and diagnosis.</w:t>
      </w:r>
    </w:p>
    <w:p w14:paraId="4ED7C7E6" w14:textId="66C74973" w:rsidR="00AC7577" w:rsidRPr="00684CB3" w:rsidRDefault="00684CB3" w:rsidP="00684CB3">
      <w:pPr>
        <w:spacing w:after="160"/>
        <w:jc w:val="both"/>
        <w:rPr>
          <w:rStyle w:val="hps"/>
          <w:rFonts w:eastAsia="Arial,Arial,Calibri"/>
          <w:color w:val="000000" w:themeColor="text1"/>
          <w:lang w:val="en-GB"/>
        </w:rPr>
      </w:pPr>
      <w:r w:rsidRPr="00684CB3">
        <w:rPr>
          <w:rStyle w:val="hps"/>
          <w:rFonts w:eastAsia="Arial,Arial,Calibri"/>
          <w:color w:val="000000" w:themeColor="text1"/>
          <w:lang w:val="en-GB"/>
        </w:rPr>
        <w:t>Key-words</w:t>
      </w:r>
      <w:r w:rsidR="00AC7577" w:rsidRPr="00684CB3">
        <w:rPr>
          <w:rStyle w:val="hps"/>
          <w:rFonts w:eastAsia="Arial,Arial,Calibri"/>
          <w:color w:val="000000" w:themeColor="text1"/>
          <w:lang w:val="en-GB"/>
        </w:rPr>
        <w:t xml:space="preserve">: </w:t>
      </w:r>
      <w:r w:rsidRPr="00684CB3">
        <w:rPr>
          <w:rStyle w:val="hps"/>
          <w:rFonts w:eastAsia="Arial,Arial,Calibri"/>
          <w:color w:val="000000" w:themeColor="text1"/>
          <w:lang w:val="en-GB"/>
        </w:rPr>
        <w:t>expectations of social rejection - interpersonal performance - Argentine</w:t>
      </w:r>
      <w:r>
        <w:rPr>
          <w:rStyle w:val="hps"/>
          <w:rFonts w:eastAsia="Arial,Arial,Calibri"/>
          <w:color w:val="000000" w:themeColor="text1"/>
          <w:lang w:val="en-GB"/>
        </w:rPr>
        <w:t>an</w:t>
      </w:r>
      <w:r w:rsidRPr="00684CB3">
        <w:rPr>
          <w:rStyle w:val="hps"/>
          <w:rFonts w:eastAsia="Arial,Arial,Calibri"/>
          <w:color w:val="000000" w:themeColor="text1"/>
          <w:lang w:val="en-GB"/>
        </w:rPr>
        <w:t xml:space="preserve"> adults.</w:t>
      </w:r>
    </w:p>
    <w:p w14:paraId="75BE9E47" w14:textId="0659AD94" w:rsidR="00684CB3" w:rsidRDefault="00684CB3" w:rsidP="00FE11BE">
      <w:pPr>
        <w:spacing w:after="160"/>
        <w:rPr>
          <w:rStyle w:val="hps"/>
          <w:rFonts w:eastAsia="Arial,Arial,Calibri"/>
          <w:color w:val="000000" w:themeColor="text1"/>
          <w:lang w:val="en-GB"/>
        </w:rPr>
      </w:pPr>
    </w:p>
    <w:p w14:paraId="3964B05A" w14:textId="77777777" w:rsidR="00684CB3" w:rsidRPr="00684CB3" w:rsidRDefault="00684CB3" w:rsidP="00FE11BE">
      <w:pPr>
        <w:spacing w:after="160"/>
        <w:rPr>
          <w:rStyle w:val="hps"/>
          <w:rFonts w:eastAsia="Arial,Arial,Calibri"/>
          <w:color w:val="000000" w:themeColor="text1"/>
          <w:lang w:val="en-GB"/>
        </w:rPr>
      </w:pPr>
    </w:p>
    <w:p w14:paraId="0409BE38" w14:textId="4BA05C18" w:rsidR="00AC7577" w:rsidRPr="00303EA9" w:rsidRDefault="00AC7577" w:rsidP="00AC7577">
      <w:pPr>
        <w:pStyle w:val="Sangradetextonormal"/>
        <w:ind w:firstLine="0"/>
        <w:jc w:val="center"/>
        <w:rPr>
          <w:b/>
          <w:szCs w:val="24"/>
          <w:lang w:val="es-AR"/>
        </w:rPr>
      </w:pPr>
      <w:r w:rsidRPr="00303EA9">
        <w:rPr>
          <w:b/>
          <w:szCs w:val="24"/>
          <w:lang w:val="es-AR"/>
        </w:rPr>
        <w:lastRenderedPageBreak/>
        <w:t xml:space="preserve">Introducción </w:t>
      </w:r>
    </w:p>
    <w:p w14:paraId="4AF4B36A" w14:textId="6CAEAC02" w:rsidR="00F7358A" w:rsidRDefault="00456272" w:rsidP="00FE11BE">
      <w:pPr>
        <w:spacing w:after="160"/>
        <w:jc w:val="both"/>
        <w:rPr>
          <w:rFonts w:eastAsia="Arial"/>
          <w:lang w:eastAsia="ar-SA"/>
        </w:rPr>
      </w:pPr>
      <w:r w:rsidRPr="00A30A72">
        <w:rPr>
          <w:rFonts w:eastAsia="Arial"/>
          <w:lang w:eastAsia="ar-SA"/>
        </w:rPr>
        <w:t>En el presente, asistimos a un proceso acelerado de cambio social</w:t>
      </w:r>
      <w:r w:rsidR="00E306A6">
        <w:rPr>
          <w:rFonts w:eastAsia="Arial"/>
          <w:lang w:eastAsia="ar-SA"/>
        </w:rPr>
        <w:t xml:space="preserve"> donde las </w:t>
      </w:r>
      <w:r w:rsidRPr="00A30A72">
        <w:rPr>
          <w:rFonts w:eastAsia="Arial"/>
          <w:lang w:eastAsia="ar-SA"/>
        </w:rPr>
        <w:t xml:space="preserve">complejas redes sociales de las cuales forma parte el individuo con sus reglas de interacción específicas, hacen que la calidad de las interacciones sociales sea especialmente </w:t>
      </w:r>
      <w:r w:rsidR="00F7358A">
        <w:rPr>
          <w:rFonts w:eastAsia="Arial"/>
          <w:lang w:eastAsia="ar-SA"/>
        </w:rPr>
        <w:t>valorada</w:t>
      </w:r>
      <w:r w:rsidRPr="00A30A72">
        <w:rPr>
          <w:rFonts w:eastAsia="Arial"/>
          <w:lang w:eastAsia="ar-SA"/>
        </w:rPr>
        <w:t xml:space="preserve">. </w:t>
      </w:r>
      <w:r w:rsidR="00F7358A">
        <w:rPr>
          <w:rFonts w:eastAsia="Arial"/>
          <w:lang w:eastAsia="ar-SA"/>
        </w:rPr>
        <w:t>Por esto, un adecuado repertorio de habilidades sociales constituye un factor de importancia en la adaptación y ajuste interpersonal, y en la salud y bienestar psicológico de las personas.</w:t>
      </w:r>
    </w:p>
    <w:p w14:paraId="46866CD7" w14:textId="7D75C8E7" w:rsidR="004C791D" w:rsidRPr="00A30A72" w:rsidRDefault="00F7358A" w:rsidP="00FE11BE">
      <w:pPr>
        <w:spacing w:after="160"/>
        <w:ind w:firstLine="708"/>
        <w:jc w:val="both"/>
        <w:rPr>
          <w:rStyle w:val="hps"/>
          <w:rFonts w:asciiTheme="minorHAnsi" w:eastAsia="Arial,Calibri" w:hAnsiTheme="minorHAnsi" w:cstheme="minorBidi"/>
          <w:sz w:val="22"/>
          <w:szCs w:val="22"/>
        </w:rPr>
      </w:pPr>
      <w:r>
        <w:rPr>
          <w:rFonts w:eastAsia="Arial"/>
          <w:lang w:eastAsia="ar-SA"/>
        </w:rPr>
        <w:t xml:space="preserve">Frente a las diferentes </w:t>
      </w:r>
      <w:r w:rsidR="00456272" w:rsidRPr="00A30A72">
        <w:rPr>
          <w:rFonts w:eastAsia="Arial"/>
          <w:lang w:eastAsia="ar-SA"/>
        </w:rPr>
        <w:t xml:space="preserve">situaciones </w:t>
      </w:r>
      <w:r>
        <w:rPr>
          <w:rFonts w:eastAsia="Arial"/>
          <w:lang w:eastAsia="ar-SA"/>
        </w:rPr>
        <w:t xml:space="preserve">de demanda social que enfrentamos en la </w:t>
      </w:r>
      <w:r w:rsidR="00456272" w:rsidRPr="00A30A72">
        <w:rPr>
          <w:rFonts w:eastAsia="Arial"/>
          <w:lang w:eastAsia="ar-SA"/>
        </w:rPr>
        <w:t>vida cotidiana</w:t>
      </w:r>
      <w:r>
        <w:rPr>
          <w:rFonts w:eastAsia="Arial"/>
          <w:lang w:eastAsia="ar-SA"/>
        </w:rPr>
        <w:t xml:space="preserve">, un adecuado repertorio comportamental puede operar como un factor de ajuste y facilitar el afrontamiento eficaz de situaciones </w:t>
      </w:r>
      <w:r w:rsidR="00046F75">
        <w:rPr>
          <w:rFonts w:eastAsia="Arial"/>
          <w:lang w:eastAsia="ar-SA"/>
        </w:rPr>
        <w:t>problemáticas</w:t>
      </w:r>
      <w:r>
        <w:rPr>
          <w:rFonts w:eastAsia="Arial"/>
          <w:lang w:eastAsia="ar-SA"/>
        </w:rPr>
        <w:t xml:space="preserve">. Dentro de este repertorio, existen ciertos </w:t>
      </w:r>
      <w:r w:rsidR="00456272" w:rsidRPr="00A30A72">
        <w:rPr>
          <w:rFonts w:eastAsia="Arial"/>
          <w:lang w:eastAsia="ar-SA"/>
        </w:rPr>
        <w:t xml:space="preserve">mecanismos cognitivos a través de los cuales el hombre regula su conducta basándose en criterios internos y reacciones </w:t>
      </w:r>
      <w:proofErr w:type="spellStart"/>
      <w:r w:rsidR="00456272" w:rsidRPr="00A30A72">
        <w:rPr>
          <w:rFonts w:eastAsia="Arial"/>
          <w:lang w:eastAsia="ar-SA"/>
        </w:rPr>
        <w:t>autoevaluadoras</w:t>
      </w:r>
      <w:proofErr w:type="spellEnd"/>
      <w:r w:rsidR="00456272" w:rsidRPr="00A30A72">
        <w:rPr>
          <w:rFonts w:eastAsia="Arial"/>
          <w:lang w:eastAsia="ar-SA"/>
        </w:rPr>
        <w:t xml:space="preserve"> que permiten el ejercicio de la agencia personal (Pajares &amp; </w:t>
      </w:r>
      <w:proofErr w:type="spellStart"/>
      <w:r w:rsidR="00456272" w:rsidRPr="00A30A72">
        <w:rPr>
          <w:rFonts w:eastAsia="Arial"/>
          <w:lang w:eastAsia="ar-SA"/>
        </w:rPr>
        <w:t>Olaz</w:t>
      </w:r>
      <w:proofErr w:type="spellEnd"/>
      <w:r w:rsidR="00456272" w:rsidRPr="00A30A72">
        <w:rPr>
          <w:rFonts w:eastAsia="Arial"/>
          <w:lang w:eastAsia="ar-SA"/>
        </w:rPr>
        <w:t>, 2008).</w:t>
      </w:r>
      <w:r w:rsidR="00046F75">
        <w:rPr>
          <w:rFonts w:eastAsia="Arial"/>
          <w:lang w:eastAsia="ar-SA"/>
        </w:rPr>
        <w:t xml:space="preserve"> </w:t>
      </w:r>
      <w:r w:rsidR="004C791D" w:rsidRPr="00A30A72">
        <w:rPr>
          <w:rStyle w:val="hps"/>
          <w:rFonts w:eastAsia="Arial"/>
        </w:rPr>
        <w:t xml:space="preserve">Según Bandura las personas tienen la facultad de </w:t>
      </w:r>
      <w:r>
        <w:rPr>
          <w:rStyle w:val="hps"/>
          <w:rFonts w:eastAsia="Arial"/>
        </w:rPr>
        <w:t>ejercer</w:t>
      </w:r>
      <w:r w:rsidR="004C791D" w:rsidRPr="00A30A72">
        <w:rPr>
          <w:rStyle w:val="hps"/>
          <w:rFonts w:eastAsia="Arial"/>
        </w:rPr>
        <w:t xml:space="preserve"> control sobre sus pensamientos, su motivación y sus acciones a través de un </w:t>
      </w:r>
      <w:proofErr w:type="spellStart"/>
      <w:r w:rsidR="004C791D" w:rsidRPr="00A30A72">
        <w:rPr>
          <w:rStyle w:val="hps"/>
          <w:rFonts w:eastAsia="Arial"/>
        </w:rPr>
        <w:t>autosistema</w:t>
      </w:r>
      <w:proofErr w:type="spellEnd"/>
      <w:r w:rsidR="004C791D" w:rsidRPr="00A30A72">
        <w:rPr>
          <w:rStyle w:val="hps"/>
          <w:rFonts w:eastAsia="Arial"/>
        </w:rPr>
        <w:t xml:space="preserve"> que permite percibir, regular y evaluar comportamientos (</w:t>
      </w:r>
      <w:proofErr w:type="spellStart"/>
      <w:r w:rsidR="004C791D" w:rsidRPr="00A30A72">
        <w:rPr>
          <w:rStyle w:val="hps"/>
          <w:rFonts w:eastAsia="Arial"/>
        </w:rPr>
        <w:t>Olaz</w:t>
      </w:r>
      <w:proofErr w:type="spellEnd"/>
      <w:r w:rsidR="004C791D" w:rsidRPr="00A30A72">
        <w:rPr>
          <w:rStyle w:val="hps"/>
          <w:rFonts w:eastAsia="Arial"/>
        </w:rPr>
        <w:t xml:space="preserve">, 2011) utilizando información proveniente del ambiente. </w:t>
      </w:r>
      <w:r w:rsidR="00411F15" w:rsidRPr="00A30A72">
        <w:rPr>
          <w:rStyle w:val="hps"/>
          <w:rFonts w:eastAsia="Arial,Calibri"/>
        </w:rPr>
        <w:t>A su vez</w:t>
      </w:r>
      <w:r w:rsidR="004C791D" w:rsidRPr="00A30A72">
        <w:rPr>
          <w:rStyle w:val="hps"/>
          <w:rFonts w:eastAsia="Arial,Calibri"/>
        </w:rPr>
        <w:t>,</w:t>
      </w:r>
      <w:r>
        <w:rPr>
          <w:rStyle w:val="hps"/>
          <w:rFonts w:eastAsia="Arial,Calibri"/>
        </w:rPr>
        <w:t xml:space="preserve"> este </w:t>
      </w:r>
      <w:proofErr w:type="spellStart"/>
      <w:r>
        <w:rPr>
          <w:rStyle w:val="hps"/>
          <w:rFonts w:eastAsia="Arial,Calibri"/>
        </w:rPr>
        <w:t>autosistema</w:t>
      </w:r>
      <w:proofErr w:type="spellEnd"/>
      <w:r w:rsidR="004C791D" w:rsidRPr="00A30A72">
        <w:rPr>
          <w:rStyle w:val="hps"/>
          <w:rFonts w:eastAsia="Arial,Calibri"/>
        </w:rPr>
        <w:t xml:space="preserve"> está constituido por una serie de capacidades, entre las que la </w:t>
      </w:r>
      <w:r w:rsidR="00411F15" w:rsidRPr="00A30A72">
        <w:rPr>
          <w:rStyle w:val="hps"/>
          <w:rFonts w:eastAsia="Arial,Calibri"/>
        </w:rPr>
        <w:t xml:space="preserve">predicción </w:t>
      </w:r>
      <w:r w:rsidR="004C791D" w:rsidRPr="00A30A72">
        <w:rPr>
          <w:rStyle w:val="hps"/>
          <w:rFonts w:eastAsia="Arial,Calibri"/>
        </w:rPr>
        <w:t>ocupa un lugar fundamental</w:t>
      </w:r>
      <w:r w:rsidR="00411F15" w:rsidRPr="00A30A72">
        <w:rPr>
          <w:rStyle w:val="hps"/>
          <w:rFonts w:eastAsia="Arial,Calibri"/>
        </w:rPr>
        <w:t>.</w:t>
      </w:r>
    </w:p>
    <w:p w14:paraId="2E0A6074" w14:textId="304AADB9" w:rsidR="004C791D" w:rsidRPr="00A30A72" w:rsidRDefault="00F7358A" w:rsidP="00FE11BE">
      <w:pPr>
        <w:ind w:firstLine="708"/>
        <w:jc w:val="both"/>
        <w:rPr>
          <w:rStyle w:val="a"/>
          <w:color w:val="000000"/>
        </w:rPr>
      </w:pPr>
      <w:r>
        <w:rPr>
          <w:rFonts w:eastAsia="Arial"/>
          <w:lang w:eastAsia="ar-SA"/>
        </w:rPr>
        <w:t>En este sentido, l</w:t>
      </w:r>
      <w:r w:rsidR="004C791D" w:rsidRPr="00A30A72">
        <w:rPr>
          <w:rFonts w:eastAsia="Arial"/>
          <w:lang w:eastAsia="ar-SA"/>
        </w:rPr>
        <w:t xml:space="preserve">as expectativas de resultado </w:t>
      </w:r>
      <w:r w:rsidR="00076BD7" w:rsidRPr="00A30A72">
        <w:rPr>
          <w:rStyle w:val="hps"/>
          <w:rFonts w:eastAsia="Arial,Calibri"/>
        </w:rPr>
        <w:t>que el individuo posee frente a situaciones de demanda específicas</w:t>
      </w:r>
      <w:r w:rsidR="00076BD7" w:rsidRPr="00A30A72">
        <w:rPr>
          <w:rFonts w:eastAsia="Arial"/>
          <w:lang w:eastAsia="ar-SA"/>
        </w:rPr>
        <w:t xml:space="preserve"> </w:t>
      </w:r>
      <w:r w:rsidR="004C791D" w:rsidRPr="00A30A72">
        <w:rPr>
          <w:rFonts w:eastAsia="Arial"/>
          <w:lang w:eastAsia="ar-SA"/>
        </w:rPr>
        <w:t xml:space="preserve">hacen referencia a las predicciones de una persona acerca de las posibles consecuencias </w:t>
      </w:r>
      <w:r>
        <w:rPr>
          <w:rFonts w:eastAsia="Arial"/>
          <w:lang w:eastAsia="ar-SA"/>
        </w:rPr>
        <w:t>de</w:t>
      </w:r>
      <w:r w:rsidRPr="00A30A72">
        <w:rPr>
          <w:rFonts w:eastAsia="Arial"/>
          <w:lang w:eastAsia="ar-SA"/>
        </w:rPr>
        <w:t xml:space="preserve"> </w:t>
      </w:r>
      <w:r w:rsidR="004C791D" w:rsidRPr="00A30A72">
        <w:rPr>
          <w:rFonts w:eastAsia="Arial"/>
          <w:lang w:eastAsia="ar-SA"/>
        </w:rPr>
        <w:t>su comportamiento. Estas expectativas guían la selección de conductas que el individuo es capaz de emitir ante determinadas situaciones</w:t>
      </w:r>
      <w:r w:rsidR="004C791D" w:rsidRPr="00A30A72">
        <w:rPr>
          <w:rStyle w:val="hps"/>
          <w:rFonts w:eastAsia="Arial,Calibri"/>
        </w:rPr>
        <w:t xml:space="preserve"> </w:t>
      </w:r>
      <w:r w:rsidR="004C791D" w:rsidRPr="00A30A72">
        <w:rPr>
          <w:rFonts w:eastAsia="Arial"/>
          <w:lang w:eastAsia="ar-SA"/>
        </w:rPr>
        <w:t>(</w:t>
      </w:r>
      <w:r w:rsidR="004C791D" w:rsidRPr="00A30A72">
        <w:rPr>
          <w:rFonts w:eastAsia="Arial"/>
        </w:rPr>
        <w:t xml:space="preserve">Caballo, </w:t>
      </w:r>
      <w:proofErr w:type="spellStart"/>
      <w:r w:rsidR="004C791D" w:rsidRPr="00A30A72">
        <w:rPr>
          <w:rFonts w:eastAsia="Arial"/>
        </w:rPr>
        <w:t>Irurtia</w:t>
      </w:r>
      <w:proofErr w:type="spellEnd"/>
      <w:r w:rsidR="004C791D" w:rsidRPr="00A30A72">
        <w:rPr>
          <w:rFonts w:eastAsia="Arial"/>
        </w:rPr>
        <w:t xml:space="preserve"> &amp; Salazar, 2011</w:t>
      </w:r>
      <w:r w:rsidR="004C791D" w:rsidRPr="00A30A72">
        <w:rPr>
          <w:rFonts w:eastAsia="Arial"/>
          <w:lang w:eastAsia="ar-SA"/>
        </w:rPr>
        <w:t xml:space="preserve">). </w:t>
      </w:r>
      <w:r w:rsidR="004C791D" w:rsidRPr="00A30A72">
        <w:rPr>
          <w:rStyle w:val="a"/>
          <w:rFonts w:eastAsia="Arial"/>
          <w:color w:val="000000" w:themeColor="text1"/>
        </w:rPr>
        <w:t xml:space="preserve">Para </w:t>
      </w:r>
      <w:proofErr w:type="spellStart"/>
      <w:r w:rsidR="004C791D" w:rsidRPr="00A30A72">
        <w:rPr>
          <w:rStyle w:val="a"/>
          <w:rFonts w:eastAsia="Arial"/>
          <w:color w:val="000000" w:themeColor="text1"/>
        </w:rPr>
        <w:t>Bretherton</w:t>
      </w:r>
      <w:proofErr w:type="spellEnd"/>
      <w:r w:rsidR="004C791D" w:rsidRPr="00A30A72">
        <w:rPr>
          <w:rStyle w:val="a"/>
          <w:rFonts w:eastAsia="Arial"/>
          <w:color w:val="000000" w:themeColor="text1"/>
        </w:rPr>
        <w:t xml:space="preserve"> y </w:t>
      </w:r>
      <w:proofErr w:type="spellStart"/>
      <w:r w:rsidR="004C791D" w:rsidRPr="00A30A72">
        <w:rPr>
          <w:rStyle w:val="a"/>
          <w:rFonts w:eastAsia="Arial"/>
          <w:color w:val="000000" w:themeColor="text1"/>
        </w:rPr>
        <w:t>Munholland</w:t>
      </w:r>
      <w:proofErr w:type="spellEnd"/>
      <w:r w:rsidR="004C791D" w:rsidRPr="00A30A72">
        <w:rPr>
          <w:rStyle w:val="a"/>
          <w:rFonts w:eastAsia="Arial"/>
          <w:color w:val="000000" w:themeColor="text1"/>
        </w:rPr>
        <w:t xml:space="preserve"> (1999), la influencia de estos modelos mentales permite a los individuos anticiparse al futuro y hacer planes, sirviendo de guía en la valoración de las situaciones sociales y en la asimilación de nuevas experiencias.</w:t>
      </w:r>
    </w:p>
    <w:p w14:paraId="5EF594E0" w14:textId="0F99D7A3" w:rsidR="003C0E17" w:rsidRDefault="003C0E17" w:rsidP="00FE11BE">
      <w:pPr>
        <w:ind w:firstLine="709"/>
        <w:jc w:val="both"/>
        <w:rPr>
          <w:color w:val="000000"/>
        </w:rPr>
      </w:pPr>
      <w:r w:rsidRPr="00A30A72">
        <w:rPr>
          <w:rFonts w:eastAsia="Arial"/>
          <w:lang w:eastAsia="ar-SA"/>
        </w:rPr>
        <w:t xml:space="preserve">Tal como señala </w:t>
      </w:r>
      <w:proofErr w:type="spellStart"/>
      <w:r w:rsidRPr="00A30A72">
        <w:rPr>
          <w:rFonts w:eastAsia="Arial"/>
          <w:lang w:eastAsia="ar-SA"/>
        </w:rPr>
        <w:t>Olaz</w:t>
      </w:r>
      <w:proofErr w:type="spellEnd"/>
      <w:r w:rsidRPr="00A30A72">
        <w:rPr>
          <w:rFonts w:eastAsia="Arial"/>
          <w:lang w:eastAsia="ar-SA"/>
        </w:rPr>
        <w:t xml:space="preserve"> (2012</w:t>
      </w:r>
      <w:r>
        <w:rPr>
          <w:rFonts w:eastAsia="Arial"/>
          <w:lang w:eastAsia="ar-SA"/>
        </w:rPr>
        <w:t>) las expectativas de resultado</w:t>
      </w:r>
      <w:r w:rsidRPr="00A30A72">
        <w:rPr>
          <w:rFonts w:eastAsia="Arial"/>
          <w:lang w:eastAsia="ar-SA"/>
        </w:rPr>
        <w:t xml:space="preserve"> afectan a los intereses y a las acciones. Cuanto más valorados sean los resultados percibidos, mayores probabilidades habrá de que un individuo se interese y adopte cursos de acción determinados.</w:t>
      </w:r>
      <w:r>
        <w:rPr>
          <w:rFonts w:eastAsia="Arial"/>
          <w:lang w:eastAsia="ar-SA"/>
        </w:rPr>
        <w:t xml:space="preserve"> Asimismo, </w:t>
      </w:r>
      <w:r w:rsidR="006B7D80" w:rsidRPr="00A30A72">
        <w:rPr>
          <w:rStyle w:val="hps"/>
          <w:rFonts w:eastAsia="Arial,Calibri"/>
        </w:rPr>
        <w:t xml:space="preserve">si una persona </w:t>
      </w:r>
      <w:r w:rsidR="00076BD7" w:rsidRPr="00A30A72">
        <w:rPr>
          <w:rStyle w:val="hps"/>
          <w:rFonts w:eastAsia="Arial,Calibri"/>
        </w:rPr>
        <w:t xml:space="preserve">espera </w:t>
      </w:r>
      <w:r w:rsidR="006B7D80" w:rsidRPr="00A30A72">
        <w:rPr>
          <w:rStyle w:val="hps"/>
          <w:rFonts w:eastAsia="Arial,Calibri"/>
        </w:rPr>
        <w:t xml:space="preserve">resultados negativos </w:t>
      </w:r>
      <w:r w:rsidR="00076BD7" w:rsidRPr="00A30A72">
        <w:rPr>
          <w:rStyle w:val="hps"/>
          <w:rFonts w:eastAsia="Arial,Calibri"/>
        </w:rPr>
        <w:t>ante</w:t>
      </w:r>
      <w:r w:rsidR="006B7D80" w:rsidRPr="00A30A72">
        <w:rPr>
          <w:rStyle w:val="hps"/>
          <w:rFonts w:eastAsia="Arial,Calibri"/>
        </w:rPr>
        <w:t xml:space="preserve"> una interacción social, </w:t>
      </w:r>
      <w:r w:rsidR="00076BD7" w:rsidRPr="00A30A72">
        <w:rPr>
          <w:rStyle w:val="hps"/>
          <w:rFonts w:eastAsia="Arial,Calibri"/>
        </w:rPr>
        <w:t xml:space="preserve">esto provocará que </w:t>
      </w:r>
      <w:r w:rsidR="006B7D80" w:rsidRPr="00A30A72">
        <w:rPr>
          <w:rStyle w:val="hps"/>
          <w:rFonts w:eastAsia="Arial,Calibri"/>
        </w:rPr>
        <w:t xml:space="preserve">disminuya </w:t>
      </w:r>
      <w:r w:rsidR="00076BD7" w:rsidRPr="00A30A72">
        <w:rPr>
          <w:rStyle w:val="hps"/>
          <w:rFonts w:eastAsia="Arial,Calibri"/>
        </w:rPr>
        <w:t>su</w:t>
      </w:r>
      <w:r w:rsidR="006B7D80" w:rsidRPr="00A30A72">
        <w:rPr>
          <w:rStyle w:val="hps"/>
          <w:rFonts w:eastAsia="Arial,Calibri"/>
        </w:rPr>
        <w:t xml:space="preserve"> interés </w:t>
      </w:r>
      <w:r>
        <w:rPr>
          <w:rStyle w:val="hps"/>
          <w:rFonts w:eastAsia="Arial,Calibri"/>
        </w:rPr>
        <w:t xml:space="preserve">y compromiso </w:t>
      </w:r>
      <w:r w:rsidR="006B7D80" w:rsidRPr="00A30A72">
        <w:rPr>
          <w:rStyle w:val="hps"/>
          <w:rFonts w:eastAsia="Arial,Calibri"/>
        </w:rPr>
        <w:t xml:space="preserve">en estas actividades, </w:t>
      </w:r>
      <w:r>
        <w:rPr>
          <w:rStyle w:val="hps"/>
          <w:rFonts w:eastAsia="Arial,Calibri"/>
        </w:rPr>
        <w:t xml:space="preserve">lo cual puede llevar a que </w:t>
      </w:r>
      <w:r w:rsidR="006B7D80" w:rsidRPr="00A30A72">
        <w:rPr>
          <w:rStyle w:val="hps"/>
          <w:rFonts w:eastAsia="Arial,Calibri"/>
        </w:rPr>
        <w:t xml:space="preserve">efectivamente tenga un desempeño deficitario o que evite próximas exposiciones, impidiendo </w:t>
      </w:r>
      <w:r>
        <w:rPr>
          <w:rStyle w:val="hps"/>
          <w:rFonts w:eastAsia="Arial,Calibri"/>
        </w:rPr>
        <w:t xml:space="preserve">el </w:t>
      </w:r>
      <w:r w:rsidR="006B7D80" w:rsidRPr="00A30A72">
        <w:rPr>
          <w:rStyle w:val="hps"/>
          <w:rFonts w:eastAsia="Arial,Calibri"/>
        </w:rPr>
        <w:t>aprendizaj</w:t>
      </w:r>
      <w:r w:rsidR="00056EC9">
        <w:rPr>
          <w:rStyle w:val="hps"/>
          <w:rFonts w:eastAsia="Arial,Calibri"/>
        </w:rPr>
        <w:t>e o adquisición de habilidades,</w:t>
      </w:r>
      <w:r w:rsidR="00046F75">
        <w:rPr>
          <w:rStyle w:val="hps"/>
          <w:rFonts w:eastAsia="Arial,Calibri"/>
        </w:rPr>
        <w:t xml:space="preserve"> </w:t>
      </w:r>
      <w:r w:rsidR="006B7D80" w:rsidRPr="00A30A72">
        <w:rPr>
          <w:rStyle w:val="hps"/>
          <w:rFonts w:eastAsia="Arial,Calibri"/>
        </w:rPr>
        <w:t xml:space="preserve">perpetuando </w:t>
      </w:r>
      <w:r>
        <w:rPr>
          <w:rStyle w:val="hps"/>
          <w:rFonts w:eastAsia="Arial,Calibri"/>
        </w:rPr>
        <w:t xml:space="preserve">de esta manera </w:t>
      </w:r>
      <w:r w:rsidR="006B7D80" w:rsidRPr="00A30A72">
        <w:rPr>
          <w:rStyle w:val="hps"/>
          <w:rFonts w:eastAsia="Arial,Calibri"/>
        </w:rPr>
        <w:t>estas creencias</w:t>
      </w:r>
      <w:r>
        <w:rPr>
          <w:rStyle w:val="hps"/>
          <w:rFonts w:eastAsia="Arial,Calibri"/>
        </w:rPr>
        <w:t>.</w:t>
      </w:r>
    </w:p>
    <w:p w14:paraId="0E5D336A" w14:textId="3B4DEF51" w:rsidR="00430DF5" w:rsidRPr="00A30A72" w:rsidRDefault="00430DF5" w:rsidP="00FE11BE">
      <w:pPr>
        <w:ind w:firstLine="709"/>
        <w:jc w:val="both"/>
        <w:rPr>
          <w:color w:val="000000"/>
        </w:rPr>
      </w:pPr>
      <w:r w:rsidRPr="00A30A72">
        <w:rPr>
          <w:color w:val="000000"/>
        </w:rPr>
        <w:t>Las expectativas de rechazo social son pensamientos que anticipan la posibilidad de ser rechazado en una situación interpersonal</w:t>
      </w:r>
      <w:r w:rsidR="00D23286">
        <w:rPr>
          <w:color w:val="000000"/>
        </w:rPr>
        <w:t xml:space="preserve"> (Morán, 2017</w:t>
      </w:r>
      <w:r w:rsidR="002C14D6" w:rsidRPr="00A30A72">
        <w:rPr>
          <w:color w:val="000000"/>
        </w:rPr>
        <w:t>)</w:t>
      </w:r>
      <w:r w:rsidRPr="00A30A72">
        <w:rPr>
          <w:color w:val="000000"/>
        </w:rPr>
        <w:t xml:space="preserve">. </w:t>
      </w:r>
      <w:r w:rsidR="0045668E" w:rsidRPr="00A30A72">
        <w:t xml:space="preserve">El deseo de lograr la aceptación y prevenir el rechazo es ampliamente reconocido como un </w:t>
      </w:r>
      <w:r w:rsidR="003C0E17">
        <w:t xml:space="preserve">factor fundamental en </w:t>
      </w:r>
      <w:r w:rsidR="00076BD7" w:rsidRPr="00A30A72">
        <w:rPr>
          <w:color w:val="000000"/>
        </w:rPr>
        <w:t>las relaciones interpersonales</w:t>
      </w:r>
      <w:r w:rsidR="00411F15" w:rsidRPr="00A30A72">
        <w:rPr>
          <w:color w:val="000000"/>
        </w:rPr>
        <w:t xml:space="preserve"> (</w:t>
      </w:r>
      <w:proofErr w:type="spellStart"/>
      <w:r w:rsidR="00411F15" w:rsidRPr="00A30A72">
        <w:rPr>
          <w:color w:val="000000"/>
        </w:rPr>
        <w:t>Tévez</w:t>
      </w:r>
      <w:proofErr w:type="spellEnd"/>
      <w:r w:rsidR="00411F15" w:rsidRPr="00A30A72">
        <w:rPr>
          <w:color w:val="000000"/>
        </w:rPr>
        <w:t xml:space="preserve"> Carranza, 2016)</w:t>
      </w:r>
      <w:r w:rsidR="00076BD7" w:rsidRPr="00A30A72">
        <w:rPr>
          <w:color w:val="000000"/>
        </w:rPr>
        <w:t xml:space="preserve">. </w:t>
      </w:r>
      <w:r w:rsidR="0045668E" w:rsidRPr="00A30A72">
        <w:rPr>
          <w:color w:val="000000"/>
        </w:rPr>
        <w:t xml:space="preserve"> </w:t>
      </w:r>
      <w:proofErr w:type="spellStart"/>
      <w:r w:rsidRPr="00A30A72">
        <w:rPr>
          <w:color w:val="000000"/>
        </w:rPr>
        <w:t>Leary</w:t>
      </w:r>
      <w:proofErr w:type="spellEnd"/>
      <w:r w:rsidRPr="00A30A72">
        <w:rPr>
          <w:color w:val="000000"/>
        </w:rPr>
        <w:t xml:space="preserve"> (2001, 2005, en </w:t>
      </w:r>
      <w:proofErr w:type="spellStart"/>
      <w:r w:rsidRPr="00A30A72">
        <w:rPr>
          <w:color w:val="000000"/>
        </w:rPr>
        <w:t>Leary</w:t>
      </w:r>
      <w:proofErr w:type="spellEnd"/>
      <w:r w:rsidRPr="00A30A72">
        <w:rPr>
          <w:color w:val="000000"/>
        </w:rPr>
        <w:t xml:space="preserve">, </w:t>
      </w:r>
      <w:proofErr w:type="spellStart"/>
      <w:r w:rsidRPr="00A30A72">
        <w:rPr>
          <w:color w:val="000000"/>
        </w:rPr>
        <w:t>Twenge</w:t>
      </w:r>
      <w:proofErr w:type="spellEnd"/>
      <w:r w:rsidRPr="00A30A72">
        <w:rPr>
          <w:color w:val="000000"/>
        </w:rPr>
        <w:t xml:space="preserve"> &amp; </w:t>
      </w:r>
      <w:proofErr w:type="spellStart"/>
      <w:r w:rsidRPr="00A30A72">
        <w:rPr>
          <w:color w:val="000000"/>
        </w:rPr>
        <w:t>Quinlivan</w:t>
      </w:r>
      <w:proofErr w:type="spellEnd"/>
      <w:r w:rsidRPr="00A30A72">
        <w:rPr>
          <w:color w:val="000000"/>
        </w:rPr>
        <w:t xml:space="preserve">, 2006) </w:t>
      </w:r>
      <w:r w:rsidR="00076BD7" w:rsidRPr="00A30A72">
        <w:rPr>
          <w:color w:val="000000"/>
        </w:rPr>
        <w:t>conceptualiza el rechazo</w:t>
      </w:r>
      <w:r w:rsidRPr="00A30A72">
        <w:rPr>
          <w:color w:val="000000"/>
        </w:rPr>
        <w:t xml:space="preserve"> en términos de un continuo sobre el cual los individuos califican sus relaciones en diferentes grados. De esta forma,</w:t>
      </w:r>
      <w:r w:rsidR="00411F15" w:rsidRPr="00A30A72">
        <w:rPr>
          <w:color w:val="000000"/>
        </w:rPr>
        <w:t xml:space="preserve"> se considera rechazo cuando </w:t>
      </w:r>
      <w:r w:rsidRPr="00A30A72">
        <w:rPr>
          <w:color w:val="000000"/>
        </w:rPr>
        <w:t xml:space="preserve">la persona evalúa su relación con otro individuo como insignificante o sin importancia. </w:t>
      </w:r>
      <w:r w:rsidR="00411F15" w:rsidRPr="00A30A72">
        <w:rPr>
          <w:color w:val="000000"/>
        </w:rPr>
        <w:t>En este sentido</w:t>
      </w:r>
      <w:r w:rsidRPr="00A30A72">
        <w:rPr>
          <w:color w:val="000000"/>
        </w:rPr>
        <w:t xml:space="preserve">, </w:t>
      </w:r>
      <w:r w:rsidR="00411F15" w:rsidRPr="00A30A72">
        <w:rPr>
          <w:color w:val="000000"/>
        </w:rPr>
        <w:t xml:space="preserve">una persona con expectativas de rechazo social </w:t>
      </w:r>
      <w:r w:rsidRPr="00A30A72">
        <w:rPr>
          <w:color w:val="000000"/>
        </w:rPr>
        <w:t>piensa que los demás no valorarán la interacción con ella tanto como le gustaría (</w:t>
      </w:r>
      <w:r w:rsidR="00B4169F" w:rsidRPr="00A30A72">
        <w:t xml:space="preserve">Smart </w:t>
      </w:r>
      <w:proofErr w:type="spellStart"/>
      <w:r w:rsidR="00B4169F" w:rsidRPr="00A30A72">
        <w:t>Richman</w:t>
      </w:r>
      <w:proofErr w:type="spellEnd"/>
      <w:r w:rsidR="00B4169F" w:rsidRPr="00A30A72">
        <w:rPr>
          <w:color w:val="000000"/>
        </w:rPr>
        <w:t xml:space="preserve"> &amp; </w:t>
      </w:r>
      <w:proofErr w:type="spellStart"/>
      <w:r w:rsidRPr="00A30A72">
        <w:rPr>
          <w:color w:val="000000"/>
        </w:rPr>
        <w:t>Leary</w:t>
      </w:r>
      <w:proofErr w:type="spellEnd"/>
      <w:r w:rsidRPr="00A30A72">
        <w:rPr>
          <w:color w:val="000000"/>
        </w:rPr>
        <w:t xml:space="preserve">, 2009). </w:t>
      </w:r>
      <w:r w:rsidR="00411F15" w:rsidRPr="00A30A72">
        <w:rPr>
          <w:color w:val="000000"/>
        </w:rPr>
        <w:t>Esto genera un impacto en el afrontamiento y desempeño ante las situaciones de interacción social donde estas expectativas se acti</w:t>
      </w:r>
      <w:r w:rsidR="007D44BD" w:rsidRPr="00A30A72">
        <w:rPr>
          <w:color w:val="000000"/>
        </w:rPr>
        <w:t>van.</w:t>
      </w:r>
    </w:p>
    <w:p w14:paraId="288A1B69" w14:textId="5D097771" w:rsidR="005A19C1" w:rsidRPr="00A30A72" w:rsidRDefault="003C0E17" w:rsidP="00FE11BE">
      <w:pPr>
        <w:ind w:firstLine="720"/>
        <w:jc w:val="both"/>
        <w:rPr>
          <w:rStyle w:val="hps"/>
          <w:rFonts w:eastAsia="Arial,Calibri"/>
        </w:rPr>
      </w:pPr>
      <w:r>
        <w:rPr>
          <w:rFonts w:eastAsia="Arial"/>
          <w:lang w:eastAsia="ar-SA"/>
        </w:rPr>
        <w:t>En diferentes i</w:t>
      </w:r>
      <w:r w:rsidR="005A19C1" w:rsidRPr="00A30A72">
        <w:rPr>
          <w:rFonts w:eastAsia="Arial"/>
          <w:lang w:eastAsia="ar-SA"/>
        </w:rPr>
        <w:t xml:space="preserve">nvestigaciones </w:t>
      </w:r>
      <w:r w:rsidR="00BA3D68">
        <w:rPr>
          <w:rFonts w:eastAsia="Arial"/>
          <w:lang w:eastAsia="ar-SA"/>
        </w:rPr>
        <w:t>se ha o</w:t>
      </w:r>
      <w:r>
        <w:rPr>
          <w:rFonts w:eastAsia="Arial"/>
          <w:lang w:eastAsia="ar-SA"/>
        </w:rPr>
        <w:t>bservado que</w:t>
      </w:r>
      <w:r w:rsidR="005A19C1" w:rsidRPr="00A30A72">
        <w:rPr>
          <w:rFonts w:eastAsia="Arial"/>
          <w:lang w:eastAsia="ar-SA"/>
        </w:rPr>
        <w:t xml:space="preserve"> las personas que piensan que van a ser capaces de generar las impresiones deseadas </w:t>
      </w:r>
      <w:r w:rsidR="00BA3D68">
        <w:rPr>
          <w:rFonts w:eastAsia="Arial"/>
          <w:lang w:eastAsia="ar-SA"/>
        </w:rPr>
        <w:t>en</w:t>
      </w:r>
      <w:r w:rsidR="00BA3D68" w:rsidRPr="00A30A72">
        <w:rPr>
          <w:rFonts w:eastAsia="Arial"/>
          <w:lang w:eastAsia="ar-SA"/>
        </w:rPr>
        <w:t xml:space="preserve"> </w:t>
      </w:r>
      <w:r w:rsidR="005A19C1" w:rsidRPr="00A30A72">
        <w:rPr>
          <w:rFonts w:eastAsia="Arial"/>
          <w:lang w:eastAsia="ar-SA"/>
        </w:rPr>
        <w:t xml:space="preserve">los demás tienen </w:t>
      </w:r>
      <w:r w:rsidR="00BA3D68">
        <w:rPr>
          <w:rFonts w:eastAsia="Arial"/>
          <w:lang w:eastAsia="ar-SA"/>
        </w:rPr>
        <w:t xml:space="preserve">una </w:t>
      </w:r>
      <w:r w:rsidR="005A19C1" w:rsidRPr="00A30A72">
        <w:rPr>
          <w:rFonts w:eastAsia="Arial"/>
          <w:lang w:eastAsia="ar-SA"/>
        </w:rPr>
        <w:t>autoeficacia social más alta y se sienten menos ansiosas en encuentros interpersonales (</w:t>
      </w:r>
      <w:proofErr w:type="spellStart"/>
      <w:r w:rsidR="005A19C1" w:rsidRPr="00A30A72">
        <w:rPr>
          <w:rFonts w:eastAsia="Arial"/>
          <w:lang w:eastAsia="ar-SA"/>
        </w:rPr>
        <w:t>Leary</w:t>
      </w:r>
      <w:proofErr w:type="spellEnd"/>
      <w:r w:rsidR="005A19C1" w:rsidRPr="00A30A72">
        <w:rPr>
          <w:rFonts w:eastAsia="Arial"/>
          <w:lang w:eastAsia="ar-SA"/>
        </w:rPr>
        <w:t xml:space="preserve">, 1986; </w:t>
      </w:r>
      <w:r w:rsidR="00FA5DA3">
        <w:rPr>
          <w:rFonts w:eastAsia="Arial"/>
          <w:lang w:eastAsia="ar-SA"/>
        </w:rPr>
        <w:t>Lee &amp; &amp; Hayes-</w:t>
      </w:r>
      <w:proofErr w:type="spellStart"/>
      <w:r w:rsidR="00FA5DA3">
        <w:rPr>
          <w:rFonts w:eastAsia="Arial"/>
          <w:lang w:eastAsia="ar-SA"/>
        </w:rPr>
        <w:t>Skelton</w:t>
      </w:r>
      <w:proofErr w:type="spellEnd"/>
      <w:r w:rsidR="00FA5DA3">
        <w:rPr>
          <w:rFonts w:eastAsia="Arial"/>
          <w:lang w:eastAsia="ar-SA"/>
        </w:rPr>
        <w:t xml:space="preserve">, </w:t>
      </w:r>
      <w:r w:rsidR="00FA5DA3" w:rsidRPr="00FA5DA3">
        <w:rPr>
          <w:rFonts w:eastAsia="Arial"/>
          <w:lang w:eastAsia="ar-SA"/>
        </w:rPr>
        <w:t>2017</w:t>
      </w:r>
      <w:r w:rsidR="005A19C1" w:rsidRPr="00A30A72">
        <w:rPr>
          <w:rFonts w:eastAsia="Arial"/>
          <w:lang w:eastAsia="ar-SA"/>
        </w:rPr>
        <w:t xml:space="preserve">). </w:t>
      </w:r>
      <w:r w:rsidR="00411F15" w:rsidRPr="00A30A72">
        <w:rPr>
          <w:rFonts w:eastAsia="Arial"/>
          <w:lang w:eastAsia="ar-SA"/>
        </w:rPr>
        <w:t xml:space="preserve">Por otro lado, </w:t>
      </w:r>
      <w:proofErr w:type="spellStart"/>
      <w:r w:rsidR="005A19C1" w:rsidRPr="00A30A72">
        <w:rPr>
          <w:rFonts w:eastAsia="Arial"/>
          <w:lang w:eastAsia="ar-SA"/>
        </w:rPr>
        <w:t>Bellack</w:t>
      </w:r>
      <w:proofErr w:type="spellEnd"/>
      <w:r w:rsidR="005A19C1" w:rsidRPr="00A30A72">
        <w:rPr>
          <w:rFonts w:eastAsia="Arial"/>
          <w:lang w:eastAsia="ar-SA"/>
        </w:rPr>
        <w:t xml:space="preserve"> (1979 en Caballo et </w:t>
      </w:r>
      <w:r w:rsidR="005A19C1" w:rsidRPr="00A30A72">
        <w:rPr>
          <w:rFonts w:eastAsia="Arial"/>
          <w:lang w:eastAsia="ar-SA"/>
        </w:rPr>
        <w:lastRenderedPageBreak/>
        <w:t xml:space="preserve">al 2011) señala que es posible que conductas socialmente habilidosas sean inhibidas debido a que son consideradas inapropiadas o generadoras de resultados negativos. Siguiendo esta línea, </w:t>
      </w:r>
      <w:proofErr w:type="spellStart"/>
      <w:r w:rsidR="005A19C1" w:rsidRPr="00A30A72">
        <w:rPr>
          <w:rStyle w:val="hps"/>
          <w:rFonts w:eastAsia="Arial,Calibri"/>
        </w:rPr>
        <w:t>Fiedler</w:t>
      </w:r>
      <w:proofErr w:type="spellEnd"/>
      <w:r w:rsidR="005A19C1" w:rsidRPr="00A30A72">
        <w:rPr>
          <w:rStyle w:val="hps"/>
          <w:rFonts w:eastAsia="Arial,Calibri"/>
        </w:rPr>
        <w:t xml:space="preserve"> y Beach (1978) demostraron que actuar asertivamente se ve sustancialmente afectado por la predicción que la persona tiene sobre su desempeño y sus consecuencias. </w:t>
      </w:r>
    </w:p>
    <w:p w14:paraId="21E8AB08" w14:textId="77777777" w:rsidR="007D44BD" w:rsidRPr="00A30A72" w:rsidRDefault="007D44BD" w:rsidP="00FE11BE">
      <w:pPr>
        <w:ind w:firstLine="720"/>
        <w:jc w:val="both"/>
        <w:rPr>
          <w:color w:val="000000"/>
        </w:rPr>
      </w:pPr>
      <w:r w:rsidRPr="00A30A72">
        <w:rPr>
          <w:color w:val="000000"/>
        </w:rPr>
        <w:t xml:space="preserve">Estos sucesos negativos impactan en la vida social de las personas y consecuentemente en su bienestar. </w:t>
      </w:r>
      <w:r w:rsidR="00430DF5" w:rsidRPr="00A30A72">
        <w:rPr>
          <w:color w:val="000000"/>
        </w:rPr>
        <w:t>Algunas investigaciones (</w:t>
      </w:r>
      <w:proofErr w:type="spellStart"/>
      <w:r w:rsidR="00A95EA4" w:rsidRPr="00A30A72">
        <w:rPr>
          <w:color w:val="000000"/>
        </w:rPr>
        <w:t>Tabak</w:t>
      </w:r>
      <w:proofErr w:type="spellEnd"/>
      <w:r w:rsidR="00A95EA4" w:rsidRPr="00A30A72">
        <w:rPr>
          <w:color w:val="000000"/>
        </w:rPr>
        <w:t xml:space="preserve"> et al.</w:t>
      </w:r>
      <w:r w:rsidR="00430DF5" w:rsidRPr="00A30A72">
        <w:rPr>
          <w:color w:val="000000"/>
        </w:rPr>
        <w:t xml:space="preserve">, </w:t>
      </w:r>
      <w:r w:rsidR="00A95EA4" w:rsidRPr="00A30A72">
        <w:rPr>
          <w:color w:val="000000"/>
        </w:rPr>
        <w:t xml:space="preserve">2016; </w:t>
      </w:r>
      <w:proofErr w:type="spellStart"/>
      <w:r w:rsidR="00430DF5" w:rsidRPr="00A30A72">
        <w:rPr>
          <w:color w:val="000000"/>
        </w:rPr>
        <w:t>MacDonald</w:t>
      </w:r>
      <w:proofErr w:type="spellEnd"/>
      <w:r w:rsidR="00430DF5" w:rsidRPr="00A30A72">
        <w:rPr>
          <w:color w:val="000000"/>
        </w:rPr>
        <w:t xml:space="preserve"> &amp; </w:t>
      </w:r>
      <w:proofErr w:type="spellStart"/>
      <w:r w:rsidR="00430DF5" w:rsidRPr="00A30A72">
        <w:rPr>
          <w:color w:val="000000"/>
        </w:rPr>
        <w:t>Leary</w:t>
      </w:r>
      <w:proofErr w:type="spellEnd"/>
      <w:r w:rsidR="00430DF5" w:rsidRPr="00A30A72">
        <w:rPr>
          <w:color w:val="000000"/>
        </w:rPr>
        <w:t>, 2005</w:t>
      </w:r>
      <w:r w:rsidR="00A95EA4" w:rsidRPr="00A30A72">
        <w:rPr>
          <w:color w:val="000000"/>
        </w:rPr>
        <w:t>;</w:t>
      </w:r>
      <w:r w:rsidR="00430DF5" w:rsidRPr="00A30A72">
        <w:rPr>
          <w:color w:val="000000"/>
        </w:rPr>
        <w:t xml:space="preserve"> </w:t>
      </w:r>
      <w:proofErr w:type="spellStart"/>
      <w:r w:rsidR="00430DF5" w:rsidRPr="00A30A72">
        <w:rPr>
          <w:color w:val="000000"/>
        </w:rPr>
        <w:t>Wirth</w:t>
      </w:r>
      <w:proofErr w:type="spellEnd"/>
      <w:r w:rsidR="00430DF5" w:rsidRPr="00A30A72">
        <w:rPr>
          <w:color w:val="000000"/>
        </w:rPr>
        <w:t xml:space="preserve">, </w:t>
      </w:r>
      <w:proofErr w:type="spellStart"/>
      <w:r w:rsidR="00430DF5" w:rsidRPr="00A30A72">
        <w:rPr>
          <w:color w:val="000000"/>
        </w:rPr>
        <w:t>Bernstein</w:t>
      </w:r>
      <w:proofErr w:type="spellEnd"/>
      <w:r w:rsidR="00430DF5" w:rsidRPr="00A30A72">
        <w:rPr>
          <w:color w:val="000000"/>
        </w:rPr>
        <w:t xml:space="preserve">, </w:t>
      </w:r>
      <w:proofErr w:type="spellStart"/>
      <w:r w:rsidR="00430DF5" w:rsidRPr="00A30A72">
        <w:rPr>
          <w:color w:val="000000"/>
        </w:rPr>
        <w:t>Wesselman</w:t>
      </w:r>
      <w:proofErr w:type="spellEnd"/>
      <w:r w:rsidR="00430DF5" w:rsidRPr="00A30A72">
        <w:rPr>
          <w:color w:val="000000"/>
        </w:rPr>
        <w:t xml:space="preserve"> &amp; </w:t>
      </w:r>
      <w:proofErr w:type="spellStart"/>
      <w:r w:rsidR="00430DF5" w:rsidRPr="00A30A72">
        <w:rPr>
          <w:color w:val="000000"/>
        </w:rPr>
        <w:t>LeRoy</w:t>
      </w:r>
      <w:proofErr w:type="spellEnd"/>
      <w:r w:rsidR="00430DF5" w:rsidRPr="00A30A72">
        <w:rPr>
          <w:color w:val="000000"/>
        </w:rPr>
        <w:t xml:space="preserve"> 2015) afirman que la pérdida o potencial pérdida de una conexión</w:t>
      </w:r>
      <w:r w:rsidRPr="00A30A72">
        <w:rPr>
          <w:color w:val="000000"/>
        </w:rPr>
        <w:t xml:space="preserve"> </w:t>
      </w:r>
      <w:r w:rsidR="00430DF5" w:rsidRPr="00A30A72">
        <w:rPr>
          <w:color w:val="000000"/>
        </w:rPr>
        <w:t xml:space="preserve">conllevan un sufrimiento social para el individuo, tanto fisiológico como afectivo. </w:t>
      </w:r>
    </w:p>
    <w:p w14:paraId="75F61843" w14:textId="48642C4D" w:rsidR="001F7BC6" w:rsidRDefault="007D44BD" w:rsidP="00FE11BE">
      <w:pPr>
        <w:ind w:firstLine="720"/>
        <w:jc w:val="both"/>
        <w:rPr>
          <w:color w:val="000000"/>
        </w:rPr>
      </w:pPr>
      <w:r w:rsidRPr="00A30A72">
        <w:rPr>
          <w:color w:val="000000"/>
        </w:rPr>
        <w:t>Las</w:t>
      </w:r>
      <w:r w:rsidR="00430DF5" w:rsidRPr="00A30A72">
        <w:rPr>
          <w:color w:val="000000"/>
        </w:rPr>
        <w:t xml:space="preserve"> expectativas, como otras cogniciones sociales, responden al principio de activación cognitiva, según el cual las cogniciones deben ser activadas para que tengan alguna influencia en el procesamiento de información. Esto ocurre en función de varios factores como la información sobresaliente de la situación, tendencias personales, </w:t>
      </w:r>
      <w:proofErr w:type="spellStart"/>
      <w:r w:rsidR="00430DF5" w:rsidRPr="00A30A72">
        <w:rPr>
          <w:color w:val="000000"/>
        </w:rPr>
        <w:t>priming</w:t>
      </w:r>
      <w:proofErr w:type="spellEnd"/>
      <w:r w:rsidR="00430DF5" w:rsidRPr="00A30A72">
        <w:rPr>
          <w:color w:val="000000"/>
        </w:rPr>
        <w:t xml:space="preserve">, emociones, metas, activación de otros pensamientos, </w:t>
      </w:r>
      <w:proofErr w:type="spellStart"/>
      <w:r w:rsidR="00430DF5" w:rsidRPr="00A30A72">
        <w:rPr>
          <w:color w:val="000000"/>
        </w:rPr>
        <w:t>etc</w:t>
      </w:r>
      <w:proofErr w:type="spellEnd"/>
      <w:r w:rsidR="00430DF5" w:rsidRPr="00A30A72">
        <w:rPr>
          <w:color w:val="000000"/>
        </w:rPr>
        <w:t xml:space="preserve"> (Baldwin</w:t>
      </w:r>
      <w:r w:rsidR="00CF0F1D" w:rsidRPr="00A30A72">
        <w:rPr>
          <w:color w:val="000000"/>
        </w:rPr>
        <w:t xml:space="preserve"> &amp; </w:t>
      </w:r>
      <w:proofErr w:type="spellStart"/>
      <w:r w:rsidR="00CF0F1D" w:rsidRPr="00A30A72">
        <w:rPr>
          <w:color w:val="000000"/>
          <w:lang w:eastAsia="ar-SA"/>
        </w:rPr>
        <w:t>Dandeneau</w:t>
      </w:r>
      <w:proofErr w:type="spellEnd"/>
      <w:r w:rsidR="00430DF5" w:rsidRPr="00A30A72">
        <w:rPr>
          <w:color w:val="000000"/>
        </w:rPr>
        <w:t>, 2006).</w:t>
      </w:r>
      <w:r w:rsidRPr="00A30A72">
        <w:rPr>
          <w:color w:val="000000"/>
        </w:rPr>
        <w:t xml:space="preserve"> </w:t>
      </w:r>
    </w:p>
    <w:p w14:paraId="7D0DB1AE" w14:textId="321B03FB" w:rsidR="00430DF5" w:rsidRPr="00A30A72" w:rsidRDefault="00430DF5" w:rsidP="00FE11BE">
      <w:pPr>
        <w:ind w:firstLine="720"/>
        <w:jc w:val="both"/>
        <w:rPr>
          <w:color w:val="000000"/>
        </w:rPr>
      </w:pPr>
      <w:r w:rsidRPr="00A30A72">
        <w:rPr>
          <w:color w:val="000000"/>
        </w:rPr>
        <w:t xml:space="preserve">Al respecto, </w:t>
      </w:r>
      <w:proofErr w:type="spellStart"/>
      <w:r w:rsidRPr="00A30A72">
        <w:rPr>
          <w:color w:val="000000"/>
        </w:rPr>
        <w:t>Wirth</w:t>
      </w:r>
      <w:proofErr w:type="spellEnd"/>
      <w:r w:rsidRPr="00A30A72">
        <w:rPr>
          <w:color w:val="000000"/>
        </w:rPr>
        <w:t xml:space="preserve"> et al. (2015) llevaron a cabo un estudio con el fin de </w:t>
      </w:r>
      <w:r w:rsidR="00BA3D68">
        <w:rPr>
          <w:color w:val="000000"/>
        </w:rPr>
        <w:t>observar</w:t>
      </w:r>
      <w:r w:rsidR="00BA3D68" w:rsidRPr="00A30A72">
        <w:rPr>
          <w:color w:val="000000"/>
        </w:rPr>
        <w:t xml:space="preserve"> </w:t>
      </w:r>
      <w:r w:rsidRPr="00A30A72">
        <w:rPr>
          <w:color w:val="000000"/>
        </w:rPr>
        <w:t xml:space="preserve">si las señales provenientes del contexto social evocan expectativas de rechazo social. Los resultados demostraron que cuando los individuos esperan ser rechazados </w:t>
      </w:r>
      <w:r w:rsidR="00BA3D68">
        <w:rPr>
          <w:color w:val="000000"/>
        </w:rPr>
        <w:t xml:space="preserve">sobre la base de </w:t>
      </w:r>
      <w:r w:rsidRPr="00A30A72">
        <w:rPr>
          <w:color w:val="000000"/>
        </w:rPr>
        <w:t>señales sociales que anticipan</w:t>
      </w:r>
      <w:r w:rsidR="00BA3D68">
        <w:rPr>
          <w:color w:val="000000"/>
        </w:rPr>
        <w:t xml:space="preserve"> el rechazo</w:t>
      </w:r>
      <w:r w:rsidRPr="00A30A72">
        <w:rPr>
          <w:color w:val="000000"/>
        </w:rPr>
        <w:t xml:space="preserve">, los efectos del rechazo efectivo sobre </w:t>
      </w:r>
      <w:r w:rsidR="001F7BC6">
        <w:rPr>
          <w:color w:val="000000"/>
        </w:rPr>
        <w:t>los</w:t>
      </w:r>
      <w:r w:rsidR="001F7BC6" w:rsidRPr="00A30A72">
        <w:rPr>
          <w:color w:val="000000"/>
        </w:rPr>
        <w:t xml:space="preserve"> </w:t>
      </w:r>
      <w:r w:rsidRPr="00A30A72">
        <w:rPr>
          <w:color w:val="000000"/>
        </w:rPr>
        <w:t xml:space="preserve">niveles de satisfacción de necesidades básicas, sentimientos negativos y de exclusión, suelen ser menores, aunque no eliminados por completo, a los de aquellos </w:t>
      </w:r>
      <w:r w:rsidR="001F7BC6">
        <w:rPr>
          <w:color w:val="000000"/>
        </w:rPr>
        <w:t xml:space="preserve">individuos </w:t>
      </w:r>
      <w:r w:rsidRPr="00A30A72">
        <w:rPr>
          <w:color w:val="000000"/>
        </w:rPr>
        <w:t>que no anticipan el rechazo por haber recibido señales de aceptación del entorno. Por otro lado, el malestar asociado a la expectativa de rechazo e</w:t>
      </w:r>
      <w:r w:rsidR="001F7BC6">
        <w:rPr>
          <w:color w:val="000000"/>
        </w:rPr>
        <w:t>ra</w:t>
      </w:r>
      <w:r w:rsidRPr="00A30A72">
        <w:rPr>
          <w:color w:val="000000"/>
        </w:rPr>
        <w:t xml:space="preserve"> compensado cuando la persona era incluida en el grupo. </w:t>
      </w:r>
      <w:r w:rsidR="00BA3D68">
        <w:rPr>
          <w:color w:val="000000"/>
        </w:rPr>
        <w:t>Por otro lado</w:t>
      </w:r>
      <w:r w:rsidRPr="00A30A72">
        <w:rPr>
          <w:color w:val="000000"/>
        </w:rPr>
        <w:t>, los resultados sugieren que las expectativas de inclusión no cumplidas acentúan las consecuencias aversivas del rechazo. Los autores sostienen que esto es consecuente con la función adaptativa que cumplen los sistemas de dolor social en la supervivencia, por lo que la incapacidad de estar alerta ante un rechazo puede ser devastador.</w:t>
      </w:r>
    </w:p>
    <w:p w14:paraId="11665D6B" w14:textId="17DBA382" w:rsidR="00430DF5" w:rsidRPr="00A30A72" w:rsidRDefault="00430DF5" w:rsidP="00FE11BE">
      <w:pPr>
        <w:ind w:firstLine="720"/>
        <w:jc w:val="both"/>
      </w:pPr>
      <w:r w:rsidRPr="00A30A72">
        <w:rPr>
          <w:color w:val="000000"/>
        </w:rPr>
        <w:t xml:space="preserve">Estos resultados muestran la fuerte tendencia de las personas a </w:t>
      </w:r>
      <w:r w:rsidR="007D44BD" w:rsidRPr="00A30A72">
        <w:rPr>
          <w:color w:val="000000"/>
        </w:rPr>
        <w:t>dirigir su</w:t>
      </w:r>
      <w:r w:rsidRPr="00A30A72">
        <w:rPr>
          <w:color w:val="000000"/>
        </w:rPr>
        <w:t xml:space="preserve"> atención y aprender </w:t>
      </w:r>
      <w:r w:rsidR="001F7BC6">
        <w:rPr>
          <w:color w:val="000000"/>
        </w:rPr>
        <w:t xml:space="preserve">de </w:t>
      </w:r>
      <w:r w:rsidRPr="00A30A72">
        <w:rPr>
          <w:color w:val="000000"/>
        </w:rPr>
        <w:t>contingencias</w:t>
      </w:r>
      <w:r w:rsidR="001F7BC6">
        <w:rPr>
          <w:color w:val="000000"/>
        </w:rPr>
        <w:t xml:space="preserve"> sociales </w:t>
      </w:r>
      <w:r w:rsidRPr="00A30A72">
        <w:rPr>
          <w:color w:val="000000"/>
        </w:rPr>
        <w:t>de aceptación y rechazo interpersonal</w:t>
      </w:r>
      <w:r w:rsidR="002C14D6" w:rsidRPr="00A30A72">
        <w:rPr>
          <w:color w:val="000000"/>
        </w:rPr>
        <w:t>, incluso en pocos ensayos</w:t>
      </w:r>
      <w:r w:rsidRPr="00A30A72">
        <w:rPr>
          <w:color w:val="000000"/>
        </w:rPr>
        <w:t xml:space="preserve">. </w:t>
      </w:r>
      <w:r w:rsidR="001F7BC6" w:rsidRPr="00A30A72">
        <w:rPr>
          <w:color w:val="000000"/>
        </w:rPr>
        <w:t>Asimismo</w:t>
      </w:r>
      <w:r w:rsidRPr="00A30A72">
        <w:rPr>
          <w:color w:val="000000"/>
        </w:rPr>
        <w:t xml:space="preserve">, se observa el poderoso impacto de </w:t>
      </w:r>
      <w:r w:rsidR="001F7BC6">
        <w:rPr>
          <w:color w:val="000000"/>
        </w:rPr>
        <w:t xml:space="preserve">las </w:t>
      </w:r>
      <w:r w:rsidRPr="00A30A72">
        <w:rPr>
          <w:color w:val="000000"/>
        </w:rPr>
        <w:t xml:space="preserve">cogniciones relacionales temporarias sobre percepciones, emociones y conductas interpersonales, </w:t>
      </w:r>
      <w:r w:rsidR="001F7BC6">
        <w:rPr>
          <w:color w:val="000000"/>
        </w:rPr>
        <w:t xml:space="preserve">lo cual pone en cuestión el supuesto de que existen rasgos interpersonales </w:t>
      </w:r>
      <w:r w:rsidRPr="00A30A72">
        <w:rPr>
          <w:color w:val="000000"/>
        </w:rPr>
        <w:t>inmutable</w:t>
      </w:r>
      <w:r w:rsidR="001F7BC6">
        <w:rPr>
          <w:color w:val="000000"/>
        </w:rPr>
        <w:t>s</w:t>
      </w:r>
      <w:r w:rsidRPr="00A30A72">
        <w:rPr>
          <w:color w:val="000000"/>
        </w:rPr>
        <w:t xml:space="preserve"> adquirido</w:t>
      </w:r>
      <w:r w:rsidR="001F7BC6">
        <w:rPr>
          <w:color w:val="000000"/>
        </w:rPr>
        <w:t>s</w:t>
      </w:r>
      <w:r w:rsidRPr="00A30A72">
        <w:rPr>
          <w:color w:val="000000"/>
        </w:rPr>
        <w:t xml:space="preserve"> tempranamente en la vida y luego expresado inevitablemente en todas las relaciones.  </w:t>
      </w:r>
    </w:p>
    <w:p w14:paraId="1F1A996E" w14:textId="6B6026A0" w:rsidR="004C791D" w:rsidRPr="00A30A72" w:rsidRDefault="00430DF5" w:rsidP="00654E4F">
      <w:pPr>
        <w:ind w:firstLine="708"/>
        <w:jc w:val="center"/>
      </w:pPr>
      <w:r w:rsidRPr="00A30A72">
        <w:rPr>
          <w:color w:val="000000"/>
        </w:rPr>
        <w:t>Como se ha expuesto hasta aquí, las expectativas de rechazo social constituyen pensamientos de fácil adquisición y de gran impacto en la conducta, autoestima, afectividad y creencias de las personas</w:t>
      </w:r>
      <w:r w:rsidR="00654E4F">
        <w:rPr>
          <w:color w:val="000000"/>
        </w:rPr>
        <w:t xml:space="preserve"> (</w:t>
      </w:r>
      <w:proofErr w:type="spellStart"/>
      <w:r w:rsidR="00654E4F">
        <w:rPr>
          <w:color w:val="000000"/>
        </w:rPr>
        <w:t>Caouette</w:t>
      </w:r>
      <w:proofErr w:type="spellEnd"/>
      <w:r w:rsidR="00654E4F">
        <w:rPr>
          <w:color w:val="000000"/>
        </w:rPr>
        <w:t xml:space="preserve"> &amp;</w:t>
      </w:r>
      <w:bookmarkStart w:id="0" w:name="_GoBack"/>
      <w:bookmarkEnd w:id="0"/>
      <w:r w:rsidR="00654E4F" w:rsidRPr="00654E4F">
        <w:t xml:space="preserve"> </w:t>
      </w:r>
      <w:proofErr w:type="spellStart"/>
      <w:r w:rsidR="00654E4F" w:rsidRPr="00654E4F">
        <w:rPr>
          <w:color w:val="000000"/>
        </w:rPr>
        <w:t>Guyer</w:t>
      </w:r>
      <w:proofErr w:type="spellEnd"/>
      <w:r w:rsidR="00654E4F">
        <w:rPr>
          <w:color w:val="000000"/>
        </w:rPr>
        <w:t xml:space="preserve">, </w:t>
      </w:r>
      <w:r w:rsidR="00654E4F" w:rsidRPr="00654E4F">
        <w:rPr>
          <w:color w:val="000000"/>
        </w:rPr>
        <w:t>2016</w:t>
      </w:r>
      <w:r w:rsidR="00654E4F">
        <w:rPr>
          <w:color w:val="000000"/>
        </w:rPr>
        <w:t xml:space="preserve">; </w:t>
      </w:r>
      <w:proofErr w:type="spellStart"/>
      <w:proofErr w:type="gramStart"/>
      <w:r w:rsidR="00654E4F">
        <w:rPr>
          <w:color w:val="000000"/>
        </w:rPr>
        <w:t>Driscoll</w:t>
      </w:r>
      <w:proofErr w:type="spellEnd"/>
      <w:r w:rsidR="00654E4F">
        <w:rPr>
          <w:color w:val="000000"/>
        </w:rPr>
        <w:t xml:space="preserve">, </w:t>
      </w:r>
      <w:r w:rsidR="00654E4F" w:rsidRPr="00654E4F">
        <w:t xml:space="preserve"> </w:t>
      </w:r>
      <w:proofErr w:type="spellStart"/>
      <w:r w:rsidR="00654E4F">
        <w:rPr>
          <w:color w:val="000000"/>
        </w:rPr>
        <w:t>Barclay</w:t>
      </w:r>
      <w:proofErr w:type="spellEnd"/>
      <w:proofErr w:type="gramEnd"/>
      <w:r w:rsidR="00654E4F">
        <w:rPr>
          <w:color w:val="000000"/>
        </w:rPr>
        <w:t xml:space="preserve"> </w:t>
      </w:r>
      <w:r w:rsidR="00654E4F" w:rsidRPr="00654E4F">
        <w:rPr>
          <w:color w:val="000000"/>
        </w:rPr>
        <w:t xml:space="preserve">&amp; </w:t>
      </w:r>
      <w:proofErr w:type="spellStart"/>
      <w:r w:rsidR="00654E4F" w:rsidRPr="00654E4F">
        <w:rPr>
          <w:color w:val="000000"/>
        </w:rPr>
        <w:t>Fenske</w:t>
      </w:r>
      <w:proofErr w:type="spellEnd"/>
      <w:r w:rsidR="00654E4F" w:rsidRPr="00654E4F">
        <w:rPr>
          <w:color w:val="000000"/>
        </w:rPr>
        <w:t>, 2017</w:t>
      </w:r>
      <w:r w:rsidR="00654E4F">
        <w:rPr>
          <w:color w:val="000000"/>
        </w:rPr>
        <w:t xml:space="preserve">; </w:t>
      </w:r>
      <w:proofErr w:type="spellStart"/>
      <w:r w:rsidR="00654E4F">
        <w:rPr>
          <w:color w:val="000000"/>
        </w:rPr>
        <w:t>Tobia</w:t>
      </w:r>
      <w:proofErr w:type="spellEnd"/>
      <w:r w:rsidR="00654E4F">
        <w:rPr>
          <w:color w:val="000000"/>
        </w:rPr>
        <w:t xml:space="preserve">, Riva &amp; </w:t>
      </w:r>
      <w:proofErr w:type="spellStart"/>
      <w:r w:rsidR="00654E4F">
        <w:rPr>
          <w:color w:val="000000"/>
        </w:rPr>
        <w:t>Caprin</w:t>
      </w:r>
      <w:proofErr w:type="spellEnd"/>
      <w:r w:rsidR="00654E4F">
        <w:rPr>
          <w:color w:val="000000"/>
        </w:rPr>
        <w:t>, 2017</w:t>
      </w:r>
      <w:r w:rsidR="00654E4F" w:rsidRPr="00654E4F">
        <w:rPr>
          <w:color w:val="000000"/>
        </w:rPr>
        <w:t>).</w:t>
      </w:r>
      <w:r w:rsidR="007D44BD" w:rsidRPr="00A30A72">
        <w:rPr>
          <w:color w:val="000000"/>
        </w:rPr>
        <w:t xml:space="preserve"> </w:t>
      </w:r>
      <w:r w:rsidR="004C791D" w:rsidRPr="00A30A72">
        <w:t>Creer que uno es querido, apreciado, incluido y valorado fomenta el bienestar, la autoestima y la confianza, mientras que la sensación de no ser aceptado, no apreciado, excluido o desvalorizado evoca emociones negativas y puede dar lugar a reacciones antisociales como la agresividad o la retirada</w:t>
      </w:r>
      <w:r w:rsidR="0045668E" w:rsidRPr="00A30A72">
        <w:t>.</w:t>
      </w:r>
    </w:p>
    <w:p w14:paraId="5A7CD658" w14:textId="402271C6" w:rsidR="0045668E" w:rsidRPr="00A30A72" w:rsidRDefault="007D44BD" w:rsidP="00FE11BE">
      <w:pPr>
        <w:ind w:firstLine="708"/>
        <w:jc w:val="both"/>
      </w:pPr>
      <w:proofErr w:type="spellStart"/>
      <w:r w:rsidRPr="00A30A72">
        <w:rPr>
          <w:color w:val="000000"/>
        </w:rPr>
        <w:t>Downey</w:t>
      </w:r>
      <w:proofErr w:type="spellEnd"/>
      <w:r w:rsidRPr="00A30A72">
        <w:rPr>
          <w:color w:val="000000"/>
        </w:rPr>
        <w:t xml:space="preserve">, </w:t>
      </w:r>
      <w:proofErr w:type="spellStart"/>
      <w:r w:rsidRPr="00A30A72">
        <w:rPr>
          <w:color w:val="000000"/>
        </w:rPr>
        <w:t>Feldman</w:t>
      </w:r>
      <w:proofErr w:type="spellEnd"/>
      <w:r w:rsidRPr="00A30A72">
        <w:rPr>
          <w:color w:val="000000"/>
        </w:rPr>
        <w:t xml:space="preserve">, </w:t>
      </w:r>
      <w:proofErr w:type="spellStart"/>
      <w:r w:rsidRPr="00A30A72">
        <w:rPr>
          <w:color w:val="000000"/>
        </w:rPr>
        <w:t>Khuri</w:t>
      </w:r>
      <w:proofErr w:type="spellEnd"/>
      <w:r w:rsidRPr="00A30A72">
        <w:rPr>
          <w:color w:val="000000"/>
        </w:rPr>
        <w:t xml:space="preserve"> y Friedman (1994) </w:t>
      </w:r>
      <w:r w:rsidR="00141094">
        <w:rPr>
          <w:color w:val="000000"/>
        </w:rPr>
        <w:t xml:space="preserve">afirman </w:t>
      </w:r>
      <w:r w:rsidRPr="00A30A72">
        <w:rPr>
          <w:color w:val="000000"/>
        </w:rPr>
        <w:t>que las personas con sensibilidad al rechazo lo esperan ansiosamente, lo perciben fácilmente y reaccionan de forma exagerada ante el mismo.</w:t>
      </w:r>
      <w:r w:rsidR="0045668E" w:rsidRPr="00A30A72">
        <w:rPr>
          <w:color w:val="000000"/>
        </w:rPr>
        <w:t xml:space="preserve"> En </w:t>
      </w:r>
      <w:r w:rsidR="00371D72" w:rsidRPr="00A30A72">
        <w:rPr>
          <w:color w:val="000000"/>
        </w:rPr>
        <w:t>este sentido, las personas con alta sensibilidad al rechazo están preocupadas por la posibilidad de</w:t>
      </w:r>
      <w:r w:rsidR="001F7BC6">
        <w:rPr>
          <w:color w:val="000000"/>
        </w:rPr>
        <w:t xml:space="preserve"> ser</w:t>
      </w:r>
      <w:r w:rsidR="00371D72" w:rsidRPr="00A30A72">
        <w:rPr>
          <w:color w:val="000000"/>
        </w:rPr>
        <w:t xml:space="preserve"> rechazadas</w:t>
      </w:r>
      <w:r w:rsidR="0045668E" w:rsidRPr="00A30A72">
        <w:rPr>
          <w:color w:val="000000"/>
        </w:rPr>
        <w:t xml:space="preserve"> a la vez que espera</w:t>
      </w:r>
      <w:r w:rsidR="00371D72" w:rsidRPr="00A30A72">
        <w:rPr>
          <w:color w:val="000000"/>
        </w:rPr>
        <w:t>n</w:t>
      </w:r>
      <w:r w:rsidR="0045668E" w:rsidRPr="00A30A72">
        <w:rPr>
          <w:color w:val="000000"/>
        </w:rPr>
        <w:t xml:space="preserve"> el rechazo en lugar de </w:t>
      </w:r>
      <w:r w:rsidR="00371D72" w:rsidRPr="00A30A72">
        <w:rPr>
          <w:color w:val="000000"/>
        </w:rPr>
        <w:t xml:space="preserve">la </w:t>
      </w:r>
      <w:r w:rsidR="0045668E" w:rsidRPr="00A30A72">
        <w:rPr>
          <w:color w:val="000000"/>
        </w:rPr>
        <w:t xml:space="preserve">aceptación. Por el contrario, las personas que </w:t>
      </w:r>
      <w:r w:rsidR="00371D72" w:rsidRPr="00A30A72">
        <w:rPr>
          <w:color w:val="000000"/>
        </w:rPr>
        <w:t xml:space="preserve">tienen baja sensibilidad al rechazo, </w:t>
      </w:r>
      <w:r w:rsidR="0045668E" w:rsidRPr="00A30A72">
        <w:rPr>
          <w:color w:val="000000"/>
        </w:rPr>
        <w:t xml:space="preserve">muestran niveles más bajos de preocupación por la posibilidad de </w:t>
      </w:r>
      <w:r w:rsidR="00141094">
        <w:rPr>
          <w:color w:val="000000"/>
        </w:rPr>
        <w:t>ser rechazadas</w:t>
      </w:r>
      <w:r w:rsidR="0045668E" w:rsidRPr="00A30A72">
        <w:rPr>
          <w:color w:val="000000"/>
        </w:rPr>
        <w:t>, y esperan la aceptación de los otros significativos</w:t>
      </w:r>
      <w:r w:rsidR="00CF0F1D" w:rsidRPr="00A30A72">
        <w:rPr>
          <w:color w:val="000000"/>
        </w:rPr>
        <w:t xml:space="preserve"> (</w:t>
      </w:r>
      <w:proofErr w:type="spellStart"/>
      <w:r w:rsidR="00CF0F1D" w:rsidRPr="00A30A72">
        <w:rPr>
          <w:color w:val="000000"/>
        </w:rPr>
        <w:t>Ayduk</w:t>
      </w:r>
      <w:proofErr w:type="spellEnd"/>
      <w:r w:rsidR="00CF0F1D" w:rsidRPr="00A30A72">
        <w:rPr>
          <w:color w:val="000000"/>
        </w:rPr>
        <w:t xml:space="preserve">, </w:t>
      </w:r>
      <w:proofErr w:type="spellStart"/>
      <w:r w:rsidR="00CF0F1D" w:rsidRPr="00A30A72">
        <w:rPr>
          <w:color w:val="000000"/>
        </w:rPr>
        <w:t>Downey</w:t>
      </w:r>
      <w:proofErr w:type="spellEnd"/>
      <w:r w:rsidR="00CF0F1D" w:rsidRPr="00A30A72">
        <w:rPr>
          <w:color w:val="000000"/>
        </w:rPr>
        <w:t xml:space="preserve"> &amp; Kim, 2001)</w:t>
      </w:r>
      <w:r w:rsidR="0045668E" w:rsidRPr="00A30A72">
        <w:rPr>
          <w:color w:val="000000"/>
        </w:rPr>
        <w:t>.</w:t>
      </w:r>
      <w:r w:rsidR="00371D72" w:rsidRPr="00A30A72">
        <w:rPr>
          <w:color w:val="000000"/>
        </w:rPr>
        <w:t xml:space="preserve"> </w:t>
      </w:r>
      <w:proofErr w:type="spellStart"/>
      <w:r w:rsidR="00371D72" w:rsidRPr="00A30A72">
        <w:rPr>
          <w:color w:val="000000"/>
        </w:rPr>
        <w:t>Downey</w:t>
      </w:r>
      <w:proofErr w:type="spellEnd"/>
      <w:r w:rsidR="00371D72" w:rsidRPr="00A30A72">
        <w:rPr>
          <w:color w:val="000000"/>
        </w:rPr>
        <w:t xml:space="preserve"> y </w:t>
      </w:r>
      <w:proofErr w:type="spellStart"/>
      <w:r w:rsidR="00371D72" w:rsidRPr="00A30A72">
        <w:rPr>
          <w:color w:val="000000"/>
        </w:rPr>
        <w:t>Feldman</w:t>
      </w:r>
      <w:proofErr w:type="spellEnd"/>
      <w:r w:rsidR="00371D72" w:rsidRPr="00A30A72">
        <w:rPr>
          <w:color w:val="000000"/>
        </w:rPr>
        <w:t xml:space="preserve"> (1996) </w:t>
      </w:r>
      <w:r w:rsidR="0045668E" w:rsidRPr="00A30A72">
        <w:rPr>
          <w:color w:val="000000"/>
        </w:rPr>
        <w:t>proporciona</w:t>
      </w:r>
      <w:r w:rsidR="00371D72" w:rsidRPr="00A30A72">
        <w:rPr>
          <w:color w:val="000000"/>
        </w:rPr>
        <w:t>ron</w:t>
      </w:r>
      <w:r w:rsidR="0045668E" w:rsidRPr="00A30A72">
        <w:rPr>
          <w:color w:val="000000"/>
        </w:rPr>
        <w:t xml:space="preserve"> evidencia experimental que</w:t>
      </w:r>
      <w:r w:rsidR="00371D72" w:rsidRPr="00A30A72">
        <w:rPr>
          <w:color w:val="000000"/>
        </w:rPr>
        <w:t xml:space="preserve"> </w:t>
      </w:r>
      <w:r w:rsidR="00371D72" w:rsidRPr="00A30A72">
        <w:rPr>
          <w:color w:val="000000"/>
        </w:rPr>
        <w:lastRenderedPageBreak/>
        <w:t>sustenta que</w:t>
      </w:r>
      <w:r w:rsidR="0045668E" w:rsidRPr="00A30A72">
        <w:rPr>
          <w:color w:val="000000"/>
        </w:rPr>
        <w:t xml:space="preserve"> las personas que esperan </w:t>
      </w:r>
      <w:r w:rsidR="00371D72" w:rsidRPr="00A30A72">
        <w:rPr>
          <w:color w:val="000000"/>
        </w:rPr>
        <w:t xml:space="preserve">el rechazo, y son altamente sensibles a él, son capaces de </w:t>
      </w:r>
      <w:r w:rsidR="0045668E" w:rsidRPr="00A30A72">
        <w:rPr>
          <w:color w:val="000000"/>
        </w:rPr>
        <w:t>percib</w:t>
      </w:r>
      <w:r w:rsidR="00371D72" w:rsidRPr="00A30A72">
        <w:rPr>
          <w:color w:val="000000"/>
        </w:rPr>
        <w:t>irlo</w:t>
      </w:r>
      <w:r w:rsidR="0045668E" w:rsidRPr="00A30A72">
        <w:rPr>
          <w:color w:val="000000"/>
        </w:rPr>
        <w:t xml:space="preserve"> fácilmente</w:t>
      </w:r>
      <w:r w:rsidR="00371D72" w:rsidRPr="00A30A72">
        <w:rPr>
          <w:color w:val="000000"/>
        </w:rPr>
        <w:t xml:space="preserve">, aun cuando el comportamiento sea ambiguo. Esto genera malestar y baja satisfacción en los vínculos sociales que estos individuos establecen. </w:t>
      </w:r>
      <w:r w:rsidR="0045668E" w:rsidRPr="00A30A72">
        <w:rPr>
          <w:color w:val="000000"/>
        </w:rPr>
        <w:t xml:space="preserve"> </w:t>
      </w:r>
    </w:p>
    <w:p w14:paraId="0237CF74" w14:textId="6F44B11B" w:rsidR="00F6291B" w:rsidRPr="00A30A72" w:rsidRDefault="00371D72" w:rsidP="00FE11BE">
      <w:pPr>
        <w:ind w:firstLine="708"/>
        <w:jc w:val="both"/>
        <w:rPr>
          <w:color w:val="000000"/>
        </w:rPr>
      </w:pPr>
      <w:r w:rsidRPr="00A30A72">
        <w:t>En este punto, s</w:t>
      </w:r>
      <w:r w:rsidR="00F6291B" w:rsidRPr="00A30A72">
        <w:t xml:space="preserve">i bien es posible encontrar evidencias y postulados teóricos sobre cómo las expectativas de resultado negativas se vinculan </w:t>
      </w:r>
      <w:r w:rsidRPr="00A30A72">
        <w:t xml:space="preserve">con diferentes </w:t>
      </w:r>
      <w:r w:rsidR="001F7BC6">
        <w:t>problemas psicológicos</w:t>
      </w:r>
      <w:r w:rsidR="00F6291B" w:rsidRPr="00A30A72">
        <w:t>, no se reportan instrumentos de evaluación que midan</w:t>
      </w:r>
      <w:r w:rsidR="008C1509" w:rsidRPr="00A30A72">
        <w:t xml:space="preserve"> </w:t>
      </w:r>
      <w:r w:rsidR="00F6291B" w:rsidRPr="00A30A72">
        <w:t xml:space="preserve">expectativas de rechazo social específicamente. </w:t>
      </w:r>
      <w:r w:rsidR="001F7BC6">
        <w:t xml:space="preserve">Sumado a esto, </w:t>
      </w:r>
      <w:r w:rsidR="00F6291B" w:rsidRPr="00A30A72">
        <w:t xml:space="preserve">en </w:t>
      </w:r>
      <w:r w:rsidR="001F7BC6">
        <w:t>los estudios donde se estudia este constructo</w:t>
      </w:r>
      <w:r w:rsidR="001F7BC6" w:rsidRPr="00A30A72">
        <w:t xml:space="preserve"> </w:t>
      </w:r>
      <w:r w:rsidRPr="00A30A72">
        <w:t>(</w:t>
      </w:r>
      <w:r w:rsidR="00D116C8">
        <w:t xml:space="preserve">por ejemplo, </w:t>
      </w:r>
      <w:proofErr w:type="spellStart"/>
      <w:r w:rsidRPr="00A30A72">
        <w:t>Wirth</w:t>
      </w:r>
      <w:proofErr w:type="spellEnd"/>
      <w:r w:rsidRPr="00A30A72">
        <w:t xml:space="preserve"> et al.</w:t>
      </w:r>
      <w:r w:rsidR="00F6291B" w:rsidRPr="00A30A72">
        <w:t>, 2015</w:t>
      </w:r>
      <w:r w:rsidR="00A63043">
        <w:t>)</w:t>
      </w:r>
      <w:r w:rsidRPr="00A30A72">
        <w:t xml:space="preserve"> </w:t>
      </w:r>
      <w:r w:rsidR="00F6291B" w:rsidRPr="00A30A72">
        <w:t>no se trabaja con instrumento</w:t>
      </w:r>
      <w:r w:rsidR="001F7BC6">
        <w:t>s</w:t>
      </w:r>
      <w:r w:rsidR="00F6291B" w:rsidRPr="00A30A72">
        <w:t xml:space="preserve"> que cumpla</w:t>
      </w:r>
      <w:r w:rsidR="001F7BC6">
        <w:t>n</w:t>
      </w:r>
      <w:r w:rsidR="00F6291B" w:rsidRPr="00A30A72">
        <w:t xml:space="preserve"> con los criterios psicométricos recomendados por la literatura especializada (AERA, APA &amp; NMCE, 2014). Teniendo en cuenta lo mencionado, en el presente </w:t>
      </w:r>
      <w:r w:rsidR="008C1509" w:rsidRPr="00A30A72">
        <w:t>trabajo</w:t>
      </w:r>
      <w:r w:rsidR="00F6291B" w:rsidRPr="00A30A72">
        <w:t xml:space="preserve"> se presenta la construcción de la Escala de Expectativas de Rechazo Social (ERS) para adultos.</w:t>
      </w:r>
    </w:p>
    <w:p w14:paraId="5CD7AF57" w14:textId="77777777" w:rsidR="00D23286" w:rsidRDefault="00D23286" w:rsidP="00FE11BE">
      <w:pPr>
        <w:spacing w:after="160"/>
        <w:rPr>
          <w:b/>
        </w:rPr>
      </w:pPr>
    </w:p>
    <w:p w14:paraId="2962E654" w14:textId="405375B6" w:rsidR="00F6291B" w:rsidRPr="00A30A72" w:rsidRDefault="00F6291B" w:rsidP="00FE11BE">
      <w:pPr>
        <w:spacing w:after="160"/>
        <w:jc w:val="center"/>
        <w:rPr>
          <w:b/>
        </w:rPr>
      </w:pPr>
      <w:r w:rsidRPr="00A30A72">
        <w:rPr>
          <w:b/>
        </w:rPr>
        <w:t>Método</w:t>
      </w:r>
    </w:p>
    <w:p w14:paraId="522AFFA1" w14:textId="77777777" w:rsidR="00F6291B" w:rsidRPr="00A30A72" w:rsidRDefault="00F6291B" w:rsidP="00FE11BE">
      <w:pPr>
        <w:autoSpaceDE w:val="0"/>
        <w:autoSpaceDN w:val="0"/>
        <w:adjustRightInd w:val="0"/>
        <w:ind w:firstLine="708"/>
        <w:jc w:val="both"/>
        <w:rPr>
          <w:b/>
          <w:lang w:val="es-AR" w:eastAsia="es-AR"/>
        </w:rPr>
      </w:pPr>
      <w:r w:rsidRPr="00A30A72">
        <w:rPr>
          <w:b/>
        </w:rPr>
        <w:t>Participantes.</w:t>
      </w:r>
    </w:p>
    <w:p w14:paraId="569D9888" w14:textId="77777777" w:rsidR="00F6291B" w:rsidRPr="00A30A72" w:rsidRDefault="00F73B34" w:rsidP="00FE11BE">
      <w:pPr>
        <w:autoSpaceDE w:val="0"/>
        <w:autoSpaceDN w:val="0"/>
        <w:adjustRightInd w:val="0"/>
        <w:ind w:firstLine="708"/>
        <w:jc w:val="both"/>
      </w:pPr>
      <w:r w:rsidRPr="00A30A72">
        <w:t>Para el estudio de análisis factorial exploratorio s</w:t>
      </w:r>
      <w:r w:rsidR="00F6291B" w:rsidRPr="00A30A72">
        <w:t xml:space="preserve">e trabajó con una muestra inicial de 320 participantes (73.7 % mujeres, 26.3 % hombres), de edades comprendidas entre 18 y 70 años de edad (M = 25.03 s = 7.92). </w:t>
      </w:r>
      <w:r w:rsidRPr="00A30A72">
        <w:t xml:space="preserve">Para el análisis factorial confirmatorio la muestra se conformó con 458 participantes (75.3% mujeres, 24.7 % hombres), de edades comprendidas entre 18 y 70 años de edad (M= 25.5, s= 7.81). </w:t>
      </w:r>
      <w:r w:rsidR="00F6291B" w:rsidRPr="00A30A72">
        <w:t>El muestreo utilizado fue no probabilístico de tipo accidental.</w:t>
      </w:r>
    </w:p>
    <w:p w14:paraId="76F17976" w14:textId="77777777" w:rsidR="00F6291B" w:rsidRPr="00A30A72" w:rsidRDefault="00F6291B" w:rsidP="00FE11BE">
      <w:pPr>
        <w:autoSpaceDE w:val="0"/>
        <w:autoSpaceDN w:val="0"/>
        <w:adjustRightInd w:val="0"/>
        <w:jc w:val="both"/>
        <w:rPr>
          <w:b/>
          <w:i/>
          <w:iCs/>
        </w:rPr>
      </w:pPr>
    </w:p>
    <w:p w14:paraId="28CD9ED4" w14:textId="77777777" w:rsidR="00F73B34" w:rsidRPr="00A30A72" w:rsidRDefault="00F73B34" w:rsidP="00FE11BE">
      <w:pPr>
        <w:autoSpaceDE w:val="0"/>
        <w:autoSpaceDN w:val="0"/>
        <w:adjustRightInd w:val="0"/>
        <w:ind w:firstLine="708"/>
        <w:rPr>
          <w:b/>
        </w:rPr>
      </w:pPr>
      <w:r w:rsidRPr="00A30A72">
        <w:rPr>
          <w:b/>
        </w:rPr>
        <w:t>Instrumentos.</w:t>
      </w:r>
    </w:p>
    <w:p w14:paraId="7352E156" w14:textId="0D6A4991" w:rsidR="00F73B34" w:rsidRPr="00A30A72" w:rsidRDefault="00F73B34" w:rsidP="00FE11BE">
      <w:pPr>
        <w:tabs>
          <w:tab w:val="left" w:pos="993"/>
        </w:tabs>
        <w:autoSpaceDE w:val="0"/>
        <w:autoSpaceDN w:val="0"/>
        <w:adjustRightInd w:val="0"/>
        <w:jc w:val="both"/>
      </w:pPr>
      <w:r w:rsidRPr="00A30A72">
        <w:rPr>
          <w:i/>
        </w:rPr>
        <w:tab/>
        <w:t>Test de Ansiedad Social para estudiantes universitarios, TAS-U (Moran, 2016):</w:t>
      </w:r>
      <w:r w:rsidRPr="00A30A72">
        <w:t xml:space="preserve"> Este instrumento fue construido para estudiantes universitarios argentinos. Utilizando una escala de 1 a 10 (1 nada - 10 mucho), la persona debe indicar la intensidad con que experimenta ansiedad, nerviosismo o malestar ante determinadas situaciones sociales (</w:t>
      </w:r>
      <w:r w:rsidRPr="00046F75">
        <w:t xml:space="preserve">“Responder a la pregunta de un profesor en clase”, </w:t>
      </w:r>
      <w:r w:rsidRPr="00A30A72">
        <w:t>por ejemplo). El instrumento se compone de 27 ítems agrupados en cuatro factores obtenidos mediante AFE y AFC, denominados Ansiedad ante situaciones sociales con personas conoc</w:t>
      </w:r>
      <w:r w:rsidR="005C7C3A">
        <w:t>idas, compuesto por 11 ítems (</w:t>
      </w:r>
      <w:r w:rsidR="00124834">
        <w:t>ω</w:t>
      </w:r>
      <w:r w:rsidRPr="00A30A72">
        <w:t xml:space="preserve"> = .86), Ansiedad ante situaciones de desempeño académico o labor</w:t>
      </w:r>
      <w:r w:rsidR="00124834">
        <w:t>al compuesto por siete ítems (ω</w:t>
      </w:r>
      <w:r w:rsidRPr="00A30A72">
        <w:t>= .88), Ansiedad a ser observado por otros en situaciones general</w:t>
      </w:r>
      <w:r w:rsidR="00124834">
        <w:t>es, compuesto por seis ítems (ω</w:t>
      </w:r>
      <w:r w:rsidRPr="00A30A72">
        <w:t xml:space="preserve"> = .77) y Ansiedad ante situaciones de abordaje afectivo o sexual</w:t>
      </w:r>
      <w:r w:rsidR="00124834">
        <w:t>, compuesta por cuatro ítems (ω</w:t>
      </w:r>
      <w:r w:rsidRPr="00A30A72">
        <w:t xml:space="preserve"> = .81).</w:t>
      </w:r>
    </w:p>
    <w:p w14:paraId="4D9B9488" w14:textId="77777777" w:rsidR="00F73B34" w:rsidRPr="00A30A72" w:rsidRDefault="00F73B34" w:rsidP="00FE11BE">
      <w:pPr>
        <w:autoSpaceDE w:val="0"/>
        <w:autoSpaceDN w:val="0"/>
        <w:adjustRightInd w:val="0"/>
        <w:ind w:firstLine="708"/>
        <w:rPr>
          <w:b/>
        </w:rPr>
      </w:pPr>
    </w:p>
    <w:p w14:paraId="649DFBA6" w14:textId="77777777" w:rsidR="00F6291B" w:rsidRPr="00A30A72" w:rsidRDefault="00F6291B" w:rsidP="00FE11BE">
      <w:pPr>
        <w:pStyle w:val="Textoindependiente2"/>
        <w:ind w:firstLine="708"/>
        <w:rPr>
          <w:b/>
          <w:i w:val="0"/>
          <w:iCs/>
          <w:szCs w:val="24"/>
        </w:rPr>
      </w:pPr>
      <w:r w:rsidRPr="00A30A72">
        <w:rPr>
          <w:b/>
          <w:i w:val="0"/>
          <w:iCs/>
          <w:szCs w:val="24"/>
        </w:rPr>
        <w:t>Procedimiento.</w:t>
      </w:r>
    </w:p>
    <w:p w14:paraId="1BCBEBC5" w14:textId="596E8FD8" w:rsidR="00635E43" w:rsidRPr="00A30A72" w:rsidRDefault="004F01BD" w:rsidP="00FE11BE">
      <w:pPr>
        <w:pStyle w:val="Sangradetextonormal"/>
        <w:rPr>
          <w:szCs w:val="24"/>
          <w:lang w:val="es-AR"/>
        </w:rPr>
      </w:pPr>
      <w:r w:rsidRPr="00A30A72">
        <w:rPr>
          <w:szCs w:val="24"/>
          <w:lang w:val="es-AR"/>
        </w:rPr>
        <w:t xml:space="preserve">Los participantes fueron informados acerca del propósito del estudio previo a la participación, y firmaron un formulario de consentimiento que describe el </w:t>
      </w:r>
      <w:r w:rsidR="00635E43" w:rsidRPr="00A30A72">
        <w:rPr>
          <w:szCs w:val="24"/>
          <w:lang w:val="es-AR"/>
        </w:rPr>
        <w:t xml:space="preserve">objetivo, la voluntariedad de su participación y </w:t>
      </w:r>
      <w:r w:rsidRPr="00A30A72">
        <w:rPr>
          <w:szCs w:val="24"/>
          <w:lang w:val="es-AR"/>
        </w:rPr>
        <w:t>la natura</w:t>
      </w:r>
      <w:r w:rsidR="00635E43" w:rsidRPr="00A30A72">
        <w:rPr>
          <w:szCs w:val="24"/>
          <w:lang w:val="es-AR"/>
        </w:rPr>
        <w:t>leza confidencial de los datos</w:t>
      </w:r>
      <w:r w:rsidRPr="00A30A72">
        <w:rPr>
          <w:szCs w:val="24"/>
          <w:lang w:val="es-AR"/>
        </w:rPr>
        <w:t>.</w:t>
      </w:r>
      <w:r w:rsidR="00635E43" w:rsidRPr="00A30A72">
        <w:rPr>
          <w:szCs w:val="24"/>
          <w:lang w:val="es-AR"/>
        </w:rPr>
        <w:t xml:space="preserve"> Los cuestionarios se respondieron vía online.</w:t>
      </w:r>
    </w:p>
    <w:p w14:paraId="79209D95" w14:textId="77777777" w:rsidR="00F6291B" w:rsidRPr="00A30A72" w:rsidRDefault="00A06587" w:rsidP="00FE11BE">
      <w:pPr>
        <w:pStyle w:val="Sangradetextonormal"/>
        <w:rPr>
          <w:szCs w:val="24"/>
          <w:lang w:val="es-AR"/>
        </w:rPr>
      </w:pPr>
      <w:r w:rsidRPr="00A30A72">
        <w:rPr>
          <w:szCs w:val="24"/>
          <w:lang w:val="es-AR"/>
        </w:rPr>
        <w:t xml:space="preserve">Previo a </w:t>
      </w:r>
      <w:r w:rsidR="00635E43" w:rsidRPr="00A30A72">
        <w:rPr>
          <w:szCs w:val="24"/>
          <w:lang w:val="es-AR"/>
        </w:rPr>
        <w:t>cada</w:t>
      </w:r>
      <w:r w:rsidRPr="00A30A72">
        <w:rPr>
          <w:szCs w:val="24"/>
          <w:lang w:val="es-AR"/>
        </w:rPr>
        <w:t xml:space="preserve"> análisis, se evaluó la calidad de todas las bases de datos, analizando valores perdidos y casos atípicos </w:t>
      </w:r>
      <w:proofErr w:type="spellStart"/>
      <w:r w:rsidRPr="00A30A72">
        <w:rPr>
          <w:szCs w:val="24"/>
          <w:lang w:val="es-AR"/>
        </w:rPr>
        <w:t>univariados</w:t>
      </w:r>
      <w:proofErr w:type="spellEnd"/>
      <w:r w:rsidRPr="00A30A72">
        <w:rPr>
          <w:szCs w:val="24"/>
          <w:lang w:val="es-AR"/>
        </w:rPr>
        <w:t xml:space="preserve"> y multivariados.</w:t>
      </w:r>
    </w:p>
    <w:p w14:paraId="734A6618" w14:textId="77777777" w:rsidR="00A06587" w:rsidRPr="00A30A72" w:rsidRDefault="00A06587" w:rsidP="00FE11BE">
      <w:pPr>
        <w:pStyle w:val="Sangradetextonormal"/>
        <w:ind w:firstLine="0"/>
        <w:rPr>
          <w:b/>
          <w:color w:val="FF0000"/>
          <w:szCs w:val="24"/>
        </w:rPr>
      </w:pPr>
    </w:p>
    <w:p w14:paraId="73B8FAE4" w14:textId="77777777" w:rsidR="00F6291B" w:rsidRPr="00A30A72" w:rsidRDefault="00F6291B" w:rsidP="00FE11BE">
      <w:pPr>
        <w:pStyle w:val="Sangradetextonormal"/>
        <w:ind w:firstLine="0"/>
        <w:jc w:val="center"/>
        <w:rPr>
          <w:b/>
          <w:szCs w:val="24"/>
          <w:lang w:val="es-ES_tradnl"/>
        </w:rPr>
      </w:pPr>
      <w:r w:rsidRPr="00A30A72">
        <w:rPr>
          <w:b/>
          <w:szCs w:val="24"/>
          <w:lang w:val="es-ES_tradnl"/>
        </w:rPr>
        <w:t>Resultados</w:t>
      </w:r>
    </w:p>
    <w:p w14:paraId="1A7DFDDB" w14:textId="77777777" w:rsidR="00F6291B" w:rsidRPr="00A30A72" w:rsidRDefault="00F6291B" w:rsidP="00FE11BE">
      <w:pPr>
        <w:pStyle w:val="Sangradetextonormal"/>
        <w:ind w:firstLine="0"/>
        <w:rPr>
          <w:b/>
          <w:szCs w:val="24"/>
          <w:lang w:val="es-ES_tradnl"/>
        </w:rPr>
      </w:pPr>
    </w:p>
    <w:p w14:paraId="6E808C4E" w14:textId="77777777" w:rsidR="00F73B34" w:rsidRPr="00A30A72" w:rsidRDefault="00F73B34" w:rsidP="00FE11BE">
      <w:pPr>
        <w:pStyle w:val="Sangradetextonormal"/>
        <w:rPr>
          <w:b/>
          <w:bCs/>
          <w:iCs/>
          <w:spacing w:val="-3"/>
          <w:szCs w:val="24"/>
        </w:rPr>
      </w:pPr>
      <w:r w:rsidRPr="00A30A72">
        <w:rPr>
          <w:b/>
          <w:bCs/>
          <w:iCs/>
          <w:spacing w:val="-3"/>
          <w:szCs w:val="24"/>
        </w:rPr>
        <w:t>Diseño y redacción de ítems.</w:t>
      </w:r>
    </w:p>
    <w:p w14:paraId="54936CB1" w14:textId="3E9F4BDF" w:rsidR="00F73B34" w:rsidRPr="00A30A72" w:rsidRDefault="00F73B34" w:rsidP="00FE11BE">
      <w:pPr>
        <w:ind w:firstLine="708"/>
        <w:jc w:val="both"/>
        <w:rPr>
          <w:lang w:val="es-AR"/>
        </w:rPr>
      </w:pPr>
      <w:r w:rsidRPr="00A30A72">
        <w:rPr>
          <w:lang w:val="es-AR"/>
        </w:rPr>
        <w:t xml:space="preserve">Para el diseño de los ítems preliminares se revisaron un total de 9 escalas que evaluaban expectativas de resultado en relación a diferentes dominios de comportamiento, utilizadas en diferentes países y para diferentes poblaciones. Esta </w:t>
      </w:r>
      <w:r w:rsidRPr="00A30A72">
        <w:rPr>
          <w:lang w:val="es-AR"/>
        </w:rPr>
        <w:lastRenderedPageBreak/>
        <w:t xml:space="preserve">revisión tuvo como objetivo determinar el estilo de redacción para este tipo de enunciados, atendiendo a las consideraciones de </w:t>
      </w:r>
      <w:proofErr w:type="spellStart"/>
      <w:r w:rsidRPr="00A30A72">
        <w:rPr>
          <w:lang w:val="es-AR"/>
        </w:rPr>
        <w:t>Lent</w:t>
      </w:r>
      <w:proofErr w:type="spellEnd"/>
      <w:r w:rsidRPr="00A30A72">
        <w:rPr>
          <w:lang w:val="es-AR"/>
        </w:rPr>
        <w:t xml:space="preserve"> y Brown (2006) para la construcción de instrumentos de medición de constructos basados en la Teoría Social Cognitiva. Dado que no se encontró en la literatura escalas que evaluasen expectativas de rechazo social, se revisaron instrumentos de evaluación de constructos relacionados, tales como miedo a la evaluación negativa (</w:t>
      </w:r>
      <w:proofErr w:type="spellStart"/>
      <w:r w:rsidRPr="00A30A72">
        <w:rPr>
          <w:lang w:val="es-AR"/>
        </w:rPr>
        <w:t>Leary</w:t>
      </w:r>
      <w:proofErr w:type="spellEnd"/>
      <w:r w:rsidRPr="00A30A72">
        <w:rPr>
          <w:lang w:val="es-AR"/>
        </w:rPr>
        <w:t>, 1983), sensibilidad al rechazo (</w:t>
      </w:r>
      <w:proofErr w:type="spellStart"/>
      <w:r w:rsidRPr="00A30A72">
        <w:rPr>
          <w:lang w:val="es-AR"/>
        </w:rPr>
        <w:t>Mehrabian</w:t>
      </w:r>
      <w:proofErr w:type="spellEnd"/>
      <w:r w:rsidRPr="00A30A72">
        <w:rPr>
          <w:lang w:val="es-AR"/>
        </w:rPr>
        <w:t>, 1970, 1976) y miedo al rechazo (</w:t>
      </w:r>
      <w:proofErr w:type="spellStart"/>
      <w:r w:rsidRPr="00A30A72">
        <w:rPr>
          <w:lang w:val="es-AR"/>
        </w:rPr>
        <w:t>Sokolowski</w:t>
      </w:r>
      <w:proofErr w:type="spellEnd"/>
      <w:r w:rsidRPr="00A30A72">
        <w:rPr>
          <w:lang w:val="es-AR"/>
        </w:rPr>
        <w:t xml:space="preserve">, </w:t>
      </w:r>
      <w:proofErr w:type="spellStart"/>
      <w:r w:rsidRPr="00A30A72">
        <w:rPr>
          <w:lang w:val="es-AR"/>
        </w:rPr>
        <w:t>Schmalt</w:t>
      </w:r>
      <w:proofErr w:type="spellEnd"/>
      <w:r w:rsidRPr="00A30A72">
        <w:rPr>
          <w:lang w:val="es-AR"/>
        </w:rPr>
        <w:t xml:space="preserve">, </w:t>
      </w:r>
      <w:proofErr w:type="spellStart"/>
      <w:r w:rsidRPr="00A30A72">
        <w:rPr>
          <w:lang w:val="es-AR"/>
        </w:rPr>
        <w:t>Langens</w:t>
      </w:r>
      <w:proofErr w:type="spellEnd"/>
      <w:r w:rsidRPr="00A30A72">
        <w:rPr>
          <w:lang w:val="es-AR"/>
        </w:rPr>
        <w:t xml:space="preserve">, &amp; </w:t>
      </w:r>
      <w:proofErr w:type="spellStart"/>
      <w:r w:rsidRPr="00A30A72">
        <w:rPr>
          <w:lang w:val="es-AR"/>
        </w:rPr>
        <w:t>Puca</w:t>
      </w:r>
      <w:proofErr w:type="spellEnd"/>
      <w:r w:rsidRPr="00A30A72">
        <w:rPr>
          <w:lang w:val="es-AR"/>
        </w:rPr>
        <w:t xml:space="preserve">, 2000) para identificar dimensiones comunes y situaciones específicas de rechazo abordadas en cada uno de sus ítems. Por otro lado, también se analizaron instrumentos locales construidos para evaluar constructos referidos a relaciones interpersonales, tales como habilidades sociales (Morán, </w:t>
      </w:r>
      <w:proofErr w:type="spellStart"/>
      <w:r w:rsidRPr="00A30A72">
        <w:rPr>
          <w:lang w:val="es-AR"/>
        </w:rPr>
        <w:t>Olaz</w:t>
      </w:r>
      <w:proofErr w:type="spellEnd"/>
      <w:r w:rsidRPr="00A30A72">
        <w:rPr>
          <w:lang w:val="es-AR"/>
        </w:rPr>
        <w:t xml:space="preserve"> &amp; Del </w:t>
      </w:r>
      <w:proofErr w:type="spellStart"/>
      <w:r w:rsidRPr="00A30A72">
        <w:rPr>
          <w:lang w:val="es-AR"/>
        </w:rPr>
        <w:t>Prette</w:t>
      </w:r>
      <w:proofErr w:type="spellEnd"/>
      <w:r w:rsidRPr="00A30A72">
        <w:rPr>
          <w:lang w:val="es-AR"/>
        </w:rPr>
        <w:t xml:space="preserve">, 2015), </w:t>
      </w:r>
      <w:r w:rsidR="00735A3E">
        <w:rPr>
          <w:lang w:val="es-AR"/>
        </w:rPr>
        <w:t>autoeficacia social (</w:t>
      </w:r>
      <w:proofErr w:type="spellStart"/>
      <w:r w:rsidR="00735A3E">
        <w:rPr>
          <w:lang w:val="es-AR"/>
        </w:rPr>
        <w:t>Olaz</w:t>
      </w:r>
      <w:proofErr w:type="spellEnd"/>
      <w:r w:rsidR="00735A3E">
        <w:rPr>
          <w:lang w:val="es-AR"/>
        </w:rPr>
        <w:t>, 2012)</w:t>
      </w:r>
      <w:r w:rsidRPr="00D23286">
        <w:rPr>
          <w:lang w:val="es-AR"/>
        </w:rPr>
        <w:t>,</w:t>
      </w:r>
      <w:r w:rsidRPr="00A30A72">
        <w:rPr>
          <w:lang w:val="es-AR"/>
        </w:rPr>
        <w:t xml:space="preserve"> los cuales fueron utilizados como guía para incluir situaciones de interacción social propias de nuestro contexto. </w:t>
      </w:r>
    </w:p>
    <w:p w14:paraId="36BDB2EB" w14:textId="77777777" w:rsidR="00F6291B" w:rsidRPr="00A30A72" w:rsidRDefault="00F6291B" w:rsidP="00FE11BE">
      <w:pPr>
        <w:ind w:firstLine="708"/>
        <w:jc w:val="both"/>
        <w:rPr>
          <w:lang w:val="es-AR"/>
        </w:rPr>
      </w:pPr>
      <w:r w:rsidRPr="00A30A72">
        <w:rPr>
          <w:lang w:val="es-AR"/>
        </w:rPr>
        <w:t xml:space="preserve">Los ítems de la Escala de Expectativas de Rechazo Social (ERS) fueron redactados teniendo en cuenta diferentes tipos de desempeño (individual o en interacción), diversos contextos y demandas, distintos niveles de familiaridad de los participantes y también diferente número de personas en la interacción. De esta manera se redactaron 51 ítems iniciales a ser evaluados. La escala de respuesta propuesta fue de tipo Likert, utilizando un recorrido de 1 a 5, donde la persona que responde debe indicar la frecuencia en que piensa de la manera que cada ítem expresa ante cada situación social planteada. </w:t>
      </w:r>
    </w:p>
    <w:p w14:paraId="2685BB70" w14:textId="77777777" w:rsidR="00F6291B" w:rsidRPr="00A30A72" w:rsidRDefault="00F6291B" w:rsidP="00FE11BE">
      <w:pPr>
        <w:autoSpaceDE w:val="0"/>
        <w:autoSpaceDN w:val="0"/>
        <w:adjustRightInd w:val="0"/>
        <w:jc w:val="both"/>
        <w:rPr>
          <w:color w:val="FF0000"/>
          <w:u w:val="single"/>
          <w:lang w:val="es-ES_tradnl"/>
        </w:rPr>
      </w:pPr>
    </w:p>
    <w:p w14:paraId="737477E6" w14:textId="77777777" w:rsidR="00F6291B" w:rsidRPr="00A30A72" w:rsidRDefault="00DD6BDF" w:rsidP="00FE11BE">
      <w:pPr>
        <w:pStyle w:val="Sangradetextonormal"/>
        <w:rPr>
          <w:b/>
          <w:bCs/>
          <w:iCs/>
          <w:spacing w:val="-3"/>
          <w:szCs w:val="24"/>
        </w:rPr>
      </w:pPr>
      <w:r w:rsidRPr="00A30A72">
        <w:rPr>
          <w:b/>
          <w:bCs/>
          <w:iCs/>
          <w:spacing w:val="-3"/>
          <w:szCs w:val="24"/>
        </w:rPr>
        <w:t>Evidencia de contenido.</w:t>
      </w:r>
    </w:p>
    <w:p w14:paraId="5628A5F1" w14:textId="77777777" w:rsidR="008C01AB" w:rsidRPr="00A30A72" w:rsidRDefault="008C01AB" w:rsidP="00FE11BE">
      <w:pPr>
        <w:autoSpaceDE w:val="0"/>
        <w:autoSpaceDN w:val="0"/>
        <w:adjustRightInd w:val="0"/>
        <w:ind w:firstLine="708"/>
        <w:jc w:val="both"/>
        <w:rPr>
          <w:lang w:val="es-ES_tradnl"/>
        </w:rPr>
      </w:pPr>
      <w:r w:rsidRPr="00A30A72">
        <w:rPr>
          <w:rFonts w:eastAsiaTheme="minorHAnsi"/>
          <w:lang w:eastAsia="en-US"/>
        </w:rPr>
        <w:t>Los ítems preliminares del instrumento fueron entregados a jueces expertos en construcción de escalas en general y en el estudio de constructos vinculados a las relaciones interpersonales. Se entregó a cada juez (</w:t>
      </w:r>
      <w:r w:rsidRPr="00A30A72">
        <w:rPr>
          <w:rFonts w:eastAsiaTheme="minorHAnsi"/>
          <w:i/>
          <w:lang w:eastAsia="en-US"/>
        </w:rPr>
        <w:t>N</w:t>
      </w:r>
      <w:r w:rsidRPr="00A30A72">
        <w:rPr>
          <w:rFonts w:eastAsiaTheme="minorHAnsi"/>
          <w:lang w:eastAsia="en-US"/>
        </w:rPr>
        <w:t xml:space="preserve"> = 6) un formato</w:t>
      </w:r>
      <w:r w:rsidR="00761660" w:rsidRPr="00A30A72">
        <w:rPr>
          <w:rFonts w:eastAsiaTheme="minorHAnsi"/>
          <w:lang w:eastAsia="en-US"/>
        </w:rPr>
        <w:t xml:space="preserve"> estandarizado de calificación</w:t>
      </w:r>
      <w:r w:rsidRPr="00A30A72">
        <w:rPr>
          <w:rFonts w:eastAsiaTheme="minorHAnsi"/>
          <w:lang w:eastAsia="en-US"/>
        </w:rPr>
        <w:t>, incluyendo los ítems y los criterios de evaluación. Los ítems fueron evaluados en función de criterios de claridad semántica, corrección sintáctica, y congruencia de cada ítem con el constructo teórico que se pretendía medir. Para ello, se solicitó a los jueces que indicaran si consideraban pertinente incluir el ítem en base a su contenido, y que, por otro lado, los calificaran en sus aspectos formales utilizando una escala de 1 a 5 donde el puntaje menor indicaba una baja claridad y una recomendación implícita para su reelaboración, mientras que puntaje mayor significaba una alta calidad formal. Finalmente, se le permitió a cada juez realizar observaciones</w:t>
      </w:r>
      <w:r w:rsidRPr="00A30A72">
        <w:rPr>
          <w:lang w:val="es-ES_tradnl"/>
        </w:rPr>
        <w:t xml:space="preserve"> y esclarecimientos que consideraran pertinentes para el perfeccionamiento de cada reactivo. </w:t>
      </w:r>
    </w:p>
    <w:p w14:paraId="70730443" w14:textId="77777777" w:rsidR="008C01AB" w:rsidRPr="00A30A72" w:rsidRDefault="008C01AB" w:rsidP="00FE11BE">
      <w:pPr>
        <w:autoSpaceDE w:val="0"/>
        <w:autoSpaceDN w:val="0"/>
        <w:adjustRightInd w:val="0"/>
        <w:ind w:firstLine="708"/>
        <w:jc w:val="both"/>
        <w:rPr>
          <w:rFonts w:eastAsiaTheme="minorHAnsi"/>
          <w:lang w:eastAsia="en-US"/>
        </w:rPr>
      </w:pPr>
      <w:r w:rsidRPr="00A30A72">
        <w:rPr>
          <w:rFonts w:eastAsiaTheme="minorHAnsi"/>
          <w:lang w:eastAsia="en-US"/>
        </w:rPr>
        <w:t xml:space="preserve">Para determinar el acuerdo entre jueces sobre la calidad de los ítems se utilizó el coeficiente V de </w:t>
      </w:r>
      <w:proofErr w:type="spellStart"/>
      <w:r w:rsidRPr="00A30A72">
        <w:rPr>
          <w:rFonts w:eastAsiaTheme="minorHAnsi"/>
          <w:lang w:eastAsia="en-US"/>
        </w:rPr>
        <w:t>Aiken</w:t>
      </w:r>
      <w:proofErr w:type="spellEnd"/>
      <w:r w:rsidRPr="00A30A72">
        <w:rPr>
          <w:rFonts w:eastAsiaTheme="minorHAnsi"/>
          <w:lang w:eastAsia="en-US"/>
        </w:rPr>
        <w:t xml:space="preserve">. Este coeficiente se basa en la opinión de </w:t>
      </w:r>
      <w:r w:rsidRPr="00A30A72">
        <w:rPr>
          <w:rFonts w:eastAsiaTheme="minorHAnsi"/>
          <w:i/>
          <w:lang w:eastAsia="en-US"/>
        </w:rPr>
        <w:t>N</w:t>
      </w:r>
      <w:r w:rsidRPr="00A30A72">
        <w:rPr>
          <w:rFonts w:eastAsiaTheme="minorHAnsi"/>
          <w:lang w:eastAsia="en-US"/>
        </w:rPr>
        <w:t xml:space="preserve"> jueces expertos sobre la validez de un material evaluativo, sus puntajes van desde 0 a 1, en donde 1 indica un acuerdo perfecto entre los jueces. Sumado a ello, se utilizó el método </w:t>
      </w:r>
      <w:r w:rsidRPr="00A30A72">
        <w:rPr>
          <w:rFonts w:eastAsiaTheme="minorHAnsi"/>
          <w:i/>
          <w:iCs/>
          <w:lang w:eastAsia="en-US"/>
        </w:rPr>
        <w:t xml:space="preserve">score </w:t>
      </w:r>
      <w:r w:rsidRPr="00A30A72">
        <w:rPr>
          <w:rFonts w:eastAsiaTheme="minorHAnsi"/>
          <w:lang w:eastAsia="en-US"/>
        </w:rPr>
        <w:t>para el cálculo de los intervalos de confianza de cada coeficiente, debido a que no depende de la distribución normal de la variable y es altamente exacto (Merino Soto &amp; Livia Segovia, 2009).</w:t>
      </w:r>
    </w:p>
    <w:p w14:paraId="077765E5" w14:textId="77777777" w:rsidR="00F6291B" w:rsidRPr="00A30A72" w:rsidRDefault="00F6291B" w:rsidP="00FE11BE">
      <w:pPr>
        <w:autoSpaceDE w:val="0"/>
        <w:autoSpaceDN w:val="0"/>
        <w:adjustRightInd w:val="0"/>
        <w:ind w:firstLine="708"/>
        <w:jc w:val="both"/>
        <w:rPr>
          <w:rFonts w:eastAsiaTheme="minorHAnsi"/>
          <w:lang w:eastAsia="en-US"/>
        </w:rPr>
      </w:pPr>
      <w:r w:rsidRPr="00A30A72">
        <w:rPr>
          <w:rFonts w:eastAsiaTheme="minorHAnsi"/>
          <w:lang w:eastAsia="en-US"/>
        </w:rPr>
        <w:t>En primer lugar, se consideró la indicación de los jueces acerca de la inclusión de cada ítem en la escala y las observaciones realizadas en los casos en que se sugirió la eliminación. Como resultado, se decidió eliminar cuatro ítems cuyo contenido no evaluaba expectativas de rechazo social, sino constructos relacionados.</w:t>
      </w:r>
    </w:p>
    <w:p w14:paraId="0A8CB6DF" w14:textId="499B9B25" w:rsidR="00F6291B" w:rsidRPr="00A30A72" w:rsidRDefault="00F6291B" w:rsidP="00FE11BE">
      <w:pPr>
        <w:autoSpaceDE w:val="0"/>
        <w:autoSpaceDN w:val="0"/>
        <w:adjustRightInd w:val="0"/>
        <w:ind w:firstLine="708"/>
        <w:jc w:val="both"/>
        <w:rPr>
          <w:rFonts w:eastAsiaTheme="minorHAnsi"/>
          <w:lang w:eastAsia="en-US"/>
        </w:rPr>
      </w:pPr>
      <w:r w:rsidRPr="00A30A72">
        <w:rPr>
          <w:rFonts w:eastAsiaTheme="minorHAnsi"/>
          <w:lang w:eastAsia="en-US"/>
        </w:rPr>
        <w:t xml:space="preserve">Posteriormente, se calculó la concordancia de los jueces. De los 47 reactivos evaluados, 38 obtuvieron resultados satisfactorios, presentando coeficientes </w:t>
      </w:r>
      <w:r w:rsidRPr="003A7EF4">
        <w:rPr>
          <w:rFonts w:eastAsiaTheme="minorHAnsi"/>
          <w:i/>
          <w:lang w:eastAsia="en-US"/>
        </w:rPr>
        <w:t>V</w:t>
      </w:r>
      <w:r w:rsidRPr="00A30A72">
        <w:rPr>
          <w:rFonts w:eastAsiaTheme="minorHAnsi"/>
          <w:lang w:eastAsia="en-US"/>
        </w:rPr>
        <w:t xml:space="preserve"> superiores e iguales a .85 con intervalos de confianza entre 95 % y 99 %. Por otro lado, siete ítems obtuvieron coeficientes </w:t>
      </w:r>
      <w:r w:rsidRPr="003A7EF4">
        <w:rPr>
          <w:rFonts w:eastAsiaTheme="minorHAnsi"/>
          <w:i/>
          <w:lang w:eastAsia="en-US"/>
        </w:rPr>
        <w:t>V</w:t>
      </w:r>
      <w:r w:rsidRPr="00A30A72">
        <w:rPr>
          <w:rFonts w:eastAsiaTheme="minorHAnsi"/>
          <w:lang w:eastAsia="en-US"/>
        </w:rPr>
        <w:t xml:space="preserve"> entre .84 y .70, los cuales fueron conservados por considerarse </w:t>
      </w:r>
      <w:r w:rsidRPr="00A30A72">
        <w:rPr>
          <w:rFonts w:eastAsiaTheme="minorHAnsi"/>
          <w:lang w:eastAsia="en-US"/>
        </w:rPr>
        <w:lastRenderedPageBreak/>
        <w:t xml:space="preserve">relevantes como indicadores del constructo. Finalmente, dos ítems presentaron coeficientes menores a .70 con intervalos de confianza no significativos, por lo </w:t>
      </w:r>
      <w:proofErr w:type="gramStart"/>
      <w:r w:rsidRPr="00A30A72">
        <w:rPr>
          <w:rFonts w:eastAsiaTheme="minorHAnsi"/>
          <w:lang w:eastAsia="en-US"/>
        </w:rPr>
        <w:t>tanto</w:t>
      </w:r>
      <w:proofErr w:type="gramEnd"/>
      <w:r w:rsidRPr="00A30A72">
        <w:rPr>
          <w:rFonts w:eastAsiaTheme="minorHAnsi"/>
          <w:lang w:eastAsia="en-US"/>
        </w:rPr>
        <w:t xml:space="preserve"> se decidió </w:t>
      </w:r>
      <w:r w:rsidR="00761660" w:rsidRPr="00A30A72">
        <w:rPr>
          <w:rFonts w:eastAsiaTheme="minorHAnsi"/>
          <w:lang w:eastAsia="en-US"/>
        </w:rPr>
        <w:t xml:space="preserve">eliminar estos reactivos. </w:t>
      </w:r>
      <w:r w:rsidRPr="00A30A72">
        <w:rPr>
          <w:rFonts w:eastAsiaTheme="minorHAnsi"/>
          <w:lang w:eastAsia="en-US"/>
        </w:rPr>
        <w:t>Se analizaron las observaciones realizadas por los expertos para los 45 ítems finales, y se realizaron modificaciones simples (signos de puntuación, corrección de sesgo de género o utilización de sinónimos, por ejemplo) en la redacción de 20 reactivos.</w:t>
      </w:r>
    </w:p>
    <w:p w14:paraId="535030B9" w14:textId="77777777" w:rsidR="00DD6BDF" w:rsidRPr="00A30A72" w:rsidRDefault="00DD6BDF" w:rsidP="00FE11BE">
      <w:pPr>
        <w:autoSpaceDE w:val="0"/>
        <w:autoSpaceDN w:val="0"/>
        <w:adjustRightInd w:val="0"/>
        <w:ind w:firstLine="708"/>
        <w:jc w:val="both"/>
      </w:pPr>
    </w:p>
    <w:p w14:paraId="466A0D63" w14:textId="77777777" w:rsidR="00F6291B" w:rsidRPr="00A30A72" w:rsidRDefault="00F6291B" w:rsidP="00FE11BE">
      <w:pPr>
        <w:pStyle w:val="Sangradetextonormal"/>
        <w:rPr>
          <w:b/>
          <w:bCs/>
          <w:iCs/>
          <w:spacing w:val="-3"/>
          <w:szCs w:val="24"/>
        </w:rPr>
      </w:pPr>
      <w:r w:rsidRPr="00A30A72">
        <w:rPr>
          <w:b/>
          <w:bCs/>
          <w:iCs/>
          <w:spacing w:val="-3"/>
          <w:szCs w:val="24"/>
        </w:rPr>
        <w:t>Evidencia de estructura interna y análisis de consistencia interna.</w:t>
      </w:r>
    </w:p>
    <w:p w14:paraId="6D90632F" w14:textId="77777777" w:rsidR="00DD6BDF" w:rsidRPr="00A30A72" w:rsidRDefault="00DD6BDF" w:rsidP="00FE11BE">
      <w:pPr>
        <w:autoSpaceDE w:val="0"/>
        <w:autoSpaceDN w:val="0"/>
        <w:adjustRightInd w:val="0"/>
        <w:ind w:firstLine="708"/>
        <w:jc w:val="both"/>
        <w:rPr>
          <w:i/>
        </w:rPr>
      </w:pPr>
      <w:r w:rsidRPr="00A30A72">
        <w:rPr>
          <w:i/>
        </w:rPr>
        <w:t>Análisis factorial exploratorio</w:t>
      </w:r>
    </w:p>
    <w:p w14:paraId="5739E235" w14:textId="77777777" w:rsidR="00DD6BDF" w:rsidRPr="00A30A72" w:rsidRDefault="00DD6BDF" w:rsidP="00FE11BE">
      <w:pPr>
        <w:autoSpaceDE w:val="0"/>
        <w:autoSpaceDN w:val="0"/>
        <w:adjustRightInd w:val="0"/>
        <w:ind w:firstLine="708"/>
        <w:jc w:val="both"/>
      </w:pPr>
      <w:r w:rsidRPr="00A30A72">
        <w:t xml:space="preserve">A partir del estudio anterior se elaboró un formato preliminar del instrumento el cual fue administrado a la muestra (N = 320). Previo al AFE se evaluó el ajuste entre las distribuciones de cada ítem y los supuestos del análisis multivariado. Para comprobar los supuestos de normalidad de la muestra se realizaron análisis de asimetría y </w:t>
      </w:r>
      <w:proofErr w:type="spellStart"/>
      <w:r w:rsidRPr="00A30A72">
        <w:t>curtosis</w:t>
      </w:r>
      <w:proofErr w:type="spellEnd"/>
      <w:r w:rsidRPr="00A30A72">
        <w:t xml:space="preserve"> en cada ítem y se realizó una inspección gráfica de la distribución de los puntajes (histogramas con curva normal y gráficos Q-Q). Un último análisis consistió en el diagnóstico de </w:t>
      </w:r>
      <w:proofErr w:type="spellStart"/>
      <w:r w:rsidRPr="00A30A72">
        <w:t>multicolinealidad</w:t>
      </w:r>
      <w:proofErr w:type="spellEnd"/>
      <w:r w:rsidRPr="00A30A72">
        <w:t xml:space="preserve"> entre los ítems. Con este propósito, se analizaron los índices de tolerancia, las matrices de </w:t>
      </w:r>
      <w:proofErr w:type="spellStart"/>
      <w:r w:rsidRPr="00A30A72">
        <w:t>intercorrelación</w:t>
      </w:r>
      <w:proofErr w:type="spellEnd"/>
      <w:r w:rsidRPr="00A30A72">
        <w:t xml:space="preserve"> entre los ítems, y los índices de condición (</w:t>
      </w:r>
      <w:proofErr w:type="spellStart"/>
      <w:r w:rsidRPr="00A30A72">
        <w:t>conditioning</w:t>
      </w:r>
      <w:proofErr w:type="spellEnd"/>
      <w:r w:rsidRPr="00A30A72">
        <w:t xml:space="preserve"> indexes) para cada uno de los reactivos. Los resultados en todos los casos fueron satisfactorios ya que no se observaron correlaciones entre ítems iguales o mayores a .90, los índices de tolerancia fueron superiores a .40 y los índices de condición inferiores a 30.</w:t>
      </w:r>
    </w:p>
    <w:p w14:paraId="62A7E6E4" w14:textId="77777777" w:rsidR="00F6291B" w:rsidRPr="00A30A72" w:rsidRDefault="00F6291B" w:rsidP="00FE11BE">
      <w:pPr>
        <w:ind w:firstLine="708"/>
        <w:jc w:val="both"/>
        <w:rPr>
          <w:rFonts w:eastAsiaTheme="minorHAnsi"/>
          <w:lang w:eastAsia="en-US"/>
        </w:rPr>
      </w:pPr>
      <w:r w:rsidRPr="00A30A72">
        <w:rPr>
          <w:rFonts w:eastAsiaTheme="minorHAnsi"/>
          <w:lang w:eastAsia="en-US"/>
        </w:rPr>
        <w:t xml:space="preserve">Como resultado del análisis de componente principales sobre los 45 ítems de la escala, se obtuvo un índice de adecuación </w:t>
      </w:r>
      <w:proofErr w:type="spellStart"/>
      <w:r w:rsidRPr="00A30A72">
        <w:rPr>
          <w:rFonts w:eastAsiaTheme="minorHAnsi"/>
          <w:lang w:eastAsia="en-US"/>
        </w:rPr>
        <w:t>muestral</w:t>
      </w:r>
      <w:proofErr w:type="spellEnd"/>
      <w:r w:rsidRPr="00A30A72">
        <w:rPr>
          <w:rFonts w:eastAsiaTheme="minorHAnsi"/>
          <w:lang w:eastAsia="en-US"/>
        </w:rPr>
        <w:t xml:space="preserve"> KMO (</w:t>
      </w:r>
      <w:proofErr w:type="spellStart"/>
      <w:r w:rsidRPr="00A30A72">
        <w:rPr>
          <w:rFonts w:eastAsiaTheme="minorHAnsi"/>
          <w:lang w:eastAsia="en-US"/>
        </w:rPr>
        <w:t>Kaiser</w:t>
      </w:r>
      <w:proofErr w:type="spellEnd"/>
      <w:r w:rsidRPr="00A30A72">
        <w:rPr>
          <w:rFonts w:eastAsiaTheme="minorHAnsi"/>
          <w:lang w:eastAsia="en-US"/>
        </w:rPr>
        <w:t>-Meyer-</w:t>
      </w:r>
      <w:proofErr w:type="spellStart"/>
      <w:r w:rsidRPr="00A30A72">
        <w:rPr>
          <w:rFonts w:eastAsiaTheme="minorHAnsi"/>
          <w:lang w:eastAsia="en-US"/>
        </w:rPr>
        <w:t>Olkin</w:t>
      </w:r>
      <w:proofErr w:type="spellEnd"/>
      <w:r w:rsidRPr="00A30A72">
        <w:rPr>
          <w:rFonts w:eastAsiaTheme="minorHAnsi"/>
          <w:lang w:eastAsia="en-US"/>
        </w:rPr>
        <w:t xml:space="preserve">) de .93, y el test de esfericidad de Bartlett fue significativo a un nivel p&lt;.001, lo cual indica una adecuada </w:t>
      </w:r>
      <w:proofErr w:type="spellStart"/>
      <w:r w:rsidRPr="00A30A72">
        <w:rPr>
          <w:rFonts w:eastAsiaTheme="minorHAnsi"/>
          <w:lang w:eastAsia="en-US"/>
        </w:rPr>
        <w:t>íntercorrelación</w:t>
      </w:r>
      <w:proofErr w:type="spellEnd"/>
      <w:r w:rsidRPr="00A30A72">
        <w:rPr>
          <w:rFonts w:eastAsiaTheme="minorHAnsi"/>
          <w:lang w:eastAsia="en-US"/>
        </w:rPr>
        <w:t xml:space="preserve"> entre los datos y la factibilidad de realizar el análisis factorial. Utilizando la regla de </w:t>
      </w:r>
      <w:proofErr w:type="spellStart"/>
      <w:r w:rsidRPr="00A30A72">
        <w:rPr>
          <w:rFonts w:eastAsiaTheme="minorHAnsi"/>
          <w:lang w:eastAsia="en-US"/>
        </w:rPr>
        <w:t>Kaiser-Gutman</w:t>
      </w:r>
      <w:proofErr w:type="spellEnd"/>
      <w:r w:rsidRPr="00A30A72">
        <w:rPr>
          <w:rFonts w:eastAsiaTheme="minorHAnsi"/>
          <w:lang w:eastAsia="en-US"/>
        </w:rPr>
        <w:t xml:space="preserve"> se obtuvo una solución inicial de 10 factores iniciales con </w:t>
      </w:r>
      <w:proofErr w:type="spellStart"/>
      <w:r w:rsidRPr="00A30A72">
        <w:rPr>
          <w:rFonts w:eastAsiaTheme="minorHAnsi"/>
          <w:lang w:eastAsia="en-US"/>
        </w:rPr>
        <w:t>autovalores</w:t>
      </w:r>
      <w:proofErr w:type="spellEnd"/>
      <w:r w:rsidRPr="00A30A72">
        <w:rPr>
          <w:rFonts w:eastAsiaTheme="minorHAnsi"/>
          <w:lang w:eastAsia="en-US"/>
        </w:rPr>
        <w:t xml:space="preserve"> superiores a 1, los cuales explicaban en conjunto un 58.79 % de la varianza total de la prueba. Por otro lado, l</w:t>
      </w:r>
      <w:r w:rsidR="00DD6BDF" w:rsidRPr="00A30A72">
        <w:rPr>
          <w:rFonts w:eastAsiaTheme="minorHAnsi"/>
          <w:lang w:eastAsia="en-US"/>
        </w:rPr>
        <w:t xml:space="preserve">os resultados del </w:t>
      </w:r>
      <w:r w:rsidR="00DD6BDF" w:rsidRPr="00A30A72">
        <w:t xml:space="preserve">análisis paralelo de </w:t>
      </w:r>
      <w:proofErr w:type="spellStart"/>
      <w:r w:rsidR="00DD6BDF" w:rsidRPr="00A30A72">
        <w:t>Horn</w:t>
      </w:r>
      <w:proofErr w:type="spellEnd"/>
      <w:r w:rsidR="00DD6BDF" w:rsidRPr="00A30A72">
        <w:rPr>
          <w:rFonts w:eastAsiaTheme="minorHAnsi"/>
          <w:lang w:eastAsia="en-US"/>
        </w:rPr>
        <w:t xml:space="preserve"> </w:t>
      </w:r>
      <w:r w:rsidR="00DD6BDF" w:rsidRPr="00A30A72">
        <w:t xml:space="preserve">(HPA; </w:t>
      </w:r>
      <w:proofErr w:type="spellStart"/>
      <w:r w:rsidR="00DD6BDF" w:rsidRPr="00A30A72">
        <w:t>Horn</w:t>
      </w:r>
      <w:proofErr w:type="spellEnd"/>
      <w:r w:rsidR="00DD6BDF" w:rsidRPr="00A30A72">
        <w:t>, 1965)</w:t>
      </w:r>
      <w:r w:rsidRPr="00A30A72">
        <w:rPr>
          <w:rFonts w:eastAsiaTheme="minorHAnsi"/>
          <w:lang w:eastAsia="en-US"/>
        </w:rPr>
        <w:t xml:space="preserve"> y del </w:t>
      </w:r>
      <w:proofErr w:type="spellStart"/>
      <w:r w:rsidRPr="00A30A72">
        <w:rPr>
          <w:rFonts w:eastAsiaTheme="minorHAnsi"/>
          <w:lang w:eastAsia="en-US"/>
        </w:rPr>
        <w:t>Scree</w:t>
      </w:r>
      <w:proofErr w:type="spellEnd"/>
      <w:r w:rsidRPr="00A30A72">
        <w:rPr>
          <w:rFonts w:eastAsiaTheme="minorHAnsi"/>
          <w:lang w:eastAsia="en-US"/>
        </w:rPr>
        <w:t xml:space="preserve"> test</w:t>
      </w:r>
      <w:r w:rsidR="00DD6BDF" w:rsidRPr="00A30A72">
        <w:rPr>
          <w:rFonts w:eastAsiaTheme="minorHAnsi"/>
          <w:lang w:eastAsia="en-US"/>
        </w:rPr>
        <w:t xml:space="preserve"> </w:t>
      </w:r>
      <w:r w:rsidR="00DD6BDF" w:rsidRPr="00A30A72">
        <w:t>(</w:t>
      </w:r>
      <w:proofErr w:type="spellStart"/>
      <w:r w:rsidR="00DD6BDF" w:rsidRPr="00A30A72">
        <w:t>Catell</w:t>
      </w:r>
      <w:proofErr w:type="spellEnd"/>
      <w:r w:rsidR="00DD6BDF" w:rsidRPr="00A30A72">
        <w:t>, 1966)</w:t>
      </w:r>
      <w:r w:rsidRPr="00A30A72">
        <w:rPr>
          <w:rFonts w:eastAsiaTheme="minorHAnsi"/>
          <w:lang w:eastAsia="en-US"/>
        </w:rPr>
        <w:t xml:space="preserve"> permitieron identificar un máximo de tres factores. </w:t>
      </w:r>
    </w:p>
    <w:p w14:paraId="5E519849" w14:textId="77777777" w:rsidR="00F6291B" w:rsidRPr="00A30A72" w:rsidRDefault="00F6291B" w:rsidP="00FE11BE">
      <w:pPr>
        <w:ind w:firstLine="708"/>
        <w:jc w:val="both"/>
        <w:rPr>
          <w:rFonts w:eastAsiaTheme="minorHAnsi"/>
          <w:lang w:eastAsia="en-US"/>
        </w:rPr>
      </w:pPr>
      <w:r w:rsidRPr="00A30A72">
        <w:rPr>
          <w:rFonts w:eastAsiaTheme="minorHAnsi"/>
          <w:lang w:eastAsia="en-US"/>
        </w:rPr>
        <w:t>Sobre la base de estos resultados se volvió a analizar los datos solicitando la extracción de diferentes soluciones hasta tres factores, utilizando Ejes Principales como método de extracción y rotación oblicua (</w:t>
      </w:r>
      <w:proofErr w:type="spellStart"/>
      <w:r w:rsidRPr="00A30A72">
        <w:rPr>
          <w:rFonts w:eastAsiaTheme="minorHAnsi"/>
          <w:lang w:eastAsia="en-US"/>
        </w:rPr>
        <w:t>Promax</w:t>
      </w:r>
      <w:proofErr w:type="spellEnd"/>
      <w:r w:rsidRPr="00A30A72">
        <w:rPr>
          <w:rFonts w:eastAsiaTheme="minorHAnsi"/>
          <w:lang w:eastAsia="en-US"/>
        </w:rPr>
        <w:t>). Los resultados permitieron inferir la existencia de entre tres y cuatro factores, observándose que la solución más clara y estable fue la de tres.</w:t>
      </w:r>
    </w:p>
    <w:p w14:paraId="305EF9F0" w14:textId="7AA4630B" w:rsidR="00A06587" w:rsidRDefault="00F6291B" w:rsidP="00FE11BE">
      <w:pPr>
        <w:autoSpaceDE w:val="0"/>
        <w:autoSpaceDN w:val="0"/>
        <w:adjustRightInd w:val="0"/>
        <w:ind w:firstLine="709"/>
        <w:jc w:val="both"/>
      </w:pPr>
      <w:r w:rsidRPr="00A30A72">
        <w:rPr>
          <w:rFonts w:eastAsiaTheme="minorHAnsi"/>
          <w:lang w:eastAsia="en-US"/>
        </w:rPr>
        <w:t xml:space="preserve">A partir de la inspección de la matriz de componentes se eliminaron los ítems con pesos factoriales menores a .40 (excepto dos casos en que los valores fueron cercanos y se consideraron indicadores relevantes del constructo), aquellos ítems con cargas compartidas con otro factor (superiores a .30), y aquellos ítems que no correlacionaban con ningún factor. De esta manera, se retuvieron un total de 32 ítems distribuidos en tres factores que explicaron un 43.18 % de la varianza de respuestas al test. Tal como recomiendan </w:t>
      </w:r>
      <w:proofErr w:type="spellStart"/>
      <w:r w:rsidRPr="00A30A72">
        <w:rPr>
          <w:rFonts w:eastAsiaTheme="minorHAnsi"/>
          <w:lang w:eastAsia="en-US"/>
        </w:rPr>
        <w:t>Costello</w:t>
      </w:r>
      <w:proofErr w:type="spellEnd"/>
      <w:r w:rsidRPr="00A30A72">
        <w:rPr>
          <w:rFonts w:eastAsiaTheme="minorHAnsi"/>
          <w:lang w:eastAsia="en-US"/>
        </w:rPr>
        <w:t xml:space="preserve"> y </w:t>
      </w:r>
      <w:proofErr w:type="spellStart"/>
      <w:r w:rsidRPr="00A30A72">
        <w:rPr>
          <w:rFonts w:eastAsiaTheme="minorHAnsi"/>
          <w:lang w:eastAsia="en-US"/>
        </w:rPr>
        <w:t>Osbourne</w:t>
      </w:r>
      <w:proofErr w:type="spellEnd"/>
      <w:r w:rsidRPr="00A30A72">
        <w:rPr>
          <w:rFonts w:eastAsiaTheme="minorHAnsi"/>
          <w:lang w:eastAsia="en-US"/>
        </w:rPr>
        <w:t xml:space="preserve"> (2005) incluyeron al menos 5 ítems con cargas factoriales cercanas a .50</w:t>
      </w:r>
      <w:r w:rsidR="00761660" w:rsidRPr="00A30A72">
        <w:rPr>
          <w:rFonts w:eastAsiaTheme="minorHAnsi"/>
          <w:lang w:eastAsia="en-US"/>
        </w:rPr>
        <w:t xml:space="preserve"> (ver Tabla 1</w:t>
      </w:r>
      <w:r w:rsidRPr="00A30A72">
        <w:rPr>
          <w:rFonts w:eastAsiaTheme="minorHAnsi"/>
          <w:lang w:eastAsia="en-US"/>
        </w:rPr>
        <w:t xml:space="preserve">). </w:t>
      </w:r>
      <w:r w:rsidRPr="00A30A72">
        <w:t xml:space="preserve">Finalmente, se evaluó la consistencia interna de la escala y sus factores utilizando el coeficiente Alfa de </w:t>
      </w:r>
      <w:proofErr w:type="spellStart"/>
      <w:r w:rsidRPr="00A30A72">
        <w:t>Cronbach</w:t>
      </w:r>
      <w:proofErr w:type="spellEnd"/>
      <w:r w:rsidRPr="00A30A72">
        <w:t>. Como puede ob</w:t>
      </w:r>
      <w:r w:rsidR="003A7EF4">
        <w:t>servarse en la Tabla 1</w:t>
      </w:r>
      <w:r w:rsidRPr="00A30A72">
        <w:t xml:space="preserve"> se obtuvo una adecuada fiabilidad en todos los constructos latentes, cuyos coeficientes presentaron valores considerados buenos y muy buenos. </w:t>
      </w:r>
    </w:p>
    <w:p w14:paraId="0F789B54" w14:textId="77777777" w:rsidR="005A3E3B" w:rsidRPr="00A30A72" w:rsidRDefault="005A3E3B" w:rsidP="00FE11BE">
      <w:pPr>
        <w:autoSpaceDE w:val="0"/>
        <w:autoSpaceDN w:val="0"/>
        <w:adjustRightInd w:val="0"/>
        <w:ind w:firstLine="709"/>
        <w:jc w:val="both"/>
        <w:rPr>
          <w:rFonts w:eastAsiaTheme="minorHAnsi"/>
          <w:color w:val="FF0000"/>
          <w:lang w:eastAsia="en-US"/>
        </w:rPr>
      </w:pPr>
    </w:p>
    <w:p w14:paraId="16EEF1FB" w14:textId="27840098" w:rsidR="00F6291B" w:rsidRPr="00A30A72" w:rsidRDefault="00F6291B" w:rsidP="00FE11BE">
      <w:pPr>
        <w:pStyle w:val="Default"/>
        <w:ind w:left="1418"/>
        <w:rPr>
          <w:rFonts w:ascii="Times New Roman" w:eastAsia="Times New Roman" w:hAnsi="Times New Roman" w:cs="Times New Roman"/>
          <w:i/>
          <w:color w:val="auto"/>
          <w:lang w:eastAsia="es-ES"/>
        </w:rPr>
      </w:pPr>
      <w:r w:rsidRPr="00A30A72">
        <w:rPr>
          <w:rFonts w:ascii="Times New Roman" w:hAnsi="Times New Roman" w:cs="Times New Roman"/>
          <w:sz w:val="22"/>
          <w:szCs w:val="22"/>
        </w:rPr>
        <w:t xml:space="preserve">                        </w:t>
      </w:r>
    </w:p>
    <w:tbl>
      <w:tblPr>
        <w:tblW w:w="3956" w:type="dxa"/>
        <w:jc w:val="center"/>
        <w:tblLayout w:type="fixed"/>
        <w:tblCellMar>
          <w:left w:w="0" w:type="dxa"/>
          <w:right w:w="0" w:type="dxa"/>
        </w:tblCellMar>
        <w:tblLook w:val="0000" w:firstRow="0" w:lastRow="0" w:firstColumn="0" w:lastColumn="0" w:noHBand="0" w:noVBand="0"/>
      </w:tblPr>
      <w:tblGrid>
        <w:gridCol w:w="953"/>
        <w:gridCol w:w="1001"/>
        <w:gridCol w:w="1001"/>
        <w:gridCol w:w="1001"/>
      </w:tblGrid>
      <w:tr w:rsidR="00124834" w:rsidRPr="00A30A72" w14:paraId="726B8183" w14:textId="77777777" w:rsidTr="00124834">
        <w:trPr>
          <w:cantSplit/>
          <w:jc w:val="center"/>
        </w:trPr>
        <w:tc>
          <w:tcPr>
            <w:tcW w:w="3956" w:type="dxa"/>
            <w:gridSpan w:val="4"/>
            <w:tcBorders>
              <w:bottom w:val="single" w:sz="4" w:space="0" w:color="auto"/>
            </w:tcBorders>
            <w:shd w:val="clear" w:color="auto" w:fill="FFFFFF"/>
          </w:tcPr>
          <w:p w14:paraId="0E179CF1" w14:textId="77777777" w:rsidR="00124834" w:rsidRPr="00A30A72" w:rsidRDefault="00124834" w:rsidP="00124834">
            <w:pPr>
              <w:pStyle w:val="Default"/>
              <w:rPr>
                <w:rFonts w:ascii="Times New Roman" w:eastAsia="Times New Roman" w:hAnsi="Times New Roman" w:cs="Times New Roman"/>
                <w:color w:val="auto"/>
                <w:lang w:eastAsia="es-ES"/>
              </w:rPr>
            </w:pPr>
            <w:r w:rsidRPr="00A30A72">
              <w:rPr>
                <w:rFonts w:ascii="Times New Roman" w:eastAsia="Times New Roman" w:hAnsi="Times New Roman" w:cs="Times New Roman"/>
                <w:color w:val="auto"/>
                <w:lang w:eastAsia="es-ES"/>
              </w:rPr>
              <w:lastRenderedPageBreak/>
              <w:t xml:space="preserve">Tabla 1. </w:t>
            </w:r>
          </w:p>
          <w:p w14:paraId="6F001D28" w14:textId="3AEC753C" w:rsidR="00124834" w:rsidRPr="00A30A72" w:rsidRDefault="00124834" w:rsidP="00124834">
            <w:pPr>
              <w:autoSpaceDE w:val="0"/>
              <w:autoSpaceDN w:val="0"/>
              <w:adjustRightInd w:val="0"/>
              <w:ind w:left="60" w:right="60"/>
              <w:rPr>
                <w:rFonts w:eastAsiaTheme="minorHAnsi"/>
                <w:color w:val="000000"/>
                <w:sz w:val="20"/>
                <w:szCs w:val="20"/>
                <w:lang w:eastAsia="en-US"/>
              </w:rPr>
            </w:pPr>
            <w:r w:rsidRPr="00A30A72">
              <w:rPr>
                <w:i/>
              </w:rPr>
              <w:t>Matriz de configuración de los 32 ítems preliminares del ERS</w:t>
            </w:r>
          </w:p>
        </w:tc>
      </w:tr>
      <w:tr w:rsidR="00F6291B" w:rsidRPr="00A30A72" w14:paraId="78FBA3AA" w14:textId="77777777" w:rsidTr="00124834">
        <w:trPr>
          <w:cantSplit/>
          <w:jc w:val="center"/>
        </w:trPr>
        <w:tc>
          <w:tcPr>
            <w:tcW w:w="953" w:type="dxa"/>
            <w:vMerge w:val="restart"/>
            <w:tcBorders>
              <w:top w:val="single" w:sz="4" w:space="0" w:color="auto"/>
            </w:tcBorders>
            <w:shd w:val="clear" w:color="auto" w:fill="FFFFFF"/>
          </w:tcPr>
          <w:p w14:paraId="67C5EB4B" w14:textId="77777777" w:rsidR="00F6291B" w:rsidRPr="00A30A72" w:rsidRDefault="00F6291B" w:rsidP="00FE11BE">
            <w:pPr>
              <w:tabs>
                <w:tab w:val="left" w:pos="720"/>
              </w:tabs>
              <w:autoSpaceDE w:val="0"/>
              <w:autoSpaceDN w:val="0"/>
              <w:adjustRightInd w:val="0"/>
              <w:ind w:left="60" w:right="60"/>
              <w:rPr>
                <w:rFonts w:eastAsiaTheme="minorHAnsi"/>
                <w:color w:val="000000"/>
                <w:sz w:val="20"/>
                <w:szCs w:val="20"/>
                <w:lang w:eastAsia="en-US"/>
              </w:rPr>
            </w:pPr>
            <w:r w:rsidRPr="00A30A72">
              <w:rPr>
                <w:rFonts w:eastAsiaTheme="minorHAnsi"/>
                <w:color w:val="000000"/>
                <w:sz w:val="20"/>
                <w:szCs w:val="20"/>
                <w:lang w:eastAsia="en-US"/>
              </w:rPr>
              <w:tab/>
            </w:r>
          </w:p>
        </w:tc>
        <w:tc>
          <w:tcPr>
            <w:tcW w:w="3003" w:type="dxa"/>
            <w:gridSpan w:val="3"/>
            <w:tcBorders>
              <w:top w:val="single" w:sz="4" w:space="0" w:color="auto"/>
              <w:left w:val="nil"/>
              <w:bottom w:val="single" w:sz="4" w:space="0" w:color="auto"/>
            </w:tcBorders>
            <w:shd w:val="clear" w:color="auto" w:fill="FFFFFF"/>
          </w:tcPr>
          <w:p w14:paraId="2EE09688" w14:textId="77777777" w:rsidR="00F6291B" w:rsidRPr="00A30A72" w:rsidRDefault="00F6291B" w:rsidP="00FE11BE">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Factor</w:t>
            </w:r>
          </w:p>
        </w:tc>
      </w:tr>
      <w:tr w:rsidR="00F6291B" w:rsidRPr="00A30A72" w14:paraId="7E356793" w14:textId="77777777" w:rsidTr="00DD6BDF">
        <w:trPr>
          <w:cantSplit/>
          <w:jc w:val="center"/>
        </w:trPr>
        <w:tc>
          <w:tcPr>
            <w:tcW w:w="953" w:type="dxa"/>
            <w:vMerge/>
            <w:tcBorders>
              <w:bottom w:val="single" w:sz="4" w:space="0" w:color="auto"/>
            </w:tcBorders>
            <w:shd w:val="clear" w:color="auto" w:fill="FFFFFF"/>
          </w:tcPr>
          <w:p w14:paraId="68C29CCD" w14:textId="77777777" w:rsidR="00F6291B" w:rsidRPr="00A30A72" w:rsidRDefault="00F6291B" w:rsidP="00FE11BE">
            <w:pPr>
              <w:autoSpaceDE w:val="0"/>
              <w:autoSpaceDN w:val="0"/>
              <w:adjustRightInd w:val="0"/>
              <w:rPr>
                <w:rFonts w:eastAsiaTheme="minorHAnsi"/>
                <w:color w:val="000000"/>
                <w:sz w:val="20"/>
                <w:szCs w:val="20"/>
                <w:lang w:eastAsia="en-US"/>
              </w:rPr>
            </w:pPr>
          </w:p>
        </w:tc>
        <w:tc>
          <w:tcPr>
            <w:tcW w:w="1001" w:type="dxa"/>
            <w:tcBorders>
              <w:top w:val="single" w:sz="4" w:space="0" w:color="auto"/>
              <w:left w:val="nil"/>
              <w:bottom w:val="single" w:sz="4" w:space="0" w:color="auto"/>
            </w:tcBorders>
            <w:shd w:val="clear" w:color="auto" w:fill="FFFFFF"/>
          </w:tcPr>
          <w:p w14:paraId="0D0661FB" w14:textId="77777777" w:rsidR="00F6291B" w:rsidRPr="00A30A72" w:rsidRDefault="00F6291B" w:rsidP="00FE11BE">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1</w:t>
            </w:r>
          </w:p>
          <w:p w14:paraId="48E9972D" w14:textId="77777777" w:rsidR="00F6291B" w:rsidRPr="00A30A72" w:rsidRDefault="00F6291B" w:rsidP="00FE11BE">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α = .90</w:t>
            </w:r>
          </w:p>
        </w:tc>
        <w:tc>
          <w:tcPr>
            <w:tcW w:w="1001" w:type="dxa"/>
            <w:tcBorders>
              <w:top w:val="single" w:sz="4" w:space="0" w:color="auto"/>
              <w:bottom w:val="single" w:sz="4" w:space="0" w:color="auto"/>
            </w:tcBorders>
            <w:shd w:val="clear" w:color="auto" w:fill="FFFFFF"/>
          </w:tcPr>
          <w:p w14:paraId="44596DA4" w14:textId="77777777" w:rsidR="00F6291B" w:rsidRPr="00A30A72" w:rsidRDefault="00F6291B" w:rsidP="00FE11BE">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2</w:t>
            </w:r>
          </w:p>
          <w:p w14:paraId="35D013AE" w14:textId="77777777" w:rsidR="00F6291B" w:rsidRPr="00A30A72" w:rsidRDefault="00F6291B" w:rsidP="00FE11BE">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α = .84</w:t>
            </w:r>
          </w:p>
        </w:tc>
        <w:tc>
          <w:tcPr>
            <w:tcW w:w="1001" w:type="dxa"/>
            <w:tcBorders>
              <w:top w:val="single" w:sz="4" w:space="0" w:color="auto"/>
              <w:bottom w:val="single" w:sz="4" w:space="0" w:color="auto"/>
            </w:tcBorders>
            <w:shd w:val="clear" w:color="auto" w:fill="FFFFFF"/>
          </w:tcPr>
          <w:p w14:paraId="0A8FD1A8" w14:textId="77777777" w:rsidR="00F6291B" w:rsidRPr="00A30A72" w:rsidRDefault="00F6291B" w:rsidP="00FE11BE">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3</w:t>
            </w:r>
          </w:p>
          <w:p w14:paraId="4A6ACC88" w14:textId="77777777" w:rsidR="00F6291B" w:rsidRPr="00A30A72" w:rsidRDefault="00F6291B" w:rsidP="00FE11BE">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α = .76</w:t>
            </w:r>
          </w:p>
        </w:tc>
      </w:tr>
      <w:tr w:rsidR="00FD2BD4" w:rsidRPr="00A30A72" w14:paraId="53B6F7EF" w14:textId="77777777" w:rsidTr="00654E4F">
        <w:trPr>
          <w:cantSplit/>
          <w:jc w:val="center"/>
        </w:trPr>
        <w:tc>
          <w:tcPr>
            <w:tcW w:w="953" w:type="dxa"/>
            <w:tcBorders>
              <w:top w:val="nil"/>
              <w:left w:val="nil"/>
              <w:bottom w:val="nil"/>
              <w:right w:val="nil"/>
            </w:tcBorders>
            <w:shd w:val="clear" w:color="auto" w:fill="auto"/>
            <w:vAlign w:val="bottom"/>
          </w:tcPr>
          <w:p w14:paraId="61D3815D"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Item1</w:t>
            </w:r>
          </w:p>
        </w:tc>
        <w:tc>
          <w:tcPr>
            <w:tcW w:w="1001" w:type="dxa"/>
            <w:tcBorders>
              <w:top w:val="single" w:sz="8" w:space="0" w:color="auto"/>
              <w:left w:val="nil"/>
              <w:bottom w:val="nil"/>
              <w:right w:val="nil"/>
            </w:tcBorders>
            <w:shd w:val="clear" w:color="000000" w:fill="FFFFFF"/>
            <w:vAlign w:val="center"/>
          </w:tcPr>
          <w:p w14:paraId="0A16BC82" w14:textId="6C9A1E77"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0.78</w:t>
            </w:r>
          </w:p>
        </w:tc>
        <w:tc>
          <w:tcPr>
            <w:tcW w:w="1001" w:type="dxa"/>
            <w:tcBorders>
              <w:top w:val="single" w:sz="8" w:space="0" w:color="auto"/>
              <w:left w:val="nil"/>
              <w:bottom w:val="nil"/>
              <w:right w:val="nil"/>
            </w:tcBorders>
            <w:shd w:val="clear" w:color="000000" w:fill="FFFFFF"/>
            <w:vAlign w:val="center"/>
          </w:tcPr>
          <w:p w14:paraId="254A7409" w14:textId="171422DA"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single" w:sz="8" w:space="0" w:color="auto"/>
              <w:left w:val="nil"/>
              <w:bottom w:val="nil"/>
              <w:right w:val="nil"/>
            </w:tcBorders>
            <w:shd w:val="clear" w:color="000000" w:fill="FFFFFF"/>
            <w:vAlign w:val="center"/>
          </w:tcPr>
          <w:p w14:paraId="34524893" w14:textId="7A89B7EB"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7A76AC03" w14:textId="77777777" w:rsidTr="00654E4F">
        <w:trPr>
          <w:cantSplit/>
          <w:jc w:val="center"/>
        </w:trPr>
        <w:tc>
          <w:tcPr>
            <w:tcW w:w="953" w:type="dxa"/>
            <w:tcBorders>
              <w:top w:val="nil"/>
              <w:left w:val="nil"/>
              <w:bottom w:val="nil"/>
              <w:right w:val="nil"/>
            </w:tcBorders>
            <w:shd w:val="clear" w:color="auto" w:fill="auto"/>
            <w:vAlign w:val="bottom"/>
          </w:tcPr>
          <w:p w14:paraId="2D525F12"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Item2</w:t>
            </w:r>
          </w:p>
        </w:tc>
        <w:tc>
          <w:tcPr>
            <w:tcW w:w="1001" w:type="dxa"/>
            <w:tcBorders>
              <w:top w:val="nil"/>
              <w:left w:val="nil"/>
              <w:bottom w:val="nil"/>
              <w:right w:val="nil"/>
            </w:tcBorders>
            <w:shd w:val="clear" w:color="000000" w:fill="FFFFFF"/>
            <w:vAlign w:val="center"/>
          </w:tcPr>
          <w:p w14:paraId="4C1607CF" w14:textId="73A6F614"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0.74</w:t>
            </w:r>
          </w:p>
        </w:tc>
        <w:tc>
          <w:tcPr>
            <w:tcW w:w="1001" w:type="dxa"/>
            <w:tcBorders>
              <w:top w:val="nil"/>
              <w:left w:val="nil"/>
              <w:bottom w:val="nil"/>
              <w:right w:val="nil"/>
            </w:tcBorders>
            <w:shd w:val="clear" w:color="000000" w:fill="FFFFFF"/>
            <w:vAlign w:val="center"/>
          </w:tcPr>
          <w:p w14:paraId="04367AFA" w14:textId="77ED14EE"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39187614" w14:textId="5D48DD6E"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668F3F40" w14:textId="77777777" w:rsidTr="00654E4F">
        <w:trPr>
          <w:cantSplit/>
          <w:jc w:val="center"/>
        </w:trPr>
        <w:tc>
          <w:tcPr>
            <w:tcW w:w="953" w:type="dxa"/>
            <w:tcBorders>
              <w:top w:val="nil"/>
              <w:left w:val="nil"/>
              <w:bottom w:val="nil"/>
              <w:right w:val="nil"/>
            </w:tcBorders>
            <w:shd w:val="clear" w:color="auto" w:fill="auto"/>
            <w:vAlign w:val="bottom"/>
          </w:tcPr>
          <w:p w14:paraId="35B1EB9F"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Item3</w:t>
            </w:r>
          </w:p>
        </w:tc>
        <w:tc>
          <w:tcPr>
            <w:tcW w:w="1001" w:type="dxa"/>
            <w:tcBorders>
              <w:top w:val="nil"/>
              <w:left w:val="nil"/>
              <w:bottom w:val="nil"/>
              <w:right w:val="nil"/>
            </w:tcBorders>
            <w:shd w:val="clear" w:color="000000" w:fill="FFFFFF"/>
            <w:vAlign w:val="center"/>
          </w:tcPr>
          <w:p w14:paraId="05A90869" w14:textId="682ABC9E"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0.68</w:t>
            </w:r>
          </w:p>
        </w:tc>
        <w:tc>
          <w:tcPr>
            <w:tcW w:w="1001" w:type="dxa"/>
            <w:tcBorders>
              <w:top w:val="nil"/>
              <w:left w:val="nil"/>
              <w:bottom w:val="nil"/>
              <w:right w:val="nil"/>
            </w:tcBorders>
            <w:shd w:val="clear" w:color="000000" w:fill="FFFFFF"/>
            <w:vAlign w:val="center"/>
          </w:tcPr>
          <w:p w14:paraId="40B448DC" w14:textId="48E3102D"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5F5BF9E9" w14:textId="49F05ED2"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53355C99" w14:textId="77777777" w:rsidTr="00654E4F">
        <w:trPr>
          <w:cantSplit/>
          <w:jc w:val="center"/>
        </w:trPr>
        <w:tc>
          <w:tcPr>
            <w:tcW w:w="953" w:type="dxa"/>
            <w:tcBorders>
              <w:top w:val="nil"/>
              <w:left w:val="nil"/>
              <w:bottom w:val="nil"/>
              <w:right w:val="nil"/>
            </w:tcBorders>
            <w:shd w:val="clear" w:color="auto" w:fill="auto"/>
            <w:vAlign w:val="bottom"/>
          </w:tcPr>
          <w:p w14:paraId="207A71C3"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Item4</w:t>
            </w:r>
          </w:p>
        </w:tc>
        <w:tc>
          <w:tcPr>
            <w:tcW w:w="1001" w:type="dxa"/>
            <w:tcBorders>
              <w:top w:val="nil"/>
              <w:left w:val="nil"/>
              <w:bottom w:val="nil"/>
              <w:right w:val="nil"/>
            </w:tcBorders>
            <w:shd w:val="clear" w:color="000000" w:fill="FFFFFF"/>
            <w:vAlign w:val="center"/>
          </w:tcPr>
          <w:p w14:paraId="146B14D1" w14:textId="034D7CD2"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0.63</w:t>
            </w:r>
          </w:p>
        </w:tc>
        <w:tc>
          <w:tcPr>
            <w:tcW w:w="1001" w:type="dxa"/>
            <w:tcBorders>
              <w:top w:val="nil"/>
              <w:left w:val="nil"/>
              <w:bottom w:val="nil"/>
              <w:right w:val="nil"/>
            </w:tcBorders>
            <w:shd w:val="clear" w:color="000000" w:fill="FFFFFF"/>
            <w:vAlign w:val="center"/>
          </w:tcPr>
          <w:p w14:paraId="6B0A5AA2" w14:textId="1C919B32"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0743E859" w14:textId="18FB84C3"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7104582B" w14:textId="77777777" w:rsidTr="00654E4F">
        <w:trPr>
          <w:cantSplit/>
          <w:jc w:val="center"/>
        </w:trPr>
        <w:tc>
          <w:tcPr>
            <w:tcW w:w="953" w:type="dxa"/>
            <w:tcBorders>
              <w:top w:val="nil"/>
              <w:left w:val="nil"/>
              <w:bottom w:val="nil"/>
              <w:right w:val="nil"/>
            </w:tcBorders>
            <w:shd w:val="clear" w:color="auto" w:fill="auto"/>
            <w:vAlign w:val="bottom"/>
          </w:tcPr>
          <w:p w14:paraId="412E3140"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Item5</w:t>
            </w:r>
          </w:p>
        </w:tc>
        <w:tc>
          <w:tcPr>
            <w:tcW w:w="1001" w:type="dxa"/>
            <w:tcBorders>
              <w:top w:val="nil"/>
              <w:left w:val="nil"/>
              <w:bottom w:val="nil"/>
              <w:right w:val="nil"/>
            </w:tcBorders>
            <w:shd w:val="clear" w:color="000000" w:fill="FFFFFF"/>
            <w:vAlign w:val="center"/>
          </w:tcPr>
          <w:p w14:paraId="24242BA9" w14:textId="57E9182A"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0.61</w:t>
            </w:r>
          </w:p>
        </w:tc>
        <w:tc>
          <w:tcPr>
            <w:tcW w:w="1001" w:type="dxa"/>
            <w:tcBorders>
              <w:top w:val="nil"/>
              <w:left w:val="nil"/>
              <w:bottom w:val="nil"/>
              <w:right w:val="nil"/>
            </w:tcBorders>
            <w:shd w:val="clear" w:color="000000" w:fill="FFFFFF"/>
            <w:vAlign w:val="center"/>
          </w:tcPr>
          <w:p w14:paraId="1AABA9D8" w14:textId="3C2819F5"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469F86D4" w14:textId="697895E2"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363FB6E7" w14:textId="77777777" w:rsidTr="00654E4F">
        <w:trPr>
          <w:cantSplit/>
          <w:jc w:val="center"/>
        </w:trPr>
        <w:tc>
          <w:tcPr>
            <w:tcW w:w="953" w:type="dxa"/>
            <w:tcBorders>
              <w:top w:val="nil"/>
              <w:left w:val="nil"/>
              <w:bottom w:val="nil"/>
              <w:right w:val="nil"/>
            </w:tcBorders>
            <w:shd w:val="clear" w:color="auto" w:fill="auto"/>
            <w:vAlign w:val="bottom"/>
          </w:tcPr>
          <w:p w14:paraId="4EB74BB4"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Item6</w:t>
            </w:r>
          </w:p>
        </w:tc>
        <w:tc>
          <w:tcPr>
            <w:tcW w:w="1001" w:type="dxa"/>
            <w:tcBorders>
              <w:top w:val="nil"/>
              <w:left w:val="nil"/>
              <w:bottom w:val="nil"/>
              <w:right w:val="nil"/>
            </w:tcBorders>
            <w:shd w:val="clear" w:color="000000" w:fill="FFFFFF"/>
            <w:vAlign w:val="center"/>
          </w:tcPr>
          <w:p w14:paraId="68E00963" w14:textId="4C0E2776"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0.58</w:t>
            </w:r>
          </w:p>
        </w:tc>
        <w:tc>
          <w:tcPr>
            <w:tcW w:w="1001" w:type="dxa"/>
            <w:tcBorders>
              <w:top w:val="nil"/>
              <w:left w:val="nil"/>
              <w:bottom w:val="nil"/>
              <w:right w:val="nil"/>
            </w:tcBorders>
            <w:shd w:val="clear" w:color="000000" w:fill="FFFFFF"/>
            <w:vAlign w:val="center"/>
          </w:tcPr>
          <w:p w14:paraId="75D5025D" w14:textId="21B7C6E7"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07C89D1B" w14:textId="22565979"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7B6F5A4A" w14:textId="77777777" w:rsidTr="00654E4F">
        <w:trPr>
          <w:cantSplit/>
          <w:jc w:val="center"/>
        </w:trPr>
        <w:tc>
          <w:tcPr>
            <w:tcW w:w="953" w:type="dxa"/>
            <w:tcBorders>
              <w:top w:val="nil"/>
              <w:left w:val="nil"/>
              <w:bottom w:val="nil"/>
              <w:right w:val="nil"/>
            </w:tcBorders>
            <w:shd w:val="clear" w:color="auto" w:fill="auto"/>
            <w:vAlign w:val="bottom"/>
          </w:tcPr>
          <w:p w14:paraId="45588832"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Item7</w:t>
            </w:r>
          </w:p>
        </w:tc>
        <w:tc>
          <w:tcPr>
            <w:tcW w:w="1001" w:type="dxa"/>
            <w:tcBorders>
              <w:top w:val="nil"/>
              <w:left w:val="nil"/>
              <w:bottom w:val="nil"/>
              <w:right w:val="nil"/>
            </w:tcBorders>
            <w:shd w:val="clear" w:color="000000" w:fill="FFFFFF"/>
            <w:vAlign w:val="center"/>
          </w:tcPr>
          <w:p w14:paraId="706DBC8E" w14:textId="427EDF98"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0.57</w:t>
            </w:r>
          </w:p>
        </w:tc>
        <w:tc>
          <w:tcPr>
            <w:tcW w:w="1001" w:type="dxa"/>
            <w:tcBorders>
              <w:top w:val="nil"/>
              <w:left w:val="nil"/>
              <w:bottom w:val="nil"/>
              <w:right w:val="nil"/>
            </w:tcBorders>
            <w:shd w:val="clear" w:color="000000" w:fill="FFFFFF"/>
            <w:vAlign w:val="center"/>
          </w:tcPr>
          <w:p w14:paraId="3CE77DFC" w14:textId="5B5F6722"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17D903B1" w14:textId="76047790"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2D4BCC73" w14:textId="77777777" w:rsidTr="00654E4F">
        <w:trPr>
          <w:cantSplit/>
          <w:jc w:val="center"/>
        </w:trPr>
        <w:tc>
          <w:tcPr>
            <w:tcW w:w="953" w:type="dxa"/>
            <w:tcBorders>
              <w:top w:val="nil"/>
              <w:left w:val="nil"/>
              <w:bottom w:val="nil"/>
              <w:right w:val="nil"/>
            </w:tcBorders>
            <w:shd w:val="clear" w:color="auto" w:fill="auto"/>
            <w:vAlign w:val="bottom"/>
          </w:tcPr>
          <w:p w14:paraId="79E7C38A"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Item8</w:t>
            </w:r>
          </w:p>
        </w:tc>
        <w:tc>
          <w:tcPr>
            <w:tcW w:w="1001" w:type="dxa"/>
            <w:tcBorders>
              <w:top w:val="nil"/>
              <w:left w:val="nil"/>
              <w:bottom w:val="nil"/>
              <w:right w:val="nil"/>
            </w:tcBorders>
            <w:shd w:val="clear" w:color="000000" w:fill="FFFFFF"/>
            <w:vAlign w:val="center"/>
          </w:tcPr>
          <w:p w14:paraId="4B456C4F" w14:textId="043D4D12"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0.57</w:t>
            </w:r>
          </w:p>
        </w:tc>
        <w:tc>
          <w:tcPr>
            <w:tcW w:w="1001" w:type="dxa"/>
            <w:tcBorders>
              <w:top w:val="nil"/>
              <w:left w:val="nil"/>
              <w:bottom w:val="nil"/>
              <w:right w:val="nil"/>
            </w:tcBorders>
            <w:shd w:val="clear" w:color="000000" w:fill="FFFFFF"/>
            <w:vAlign w:val="center"/>
          </w:tcPr>
          <w:p w14:paraId="4158F12F" w14:textId="31685CAC"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0C2973CA" w14:textId="0BB8105F"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34060BF6" w14:textId="77777777" w:rsidTr="00654E4F">
        <w:trPr>
          <w:cantSplit/>
          <w:jc w:val="center"/>
        </w:trPr>
        <w:tc>
          <w:tcPr>
            <w:tcW w:w="953" w:type="dxa"/>
            <w:tcBorders>
              <w:top w:val="nil"/>
              <w:left w:val="nil"/>
              <w:bottom w:val="nil"/>
              <w:right w:val="nil"/>
            </w:tcBorders>
            <w:shd w:val="clear" w:color="auto" w:fill="auto"/>
            <w:vAlign w:val="bottom"/>
          </w:tcPr>
          <w:p w14:paraId="4FEF16DE"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Item9</w:t>
            </w:r>
          </w:p>
        </w:tc>
        <w:tc>
          <w:tcPr>
            <w:tcW w:w="1001" w:type="dxa"/>
            <w:tcBorders>
              <w:top w:val="nil"/>
              <w:left w:val="nil"/>
              <w:bottom w:val="nil"/>
              <w:right w:val="nil"/>
            </w:tcBorders>
            <w:shd w:val="clear" w:color="000000" w:fill="FFFFFF"/>
            <w:vAlign w:val="center"/>
          </w:tcPr>
          <w:p w14:paraId="224D1A3E" w14:textId="41CF6D9C"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0.56</w:t>
            </w:r>
          </w:p>
        </w:tc>
        <w:tc>
          <w:tcPr>
            <w:tcW w:w="1001" w:type="dxa"/>
            <w:tcBorders>
              <w:top w:val="nil"/>
              <w:left w:val="nil"/>
              <w:bottom w:val="nil"/>
              <w:right w:val="nil"/>
            </w:tcBorders>
            <w:shd w:val="clear" w:color="000000" w:fill="FFFFFF"/>
            <w:vAlign w:val="center"/>
          </w:tcPr>
          <w:p w14:paraId="02F47CF7" w14:textId="18E83C2C"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786ACB4C" w14:textId="2059318A"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39A856C1" w14:textId="77777777" w:rsidTr="00654E4F">
        <w:trPr>
          <w:cantSplit/>
          <w:jc w:val="center"/>
        </w:trPr>
        <w:tc>
          <w:tcPr>
            <w:tcW w:w="953" w:type="dxa"/>
            <w:tcBorders>
              <w:top w:val="nil"/>
              <w:left w:val="nil"/>
              <w:bottom w:val="nil"/>
              <w:right w:val="nil"/>
            </w:tcBorders>
            <w:shd w:val="clear" w:color="auto" w:fill="auto"/>
            <w:vAlign w:val="bottom"/>
          </w:tcPr>
          <w:p w14:paraId="6705B5C1"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Item10</w:t>
            </w:r>
          </w:p>
        </w:tc>
        <w:tc>
          <w:tcPr>
            <w:tcW w:w="1001" w:type="dxa"/>
            <w:tcBorders>
              <w:top w:val="nil"/>
              <w:left w:val="nil"/>
              <w:bottom w:val="nil"/>
              <w:right w:val="nil"/>
            </w:tcBorders>
            <w:shd w:val="clear" w:color="000000" w:fill="FFFFFF"/>
            <w:vAlign w:val="center"/>
          </w:tcPr>
          <w:p w14:paraId="611AA1B3" w14:textId="77B1777C"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0.54</w:t>
            </w:r>
          </w:p>
        </w:tc>
        <w:tc>
          <w:tcPr>
            <w:tcW w:w="1001" w:type="dxa"/>
            <w:tcBorders>
              <w:top w:val="nil"/>
              <w:left w:val="nil"/>
              <w:bottom w:val="nil"/>
              <w:right w:val="nil"/>
            </w:tcBorders>
            <w:shd w:val="clear" w:color="000000" w:fill="FFFFFF"/>
            <w:vAlign w:val="center"/>
          </w:tcPr>
          <w:p w14:paraId="55BA4224" w14:textId="6C3DE777"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6588516B" w14:textId="1DE5B472"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51F7F9B4" w14:textId="77777777" w:rsidTr="00654E4F">
        <w:trPr>
          <w:cantSplit/>
          <w:jc w:val="center"/>
        </w:trPr>
        <w:tc>
          <w:tcPr>
            <w:tcW w:w="953" w:type="dxa"/>
            <w:tcBorders>
              <w:top w:val="nil"/>
              <w:left w:val="nil"/>
              <w:bottom w:val="nil"/>
              <w:right w:val="nil"/>
            </w:tcBorders>
            <w:shd w:val="clear" w:color="auto" w:fill="auto"/>
            <w:vAlign w:val="bottom"/>
          </w:tcPr>
          <w:p w14:paraId="0A14FEA3"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Item11</w:t>
            </w:r>
          </w:p>
        </w:tc>
        <w:tc>
          <w:tcPr>
            <w:tcW w:w="1001" w:type="dxa"/>
            <w:tcBorders>
              <w:top w:val="nil"/>
              <w:left w:val="nil"/>
              <w:bottom w:val="nil"/>
              <w:right w:val="nil"/>
            </w:tcBorders>
            <w:shd w:val="clear" w:color="000000" w:fill="FFFFFF"/>
            <w:vAlign w:val="center"/>
          </w:tcPr>
          <w:p w14:paraId="6279627E" w14:textId="6F65E768"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vAlign w:val="center"/>
          </w:tcPr>
          <w:p w14:paraId="65C46D36" w14:textId="1811FF38"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3B9EB0F8" w14:textId="0578C77C"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19406D11" w14:textId="77777777" w:rsidTr="00654E4F">
        <w:trPr>
          <w:cantSplit/>
          <w:jc w:val="center"/>
        </w:trPr>
        <w:tc>
          <w:tcPr>
            <w:tcW w:w="953" w:type="dxa"/>
            <w:tcBorders>
              <w:top w:val="nil"/>
              <w:left w:val="nil"/>
              <w:bottom w:val="nil"/>
              <w:right w:val="nil"/>
            </w:tcBorders>
            <w:shd w:val="clear" w:color="auto" w:fill="auto"/>
            <w:vAlign w:val="bottom"/>
          </w:tcPr>
          <w:p w14:paraId="31333F8A"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Item12</w:t>
            </w:r>
          </w:p>
        </w:tc>
        <w:tc>
          <w:tcPr>
            <w:tcW w:w="1001" w:type="dxa"/>
            <w:tcBorders>
              <w:top w:val="nil"/>
              <w:left w:val="nil"/>
              <w:bottom w:val="nil"/>
              <w:right w:val="nil"/>
            </w:tcBorders>
            <w:shd w:val="clear" w:color="000000" w:fill="FFFFFF"/>
            <w:vAlign w:val="center"/>
          </w:tcPr>
          <w:p w14:paraId="1619601C" w14:textId="3BBC3243"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vAlign w:val="center"/>
          </w:tcPr>
          <w:p w14:paraId="6688D6E1" w14:textId="43F3E3F8"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2AA8653C" w14:textId="7E7D7F80"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513BFA56" w14:textId="77777777" w:rsidTr="00654E4F">
        <w:trPr>
          <w:cantSplit/>
          <w:jc w:val="center"/>
        </w:trPr>
        <w:tc>
          <w:tcPr>
            <w:tcW w:w="953" w:type="dxa"/>
            <w:tcBorders>
              <w:top w:val="nil"/>
              <w:left w:val="nil"/>
              <w:bottom w:val="nil"/>
              <w:right w:val="nil"/>
            </w:tcBorders>
            <w:shd w:val="clear" w:color="auto" w:fill="auto"/>
            <w:vAlign w:val="bottom"/>
          </w:tcPr>
          <w:p w14:paraId="57A4D67A"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Item13</w:t>
            </w:r>
          </w:p>
        </w:tc>
        <w:tc>
          <w:tcPr>
            <w:tcW w:w="1001" w:type="dxa"/>
            <w:tcBorders>
              <w:top w:val="nil"/>
              <w:left w:val="nil"/>
              <w:bottom w:val="nil"/>
              <w:right w:val="nil"/>
            </w:tcBorders>
            <w:shd w:val="clear" w:color="000000" w:fill="FFFFFF"/>
            <w:vAlign w:val="center"/>
          </w:tcPr>
          <w:p w14:paraId="69C4F417" w14:textId="7F3FDCFD"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0.52</w:t>
            </w:r>
          </w:p>
        </w:tc>
        <w:tc>
          <w:tcPr>
            <w:tcW w:w="1001" w:type="dxa"/>
            <w:tcBorders>
              <w:top w:val="nil"/>
              <w:left w:val="nil"/>
              <w:bottom w:val="nil"/>
              <w:right w:val="nil"/>
            </w:tcBorders>
            <w:shd w:val="clear" w:color="000000" w:fill="FFFFFF"/>
            <w:vAlign w:val="center"/>
          </w:tcPr>
          <w:p w14:paraId="43D4F42A" w14:textId="26DA5682"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5BA7D8FB" w14:textId="2135905F"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45C61C95" w14:textId="77777777" w:rsidTr="00654E4F">
        <w:trPr>
          <w:cantSplit/>
          <w:jc w:val="center"/>
        </w:trPr>
        <w:tc>
          <w:tcPr>
            <w:tcW w:w="953" w:type="dxa"/>
            <w:tcBorders>
              <w:top w:val="nil"/>
              <w:left w:val="nil"/>
              <w:bottom w:val="nil"/>
              <w:right w:val="nil"/>
            </w:tcBorders>
            <w:shd w:val="clear" w:color="auto" w:fill="auto"/>
            <w:vAlign w:val="bottom"/>
          </w:tcPr>
          <w:p w14:paraId="04FF9754"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Item14</w:t>
            </w:r>
          </w:p>
        </w:tc>
        <w:tc>
          <w:tcPr>
            <w:tcW w:w="1001" w:type="dxa"/>
            <w:tcBorders>
              <w:top w:val="nil"/>
              <w:left w:val="nil"/>
              <w:bottom w:val="nil"/>
              <w:right w:val="nil"/>
            </w:tcBorders>
            <w:shd w:val="clear" w:color="000000" w:fill="FFFFFF"/>
            <w:vAlign w:val="center"/>
          </w:tcPr>
          <w:p w14:paraId="5C5D1C13" w14:textId="3F09BAA1"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0.51</w:t>
            </w:r>
          </w:p>
        </w:tc>
        <w:tc>
          <w:tcPr>
            <w:tcW w:w="1001" w:type="dxa"/>
            <w:tcBorders>
              <w:top w:val="nil"/>
              <w:left w:val="nil"/>
              <w:bottom w:val="nil"/>
              <w:right w:val="nil"/>
            </w:tcBorders>
            <w:shd w:val="clear" w:color="000000" w:fill="FFFFFF"/>
            <w:vAlign w:val="center"/>
          </w:tcPr>
          <w:p w14:paraId="7B0AE555" w14:textId="63661BA1"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6C0CE550" w14:textId="5F3EED4B"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7E61E367" w14:textId="77777777" w:rsidTr="00654E4F">
        <w:trPr>
          <w:cantSplit/>
          <w:jc w:val="center"/>
        </w:trPr>
        <w:tc>
          <w:tcPr>
            <w:tcW w:w="953" w:type="dxa"/>
            <w:tcBorders>
              <w:top w:val="nil"/>
              <w:left w:val="nil"/>
              <w:bottom w:val="nil"/>
              <w:right w:val="nil"/>
            </w:tcBorders>
            <w:shd w:val="clear" w:color="auto" w:fill="auto"/>
            <w:vAlign w:val="bottom"/>
          </w:tcPr>
          <w:p w14:paraId="5C4356F8"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Item15</w:t>
            </w:r>
          </w:p>
        </w:tc>
        <w:tc>
          <w:tcPr>
            <w:tcW w:w="1001" w:type="dxa"/>
            <w:tcBorders>
              <w:top w:val="nil"/>
              <w:left w:val="nil"/>
              <w:bottom w:val="nil"/>
              <w:right w:val="nil"/>
            </w:tcBorders>
            <w:shd w:val="clear" w:color="000000" w:fill="FFFFFF"/>
            <w:vAlign w:val="center"/>
          </w:tcPr>
          <w:p w14:paraId="1E6C55F1" w14:textId="65ECF774"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0.51</w:t>
            </w:r>
          </w:p>
        </w:tc>
        <w:tc>
          <w:tcPr>
            <w:tcW w:w="1001" w:type="dxa"/>
            <w:tcBorders>
              <w:top w:val="nil"/>
              <w:left w:val="nil"/>
              <w:bottom w:val="nil"/>
              <w:right w:val="nil"/>
            </w:tcBorders>
            <w:shd w:val="clear" w:color="000000" w:fill="FFFFFF"/>
            <w:vAlign w:val="center"/>
          </w:tcPr>
          <w:p w14:paraId="3D29BCF7" w14:textId="0D742801"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05433556" w14:textId="3C2F77A5"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34553029" w14:textId="77777777" w:rsidTr="00654E4F">
        <w:trPr>
          <w:cantSplit/>
          <w:jc w:val="center"/>
        </w:trPr>
        <w:tc>
          <w:tcPr>
            <w:tcW w:w="953" w:type="dxa"/>
            <w:tcBorders>
              <w:top w:val="nil"/>
              <w:left w:val="nil"/>
              <w:bottom w:val="nil"/>
              <w:right w:val="nil"/>
            </w:tcBorders>
            <w:shd w:val="clear" w:color="auto" w:fill="auto"/>
            <w:vAlign w:val="bottom"/>
          </w:tcPr>
          <w:p w14:paraId="0C5DEB58"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Item16</w:t>
            </w:r>
          </w:p>
        </w:tc>
        <w:tc>
          <w:tcPr>
            <w:tcW w:w="1001" w:type="dxa"/>
            <w:tcBorders>
              <w:top w:val="nil"/>
              <w:left w:val="nil"/>
              <w:bottom w:val="nil"/>
              <w:right w:val="nil"/>
            </w:tcBorders>
            <w:shd w:val="clear" w:color="000000" w:fill="FFFFFF"/>
            <w:vAlign w:val="center"/>
          </w:tcPr>
          <w:p w14:paraId="0A1A4B71" w14:textId="3A12CAE6"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0.47</w:t>
            </w:r>
          </w:p>
        </w:tc>
        <w:tc>
          <w:tcPr>
            <w:tcW w:w="1001" w:type="dxa"/>
            <w:tcBorders>
              <w:top w:val="nil"/>
              <w:left w:val="nil"/>
              <w:bottom w:val="nil"/>
              <w:right w:val="nil"/>
            </w:tcBorders>
            <w:shd w:val="clear" w:color="000000" w:fill="FFFFFF"/>
            <w:vAlign w:val="center"/>
          </w:tcPr>
          <w:p w14:paraId="2DCCD191" w14:textId="7F7E47CD"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25908543" w14:textId="2A95809B"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43CC75DC" w14:textId="77777777" w:rsidTr="00654E4F">
        <w:trPr>
          <w:cantSplit/>
          <w:jc w:val="center"/>
        </w:trPr>
        <w:tc>
          <w:tcPr>
            <w:tcW w:w="953" w:type="dxa"/>
            <w:tcBorders>
              <w:top w:val="nil"/>
              <w:left w:val="nil"/>
              <w:bottom w:val="nil"/>
              <w:right w:val="nil"/>
            </w:tcBorders>
            <w:shd w:val="clear" w:color="auto" w:fill="auto"/>
            <w:vAlign w:val="bottom"/>
          </w:tcPr>
          <w:p w14:paraId="4325600C"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Item17</w:t>
            </w:r>
          </w:p>
        </w:tc>
        <w:tc>
          <w:tcPr>
            <w:tcW w:w="1001" w:type="dxa"/>
            <w:tcBorders>
              <w:top w:val="nil"/>
              <w:left w:val="nil"/>
              <w:bottom w:val="nil"/>
              <w:right w:val="nil"/>
            </w:tcBorders>
            <w:shd w:val="clear" w:color="000000" w:fill="FFFFFF"/>
            <w:vAlign w:val="center"/>
          </w:tcPr>
          <w:p w14:paraId="0BE28D52" w14:textId="305FEDEA"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0.44</w:t>
            </w:r>
          </w:p>
        </w:tc>
        <w:tc>
          <w:tcPr>
            <w:tcW w:w="1001" w:type="dxa"/>
            <w:tcBorders>
              <w:top w:val="nil"/>
              <w:left w:val="nil"/>
              <w:bottom w:val="nil"/>
              <w:right w:val="nil"/>
            </w:tcBorders>
            <w:shd w:val="clear" w:color="000000" w:fill="FFFFFF"/>
            <w:vAlign w:val="center"/>
          </w:tcPr>
          <w:p w14:paraId="0D5437EB" w14:textId="72E2F172"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72F1DD87" w14:textId="07558C37"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6E9150A9" w14:textId="77777777" w:rsidTr="00654E4F">
        <w:trPr>
          <w:cantSplit/>
          <w:jc w:val="center"/>
        </w:trPr>
        <w:tc>
          <w:tcPr>
            <w:tcW w:w="953" w:type="dxa"/>
            <w:tcBorders>
              <w:top w:val="nil"/>
              <w:left w:val="nil"/>
              <w:bottom w:val="nil"/>
              <w:right w:val="nil"/>
            </w:tcBorders>
            <w:shd w:val="clear" w:color="auto" w:fill="auto"/>
            <w:vAlign w:val="bottom"/>
          </w:tcPr>
          <w:p w14:paraId="15D24F78"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Item18</w:t>
            </w:r>
          </w:p>
        </w:tc>
        <w:tc>
          <w:tcPr>
            <w:tcW w:w="1001" w:type="dxa"/>
            <w:tcBorders>
              <w:top w:val="nil"/>
              <w:left w:val="nil"/>
              <w:bottom w:val="nil"/>
              <w:right w:val="nil"/>
            </w:tcBorders>
            <w:shd w:val="clear" w:color="000000" w:fill="FFFFFF"/>
            <w:vAlign w:val="center"/>
          </w:tcPr>
          <w:p w14:paraId="403F5A34" w14:textId="3792F967"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0.42</w:t>
            </w:r>
          </w:p>
        </w:tc>
        <w:tc>
          <w:tcPr>
            <w:tcW w:w="1001" w:type="dxa"/>
            <w:tcBorders>
              <w:top w:val="nil"/>
              <w:left w:val="nil"/>
              <w:bottom w:val="nil"/>
              <w:right w:val="nil"/>
            </w:tcBorders>
            <w:shd w:val="clear" w:color="000000" w:fill="FFFFFF"/>
            <w:vAlign w:val="center"/>
          </w:tcPr>
          <w:p w14:paraId="59744BCA" w14:textId="77FD2C35"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5D8C687C" w14:textId="4695D82D"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1F6CC11F" w14:textId="77777777" w:rsidTr="00654E4F">
        <w:trPr>
          <w:cantSplit/>
          <w:jc w:val="center"/>
        </w:trPr>
        <w:tc>
          <w:tcPr>
            <w:tcW w:w="953" w:type="dxa"/>
            <w:tcBorders>
              <w:top w:val="nil"/>
              <w:left w:val="nil"/>
              <w:bottom w:val="nil"/>
              <w:right w:val="nil"/>
            </w:tcBorders>
            <w:shd w:val="clear" w:color="auto" w:fill="auto"/>
            <w:vAlign w:val="bottom"/>
          </w:tcPr>
          <w:p w14:paraId="57D047A6"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Item19</w:t>
            </w:r>
          </w:p>
        </w:tc>
        <w:tc>
          <w:tcPr>
            <w:tcW w:w="1001" w:type="dxa"/>
            <w:tcBorders>
              <w:top w:val="nil"/>
              <w:left w:val="nil"/>
              <w:bottom w:val="nil"/>
              <w:right w:val="nil"/>
            </w:tcBorders>
            <w:shd w:val="clear" w:color="000000" w:fill="FFFFFF"/>
            <w:vAlign w:val="center"/>
          </w:tcPr>
          <w:p w14:paraId="6C5986A4" w14:textId="11B5C3EE"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0.42</w:t>
            </w:r>
          </w:p>
        </w:tc>
        <w:tc>
          <w:tcPr>
            <w:tcW w:w="1001" w:type="dxa"/>
            <w:tcBorders>
              <w:top w:val="nil"/>
              <w:left w:val="nil"/>
              <w:bottom w:val="nil"/>
              <w:right w:val="nil"/>
            </w:tcBorders>
            <w:shd w:val="clear" w:color="000000" w:fill="FFFFFF"/>
            <w:vAlign w:val="center"/>
          </w:tcPr>
          <w:p w14:paraId="418F2B87" w14:textId="51AAB757"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2C85ADE4" w14:textId="1D48615E"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3CFA0CD5" w14:textId="77777777" w:rsidTr="00654E4F">
        <w:trPr>
          <w:cantSplit/>
          <w:jc w:val="center"/>
        </w:trPr>
        <w:tc>
          <w:tcPr>
            <w:tcW w:w="953" w:type="dxa"/>
            <w:tcBorders>
              <w:top w:val="nil"/>
              <w:left w:val="nil"/>
              <w:bottom w:val="nil"/>
              <w:right w:val="nil"/>
            </w:tcBorders>
            <w:shd w:val="clear" w:color="auto" w:fill="auto"/>
            <w:vAlign w:val="bottom"/>
          </w:tcPr>
          <w:p w14:paraId="2A398C11"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Item20</w:t>
            </w:r>
          </w:p>
        </w:tc>
        <w:tc>
          <w:tcPr>
            <w:tcW w:w="1001" w:type="dxa"/>
            <w:tcBorders>
              <w:top w:val="nil"/>
              <w:left w:val="nil"/>
              <w:bottom w:val="nil"/>
              <w:right w:val="nil"/>
            </w:tcBorders>
            <w:shd w:val="clear" w:color="000000" w:fill="FFFFFF"/>
            <w:vAlign w:val="center"/>
          </w:tcPr>
          <w:p w14:paraId="7CBF3ECA" w14:textId="7CCC280A"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4FD8CAAF" w14:textId="3E7475EA"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0.85</w:t>
            </w:r>
          </w:p>
        </w:tc>
        <w:tc>
          <w:tcPr>
            <w:tcW w:w="1001" w:type="dxa"/>
            <w:tcBorders>
              <w:top w:val="nil"/>
              <w:left w:val="nil"/>
              <w:bottom w:val="nil"/>
              <w:right w:val="nil"/>
            </w:tcBorders>
            <w:shd w:val="clear" w:color="000000" w:fill="FFFFFF"/>
            <w:vAlign w:val="center"/>
          </w:tcPr>
          <w:p w14:paraId="4AE48CCA" w14:textId="602A1728"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14E4CFCA" w14:textId="77777777" w:rsidTr="00654E4F">
        <w:trPr>
          <w:cantSplit/>
          <w:jc w:val="center"/>
        </w:trPr>
        <w:tc>
          <w:tcPr>
            <w:tcW w:w="953" w:type="dxa"/>
            <w:tcBorders>
              <w:top w:val="nil"/>
              <w:left w:val="nil"/>
              <w:bottom w:val="nil"/>
              <w:right w:val="nil"/>
            </w:tcBorders>
            <w:shd w:val="clear" w:color="auto" w:fill="auto"/>
            <w:vAlign w:val="bottom"/>
          </w:tcPr>
          <w:p w14:paraId="5FCB0CFC"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Item21</w:t>
            </w:r>
          </w:p>
        </w:tc>
        <w:tc>
          <w:tcPr>
            <w:tcW w:w="1001" w:type="dxa"/>
            <w:tcBorders>
              <w:top w:val="nil"/>
              <w:left w:val="nil"/>
              <w:bottom w:val="nil"/>
              <w:right w:val="nil"/>
            </w:tcBorders>
            <w:shd w:val="clear" w:color="000000" w:fill="FFFFFF"/>
            <w:vAlign w:val="center"/>
          </w:tcPr>
          <w:p w14:paraId="0BBE15F0" w14:textId="49C74DE5"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165C4B5E" w14:textId="644DD618"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0.69</w:t>
            </w:r>
          </w:p>
        </w:tc>
        <w:tc>
          <w:tcPr>
            <w:tcW w:w="1001" w:type="dxa"/>
            <w:tcBorders>
              <w:top w:val="nil"/>
              <w:left w:val="nil"/>
              <w:bottom w:val="nil"/>
              <w:right w:val="nil"/>
            </w:tcBorders>
            <w:shd w:val="clear" w:color="000000" w:fill="FFFFFF"/>
            <w:vAlign w:val="center"/>
          </w:tcPr>
          <w:p w14:paraId="6DC40AF2" w14:textId="42075C4F"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143DFC08" w14:textId="77777777" w:rsidTr="00654E4F">
        <w:trPr>
          <w:cantSplit/>
          <w:jc w:val="center"/>
        </w:trPr>
        <w:tc>
          <w:tcPr>
            <w:tcW w:w="953" w:type="dxa"/>
            <w:tcBorders>
              <w:top w:val="nil"/>
              <w:left w:val="nil"/>
              <w:bottom w:val="nil"/>
              <w:right w:val="nil"/>
            </w:tcBorders>
            <w:shd w:val="clear" w:color="auto" w:fill="auto"/>
            <w:vAlign w:val="bottom"/>
          </w:tcPr>
          <w:p w14:paraId="29044530"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Item22</w:t>
            </w:r>
          </w:p>
        </w:tc>
        <w:tc>
          <w:tcPr>
            <w:tcW w:w="1001" w:type="dxa"/>
            <w:tcBorders>
              <w:top w:val="nil"/>
              <w:left w:val="nil"/>
              <w:bottom w:val="nil"/>
              <w:right w:val="nil"/>
            </w:tcBorders>
            <w:shd w:val="clear" w:color="000000" w:fill="FFFFFF"/>
            <w:vAlign w:val="center"/>
          </w:tcPr>
          <w:p w14:paraId="23DEFCE2" w14:textId="2F6D28C1"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3C9837A7" w14:textId="4378EBBE"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0.56</w:t>
            </w:r>
          </w:p>
        </w:tc>
        <w:tc>
          <w:tcPr>
            <w:tcW w:w="1001" w:type="dxa"/>
            <w:tcBorders>
              <w:top w:val="nil"/>
              <w:left w:val="nil"/>
              <w:bottom w:val="nil"/>
              <w:right w:val="nil"/>
            </w:tcBorders>
            <w:shd w:val="clear" w:color="000000" w:fill="FFFFFF"/>
            <w:vAlign w:val="center"/>
          </w:tcPr>
          <w:p w14:paraId="369BDB6F" w14:textId="4DBF165A"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4ADA57C9" w14:textId="77777777" w:rsidTr="00654E4F">
        <w:trPr>
          <w:cantSplit/>
          <w:jc w:val="center"/>
        </w:trPr>
        <w:tc>
          <w:tcPr>
            <w:tcW w:w="953" w:type="dxa"/>
            <w:tcBorders>
              <w:top w:val="nil"/>
              <w:left w:val="nil"/>
              <w:bottom w:val="nil"/>
              <w:right w:val="nil"/>
            </w:tcBorders>
            <w:shd w:val="clear" w:color="auto" w:fill="auto"/>
            <w:vAlign w:val="bottom"/>
          </w:tcPr>
          <w:p w14:paraId="28FA760E"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Item23</w:t>
            </w:r>
          </w:p>
        </w:tc>
        <w:tc>
          <w:tcPr>
            <w:tcW w:w="1001" w:type="dxa"/>
            <w:tcBorders>
              <w:top w:val="nil"/>
              <w:left w:val="nil"/>
              <w:bottom w:val="nil"/>
              <w:right w:val="nil"/>
            </w:tcBorders>
            <w:shd w:val="clear" w:color="000000" w:fill="FFFFFF"/>
            <w:vAlign w:val="center"/>
          </w:tcPr>
          <w:p w14:paraId="2B8FC4F0" w14:textId="36C96971"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4582FA76" w14:textId="2E734C7A"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vAlign w:val="center"/>
          </w:tcPr>
          <w:p w14:paraId="4CCF6173" w14:textId="633D52D9"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471A81D3" w14:textId="77777777" w:rsidTr="00654E4F">
        <w:trPr>
          <w:cantSplit/>
          <w:jc w:val="center"/>
        </w:trPr>
        <w:tc>
          <w:tcPr>
            <w:tcW w:w="953" w:type="dxa"/>
            <w:tcBorders>
              <w:top w:val="nil"/>
              <w:left w:val="nil"/>
              <w:bottom w:val="nil"/>
              <w:right w:val="nil"/>
            </w:tcBorders>
            <w:shd w:val="clear" w:color="auto" w:fill="auto"/>
            <w:vAlign w:val="bottom"/>
          </w:tcPr>
          <w:p w14:paraId="3566A026"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Item24</w:t>
            </w:r>
          </w:p>
        </w:tc>
        <w:tc>
          <w:tcPr>
            <w:tcW w:w="1001" w:type="dxa"/>
            <w:tcBorders>
              <w:top w:val="nil"/>
              <w:left w:val="nil"/>
              <w:bottom w:val="nil"/>
              <w:right w:val="nil"/>
            </w:tcBorders>
            <w:shd w:val="clear" w:color="000000" w:fill="FFFFFF"/>
            <w:vAlign w:val="center"/>
          </w:tcPr>
          <w:p w14:paraId="3D1A9B63" w14:textId="42A02992"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40C7E6AD" w14:textId="5F5EC495"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vAlign w:val="center"/>
          </w:tcPr>
          <w:p w14:paraId="4FE96026" w14:textId="006C2966"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5D422510" w14:textId="77777777" w:rsidTr="00654E4F">
        <w:trPr>
          <w:cantSplit/>
          <w:jc w:val="center"/>
        </w:trPr>
        <w:tc>
          <w:tcPr>
            <w:tcW w:w="953" w:type="dxa"/>
            <w:tcBorders>
              <w:top w:val="nil"/>
              <w:left w:val="nil"/>
              <w:bottom w:val="nil"/>
              <w:right w:val="nil"/>
            </w:tcBorders>
            <w:shd w:val="clear" w:color="auto" w:fill="auto"/>
            <w:vAlign w:val="bottom"/>
          </w:tcPr>
          <w:p w14:paraId="5EF34455"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Item25</w:t>
            </w:r>
          </w:p>
        </w:tc>
        <w:tc>
          <w:tcPr>
            <w:tcW w:w="1001" w:type="dxa"/>
            <w:tcBorders>
              <w:top w:val="nil"/>
              <w:left w:val="nil"/>
              <w:bottom w:val="nil"/>
              <w:right w:val="nil"/>
            </w:tcBorders>
            <w:shd w:val="clear" w:color="000000" w:fill="FFFFFF"/>
            <w:vAlign w:val="center"/>
          </w:tcPr>
          <w:p w14:paraId="35915210" w14:textId="507CCF8C"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2305F9D8" w14:textId="477D8DD4"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vAlign w:val="center"/>
          </w:tcPr>
          <w:p w14:paraId="374E98A1" w14:textId="26147ECF"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4AFDFA55" w14:textId="77777777" w:rsidTr="00654E4F">
        <w:trPr>
          <w:cantSplit/>
          <w:jc w:val="center"/>
        </w:trPr>
        <w:tc>
          <w:tcPr>
            <w:tcW w:w="953" w:type="dxa"/>
            <w:tcBorders>
              <w:top w:val="nil"/>
              <w:left w:val="nil"/>
              <w:bottom w:val="nil"/>
              <w:right w:val="nil"/>
            </w:tcBorders>
            <w:shd w:val="clear" w:color="auto" w:fill="auto"/>
            <w:vAlign w:val="bottom"/>
          </w:tcPr>
          <w:p w14:paraId="4D94C914"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Item26</w:t>
            </w:r>
          </w:p>
        </w:tc>
        <w:tc>
          <w:tcPr>
            <w:tcW w:w="1001" w:type="dxa"/>
            <w:tcBorders>
              <w:top w:val="nil"/>
              <w:left w:val="nil"/>
              <w:bottom w:val="nil"/>
              <w:right w:val="nil"/>
            </w:tcBorders>
            <w:shd w:val="clear" w:color="000000" w:fill="FFFFFF"/>
            <w:vAlign w:val="center"/>
          </w:tcPr>
          <w:p w14:paraId="5FF2DE2E" w14:textId="7B518770"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0342635B" w14:textId="2160E8C4"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vAlign w:val="center"/>
          </w:tcPr>
          <w:p w14:paraId="24EA48F7" w14:textId="70366493"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38D1677C" w14:textId="77777777" w:rsidTr="00654E4F">
        <w:trPr>
          <w:cantSplit/>
          <w:jc w:val="center"/>
        </w:trPr>
        <w:tc>
          <w:tcPr>
            <w:tcW w:w="953" w:type="dxa"/>
            <w:tcBorders>
              <w:top w:val="nil"/>
              <w:left w:val="nil"/>
              <w:bottom w:val="nil"/>
              <w:right w:val="nil"/>
            </w:tcBorders>
            <w:shd w:val="clear" w:color="auto" w:fill="auto"/>
            <w:vAlign w:val="bottom"/>
          </w:tcPr>
          <w:p w14:paraId="0C796E1E"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Item27</w:t>
            </w:r>
          </w:p>
        </w:tc>
        <w:tc>
          <w:tcPr>
            <w:tcW w:w="1001" w:type="dxa"/>
            <w:tcBorders>
              <w:top w:val="nil"/>
              <w:left w:val="nil"/>
              <w:bottom w:val="nil"/>
              <w:right w:val="nil"/>
            </w:tcBorders>
            <w:shd w:val="clear" w:color="000000" w:fill="FFFFFF"/>
            <w:vAlign w:val="center"/>
          </w:tcPr>
          <w:p w14:paraId="29822335" w14:textId="71BD4400"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008D6579" w14:textId="04E6A3B9"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4B7A95CB" w14:textId="115F8C8A"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0.90</w:t>
            </w:r>
          </w:p>
        </w:tc>
      </w:tr>
      <w:tr w:rsidR="00FD2BD4" w:rsidRPr="00A30A72" w14:paraId="696DF034" w14:textId="77777777" w:rsidTr="00654E4F">
        <w:trPr>
          <w:cantSplit/>
          <w:jc w:val="center"/>
        </w:trPr>
        <w:tc>
          <w:tcPr>
            <w:tcW w:w="953" w:type="dxa"/>
            <w:tcBorders>
              <w:top w:val="nil"/>
              <w:left w:val="nil"/>
              <w:bottom w:val="nil"/>
              <w:right w:val="nil"/>
            </w:tcBorders>
            <w:shd w:val="clear" w:color="auto" w:fill="auto"/>
            <w:vAlign w:val="bottom"/>
          </w:tcPr>
          <w:p w14:paraId="547BE413"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Item28</w:t>
            </w:r>
          </w:p>
        </w:tc>
        <w:tc>
          <w:tcPr>
            <w:tcW w:w="1001" w:type="dxa"/>
            <w:tcBorders>
              <w:top w:val="nil"/>
              <w:left w:val="nil"/>
              <w:bottom w:val="nil"/>
              <w:right w:val="nil"/>
            </w:tcBorders>
            <w:shd w:val="clear" w:color="000000" w:fill="FFFFFF"/>
            <w:vAlign w:val="center"/>
          </w:tcPr>
          <w:p w14:paraId="2FE9998D" w14:textId="3B04DDE6"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2FB4783C" w14:textId="44C1942D"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3975709C" w14:textId="0F500139"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0.73</w:t>
            </w:r>
          </w:p>
        </w:tc>
      </w:tr>
      <w:tr w:rsidR="00FD2BD4" w:rsidRPr="00A30A72" w14:paraId="56BC212C" w14:textId="77777777" w:rsidTr="00654E4F">
        <w:trPr>
          <w:cantSplit/>
          <w:jc w:val="center"/>
        </w:trPr>
        <w:tc>
          <w:tcPr>
            <w:tcW w:w="953" w:type="dxa"/>
            <w:tcBorders>
              <w:top w:val="nil"/>
              <w:left w:val="nil"/>
              <w:bottom w:val="nil"/>
              <w:right w:val="nil"/>
            </w:tcBorders>
            <w:shd w:val="clear" w:color="auto" w:fill="auto"/>
            <w:vAlign w:val="bottom"/>
          </w:tcPr>
          <w:p w14:paraId="39A4EB6F"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Item29</w:t>
            </w:r>
          </w:p>
        </w:tc>
        <w:tc>
          <w:tcPr>
            <w:tcW w:w="1001" w:type="dxa"/>
            <w:tcBorders>
              <w:top w:val="nil"/>
              <w:left w:val="nil"/>
              <w:bottom w:val="nil"/>
              <w:right w:val="nil"/>
            </w:tcBorders>
            <w:shd w:val="clear" w:color="000000" w:fill="FFFFFF"/>
            <w:vAlign w:val="center"/>
          </w:tcPr>
          <w:p w14:paraId="06E8D46C" w14:textId="5A1526BE"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2D29F792" w14:textId="787C2A86"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3E0B68B1" w14:textId="7036989A"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0.64</w:t>
            </w:r>
          </w:p>
        </w:tc>
      </w:tr>
      <w:tr w:rsidR="00FD2BD4" w:rsidRPr="00A30A72" w14:paraId="765C1FE7" w14:textId="77777777" w:rsidTr="00654E4F">
        <w:trPr>
          <w:cantSplit/>
          <w:jc w:val="center"/>
        </w:trPr>
        <w:tc>
          <w:tcPr>
            <w:tcW w:w="953" w:type="dxa"/>
            <w:tcBorders>
              <w:top w:val="nil"/>
              <w:left w:val="nil"/>
              <w:bottom w:val="nil"/>
              <w:right w:val="nil"/>
            </w:tcBorders>
            <w:shd w:val="clear" w:color="auto" w:fill="auto"/>
            <w:vAlign w:val="bottom"/>
          </w:tcPr>
          <w:p w14:paraId="0A516AC8"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Item30</w:t>
            </w:r>
          </w:p>
        </w:tc>
        <w:tc>
          <w:tcPr>
            <w:tcW w:w="1001" w:type="dxa"/>
            <w:tcBorders>
              <w:top w:val="nil"/>
              <w:left w:val="nil"/>
              <w:bottom w:val="nil"/>
              <w:right w:val="nil"/>
            </w:tcBorders>
            <w:shd w:val="clear" w:color="000000" w:fill="FFFFFF"/>
            <w:vAlign w:val="center"/>
          </w:tcPr>
          <w:p w14:paraId="707A2D4E" w14:textId="45E4D1F2"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1A290173" w14:textId="7656FEC3"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322952D9" w14:textId="23BF599B"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0.43</w:t>
            </w:r>
          </w:p>
        </w:tc>
      </w:tr>
      <w:tr w:rsidR="00FD2BD4" w:rsidRPr="00A30A72" w14:paraId="5C03A863" w14:textId="77777777" w:rsidTr="00654E4F">
        <w:trPr>
          <w:cantSplit/>
          <w:jc w:val="center"/>
        </w:trPr>
        <w:tc>
          <w:tcPr>
            <w:tcW w:w="953" w:type="dxa"/>
            <w:tcBorders>
              <w:top w:val="nil"/>
              <w:left w:val="nil"/>
              <w:bottom w:val="nil"/>
              <w:right w:val="nil"/>
            </w:tcBorders>
            <w:shd w:val="clear" w:color="auto" w:fill="auto"/>
            <w:vAlign w:val="bottom"/>
          </w:tcPr>
          <w:p w14:paraId="4740CF4A"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Item31</w:t>
            </w:r>
          </w:p>
        </w:tc>
        <w:tc>
          <w:tcPr>
            <w:tcW w:w="1001" w:type="dxa"/>
            <w:tcBorders>
              <w:top w:val="nil"/>
              <w:left w:val="nil"/>
              <w:bottom w:val="nil"/>
              <w:right w:val="nil"/>
            </w:tcBorders>
            <w:shd w:val="clear" w:color="000000" w:fill="FFFFFF"/>
            <w:vAlign w:val="center"/>
          </w:tcPr>
          <w:p w14:paraId="1C5D12CA" w14:textId="7FADD8AB"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39A69F1B" w14:textId="4B5E0D02"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4832B2D6" w14:textId="0AAB1B6F"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0.39</w:t>
            </w:r>
          </w:p>
        </w:tc>
      </w:tr>
      <w:tr w:rsidR="00FD2BD4" w:rsidRPr="00A30A72" w14:paraId="2B10759D" w14:textId="77777777" w:rsidTr="00654E4F">
        <w:trPr>
          <w:cantSplit/>
          <w:jc w:val="center"/>
        </w:trPr>
        <w:tc>
          <w:tcPr>
            <w:tcW w:w="953" w:type="dxa"/>
            <w:tcBorders>
              <w:top w:val="nil"/>
              <w:left w:val="nil"/>
              <w:bottom w:val="single" w:sz="4" w:space="0" w:color="auto"/>
              <w:right w:val="nil"/>
            </w:tcBorders>
            <w:shd w:val="clear" w:color="auto" w:fill="auto"/>
            <w:vAlign w:val="bottom"/>
          </w:tcPr>
          <w:p w14:paraId="135FC658"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Item32</w:t>
            </w:r>
          </w:p>
        </w:tc>
        <w:tc>
          <w:tcPr>
            <w:tcW w:w="1001" w:type="dxa"/>
            <w:tcBorders>
              <w:top w:val="nil"/>
              <w:left w:val="nil"/>
              <w:bottom w:val="single" w:sz="8" w:space="0" w:color="auto"/>
              <w:right w:val="nil"/>
            </w:tcBorders>
            <w:shd w:val="clear" w:color="000000" w:fill="FFFFFF"/>
            <w:vAlign w:val="center"/>
          </w:tcPr>
          <w:p w14:paraId="5C48D26B" w14:textId="506A3EC1"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single" w:sz="8" w:space="0" w:color="auto"/>
              <w:right w:val="nil"/>
            </w:tcBorders>
            <w:shd w:val="clear" w:color="000000" w:fill="FFFFFF"/>
            <w:vAlign w:val="center"/>
          </w:tcPr>
          <w:p w14:paraId="70BD3267" w14:textId="16F6467C"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single" w:sz="8" w:space="0" w:color="auto"/>
              <w:right w:val="nil"/>
            </w:tcBorders>
            <w:shd w:val="clear" w:color="000000" w:fill="FFFFFF"/>
            <w:vAlign w:val="center"/>
          </w:tcPr>
          <w:p w14:paraId="254389F6" w14:textId="29848974"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0.39</w:t>
            </w:r>
          </w:p>
        </w:tc>
      </w:tr>
    </w:tbl>
    <w:p w14:paraId="317CDA4F" w14:textId="77777777" w:rsidR="00F6291B" w:rsidRPr="00A30A72" w:rsidRDefault="00F6291B" w:rsidP="00FE11BE">
      <w:pPr>
        <w:pStyle w:val="Textoindependiente2"/>
        <w:ind w:firstLine="708"/>
        <w:jc w:val="both"/>
        <w:rPr>
          <w:i w:val="0"/>
          <w:szCs w:val="24"/>
        </w:rPr>
      </w:pPr>
    </w:p>
    <w:p w14:paraId="1DCFCD1C" w14:textId="77777777" w:rsidR="00F6291B" w:rsidRPr="00124834" w:rsidRDefault="00F6291B" w:rsidP="00FE11BE">
      <w:pPr>
        <w:pStyle w:val="Textoindependiente2"/>
        <w:ind w:firstLine="708"/>
        <w:jc w:val="both"/>
        <w:rPr>
          <w:i w:val="0"/>
          <w:szCs w:val="24"/>
        </w:rPr>
      </w:pPr>
      <w:r w:rsidRPr="00A30A72">
        <w:rPr>
          <w:i w:val="0"/>
          <w:szCs w:val="24"/>
        </w:rPr>
        <w:t xml:space="preserve">El examen del contenido de los ítems permitió interpretar el factor 1 como </w:t>
      </w:r>
      <w:r w:rsidRPr="00124834">
        <w:rPr>
          <w:i w:val="0"/>
          <w:szCs w:val="24"/>
        </w:rPr>
        <w:t>Expectativas de rechazo en situaciones con vínculos establecidos, el factor 2 como Expectativas de rechazo en situaciones de establecimiento de nuevos vínculos, y el factor 3 como Expectativas de rechazo en lugares públicos y ante desconocidos.</w:t>
      </w:r>
    </w:p>
    <w:p w14:paraId="47FC7ECB" w14:textId="77777777" w:rsidR="00F6291B" w:rsidRPr="00A30A72" w:rsidRDefault="00F6291B" w:rsidP="00FE11BE">
      <w:pPr>
        <w:pStyle w:val="Sangradetextonormal"/>
        <w:ind w:firstLine="0"/>
        <w:rPr>
          <w:szCs w:val="24"/>
          <w:u w:val="single"/>
          <w:lang w:val="es-ES_tradnl"/>
        </w:rPr>
      </w:pPr>
    </w:p>
    <w:p w14:paraId="3C99007F" w14:textId="77777777" w:rsidR="00F6291B" w:rsidRPr="00A30A72" w:rsidRDefault="00F6291B" w:rsidP="00FE11BE">
      <w:pPr>
        <w:pStyle w:val="Sangradetextonormal"/>
        <w:rPr>
          <w:i/>
          <w:szCs w:val="24"/>
          <w:lang w:val="es-ES_tradnl"/>
        </w:rPr>
      </w:pPr>
      <w:r w:rsidRPr="00A30A72">
        <w:rPr>
          <w:i/>
          <w:szCs w:val="24"/>
          <w:lang w:val="es-ES_tradnl"/>
        </w:rPr>
        <w:t>Análisis factorial confirmatorio y fiabilidad compuesta</w:t>
      </w:r>
    </w:p>
    <w:p w14:paraId="54B4DE4E" w14:textId="2F75CA4F" w:rsidR="00F6291B" w:rsidRPr="00A30A72" w:rsidRDefault="00DD6BDF" w:rsidP="00FE11BE">
      <w:pPr>
        <w:autoSpaceDE w:val="0"/>
        <w:autoSpaceDN w:val="0"/>
        <w:adjustRightInd w:val="0"/>
        <w:ind w:firstLine="709"/>
        <w:jc w:val="both"/>
        <w:rPr>
          <w:color w:val="FF0000"/>
        </w:rPr>
      </w:pPr>
      <w:r w:rsidRPr="00A30A72">
        <w:t xml:space="preserve">En el primer paso se especificó un modelo de acuerdo a la estructura factorial obtenida mediante AFE considerando asimismo aspectos teóricos vinculados al constructo y a otras variables interpersonales (estructuras confirmadas en otras escalas, tales como la escala de ansiedad social). Dado que el modelo contaba con más datos que parámetros a estimar, y se disponían suficientes grados de libertad (461 </w:t>
      </w:r>
      <w:proofErr w:type="spellStart"/>
      <w:r w:rsidRPr="00A30A72">
        <w:t>gl</w:t>
      </w:r>
      <w:proofErr w:type="spellEnd"/>
      <w:r w:rsidRPr="00A30A72">
        <w:t xml:space="preserve">), se procedió al contraste del modelo. Se realizó el AFC con un procedimiento de estimación directo por medio del método de estimación máxima verosimilitud teniendo en cuenta que los datos se distribuían de una forma cercana a la normal. </w:t>
      </w:r>
      <w:r w:rsidR="00F6291B" w:rsidRPr="00A30A72">
        <w:t xml:space="preserve">Los análisis de ajuste del modelo inicial presentaron un coeficiente </w:t>
      </w:r>
      <w:proofErr w:type="spellStart"/>
      <w:r w:rsidR="00F6291B" w:rsidRPr="00A30A72">
        <w:t>chi</w:t>
      </w:r>
      <w:proofErr w:type="spellEnd"/>
      <w:r w:rsidR="00F6291B" w:rsidRPr="00A30A72">
        <w:t xml:space="preserve">-cuadrado significativo (1288,569; sig. = .000). Por otro lado, los índices de ajuste si bien no alcanzan los valores establecidos, </w:t>
      </w:r>
      <w:r w:rsidR="00A37701">
        <w:t>fueron</w:t>
      </w:r>
      <w:r w:rsidR="00A37701" w:rsidRPr="00A30A72">
        <w:t xml:space="preserve"> </w:t>
      </w:r>
      <w:r w:rsidR="00F6291B" w:rsidRPr="00A30A72">
        <w:t xml:space="preserve">cercanos GFI= .84, CFI= .85, RMSEA= .06 y SRMR= .06. El análisis de CMIN/DF dio </w:t>
      </w:r>
      <w:r w:rsidR="00F6291B" w:rsidRPr="00A30A72">
        <w:lastRenderedPageBreak/>
        <w:t xml:space="preserve">como resultado un valor de 2.79, lo cual indica que el ajuste del modelo no </w:t>
      </w:r>
      <w:r w:rsidR="00A37701">
        <w:t>era</w:t>
      </w:r>
      <w:r w:rsidR="00A37701" w:rsidRPr="00A30A72">
        <w:t xml:space="preserve"> </w:t>
      </w:r>
      <w:r w:rsidR="00F6291B" w:rsidRPr="00A30A72">
        <w:t>óptimo.</w:t>
      </w:r>
      <w:r w:rsidR="00F6291B" w:rsidRPr="00A30A72">
        <w:rPr>
          <w:color w:val="FF0000"/>
        </w:rPr>
        <w:t xml:space="preserve"> </w:t>
      </w:r>
      <w:r w:rsidR="00F6291B" w:rsidRPr="00A30A72">
        <w:t xml:space="preserve">Los coeficientes de regresión estandarizados obtenidos fueron de .44 a .72 para el factor 1, de .56 a .6 para el factor 2, y de .41 a .72 para el factor 3. </w:t>
      </w:r>
    </w:p>
    <w:p w14:paraId="39C12BD4" w14:textId="2603CE04" w:rsidR="00F6291B" w:rsidRPr="00A30A72" w:rsidRDefault="00A06587" w:rsidP="00FE11BE">
      <w:pPr>
        <w:autoSpaceDE w:val="0"/>
        <w:autoSpaceDN w:val="0"/>
        <w:adjustRightInd w:val="0"/>
        <w:ind w:firstLine="709"/>
        <w:jc w:val="both"/>
        <w:rPr>
          <w:color w:val="FF0000"/>
          <w:sz w:val="22"/>
          <w:szCs w:val="22"/>
        </w:rPr>
      </w:pPr>
      <w:r w:rsidRPr="00A30A72">
        <w:t xml:space="preserve">Tomando en consideración los resultados obtenidos se procedió a la re-especificación del modelo. En primer lugar, se omitieron aquellos ítems que presentaran covarianzas residuales estandarizadas altas (superiores a 2,58, según los criterios de </w:t>
      </w:r>
      <w:proofErr w:type="spellStart"/>
      <w:r w:rsidRPr="00A30A72">
        <w:t>Hair</w:t>
      </w:r>
      <w:proofErr w:type="spellEnd"/>
      <w:r w:rsidRPr="00A30A72">
        <w:t xml:space="preserve">, Black, </w:t>
      </w:r>
      <w:proofErr w:type="spellStart"/>
      <w:r w:rsidRPr="00A30A72">
        <w:t>Babin</w:t>
      </w:r>
      <w:proofErr w:type="spellEnd"/>
      <w:r w:rsidRPr="00A30A72">
        <w:t xml:space="preserve">, Anderson, &amp; </w:t>
      </w:r>
      <w:proofErr w:type="spellStart"/>
      <w:r w:rsidRPr="00A30A72">
        <w:t>Tatham</w:t>
      </w:r>
      <w:proofErr w:type="spellEnd"/>
      <w:r w:rsidRPr="00A30A72">
        <w:t>, 2006), y se atendió a los índices de modificación (MI) de los mismos y a la importancia del ítem como indicador del constructo.</w:t>
      </w:r>
      <w:r w:rsidR="00F6291B" w:rsidRPr="00A30A72">
        <w:t xml:space="preserve"> Como resultado se obtuvo un modelo final de 27 indicadores agrupados en 3 factores y con coeficientes de regresión significativos (ver Tabla </w:t>
      </w:r>
      <w:r w:rsidR="00761660" w:rsidRPr="00A30A72">
        <w:t>2</w:t>
      </w:r>
      <w:r w:rsidR="00F6291B" w:rsidRPr="00A30A72">
        <w:t xml:space="preserve">). En la </w:t>
      </w:r>
      <w:r w:rsidR="00A37701" w:rsidRPr="00A30A72">
        <w:t>re</w:t>
      </w:r>
      <w:r w:rsidR="00A37701">
        <w:t>-</w:t>
      </w:r>
      <w:r w:rsidR="00A37701" w:rsidRPr="00A30A72">
        <w:t xml:space="preserve"> especificación</w:t>
      </w:r>
      <w:r w:rsidR="00F6291B" w:rsidRPr="00A30A72">
        <w:t xml:space="preserve"> del modelo se eliminaron 5 ítems y se introdujeron covarianzas </w:t>
      </w:r>
      <w:r w:rsidR="000C7A59" w:rsidRPr="00A30A72">
        <w:t>entre los errores de algunos ítems que pertenecían al mismo factor y que tenían un contenido equivalente, siguiendo las recomendaciones de Brown (2006).</w:t>
      </w:r>
    </w:p>
    <w:p w14:paraId="42BB4785" w14:textId="2418ED9B" w:rsidR="00F6291B" w:rsidRPr="00A30A72" w:rsidRDefault="00F6291B" w:rsidP="00FE11BE">
      <w:pPr>
        <w:autoSpaceDE w:val="0"/>
        <w:autoSpaceDN w:val="0"/>
        <w:adjustRightInd w:val="0"/>
        <w:ind w:firstLine="709"/>
        <w:jc w:val="both"/>
      </w:pPr>
      <w:r w:rsidRPr="00A30A72">
        <w:t xml:space="preserve">En relación a los índices de ajuste, si bien se obtuvo un coeficiente </w:t>
      </w:r>
      <w:proofErr w:type="spellStart"/>
      <w:r w:rsidRPr="00A30A72">
        <w:t>chi</w:t>
      </w:r>
      <w:proofErr w:type="spellEnd"/>
      <w:r w:rsidRPr="00A30A72">
        <w:t xml:space="preserve">-cuadrado significativo, su valor se redujo considerablemente (670,617; sig.= .000). Por otra </w:t>
      </w:r>
      <w:r w:rsidR="003A31ED" w:rsidRPr="00A30A72">
        <w:t>parte, a</w:t>
      </w:r>
      <w:r w:rsidRPr="00A30A72">
        <w:t xml:space="preserve"> pesar de que el valor CMIN/DF fue de 2.10, los otros índices de ajuste</w:t>
      </w:r>
      <w:r w:rsidR="00A37701">
        <w:t xml:space="preserve"> fueron adecuados</w:t>
      </w:r>
      <w:r w:rsidRPr="00A30A72">
        <w:t xml:space="preserve"> (CFI = .91, GFI= .90, RMSEA= .049 y SRMR= .047), por lo cual se conservó el modelo priorizando la retención de ítems teóricamente relevantes. Finalmente, se calculó la fiabilidad compuesta </w:t>
      </w:r>
      <w:r w:rsidR="00124834">
        <w:t xml:space="preserve">(ω) </w:t>
      </w:r>
      <w:r w:rsidRPr="00A30A72">
        <w:t>de las escala</w:t>
      </w:r>
      <w:r w:rsidR="00124834">
        <w:t>s</w:t>
      </w:r>
      <w:r w:rsidRPr="00A30A72">
        <w:t>, obteniendo .88 para el factor 1, .84 para el factor 2, y .71 para el factor 3. Se observa que todos los constructos latentes presentaron valores considerados buenos por la literatura.</w:t>
      </w:r>
    </w:p>
    <w:p w14:paraId="25B39B8D" w14:textId="77777777" w:rsidR="00DD6BDF" w:rsidRPr="00A30A72" w:rsidRDefault="00DD6BDF" w:rsidP="00FE11BE">
      <w:pPr>
        <w:autoSpaceDE w:val="0"/>
        <w:autoSpaceDN w:val="0"/>
        <w:adjustRightInd w:val="0"/>
        <w:ind w:firstLine="709"/>
        <w:jc w:val="both"/>
      </w:pPr>
    </w:p>
    <w:p w14:paraId="551DF309" w14:textId="5F4CC2F3" w:rsidR="00F6291B" w:rsidRPr="00A30A72" w:rsidRDefault="00F6291B" w:rsidP="00FE11BE">
      <w:pPr>
        <w:pStyle w:val="Default"/>
        <w:ind w:left="567"/>
        <w:rPr>
          <w:rFonts w:ascii="Times New Roman" w:hAnsi="Times New Roman" w:cs="Times New Roman"/>
          <w:i/>
          <w:color w:val="auto"/>
        </w:rPr>
      </w:pPr>
    </w:p>
    <w:tbl>
      <w:tblPr>
        <w:tblW w:w="6294" w:type="dxa"/>
        <w:jc w:val="center"/>
        <w:tblBorders>
          <w:top w:val="single" w:sz="12" w:space="0" w:color="auto"/>
          <w:bottom w:val="single" w:sz="12" w:space="0" w:color="auto"/>
        </w:tblBorders>
        <w:tblCellMar>
          <w:left w:w="70" w:type="dxa"/>
          <w:right w:w="70" w:type="dxa"/>
        </w:tblCellMar>
        <w:tblLook w:val="04A0" w:firstRow="1" w:lastRow="0" w:firstColumn="1" w:lastColumn="0" w:noHBand="0" w:noVBand="1"/>
      </w:tblPr>
      <w:tblGrid>
        <w:gridCol w:w="838"/>
        <w:gridCol w:w="1144"/>
        <w:gridCol w:w="1263"/>
        <w:gridCol w:w="440"/>
        <w:gridCol w:w="1318"/>
        <w:gridCol w:w="1291"/>
      </w:tblGrid>
      <w:tr w:rsidR="00124834" w:rsidRPr="00A30A72" w14:paraId="403670BE" w14:textId="77777777" w:rsidTr="00124834">
        <w:trPr>
          <w:trHeight w:val="960"/>
          <w:jc w:val="center"/>
        </w:trPr>
        <w:tc>
          <w:tcPr>
            <w:tcW w:w="6294" w:type="dxa"/>
            <w:gridSpan w:val="6"/>
            <w:tcBorders>
              <w:top w:val="nil"/>
              <w:bottom w:val="single" w:sz="4" w:space="0" w:color="auto"/>
            </w:tcBorders>
            <w:shd w:val="clear" w:color="auto" w:fill="auto"/>
            <w:vAlign w:val="center"/>
          </w:tcPr>
          <w:p w14:paraId="1EDFCF6D" w14:textId="77777777" w:rsidR="00124834" w:rsidRPr="00A30A72" w:rsidRDefault="00124834" w:rsidP="00124834">
            <w:pPr>
              <w:pStyle w:val="Default"/>
              <w:ind w:left="67"/>
              <w:rPr>
                <w:rFonts w:ascii="Times New Roman" w:hAnsi="Times New Roman" w:cs="Times New Roman"/>
                <w:color w:val="auto"/>
              </w:rPr>
            </w:pPr>
            <w:r w:rsidRPr="00A30A72">
              <w:rPr>
                <w:rFonts w:ascii="Times New Roman" w:hAnsi="Times New Roman" w:cs="Times New Roman"/>
                <w:color w:val="auto"/>
              </w:rPr>
              <w:t xml:space="preserve">Tabla 2. </w:t>
            </w:r>
          </w:p>
          <w:p w14:paraId="20FDB5DC" w14:textId="0B2558B3" w:rsidR="00124834" w:rsidRPr="00A30A72" w:rsidRDefault="00124834" w:rsidP="00124834">
            <w:pPr>
              <w:ind w:left="67"/>
              <w:rPr>
                <w:sz w:val="20"/>
                <w:szCs w:val="20"/>
              </w:rPr>
            </w:pPr>
            <w:r w:rsidRPr="00A30A72">
              <w:rPr>
                <w:i/>
              </w:rPr>
              <w:t>Coeficientes de regresión del modelo final</w:t>
            </w:r>
          </w:p>
        </w:tc>
      </w:tr>
      <w:tr w:rsidR="00F6291B" w:rsidRPr="00A30A72" w14:paraId="56B2D842" w14:textId="77777777" w:rsidTr="00124834">
        <w:trPr>
          <w:trHeight w:val="960"/>
          <w:jc w:val="center"/>
        </w:trPr>
        <w:tc>
          <w:tcPr>
            <w:tcW w:w="838" w:type="dxa"/>
            <w:vMerge w:val="restart"/>
            <w:tcBorders>
              <w:top w:val="single" w:sz="4" w:space="0" w:color="auto"/>
            </w:tcBorders>
            <w:shd w:val="clear" w:color="auto" w:fill="auto"/>
            <w:vAlign w:val="center"/>
            <w:hideMark/>
          </w:tcPr>
          <w:p w14:paraId="7901722A" w14:textId="77777777" w:rsidR="00F6291B" w:rsidRPr="00A30A72" w:rsidRDefault="00F6291B" w:rsidP="00FE11BE">
            <w:pPr>
              <w:rPr>
                <w:sz w:val="20"/>
                <w:szCs w:val="20"/>
              </w:rPr>
            </w:pPr>
          </w:p>
        </w:tc>
        <w:tc>
          <w:tcPr>
            <w:tcW w:w="1144" w:type="dxa"/>
            <w:vMerge w:val="restart"/>
            <w:tcBorders>
              <w:top w:val="single" w:sz="4" w:space="0" w:color="auto"/>
            </w:tcBorders>
            <w:shd w:val="clear" w:color="auto" w:fill="auto"/>
            <w:vAlign w:val="center"/>
            <w:hideMark/>
          </w:tcPr>
          <w:p w14:paraId="4785A38D" w14:textId="77777777" w:rsidR="00F6291B" w:rsidRPr="00A30A72" w:rsidRDefault="00F6291B" w:rsidP="00FE11BE">
            <w:pPr>
              <w:jc w:val="center"/>
              <w:rPr>
                <w:sz w:val="20"/>
                <w:szCs w:val="20"/>
              </w:rPr>
            </w:pPr>
            <w:r w:rsidRPr="00A30A72">
              <w:rPr>
                <w:sz w:val="20"/>
                <w:szCs w:val="20"/>
              </w:rPr>
              <w:t>Coeficientes de regresión (B)</w:t>
            </w:r>
          </w:p>
        </w:tc>
        <w:tc>
          <w:tcPr>
            <w:tcW w:w="1263" w:type="dxa"/>
            <w:vMerge w:val="restart"/>
            <w:tcBorders>
              <w:top w:val="single" w:sz="4" w:space="0" w:color="auto"/>
            </w:tcBorders>
            <w:shd w:val="clear" w:color="auto" w:fill="auto"/>
            <w:vAlign w:val="center"/>
            <w:hideMark/>
          </w:tcPr>
          <w:p w14:paraId="6CE04072" w14:textId="77777777" w:rsidR="00F6291B" w:rsidRPr="00A30A72" w:rsidRDefault="00F6291B" w:rsidP="00FE11BE">
            <w:pPr>
              <w:jc w:val="center"/>
              <w:rPr>
                <w:sz w:val="20"/>
                <w:szCs w:val="20"/>
              </w:rPr>
            </w:pPr>
            <w:r w:rsidRPr="00A30A72">
              <w:rPr>
                <w:sz w:val="20"/>
                <w:szCs w:val="20"/>
              </w:rPr>
              <w:t>Error estandarizado</w:t>
            </w:r>
          </w:p>
        </w:tc>
        <w:tc>
          <w:tcPr>
            <w:tcW w:w="440" w:type="dxa"/>
            <w:vMerge w:val="restart"/>
            <w:tcBorders>
              <w:top w:val="single" w:sz="4" w:space="0" w:color="auto"/>
            </w:tcBorders>
            <w:shd w:val="clear" w:color="auto" w:fill="auto"/>
            <w:vAlign w:val="center"/>
            <w:hideMark/>
          </w:tcPr>
          <w:p w14:paraId="721548A7" w14:textId="61A19DA6" w:rsidR="00F6291B" w:rsidRPr="00A30A72" w:rsidRDefault="003A7EF4" w:rsidP="00FE11BE">
            <w:pPr>
              <w:jc w:val="center"/>
              <w:rPr>
                <w:sz w:val="20"/>
                <w:szCs w:val="20"/>
              </w:rPr>
            </w:pPr>
            <w:r>
              <w:rPr>
                <w:sz w:val="20"/>
                <w:szCs w:val="20"/>
              </w:rPr>
              <w:t>p</w:t>
            </w:r>
          </w:p>
        </w:tc>
        <w:tc>
          <w:tcPr>
            <w:tcW w:w="1318" w:type="dxa"/>
            <w:tcBorders>
              <w:top w:val="single" w:sz="4" w:space="0" w:color="auto"/>
            </w:tcBorders>
            <w:shd w:val="clear" w:color="auto" w:fill="auto"/>
            <w:vAlign w:val="center"/>
            <w:hideMark/>
          </w:tcPr>
          <w:p w14:paraId="35911698" w14:textId="77777777" w:rsidR="00F6291B" w:rsidRPr="00A30A72" w:rsidRDefault="00F6291B" w:rsidP="00FE11BE">
            <w:pPr>
              <w:jc w:val="center"/>
              <w:rPr>
                <w:sz w:val="20"/>
                <w:szCs w:val="20"/>
              </w:rPr>
            </w:pPr>
            <w:r w:rsidRPr="00A30A72">
              <w:rPr>
                <w:sz w:val="20"/>
                <w:szCs w:val="20"/>
              </w:rPr>
              <w:t>Coeficientes de regresión estandarizados</w:t>
            </w:r>
          </w:p>
        </w:tc>
        <w:tc>
          <w:tcPr>
            <w:tcW w:w="1291" w:type="dxa"/>
            <w:tcBorders>
              <w:top w:val="single" w:sz="4" w:space="0" w:color="auto"/>
            </w:tcBorders>
            <w:shd w:val="clear" w:color="auto" w:fill="auto"/>
            <w:vAlign w:val="center"/>
            <w:hideMark/>
          </w:tcPr>
          <w:p w14:paraId="1A1C9CAA" w14:textId="77777777" w:rsidR="00F6291B" w:rsidRPr="00A30A72" w:rsidRDefault="00F6291B" w:rsidP="00FE11BE">
            <w:pPr>
              <w:jc w:val="center"/>
              <w:rPr>
                <w:sz w:val="20"/>
                <w:szCs w:val="20"/>
              </w:rPr>
            </w:pPr>
            <w:r w:rsidRPr="00A30A72">
              <w:rPr>
                <w:sz w:val="20"/>
                <w:szCs w:val="20"/>
              </w:rPr>
              <w:t>Coeficiente de determinación</w:t>
            </w:r>
          </w:p>
        </w:tc>
      </w:tr>
      <w:tr w:rsidR="00F6291B" w:rsidRPr="00A30A72" w14:paraId="6E696EFA" w14:textId="77777777" w:rsidTr="00FD2BD4">
        <w:trPr>
          <w:trHeight w:val="300"/>
          <w:jc w:val="center"/>
        </w:trPr>
        <w:tc>
          <w:tcPr>
            <w:tcW w:w="838" w:type="dxa"/>
            <w:vMerge/>
            <w:tcBorders>
              <w:bottom w:val="single" w:sz="4" w:space="0" w:color="auto"/>
            </w:tcBorders>
            <w:vAlign w:val="center"/>
            <w:hideMark/>
          </w:tcPr>
          <w:p w14:paraId="261F4627" w14:textId="77777777" w:rsidR="00F6291B" w:rsidRPr="00A30A72" w:rsidRDefault="00F6291B" w:rsidP="00FE11BE">
            <w:pPr>
              <w:rPr>
                <w:sz w:val="20"/>
                <w:szCs w:val="20"/>
              </w:rPr>
            </w:pPr>
          </w:p>
        </w:tc>
        <w:tc>
          <w:tcPr>
            <w:tcW w:w="1144" w:type="dxa"/>
            <w:vMerge/>
            <w:tcBorders>
              <w:bottom w:val="single" w:sz="4" w:space="0" w:color="auto"/>
            </w:tcBorders>
            <w:vAlign w:val="center"/>
            <w:hideMark/>
          </w:tcPr>
          <w:p w14:paraId="18D30868" w14:textId="77777777" w:rsidR="00F6291B" w:rsidRPr="00A30A72" w:rsidRDefault="00F6291B" w:rsidP="00FE11BE">
            <w:pPr>
              <w:rPr>
                <w:sz w:val="20"/>
                <w:szCs w:val="20"/>
              </w:rPr>
            </w:pPr>
          </w:p>
        </w:tc>
        <w:tc>
          <w:tcPr>
            <w:tcW w:w="1263" w:type="dxa"/>
            <w:vMerge/>
            <w:tcBorders>
              <w:bottom w:val="single" w:sz="4" w:space="0" w:color="auto"/>
            </w:tcBorders>
            <w:vAlign w:val="center"/>
            <w:hideMark/>
          </w:tcPr>
          <w:p w14:paraId="72F64722" w14:textId="77777777" w:rsidR="00F6291B" w:rsidRPr="00A30A72" w:rsidRDefault="00F6291B" w:rsidP="00FE11BE">
            <w:pPr>
              <w:rPr>
                <w:sz w:val="20"/>
                <w:szCs w:val="20"/>
              </w:rPr>
            </w:pPr>
          </w:p>
        </w:tc>
        <w:tc>
          <w:tcPr>
            <w:tcW w:w="440" w:type="dxa"/>
            <w:vMerge/>
            <w:tcBorders>
              <w:bottom w:val="single" w:sz="4" w:space="0" w:color="auto"/>
            </w:tcBorders>
            <w:vAlign w:val="center"/>
            <w:hideMark/>
          </w:tcPr>
          <w:p w14:paraId="6D13DCE2" w14:textId="77777777" w:rsidR="00F6291B" w:rsidRPr="00A30A72" w:rsidRDefault="00F6291B" w:rsidP="00FE11BE">
            <w:pPr>
              <w:rPr>
                <w:sz w:val="20"/>
                <w:szCs w:val="20"/>
              </w:rPr>
            </w:pPr>
          </w:p>
        </w:tc>
        <w:tc>
          <w:tcPr>
            <w:tcW w:w="1318" w:type="dxa"/>
            <w:tcBorders>
              <w:bottom w:val="single" w:sz="4" w:space="0" w:color="auto"/>
            </w:tcBorders>
            <w:shd w:val="clear" w:color="auto" w:fill="auto"/>
            <w:vAlign w:val="center"/>
            <w:hideMark/>
          </w:tcPr>
          <w:p w14:paraId="2E0DBBEB" w14:textId="77777777" w:rsidR="00F6291B" w:rsidRPr="00A30A72" w:rsidRDefault="00F6291B" w:rsidP="00FE11BE">
            <w:pPr>
              <w:jc w:val="center"/>
              <w:rPr>
                <w:sz w:val="20"/>
                <w:szCs w:val="20"/>
              </w:rPr>
            </w:pPr>
            <w:r w:rsidRPr="00A30A72">
              <w:rPr>
                <w:sz w:val="20"/>
                <w:szCs w:val="20"/>
              </w:rPr>
              <w:t>(β)</w:t>
            </w:r>
          </w:p>
        </w:tc>
        <w:tc>
          <w:tcPr>
            <w:tcW w:w="1291" w:type="dxa"/>
            <w:tcBorders>
              <w:bottom w:val="single" w:sz="4" w:space="0" w:color="auto"/>
            </w:tcBorders>
            <w:shd w:val="clear" w:color="auto" w:fill="auto"/>
            <w:vAlign w:val="center"/>
            <w:hideMark/>
          </w:tcPr>
          <w:p w14:paraId="5FEEFCE9" w14:textId="77777777" w:rsidR="00F6291B" w:rsidRPr="00A30A72" w:rsidRDefault="00F6291B" w:rsidP="00FE11BE">
            <w:pPr>
              <w:jc w:val="center"/>
              <w:rPr>
                <w:sz w:val="20"/>
                <w:szCs w:val="20"/>
              </w:rPr>
            </w:pPr>
            <w:r w:rsidRPr="00A30A72">
              <w:rPr>
                <w:sz w:val="20"/>
                <w:szCs w:val="20"/>
              </w:rPr>
              <w:t>(R2)</w:t>
            </w:r>
          </w:p>
        </w:tc>
      </w:tr>
      <w:tr w:rsidR="00F6291B" w:rsidRPr="00A30A72" w14:paraId="20BC3A30" w14:textId="77777777" w:rsidTr="00FD2BD4">
        <w:trPr>
          <w:trHeight w:val="300"/>
          <w:jc w:val="center"/>
        </w:trPr>
        <w:tc>
          <w:tcPr>
            <w:tcW w:w="838" w:type="dxa"/>
            <w:tcBorders>
              <w:top w:val="single" w:sz="4" w:space="0" w:color="auto"/>
              <w:left w:val="nil"/>
              <w:bottom w:val="nil"/>
              <w:right w:val="nil"/>
            </w:tcBorders>
            <w:shd w:val="clear" w:color="auto" w:fill="auto"/>
            <w:vAlign w:val="center"/>
            <w:hideMark/>
          </w:tcPr>
          <w:p w14:paraId="5DD36215" w14:textId="77777777" w:rsidR="00F6291B" w:rsidRPr="00A30A72" w:rsidRDefault="00F6291B" w:rsidP="00FE11BE">
            <w:pPr>
              <w:rPr>
                <w:color w:val="FF0000"/>
                <w:sz w:val="20"/>
                <w:szCs w:val="20"/>
              </w:rPr>
            </w:pPr>
            <w:r w:rsidRPr="00A30A72">
              <w:rPr>
                <w:color w:val="000000"/>
                <w:sz w:val="20"/>
                <w:szCs w:val="20"/>
              </w:rPr>
              <w:t>Item39</w:t>
            </w:r>
          </w:p>
        </w:tc>
        <w:tc>
          <w:tcPr>
            <w:tcW w:w="1144" w:type="dxa"/>
            <w:tcBorders>
              <w:top w:val="single" w:sz="4" w:space="0" w:color="auto"/>
              <w:left w:val="nil"/>
              <w:bottom w:val="nil"/>
              <w:right w:val="nil"/>
            </w:tcBorders>
            <w:shd w:val="clear" w:color="auto" w:fill="auto"/>
            <w:vAlign w:val="center"/>
            <w:hideMark/>
          </w:tcPr>
          <w:p w14:paraId="1166A3D0"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30</w:t>
            </w:r>
          </w:p>
        </w:tc>
        <w:tc>
          <w:tcPr>
            <w:tcW w:w="1263" w:type="dxa"/>
            <w:tcBorders>
              <w:top w:val="single" w:sz="4" w:space="0" w:color="auto"/>
              <w:left w:val="nil"/>
              <w:bottom w:val="nil"/>
              <w:right w:val="nil"/>
            </w:tcBorders>
            <w:shd w:val="clear" w:color="auto" w:fill="auto"/>
            <w:vAlign w:val="center"/>
            <w:hideMark/>
          </w:tcPr>
          <w:p w14:paraId="29A7106C"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13</w:t>
            </w:r>
          </w:p>
        </w:tc>
        <w:tc>
          <w:tcPr>
            <w:tcW w:w="440" w:type="dxa"/>
            <w:tcBorders>
              <w:top w:val="single" w:sz="4" w:space="0" w:color="auto"/>
              <w:left w:val="nil"/>
              <w:bottom w:val="nil"/>
              <w:right w:val="nil"/>
            </w:tcBorders>
            <w:shd w:val="clear" w:color="auto" w:fill="auto"/>
            <w:vAlign w:val="center"/>
            <w:hideMark/>
          </w:tcPr>
          <w:p w14:paraId="092DB902"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single" w:sz="4" w:space="0" w:color="auto"/>
              <w:left w:val="nil"/>
              <w:bottom w:val="nil"/>
              <w:right w:val="nil"/>
            </w:tcBorders>
            <w:shd w:val="clear" w:color="auto" w:fill="auto"/>
            <w:vAlign w:val="center"/>
            <w:hideMark/>
          </w:tcPr>
          <w:p w14:paraId="3A1F36ED"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63</w:t>
            </w:r>
          </w:p>
        </w:tc>
        <w:tc>
          <w:tcPr>
            <w:tcW w:w="1291" w:type="dxa"/>
            <w:tcBorders>
              <w:top w:val="single" w:sz="4" w:space="0" w:color="auto"/>
              <w:left w:val="nil"/>
              <w:bottom w:val="nil"/>
              <w:right w:val="nil"/>
            </w:tcBorders>
            <w:shd w:val="clear" w:color="auto" w:fill="auto"/>
            <w:vAlign w:val="bottom"/>
            <w:hideMark/>
          </w:tcPr>
          <w:p w14:paraId="5A8AFA96"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40</w:t>
            </w:r>
          </w:p>
        </w:tc>
      </w:tr>
      <w:tr w:rsidR="00F6291B" w:rsidRPr="00A30A72" w14:paraId="7DBC1084" w14:textId="77777777" w:rsidTr="00FD2BD4">
        <w:trPr>
          <w:trHeight w:val="300"/>
          <w:jc w:val="center"/>
        </w:trPr>
        <w:tc>
          <w:tcPr>
            <w:tcW w:w="838" w:type="dxa"/>
            <w:tcBorders>
              <w:top w:val="nil"/>
              <w:left w:val="nil"/>
              <w:bottom w:val="nil"/>
              <w:right w:val="nil"/>
            </w:tcBorders>
            <w:shd w:val="clear" w:color="auto" w:fill="auto"/>
            <w:vAlign w:val="center"/>
            <w:hideMark/>
          </w:tcPr>
          <w:p w14:paraId="70111A47" w14:textId="77777777" w:rsidR="00F6291B" w:rsidRPr="00A30A72" w:rsidRDefault="00F6291B" w:rsidP="00FE11BE">
            <w:pPr>
              <w:rPr>
                <w:color w:val="FF0000"/>
                <w:sz w:val="20"/>
                <w:szCs w:val="20"/>
              </w:rPr>
            </w:pPr>
            <w:r w:rsidRPr="00A30A72">
              <w:rPr>
                <w:color w:val="000000"/>
                <w:sz w:val="20"/>
                <w:szCs w:val="20"/>
              </w:rPr>
              <w:t>Item4</w:t>
            </w:r>
          </w:p>
        </w:tc>
        <w:tc>
          <w:tcPr>
            <w:tcW w:w="1144" w:type="dxa"/>
            <w:tcBorders>
              <w:top w:val="nil"/>
              <w:left w:val="nil"/>
              <w:bottom w:val="nil"/>
              <w:right w:val="nil"/>
            </w:tcBorders>
            <w:shd w:val="clear" w:color="auto" w:fill="auto"/>
            <w:vAlign w:val="center"/>
            <w:hideMark/>
          </w:tcPr>
          <w:p w14:paraId="5B2A03A3"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33</w:t>
            </w:r>
          </w:p>
        </w:tc>
        <w:tc>
          <w:tcPr>
            <w:tcW w:w="1263" w:type="dxa"/>
            <w:tcBorders>
              <w:top w:val="nil"/>
              <w:left w:val="nil"/>
              <w:bottom w:val="nil"/>
              <w:right w:val="nil"/>
            </w:tcBorders>
            <w:shd w:val="clear" w:color="auto" w:fill="auto"/>
            <w:vAlign w:val="center"/>
            <w:hideMark/>
          </w:tcPr>
          <w:p w14:paraId="75DA6924"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15</w:t>
            </w:r>
          </w:p>
        </w:tc>
        <w:tc>
          <w:tcPr>
            <w:tcW w:w="440" w:type="dxa"/>
            <w:tcBorders>
              <w:top w:val="nil"/>
              <w:left w:val="nil"/>
              <w:bottom w:val="nil"/>
              <w:right w:val="nil"/>
            </w:tcBorders>
            <w:shd w:val="clear" w:color="auto" w:fill="auto"/>
            <w:vAlign w:val="center"/>
            <w:hideMark/>
          </w:tcPr>
          <w:p w14:paraId="57007D9E"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48DFF3D5"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58</w:t>
            </w:r>
          </w:p>
        </w:tc>
        <w:tc>
          <w:tcPr>
            <w:tcW w:w="1291" w:type="dxa"/>
            <w:tcBorders>
              <w:top w:val="nil"/>
              <w:left w:val="nil"/>
              <w:bottom w:val="nil"/>
              <w:right w:val="nil"/>
            </w:tcBorders>
            <w:shd w:val="clear" w:color="auto" w:fill="auto"/>
            <w:vAlign w:val="bottom"/>
            <w:hideMark/>
          </w:tcPr>
          <w:p w14:paraId="529A1FA0"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33</w:t>
            </w:r>
          </w:p>
        </w:tc>
      </w:tr>
      <w:tr w:rsidR="00F6291B" w:rsidRPr="00A30A72" w14:paraId="08B03149" w14:textId="77777777" w:rsidTr="00FD2BD4">
        <w:trPr>
          <w:trHeight w:val="300"/>
          <w:jc w:val="center"/>
        </w:trPr>
        <w:tc>
          <w:tcPr>
            <w:tcW w:w="838" w:type="dxa"/>
            <w:tcBorders>
              <w:top w:val="nil"/>
              <w:left w:val="nil"/>
              <w:bottom w:val="nil"/>
              <w:right w:val="nil"/>
            </w:tcBorders>
            <w:shd w:val="clear" w:color="auto" w:fill="auto"/>
            <w:vAlign w:val="center"/>
            <w:hideMark/>
          </w:tcPr>
          <w:p w14:paraId="32D29E87" w14:textId="77777777" w:rsidR="00F6291B" w:rsidRPr="00A30A72" w:rsidRDefault="00F6291B" w:rsidP="00FE11BE">
            <w:pPr>
              <w:rPr>
                <w:color w:val="FF0000"/>
                <w:sz w:val="20"/>
                <w:szCs w:val="20"/>
              </w:rPr>
            </w:pPr>
            <w:r w:rsidRPr="00A30A72">
              <w:rPr>
                <w:color w:val="000000"/>
                <w:sz w:val="20"/>
                <w:szCs w:val="20"/>
              </w:rPr>
              <w:t>Item24</w:t>
            </w:r>
          </w:p>
        </w:tc>
        <w:tc>
          <w:tcPr>
            <w:tcW w:w="1144" w:type="dxa"/>
            <w:tcBorders>
              <w:top w:val="nil"/>
              <w:left w:val="nil"/>
              <w:bottom w:val="nil"/>
              <w:right w:val="nil"/>
            </w:tcBorders>
            <w:shd w:val="clear" w:color="auto" w:fill="auto"/>
            <w:vAlign w:val="center"/>
            <w:hideMark/>
          </w:tcPr>
          <w:p w14:paraId="55185D36"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08</w:t>
            </w:r>
          </w:p>
        </w:tc>
        <w:tc>
          <w:tcPr>
            <w:tcW w:w="1263" w:type="dxa"/>
            <w:tcBorders>
              <w:top w:val="nil"/>
              <w:left w:val="nil"/>
              <w:bottom w:val="nil"/>
              <w:right w:val="nil"/>
            </w:tcBorders>
            <w:shd w:val="clear" w:color="auto" w:fill="auto"/>
            <w:vAlign w:val="center"/>
            <w:hideMark/>
          </w:tcPr>
          <w:p w14:paraId="22BCB4FD"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12</w:t>
            </w:r>
          </w:p>
        </w:tc>
        <w:tc>
          <w:tcPr>
            <w:tcW w:w="440" w:type="dxa"/>
            <w:tcBorders>
              <w:top w:val="nil"/>
              <w:left w:val="nil"/>
              <w:bottom w:val="nil"/>
              <w:right w:val="nil"/>
            </w:tcBorders>
            <w:shd w:val="clear" w:color="auto" w:fill="auto"/>
            <w:vAlign w:val="center"/>
            <w:hideMark/>
          </w:tcPr>
          <w:p w14:paraId="3C78159E"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65E221B7"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43</w:t>
            </w:r>
          </w:p>
        </w:tc>
        <w:tc>
          <w:tcPr>
            <w:tcW w:w="1291" w:type="dxa"/>
            <w:tcBorders>
              <w:top w:val="nil"/>
              <w:left w:val="nil"/>
              <w:bottom w:val="nil"/>
              <w:right w:val="nil"/>
            </w:tcBorders>
            <w:shd w:val="clear" w:color="auto" w:fill="auto"/>
            <w:vAlign w:val="bottom"/>
            <w:hideMark/>
          </w:tcPr>
          <w:p w14:paraId="2F346916"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18</w:t>
            </w:r>
          </w:p>
        </w:tc>
      </w:tr>
      <w:tr w:rsidR="00F6291B" w:rsidRPr="00A30A72" w14:paraId="04D5F137" w14:textId="77777777" w:rsidTr="00FD2BD4">
        <w:trPr>
          <w:trHeight w:val="300"/>
          <w:jc w:val="center"/>
        </w:trPr>
        <w:tc>
          <w:tcPr>
            <w:tcW w:w="838" w:type="dxa"/>
            <w:tcBorders>
              <w:top w:val="nil"/>
              <w:left w:val="nil"/>
              <w:bottom w:val="nil"/>
              <w:right w:val="nil"/>
            </w:tcBorders>
            <w:shd w:val="clear" w:color="auto" w:fill="auto"/>
            <w:vAlign w:val="center"/>
            <w:hideMark/>
          </w:tcPr>
          <w:p w14:paraId="6A5F6B26" w14:textId="77777777" w:rsidR="00F6291B" w:rsidRPr="00A30A72" w:rsidRDefault="00F6291B" w:rsidP="00FE11BE">
            <w:pPr>
              <w:rPr>
                <w:color w:val="FF0000"/>
                <w:sz w:val="20"/>
                <w:szCs w:val="20"/>
              </w:rPr>
            </w:pPr>
            <w:r w:rsidRPr="00A30A72">
              <w:rPr>
                <w:color w:val="000000"/>
                <w:sz w:val="20"/>
                <w:szCs w:val="20"/>
              </w:rPr>
              <w:t>Item35</w:t>
            </w:r>
          </w:p>
        </w:tc>
        <w:tc>
          <w:tcPr>
            <w:tcW w:w="1144" w:type="dxa"/>
            <w:tcBorders>
              <w:top w:val="nil"/>
              <w:left w:val="nil"/>
              <w:bottom w:val="nil"/>
              <w:right w:val="nil"/>
            </w:tcBorders>
            <w:shd w:val="clear" w:color="auto" w:fill="auto"/>
            <w:vAlign w:val="center"/>
            <w:hideMark/>
          </w:tcPr>
          <w:p w14:paraId="699E8265"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43</w:t>
            </w:r>
          </w:p>
        </w:tc>
        <w:tc>
          <w:tcPr>
            <w:tcW w:w="1263" w:type="dxa"/>
            <w:tcBorders>
              <w:top w:val="nil"/>
              <w:left w:val="nil"/>
              <w:bottom w:val="nil"/>
              <w:right w:val="nil"/>
            </w:tcBorders>
            <w:shd w:val="clear" w:color="auto" w:fill="auto"/>
            <w:vAlign w:val="center"/>
            <w:hideMark/>
          </w:tcPr>
          <w:p w14:paraId="00FD449F"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15</w:t>
            </w:r>
          </w:p>
        </w:tc>
        <w:tc>
          <w:tcPr>
            <w:tcW w:w="440" w:type="dxa"/>
            <w:tcBorders>
              <w:top w:val="nil"/>
              <w:left w:val="nil"/>
              <w:bottom w:val="nil"/>
              <w:right w:val="nil"/>
            </w:tcBorders>
            <w:shd w:val="clear" w:color="auto" w:fill="auto"/>
            <w:vAlign w:val="center"/>
            <w:hideMark/>
          </w:tcPr>
          <w:p w14:paraId="0F3E38C5"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61148919"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65</w:t>
            </w:r>
          </w:p>
        </w:tc>
        <w:tc>
          <w:tcPr>
            <w:tcW w:w="1291" w:type="dxa"/>
            <w:tcBorders>
              <w:top w:val="nil"/>
              <w:left w:val="nil"/>
              <w:bottom w:val="nil"/>
              <w:right w:val="nil"/>
            </w:tcBorders>
            <w:shd w:val="clear" w:color="auto" w:fill="auto"/>
            <w:vAlign w:val="bottom"/>
            <w:hideMark/>
          </w:tcPr>
          <w:p w14:paraId="6BDC7DE0"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43</w:t>
            </w:r>
          </w:p>
        </w:tc>
      </w:tr>
      <w:tr w:rsidR="00F6291B" w:rsidRPr="00A30A72" w14:paraId="15565857" w14:textId="77777777" w:rsidTr="00FD2BD4">
        <w:trPr>
          <w:trHeight w:val="300"/>
          <w:jc w:val="center"/>
        </w:trPr>
        <w:tc>
          <w:tcPr>
            <w:tcW w:w="838" w:type="dxa"/>
            <w:tcBorders>
              <w:top w:val="nil"/>
              <w:left w:val="nil"/>
              <w:bottom w:val="nil"/>
              <w:right w:val="nil"/>
            </w:tcBorders>
            <w:shd w:val="clear" w:color="auto" w:fill="auto"/>
            <w:vAlign w:val="center"/>
            <w:hideMark/>
          </w:tcPr>
          <w:p w14:paraId="1E9381C1" w14:textId="77777777" w:rsidR="00F6291B" w:rsidRPr="00A30A72" w:rsidRDefault="00F6291B" w:rsidP="00FE11BE">
            <w:pPr>
              <w:rPr>
                <w:color w:val="FF0000"/>
                <w:sz w:val="20"/>
                <w:szCs w:val="20"/>
              </w:rPr>
            </w:pPr>
            <w:r w:rsidRPr="00A30A72">
              <w:rPr>
                <w:color w:val="000000"/>
                <w:sz w:val="20"/>
                <w:szCs w:val="20"/>
              </w:rPr>
              <w:t>Item44</w:t>
            </w:r>
          </w:p>
        </w:tc>
        <w:tc>
          <w:tcPr>
            <w:tcW w:w="1144" w:type="dxa"/>
            <w:tcBorders>
              <w:top w:val="nil"/>
              <w:left w:val="nil"/>
              <w:bottom w:val="nil"/>
              <w:right w:val="nil"/>
            </w:tcBorders>
            <w:shd w:val="clear" w:color="auto" w:fill="auto"/>
            <w:vAlign w:val="center"/>
            <w:hideMark/>
          </w:tcPr>
          <w:p w14:paraId="1BE59A7D"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14</w:t>
            </w:r>
          </w:p>
        </w:tc>
        <w:tc>
          <w:tcPr>
            <w:tcW w:w="1263" w:type="dxa"/>
            <w:tcBorders>
              <w:top w:val="nil"/>
              <w:left w:val="nil"/>
              <w:bottom w:val="nil"/>
              <w:right w:val="nil"/>
            </w:tcBorders>
            <w:shd w:val="clear" w:color="auto" w:fill="auto"/>
            <w:vAlign w:val="center"/>
            <w:hideMark/>
          </w:tcPr>
          <w:p w14:paraId="52646AED"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13</w:t>
            </w:r>
          </w:p>
        </w:tc>
        <w:tc>
          <w:tcPr>
            <w:tcW w:w="440" w:type="dxa"/>
            <w:tcBorders>
              <w:top w:val="nil"/>
              <w:left w:val="nil"/>
              <w:bottom w:val="nil"/>
              <w:right w:val="nil"/>
            </w:tcBorders>
            <w:shd w:val="clear" w:color="auto" w:fill="auto"/>
            <w:vAlign w:val="center"/>
            <w:hideMark/>
          </w:tcPr>
          <w:p w14:paraId="7166E4CE"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1364A375"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57</w:t>
            </w:r>
          </w:p>
        </w:tc>
        <w:tc>
          <w:tcPr>
            <w:tcW w:w="1291" w:type="dxa"/>
            <w:tcBorders>
              <w:top w:val="nil"/>
              <w:left w:val="nil"/>
              <w:bottom w:val="nil"/>
              <w:right w:val="nil"/>
            </w:tcBorders>
            <w:shd w:val="clear" w:color="auto" w:fill="auto"/>
            <w:vAlign w:val="bottom"/>
            <w:hideMark/>
          </w:tcPr>
          <w:p w14:paraId="16DF7348"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32</w:t>
            </w:r>
          </w:p>
        </w:tc>
      </w:tr>
      <w:tr w:rsidR="00F6291B" w:rsidRPr="00A30A72" w14:paraId="1C98C3AD" w14:textId="77777777" w:rsidTr="00FD2BD4">
        <w:trPr>
          <w:trHeight w:val="300"/>
          <w:jc w:val="center"/>
        </w:trPr>
        <w:tc>
          <w:tcPr>
            <w:tcW w:w="838" w:type="dxa"/>
            <w:tcBorders>
              <w:top w:val="nil"/>
              <w:left w:val="nil"/>
              <w:bottom w:val="nil"/>
              <w:right w:val="nil"/>
            </w:tcBorders>
            <w:shd w:val="clear" w:color="auto" w:fill="auto"/>
            <w:vAlign w:val="center"/>
            <w:hideMark/>
          </w:tcPr>
          <w:p w14:paraId="2C87CA83" w14:textId="77777777" w:rsidR="00F6291B" w:rsidRPr="00A30A72" w:rsidRDefault="00F6291B" w:rsidP="00FE11BE">
            <w:pPr>
              <w:rPr>
                <w:color w:val="FF0000"/>
                <w:sz w:val="20"/>
                <w:szCs w:val="20"/>
              </w:rPr>
            </w:pPr>
            <w:r w:rsidRPr="00A30A72">
              <w:rPr>
                <w:color w:val="000000"/>
                <w:sz w:val="20"/>
                <w:szCs w:val="20"/>
              </w:rPr>
              <w:t>Item22</w:t>
            </w:r>
          </w:p>
        </w:tc>
        <w:tc>
          <w:tcPr>
            <w:tcW w:w="1144" w:type="dxa"/>
            <w:tcBorders>
              <w:top w:val="nil"/>
              <w:left w:val="nil"/>
              <w:bottom w:val="nil"/>
              <w:right w:val="nil"/>
            </w:tcBorders>
            <w:shd w:val="clear" w:color="auto" w:fill="auto"/>
            <w:vAlign w:val="center"/>
            <w:hideMark/>
          </w:tcPr>
          <w:p w14:paraId="7070D350"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37</w:t>
            </w:r>
          </w:p>
        </w:tc>
        <w:tc>
          <w:tcPr>
            <w:tcW w:w="1263" w:type="dxa"/>
            <w:tcBorders>
              <w:top w:val="nil"/>
              <w:left w:val="nil"/>
              <w:bottom w:val="nil"/>
              <w:right w:val="nil"/>
            </w:tcBorders>
            <w:shd w:val="clear" w:color="auto" w:fill="auto"/>
            <w:vAlign w:val="center"/>
            <w:hideMark/>
          </w:tcPr>
          <w:p w14:paraId="33678818"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14</w:t>
            </w:r>
          </w:p>
        </w:tc>
        <w:tc>
          <w:tcPr>
            <w:tcW w:w="440" w:type="dxa"/>
            <w:tcBorders>
              <w:top w:val="nil"/>
              <w:left w:val="nil"/>
              <w:bottom w:val="nil"/>
              <w:right w:val="nil"/>
            </w:tcBorders>
            <w:shd w:val="clear" w:color="auto" w:fill="auto"/>
            <w:vAlign w:val="center"/>
            <w:hideMark/>
          </w:tcPr>
          <w:p w14:paraId="25DCC714"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21CE133F"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63</w:t>
            </w:r>
          </w:p>
        </w:tc>
        <w:tc>
          <w:tcPr>
            <w:tcW w:w="1291" w:type="dxa"/>
            <w:tcBorders>
              <w:top w:val="nil"/>
              <w:left w:val="nil"/>
              <w:bottom w:val="nil"/>
              <w:right w:val="nil"/>
            </w:tcBorders>
            <w:shd w:val="clear" w:color="auto" w:fill="auto"/>
            <w:vAlign w:val="bottom"/>
            <w:hideMark/>
          </w:tcPr>
          <w:p w14:paraId="79C52E93"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40</w:t>
            </w:r>
          </w:p>
        </w:tc>
      </w:tr>
      <w:tr w:rsidR="00F6291B" w:rsidRPr="00A30A72" w14:paraId="38BC9718" w14:textId="77777777" w:rsidTr="00FD2BD4">
        <w:trPr>
          <w:trHeight w:val="300"/>
          <w:jc w:val="center"/>
        </w:trPr>
        <w:tc>
          <w:tcPr>
            <w:tcW w:w="838" w:type="dxa"/>
            <w:tcBorders>
              <w:top w:val="nil"/>
              <w:left w:val="nil"/>
              <w:bottom w:val="nil"/>
              <w:right w:val="nil"/>
            </w:tcBorders>
            <w:shd w:val="clear" w:color="auto" w:fill="auto"/>
            <w:vAlign w:val="center"/>
            <w:hideMark/>
          </w:tcPr>
          <w:p w14:paraId="2B978A82" w14:textId="77777777" w:rsidR="00F6291B" w:rsidRPr="00A30A72" w:rsidRDefault="00F6291B" w:rsidP="00FE11BE">
            <w:pPr>
              <w:rPr>
                <w:color w:val="FF0000"/>
                <w:sz w:val="20"/>
                <w:szCs w:val="20"/>
              </w:rPr>
            </w:pPr>
            <w:r w:rsidRPr="00A30A72">
              <w:rPr>
                <w:color w:val="000000"/>
                <w:sz w:val="20"/>
                <w:szCs w:val="20"/>
              </w:rPr>
              <w:t>Item26</w:t>
            </w:r>
          </w:p>
        </w:tc>
        <w:tc>
          <w:tcPr>
            <w:tcW w:w="1144" w:type="dxa"/>
            <w:tcBorders>
              <w:top w:val="nil"/>
              <w:left w:val="nil"/>
              <w:bottom w:val="nil"/>
              <w:right w:val="nil"/>
            </w:tcBorders>
            <w:shd w:val="clear" w:color="auto" w:fill="auto"/>
            <w:vAlign w:val="center"/>
            <w:hideMark/>
          </w:tcPr>
          <w:p w14:paraId="6FA95BB7"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09</w:t>
            </w:r>
          </w:p>
        </w:tc>
        <w:tc>
          <w:tcPr>
            <w:tcW w:w="1263" w:type="dxa"/>
            <w:tcBorders>
              <w:top w:val="nil"/>
              <w:left w:val="nil"/>
              <w:bottom w:val="nil"/>
              <w:right w:val="nil"/>
            </w:tcBorders>
            <w:shd w:val="clear" w:color="auto" w:fill="auto"/>
            <w:vAlign w:val="center"/>
            <w:hideMark/>
          </w:tcPr>
          <w:p w14:paraId="4F30680D"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12</w:t>
            </w:r>
          </w:p>
        </w:tc>
        <w:tc>
          <w:tcPr>
            <w:tcW w:w="440" w:type="dxa"/>
            <w:tcBorders>
              <w:top w:val="nil"/>
              <w:left w:val="nil"/>
              <w:bottom w:val="nil"/>
              <w:right w:val="nil"/>
            </w:tcBorders>
            <w:shd w:val="clear" w:color="auto" w:fill="auto"/>
            <w:vAlign w:val="center"/>
            <w:hideMark/>
          </w:tcPr>
          <w:p w14:paraId="0F149C35"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24B95CCC"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54</w:t>
            </w:r>
          </w:p>
        </w:tc>
        <w:tc>
          <w:tcPr>
            <w:tcW w:w="1291" w:type="dxa"/>
            <w:tcBorders>
              <w:top w:val="nil"/>
              <w:left w:val="nil"/>
              <w:bottom w:val="nil"/>
              <w:right w:val="nil"/>
            </w:tcBorders>
            <w:shd w:val="clear" w:color="auto" w:fill="auto"/>
            <w:vAlign w:val="bottom"/>
            <w:hideMark/>
          </w:tcPr>
          <w:p w14:paraId="7629B2C8"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29</w:t>
            </w:r>
          </w:p>
        </w:tc>
      </w:tr>
      <w:tr w:rsidR="00F6291B" w:rsidRPr="00A30A72" w14:paraId="4F37E0D5" w14:textId="77777777" w:rsidTr="00FD2BD4">
        <w:trPr>
          <w:trHeight w:val="300"/>
          <w:jc w:val="center"/>
        </w:trPr>
        <w:tc>
          <w:tcPr>
            <w:tcW w:w="838" w:type="dxa"/>
            <w:tcBorders>
              <w:top w:val="nil"/>
              <w:left w:val="nil"/>
              <w:bottom w:val="nil"/>
              <w:right w:val="nil"/>
            </w:tcBorders>
            <w:shd w:val="clear" w:color="auto" w:fill="auto"/>
            <w:vAlign w:val="center"/>
            <w:hideMark/>
          </w:tcPr>
          <w:p w14:paraId="35FD580C" w14:textId="77777777" w:rsidR="00F6291B" w:rsidRPr="00A30A72" w:rsidRDefault="00F6291B" w:rsidP="00FE11BE">
            <w:pPr>
              <w:rPr>
                <w:color w:val="FF0000"/>
                <w:sz w:val="20"/>
                <w:szCs w:val="20"/>
              </w:rPr>
            </w:pPr>
            <w:r w:rsidRPr="00A30A72">
              <w:rPr>
                <w:color w:val="000000"/>
                <w:sz w:val="20"/>
                <w:szCs w:val="20"/>
              </w:rPr>
              <w:t>Item25</w:t>
            </w:r>
          </w:p>
        </w:tc>
        <w:tc>
          <w:tcPr>
            <w:tcW w:w="1144" w:type="dxa"/>
            <w:tcBorders>
              <w:top w:val="nil"/>
              <w:left w:val="nil"/>
              <w:bottom w:val="nil"/>
              <w:right w:val="nil"/>
            </w:tcBorders>
            <w:shd w:val="clear" w:color="auto" w:fill="auto"/>
            <w:vAlign w:val="center"/>
            <w:hideMark/>
          </w:tcPr>
          <w:p w14:paraId="5327A684"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02</w:t>
            </w:r>
          </w:p>
        </w:tc>
        <w:tc>
          <w:tcPr>
            <w:tcW w:w="1263" w:type="dxa"/>
            <w:tcBorders>
              <w:top w:val="nil"/>
              <w:left w:val="nil"/>
              <w:bottom w:val="nil"/>
              <w:right w:val="nil"/>
            </w:tcBorders>
            <w:shd w:val="clear" w:color="auto" w:fill="auto"/>
            <w:vAlign w:val="center"/>
            <w:hideMark/>
          </w:tcPr>
          <w:p w14:paraId="332BEDD8"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12</w:t>
            </w:r>
          </w:p>
        </w:tc>
        <w:tc>
          <w:tcPr>
            <w:tcW w:w="440" w:type="dxa"/>
            <w:tcBorders>
              <w:top w:val="nil"/>
              <w:left w:val="nil"/>
              <w:bottom w:val="nil"/>
              <w:right w:val="nil"/>
            </w:tcBorders>
            <w:shd w:val="clear" w:color="auto" w:fill="auto"/>
            <w:vAlign w:val="center"/>
            <w:hideMark/>
          </w:tcPr>
          <w:p w14:paraId="375053C8"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1FAAF11B"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49</w:t>
            </w:r>
          </w:p>
        </w:tc>
        <w:tc>
          <w:tcPr>
            <w:tcW w:w="1291" w:type="dxa"/>
            <w:tcBorders>
              <w:top w:val="nil"/>
              <w:left w:val="nil"/>
              <w:bottom w:val="nil"/>
              <w:right w:val="nil"/>
            </w:tcBorders>
            <w:shd w:val="clear" w:color="auto" w:fill="auto"/>
            <w:vAlign w:val="bottom"/>
            <w:hideMark/>
          </w:tcPr>
          <w:p w14:paraId="7BF05D4A"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24</w:t>
            </w:r>
          </w:p>
        </w:tc>
      </w:tr>
      <w:tr w:rsidR="00F6291B" w:rsidRPr="00A30A72" w14:paraId="125DDA99" w14:textId="77777777" w:rsidTr="00FD2BD4">
        <w:trPr>
          <w:trHeight w:val="300"/>
          <w:jc w:val="center"/>
        </w:trPr>
        <w:tc>
          <w:tcPr>
            <w:tcW w:w="838" w:type="dxa"/>
            <w:tcBorders>
              <w:top w:val="nil"/>
              <w:left w:val="nil"/>
              <w:bottom w:val="nil"/>
              <w:right w:val="nil"/>
            </w:tcBorders>
            <w:shd w:val="clear" w:color="auto" w:fill="auto"/>
            <w:vAlign w:val="center"/>
            <w:hideMark/>
          </w:tcPr>
          <w:p w14:paraId="2DB93C72" w14:textId="77777777" w:rsidR="00F6291B" w:rsidRPr="00A30A72" w:rsidRDefault="00F6291B" w:rsidP="00FE11BE">
            <w:pPr>
              <w:rPr>
                <w:color w:val="FF0000"/>
                <w:sz w:val="20"/>
                <w:szCs w:val="20"/>
              </w:rPr>
            </w:pPr>
            <w:r w:rsidRPr="00A30A72">
              <w:rPr>
                <w:color w:val="000000"/>
                <w:sz w:val="20"/>
                <w:szCs w:val="20"/>
              </w:rPr>
              <w:t>Item42</w:t>
            </w:r>
          </w:p>
        </w:tc>
        <w:tc>
          <w:tcPr>
            <w:tcW w:w="1144" w:type="dxa"/>
            <w:tcBorders>
              <w:top w:val="nil"/>
              <w:left w:val="nil"/>
              <w:bottom w:val="nil"/>
              <w:right w:val="nil"/>
            </w:tcBorders>
            <w:shd w:val="clear" w:color="auto" w:fill="auto"/>
            <w:vAlign w:val="center"/>
            <w:hideMark/>
          </w:tcPr>
          <w:p w14:paraId="3650BEED"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16</w:t>
            </w:r>
          </w:p>
        </w:tc>
        <w:tc>
          <w:tcPr>
            <w:tcW w:w="1263" w:type="dxa"/>
            <w:tcBorders>
              <w:top w:val="nil"/>
              <w:left w:val="nil"/>
              <w:bottom w:val="nil"/>
              <w:right w:val="nil"/>
            </w:tcBorders>
            <w:shd w:val="clear" w:color="auto" w:fill="auto"/>
            <w:vAlign w:val="center"/>
            <w:hideMark/>
          </w:tcPr>
          <w:p w14:paraId="52B957F3"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13</w:t>
            </w:r>
          </w:p>
        </w:tc>
        <w:tc>
          <w:tcPr>
            <w:tcW w:w="440" w:type="dxa"/>
            <w:tcBorders>
              <w:top w:val="nil"/>
              <w:left w:val="nil"/>
              <w:bottom w:val="nil"/>
              <w:right w:val="nil"/>
            </w:tcBorders>
            <w:shd w:val="clear" w:color="auto" w:fill="auto"/>
            <w:vAlign w:val="center"/>
            <w:hideMark/>
          </w:tcPr>
          <w:p w14:paraId="2B6FD48E"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7C3A05CD"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55</w:t>
            </w:r>
          </w:p>
        </w:tc>
        <w:tc>
          <w:tcPr>
            <w:tcW w:w="1291" w:type="dxa"/>
            <w:tcBorders>
              <w:top w:val="nil"/>
              <w:left w:val="nil"/>
              <w:bottom w:val="nil"/>
              <w:right w:val="nil"/>
            </w:tcBorders>
            <w:shd w:val="clear" w:color="auto" w:fill="auto"/>
            <w:vAlign w:val="bottom"/>
            <w:hideMark/>
          </w:tcPr>
          <w:p w14:paraId="58FD8ED8"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30</w:t>
            </w:r>
          </w:p>
        </w:tc>
      </w:tr>
      <w:tr w:rsidR="00F6291B" w:rsidRPr="00A30A72" w14:paraId="32DD0218" w14:textId="77777777" w:rsidTr="00FD2BD4">
        <w:trPr>
          <w:trHeight w:val="300"/>
          <w:jc w:val="center"/>
        </w:trPr>
        <w:tc>
          <w:tcPr>
            <w:tcW w:w="838" w:type="dxa"/>
            <w:tcBorders>
              <w:top w:val="nil"/>
              <w:left w:val="nil"/>
              <w:bottom w:val="nil"/>
              <w:right w:val="nil"/>
            </w:tcBorders>
            <w:shd w:val="clear" w:color="auto" w:fill="auto"/>
            <w:vAlign w:val="center"/>
            <w:hideMark/>
          </w:tcPr>
          <w:p w14:paraId="3597E92A" w14:textId="77777777" w:rsidR="00F6291B" w:rsidRPr="00A30A72" w:rsidRDefault="00F6291B" w:rsidP="00FE11BE">
            <w:pPr>
              <w:rPr>
                <w:color w:val="FF0000"/>
                <w:sz w:val="20"/>
                <w:szCs w:val="20"/>
              </w:rPr>
            </w:pPr>
            <w:r w:rsidRPr="00A30A72">
              <w:rPr>
                <w:color w:val="000000"/>
                <w:sz w:val="20"/>
                <w:szCs w:val="20"/>
              </w:rPr>
              <w:t>Item30</w:t>
            </w:r>
          </w:p>
        </w:tc>
        <w:tc>
          <w:tcPr>
            <w:tcW w:w="1144" w:type="dxa"/>
            <w:tcBorders>
              <w:top w:val="nil"/>
              <w:left w:val="nil"/>
              <w:bottom w:val="nil"/>
              <w:right w:val="nil"/>
            </w:tcBorders>
            <w:shd w:val="clear" w:color="auto" w:fill="auto"/>
            <w:vAlign w:val="center"/>
            <w:hideMark/>
          </w:tcPr>
          <w:p w14:paraId="1FD8B1F9"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18</w:t>
            </w:r>
          </w:p>
        </w:tc>
        <w:tc>
          <w:tcPr>
            <w:tcW w:w="1263" w:type="dxa"/>
            <w:tcBorders>
              <w:top w:val="nil"/>
              <w:left w:val="nil"/>
              <w:bottom w:val="nil"/>
              <w:right w:val="nil"/>
            </w:tcBorders>
            <w:shd w:val="clear" w:color="auto" w:fill="auto"/>
            <w:vAlign w:val="center"/>
            <w:hideMark/>
          </w:tcPr>
          <w:p w14:paraId="57305C65"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13</w:t>
            </w:r>
          </w:p>
        </w:tc>
        <w:tc>
          <w:tcPr>
            <w:tcW w:w="440" w:type="dxa"/>
            <w:tcBorders>
              <w:top w:val="nil"/>
              <w:left w:val="nil"/>
              <w:bottom w:val="nil"/>
              <w:right w:val="nil"/>
            </w:tcBorders>
            <w:shd w:val="clear" w:color="auto" w:fill="auto"/>
            <w:vAlign w:val="center"/>
            <w:hideMark/>
          </w:tcPr>
          <w:p w14:paraId="75557EB5"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6BEAD4CC"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57</w:t>
            </w:r>
          </w:p>
        </w:tc>
        <w:tc>
          <w:tcPr>
            <w:tcW w:w="1291" w:type="dxa"/>
            <w:tcBorders>
              <w:top w:val="nil"/>
              <w:left w:val="nil"/>
              <w:bottom w:val="nil"/>
              <w:right w:val="nil"/>
            </w:tcBorders>
            <w:shd w:val="clear" w:color="auto" w:fill="auto"/>
            <w:vAlign w:val="bottom"/>
            <w:hideMark/>
          </w:tcPr>
          <w:p w14:paraId="2AF27771"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32</w:t>
            </w:r>
          </w:p>
        </w:tc>
      </w:tr>
      <w:tr w:rsidR="00F6291B" w:rsidRPr="00A30A72" w14:paraId="26CCA4F5" w14:textId="77777777" w:rsidTr="00FD2BD4">
        <w:trPr>
          <w:trHeight w:val="300"/>
          <w:jc w:val="center"/>
        </w:trPr>
        <w:tc>
          <w:tcPr>
            <w:tcW w:w="838" w:type="dxa"/>
            <w:tcBorders>
              <w:top w:val="nil"/>
              <w:left w:val="nil"/>
              <w:bottom w:val="nil"/>
              <w:right w:val="nil"/>
            </w:tcBorders>
            <w:shd w:val="clear" w:color="auto" w:fill="auto"/>
            <w:vAlign w:val="center"/>
            <w:hideMark/>
          </w:tcPr>
          <w:p w14:paraId="63A6169A" w14:textId="77777777" w:rsidR="00F6291B" w:rsidRPr="00A30A72" w:rsidRDefault="00F6291B" w:rsidP="00FE11BE">
            <w:pPr>
              <w:rPr>
                <w:color w:val="FF0000"/>
                <w:sz w:val="20"/>
                <w:szCs w:val="20"/>
              </w:rPr>
            </w:pPr>
            <w:r w:rsidRPr="00A30A72">
              <w:rPr>
                <w:color w:val="000000"/>
                <w:sz w:val="20"/>
                <w:szCs w:val="20"/>
              </w:rPr>
              <w:t>Item43</w:t>
            </w:r>
          </w:p>
        </w:tc>
        <w:tc>
          <w:tcPr>
            <w:tcW w:w="1144" w:type="dxa"/>
            <w:tcBorders>
              <w:top w:val="nil"/>
              <w:left w:val="nil"/>
              <w:bottom w:val="nil"/>
              <w:right w:val="nil"/>
            </w:tcBorders>
            <w:shd w:val="clear" w:color="auto" w:fill="auto"/>
            <w:vAlign w:val="center"/>
            <w:hideMark/>
          </w:tcPr>
          <w:p w14:paraId="75BE0183"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57</w:t>
            </w:r>
          </w:p>
        </w:tc>
        <w:tc>
          <w:tcPr>
            <w:tcW w:w="1263" w:type="dxa"/>
            <w:tcBorders>
              <w:top w:val="nil"/>
              <w:left w:val="nil"/>
              <w:bottom w:val="nil"/>
              <w:right w:val="nil"/>
            </w:tcBorders>
            <w:shd w:val="clear" w:color="auto" w:fill="auto"/>
            <w:vAlign w:val="center"/>
            <w:hideMark/>
          </w:tcPr>
          <w:p w14:paraId="154CEA31"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15</w:t>
            </w:r>
          </w:p>
        </w:tc>
        <w:tc>
          <w:tcPr>
            <w:tcW w:w="440" w:type="dxa"/>
            <w:tcBorders>
              <w:top w:val="nil"/>
              <w:left w:val="nil"/>
              <w:bottom w:val="nil"/>
              <w:right w:val="nil"/>
            </w:tcBorders>
            <w:shd w:val="clear" w:color="auto" w:fill="auto"/>
            <w:vAlign w:val="center"/>
            <w:hideMark/>
          </w:tcPr>
          <w:p w14:paraId="42C106FC"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0235B955"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75</w:t>
            </w:r>
          </w:p>
        </w:tc>
        <w:tc>
          <w:tcPr>
            <w:tcW w:w="1291" w:type="dxa"/>
            <w:tcBorders>
              <w:top w:val="nil"/>
              <w:left w:val="nil"/>
              <w:bottom w:val="nil"/>
              <w:right w:val="nil"/>
            </w:tcBorders>
            <w:shd w:val="clear" w:color="auto" w:fill="auto"/>
            <w:vAlign w:val="bottom"/>
            <w:hideMark/>
          </w:tcPr>
          <w:p w14:paraId="6213A5CD"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56</w:t>
            </w:r>
          </w:p>
        </w:tc>
      </w:tr>
      <w:tr w:rsidR="00F6291B" w:rsidRPr="00A30A72" w14:paraId="5D9D5CEF" w14:textId="77777777" w:rsidTr="00FD2BD4">
        <w:trPr>
          <w:trHeight w:val="300"/>
          <w:jc w:val="center"/>
        </w:trPr>
        <w:tc>
          <w:tcPr>
            <w:tcW w:w="838" w:type="dxa"/>
            <w:tcBorders>
              <w:top w:val="nil"/>
              <w:left w:val="nil"/>
              <w:bottom w:val="nil"/>
              <w:right w:val="nil"/>
            </w:tcBorders>
            <w:shd w:val="clear" w:color="auto" w:fill="auto"/>
            <w:vAlign w:val="center"/>
            <w:hideMark/>
          </w:tcPr>
          <w:p w14:paraId="13E122AC" w14:textId="77777777" w:rsidR="00F6291B" w:rsidRPr="00A30A72" w:rsidRDefault="00F6291B" w:rsidP="00FE11BE">
            <w:pPr>
              <w:rPr>
                <w:color w:val="FF0000"/>
                <w:sz w:val="20"/>
                <w:szCs w:val="20"/>
              </w:rPr>
            </w:pPr>
            <w:r w:rsidRPr="00A30A72">
              <w:rPr>
                <w:color w:val="000000"/>
                <w:sz w:val="20"/>
                <w:szCs w:val="20"/>
              </w:rPr>
              <w:t>Item37</w:t>
            </w:r>
          </w:p>
        </w:tc>
        <w:tc>
          <w:tcPr>
            <w:tcW w:w="1144" w:type="dxa"/>
            <w:tcBorders>
              <w:top w:val="nil"/>
              <w:left w:val="nil"/>
              <w:bottom w:val="nil"/>
              <w:right w:val="nil"/>
            </w:tcBorders>
            <w:shd w:val="clear" w:color="auto" w:fill="auto"/>
            <w:vAlign w:val="center"/>
            <w:hideMark/>
          </w:tcPr>
          <w:p w14:paraId="3EFBE7E4"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35</w:t>
            </w:r>
          </w:p>
        </w:tc>
        <w:tc>
          <w:tcPr>
            <w:tcW w:w="1263" w:type="dxa"/>
            <w:tcBorders>
              <w:top w:val="nil"/>
              <w:left w:val="nil"/>
              <w:bottom w:val="nil"/>
              <w:right w:val="nil"/>
            </w:tcBorders>
            <w:shd w:val="clear" w:color="auto" w:fill="auto"/>
            <w:vAlign w:val="center"/>
            <w:hideMark/>
          </w:tcPr>
          <w:p w14:paraId="60FBF3A3"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14</w:t>
            </w:r>
          </w:p>
        </w:tc>
        <w:tc>
          <w:tcPr>
            <w:tcW w:w="440" w:type="dxa"/>
            <w:tcBorders>
              <w:top w:val="nil"/>
              <w:left w:val="nil"/>
              <w:bottom w:val="nil"/>
              <w:right w:val="nil"/>
            </w:tcBorders>
            <w:shd w:val="clear" w:color="auto" w:fill="auto"/>
            <w:vAlign w:val="center"/>
            <w:hideMark/>
          </w:tcPr>
          <w:p w14:paraId="3CBE9DF0"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77BDE556"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62</w:t>
            </w:r>
          </w:p>
        </w:tc>
        <w:tc>
          <w:tcPr>
            <w:tcW w:w="1291" w:type="dxa"/>
            <w:tcBorders>
              <w:top w:val="nil"/>
              <w:left w:val="nil"/>
              <w:bottom w:val="nil"/>
              <w:right w:val="nil"/>
            </w:tcBorders>
            <w:shd w:val="clear" w:color="auto" w:fill="auto"/>
            <w:vAlign w:val="bottom"/>
            <w:hideMark/>
          </w:tcPr>
          <w:p w14:paraId="4B141CB0"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38</w:t>
            </w:r>
          </w:p>
        </w:tc>
      </w:tr>
      <w:tr w:rsidR="00F6291B" w:rsidRPr="00A30A72" w14:paraId="4A29122C" w14:textId="77777777" w:rsidTr="00FD2BD4">
        <w:trPr>
          <w:trHeight w:val="300"/>
          <w:jc w:val="center"/>
        </w:trPr>
        <w:tc>
          <w:tcPr>
            <w:tcW w:w="838" w:type="dxa"/>
            <w:tcBorders>
              <w:top w:val="nil"/>
              <w:left w:val="nil"/>
              <w:bottom w:val="nil"/>
              <w:right w:val="nil"/>
            </w:tcBorders>
            <w:shd w:val="clear" w:color="auto" w:fill="auto"/>
            <w:vAlign w:val="center"/>
            <w:hideMark/>
          </w:tcPr>
          <w:p w14:paraId="79032439" w14:textId="77777777" w:rsidR="00F6291B" w:rsidRPr="00A30A72" w:rsidRDefault="00F6291B" w:rsidP="00FE11BE">
            <w:pPr>
              <w:rPr>
                <w:color w:val="FF0000"/>
                <w:sz w:val="20"/>
                <w:szCs w:val="20"/>
              </w:rPr>
            </w:pPr>
            <w:r w:rsidRPr="00A30A72">
              <w:rPr>
                <w:color w:val="000000"/>
                <w:sz w:val="20"/>
                <w:szCs w:val="20"/>
              </w:rPr>
              <w:t>Item41</w:t>
            </w:r>
          </w:p>
        </w:tc>
        <w:tc>
          <w:tcPr>
            <w:tcW w:w="1144" w:type="dxa"/>
            <w:tcBorders>
              <w:top w:val="nil"/>
              <w:left w:val="nil"/>
              <w:bottom w:val="nil"/>
              <w:right w:val="nil"/>
            </w:tcBorders>
            <w:shd w:val="clear" w:color="auto" w:fill="auto"/>
            <w:vAlign w:val="center"/>
            <w:hideMark/>
          </w:tcPr>
          <w:p w14:paraId="08919206" w14:textId="77777777" w:rsidR="00F6291B" w:rsidRPr="00A30A72" w:rsidRDefault="00F6291B" w:rsidP="00FE11BE">
            <w:pPr>
              <w:jc w:val="center"/>
              <w:rPr>
                <w:color w:val="FF0000"/>
                <w:sz w:val="20"/>
                <w:szCs w:val="20"/>
                <w:u w:val="single"/>
              </w:rPr>
            </w:pPr>
            <w:r w:rsidRPr="00A30A72">
              <w:rPr>
                <w:color w:val="000000"/>
                <w:sz w:val="20"/>
                <w:szCs w:val="20"/>
              </w:rPr>
              <w:t>1</w:t>
            </w:r>
            <w:r w:rsidR="00FF462B" w:rsidRPr="00A30A72">
              <w:rPr>
                <w:color w:val="000000"/>
                <w:sz w:val="20"/>
                <w:szCs w:val="20"/>
              </w:rPr>
              <w:t>.</w:t>
            </w:r>
            <w:r w:rsidRPr="00A30A72">
              <w:rPr>
                <w:color w:val="000000"/>
                <w:sz w:val="20"/>
                <w:szCs w:val="20"/>
              </w:rPr>
              <w:t>38</w:t>
            </w:r>
          </w:p>
        </w:tc>
        <w:tc>
          <w:tcPr>
            <w:tcW w:w="1263" w:type="dxa"/>
            <w:tcBorders>
              <w:top w:val="nil"/>
              <w:left w:val="nil"/>
              <w:bottom w:val="nil"/>
              <w:right w:val="nil"/>
            </w:tcBorders>
            <w:shd w:val="clear" w:color="auto" w:fill="auto"/>
            <w:vAlign w:val="center"/>
            <w:hideMark/>
          </w:tcPr>
          <w:p w14:paraId="539BB8A2"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15</w:t>
            </w:r>
          </w:p>
        </w:tc>
        <w:tc>
          <w:tcPr>
            <w:tcW w:w="440" w:type="dxa"/>
            <w:tcBorders>
              <w:top w:val="nil"/>
              <w:left w:val="nil"/>
              <w:bottom w:val="nil"/>
              <w:right w:val="nil"/>
            </w:tcBorders>
            <w:shd w:val="clear" w:color="auto" w:fill="auto"/>
            <w:vAlign w:val="center"/>
            <w:hideMark/>
          </w:tcPr>
          <w:p w14:paraId="1807117F"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6236E52A"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59</w:t>
            </w:r>
          </w:p>
        </w:tc>
        <w:tc>
          <w:tcPr>
            <w:tcW w:w="1291" w:type="dxa"/>
            <w:tcBorders>
              <w:top w:val="nil"/>
              <w:left w:val="nil"/>
              <w:bottom w:val="nil"/>
              <w:right w:val="nil"/>
            </w:tcBorders>
            <w:shd w:val="clear" w:color="auto" w:fill="auto"/>
            <w:vAlign w:val="bottom"/>
            <w:hideMark/>
          </w:tcPr>
          <w:p w14:paraId="6F0266A7"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35</w:t>
            </w:r>
          </w:p>
        </w:tc>
      </w:tr>
      <w:tr w:rsidR="00F6291B" w:rsidRPr="00A30A72" w14:paraId="31D7EFD6" w14:textId="77777777" w:rsidTr="00FD2BD4">
        <w:trPr>
          <w:trHeight w:val="300"/>
          <w:jc w:val="center"/>
        </w:trPr>
        <w:tc>
          <w:tcPr>
            <w:tcW w:w="838" w:type="dxa"/>
            <w:tcBorders>
              <w:top w:val="nil"/>
              <w:left w:val="nil"/>
              <w:bottom w:val="nil"/>
              <w:right w:val="nil"/>
            </w:tcBorders>
            <w:shd w:val="clear" w:color="auto" w:fill="auto"/>
            <w:vAlign w:val="center"/>
            <w:hideMark/>
          </w:tcPr>
          <w:p w14:paraId="24AB056B" w14:textId="77777777" w:rsidR="00F6291B" w:rsidRPr="00A30A72" w:rsidRDefault="00F6291B" w:rsidP="00FE11BE">
            <w:pPr>
              <w:rPr>
                <w:color w:val="FF0000"/>
                <w:sz w:val="20"/>
                <w:szCs w:val="20"/>
              </w:rPr>
            </w:pPr>
            <w:r w:rsidRPr="00A30A72">
              <w:rPr>
                <w:color w:val="000000"/>
                <w:sz w:val="20"/>
                <w:szCs w:val="20"/>
              </w:rPr>
              <w:t>Item27</w:t>
            </w:r>
          </w:p>
        </w:tc>
        <w:tc>
          <w:tcPr>
            <w:tcW w:w="1144" w:type="dxa"/>
            <w:tcBorders>
              <w:top w:val="nil"/>
              <w:left w:val="nil"/>
              <w:bottom w:val="nil"/>
              <w:right w:val="nil"/>
            </w:tcBorders>
            <w:shd w:val="clear" w:color="auto" w:fill="auto"/>
            <w:vAlign w:val="center"/>
            <w:hideMark/>
          </w:tcPr>
          <w:p w14:paraId="4FFB8EC5"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00</w:t>
            </w:r>
          </w:p>
        </w:tc>
        <w:tc>
          <w:tcPr>
            <w:tcW w:w="1263" w:type="dxa"/>
            <w:tcBorders>
              <w:top w:val="nil"/>
              <w:left w:val="nil"/>
              <w:bottom w:val="nil"/>
              <w:right w:val="nil"/>
            </w:tcBorders>
            <w:shd w:val="clear" w:color="auto" w:fill="auto"/>
            <w:vAlign w:val="center"/>
            <w:hideMark/>
          </w:tcPr>
          <w:p w14:paraId="00A0FE8D" w14:textId="77777777" w:rsidR="00F6291B" w:rsidRPr="00A30A72" w:rsidRDefault="00F6291B" w:rsidP="00FE11BE">
            <w:pPr>
              <w:jc w:val="center"/>
              <w:rPr>
                <w:color w:val="FF0000"/>
                <w:sz w:val="20"/>
                <w:szCs w:val="20"/>
              </w:rPr>
            </w:pPr>
          </w:p>
        </w:tc>
        <w:tc>
          <w:tcPr>
            <w:tcW w:w="440" w:type="dxa"/>
            <w:tcBorders>
              <w:top w:val="nil"/>
              <w:left w:val="nil"/>
              <w:bottom w:val="nil"/>
              <w:right w:val="nil"/>
            </w:tcBorders>
            <w:shd w:val="clear" w:color="auto" w:fill="auto"/>
            <w:vAlign w:val="bottom"/>
            <w:hideMark/>
          </w:tcPr>
          <w:p w14:paraId="3B5218AD" w14:textId="77777777" w:rsidR="00F6291B" w:rsidRPr="00A30A72" w:rsidRDefault="00F6291B" w:rsidP="00FE11BE">
            <w:pPr>
              <w:jc w:val="center"/>
              <w:rPr>
                <w:color w:val="FF0000"/>
                <w:sz w:val="20"/>
                <w:szCs w:val="20"/>
              </w:rPr>
            </w:pPr>
          </w:p>
        </w:tc>
        <w:tc>
          <w:tcPr>
            <w:tcW w:w="1318" w:type="dxa"/>
            <w:tcBorders>
              <w:top w:val="nil"/>
              <w:left w:val="nil"/>
              <w:bottom w:val="nil"/>
              <w:right w:val="nil"/>
            </w:tcBorders>
            <w:shd w:val="clear" w:color="auto" w:fill="auto"/>
            <w:vAlign w:val="center"/>
            <w:hideMark/>
          </w:tcPr>
          <w:p w14:paraId="57897A31"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51</w:t>
            </w:r>
          </w:p>
        </w:tc>
        <w:tc>
          <w:tcPr>
            <w:tcW w:w="1291" w:type="dxa"/>
            <w:tcBorders>
              <w:top w:val="nil"/>
              <w:left w:val="nil"/>
              <w:bottom w:val="nil"/>
              <w:right w:val="nil"/>
            </w:tcBorders>
            <w:shd w:val="clear" w:color="auto" w:fill="auto"/>
            <w:vAlign w:val="bottom"/>
            <w:hideMark/>
          </w:tcPr>
          <w:p w14:paraId="50218AD5"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26</w:t>
            </w:r>
          </w:p>
        </w:tc>
      </w:tr>
      <w:tr w:rsidR="00F6291B" w:rsidRPr="00A30A72" w14:paraId="1B7C17AB" w14:textId="77777777" w:rsidTr="00FD2BD4">
        <w:trPr>
          <w:trHeight w:val="300"/>
          <w:jc w:val="center"/>
        </w:trPr>
        <w:tc>
          <w:tcPr>
            <w:tcW w:w="838" w:type="dxa"/>
            <w:tcBorders>
              <w:top w:val="nil"/>
              <w:left w:val="nil"/>
              <w:bottom w:val="nil"/>
              <w:right w:val="nil"/>
            </w:tcBorders>
            <w:shd w:val="clear" w:color="auto" w:fill="auto"/>
            <w:vAlign w:val="center"/>
            <w:hideMark/>
          </w:tcPr>
          <w:p w14:paraId="4418B225" w14:textId="77777777" w:rsidR="00F6291B" w:rsidRPr="00A30A72" w:rsidRDefault="00F6291B" w:rsidP="00FE11BE">
            <w:pPr>
              <w:rPr>
                <w:color w:val="FF0000"/>
                <w:sz w:val="20"/>
                <w:szCs w:val="20"/>
              </w:rPr>
            </w:pPr>
            <w:r w:rsidRPr="00A30A72">
              <w:rPr>
                <w:color w:val="000000"/>
                <w:sz w:val="20"/>
                <w:szCs w:val="20"/>
              </w:rPr>
              <w:t>Item38</w:t>
            </w:r>
          </w:p>
        </w:tc>
        <w:tc>
          <w:tcPr>
            <w:tcW w:w="1144" w:type="dxa"/>
            <w:tcBorders>
              <w:top w:val="nil"/>
              <w:left w:val="nil"/>
              <w:bottom w:val="nil"/>
              <w:right w:val="nil"/>
            </w:tcBorders>
            <w:shd w:val="clear" w:color="auto" w:fill="auto"/>
            <w:vAlign w:val="center"/>
            <w:hideMark/>
          </w:tcPr>
          <w:p w14:paraId="02770146"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51</w:t>
            </w:r>
          </w:p>
        </w:tc>
        <w:tc>
          <w:tcPr>
            <w:tcW w:w="1263" w:type="dxa"/>
            <w:tcBorders>
              <w:top w:val="nil"/>
              <w:left w:val="nil"/>
              <w:bottom w:val="nil"/>
              <w:right w:val="nil"/>
            </w:tcBorders>
            <w:shd w:val="clear" w:color="auto" w:fill="auto"/>
            <w:vAlign w:val="center"/>
            <w:hideMark/>
          </w:tcPr>
          <w:p w14:paraId="2A788703"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13</w:t>
            </w:r>
          </w:p>
        </w:tc>
        <w:tc>
          <w:tcPr>
            <w:tcW w:w="440" w:type="dxa"/>
            <w:tcBorders>
              <w:top w:val="nil"/>
              <w:left w:val="nil"/>
              <w:bottom w:val="nil"/>
              <w:right w:val="nil"/>
            </w:tcBorders>
            <w:shd w:val="clear" w:color="auto" w:fill="auto"/>
            <w:vAlign w:val="center"/>
            <w:hideMark/>
          </w:tcPr>
          <w:p w14:paraId="6CE05ADA"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760A4917"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75</w:t>
            </w:r>
          </w:p>
        </w:tc>
        <w:tc>
          <w:tcPr>
            <w:tcW w:w="1291" w:type="dxa"/>
            <w:tcBorders>
              <w:top w:val="nil"/>
              <w:left w:val="nil"/>
              <w:bottom w:val="nil"/>
              <w:right w:val="nil"/>
            </w:tcBorders>
            <w:shd w:val="clear" w:color="auto" w:fill="auto"/>
            <w:vAlign w:val="bottom"/>
            <w:hideMark/>
          </w:tcPr>
          <w:p w14:paraId="03A2E6C7"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56</w:t>
            </w:r>
          </w:p>
        </w:tc>
      </w:tr>
      <w:tr w:rsidR="00F6291B" w:rsidRPr="00A30A72" w14:paraId="3B743013" w14:textId="77777777" w:rsidTr="00FD2BD4">
        <w:trPr>
          <w:trHeight w:val="300"/>
          <w:jc w:val="center"/>
        </w:trPr>
        <w:tc>
          <w:tcPr>
            <w:tcW w:w="838" w:type="dxa"/>
            <w:tcBorders>
              <w:top w:val="nil"/>
              <w:left w:val="nil"/>
              <w:bottom w:val="nil"/>
              <w:right w:val="nil"/>
            </w:tcBorders>
            <w:shd w:val="clear" w:color="auto" w:fill="auto"/>
            <w:vAlign w:val="center"/>
            <w:hideMark/>
          </w:tcPr>
          <w:p w14:paraId="02A4B784" w14:textId="77777777" w:rsidR="00F6291B" w:rsidRPr="00A30A72" w:rsidRDefault="00F6291B" w:rsidP="00FE11BE">
            <w:pPr>
              <w:rPr>
                <w:color w:val="FF0000"/>
                <w:sz w:val="20"/>
                <w:szCs w:val="20"/>
              </w:rPr>
            </w:pPr>
            <w:r w:rsidRPr="00A30A72">
              <w:rPr>
                <w:color w:val="000000"/>
                <w:sz w:val="20"/>
                <w:szCs w:val="20"/>
              </w:rPr>
              <w:t>Item13</w:t>
            </w:r>
          </w:p>
        </w:tc>
        <w:tc>
          <w:tcPr>
            <w:tcW w:w="1144" w:type="dxa"/>
            <w:tcBorders>
              <w:top w:val="nil"/>
              <w:left w:val="nil"/>
              <w:bottom w:val="nil"/>
              <w:right w:val="nil"/>
            </w:tcBorders>
            <w:shd w:val="clear" w:color="auto" w:fill="auto"/>
            <w:vAlign w:val="center"/>
            <w:hideMark/>
          </w:tcPr>
          <w:p w14:paraId="042105DE"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11</w:t>
            </w:r>
          </w:p>
        </w:tc>
        <w:tc>
          <w:tcPr>
            <w:tcW w:w="1263" w:type="dxa"/>
            <w:tcBorders>
              <w:top w:val="nil"/>
              <w:left w:val="nil"/>
              <w:bottom w:val="nil"/>
              <w:right w:val="nil"/>
            </w:tcBorders>
            <w:shd w:val="clear" w:color="auto" w:fill="auto"/>
            <w:vAlign w:val="center"/>
            <w:hideMark/>
          </w:tcPr>
          <w:p w14:paraId="01EAD100"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11</w:t>
            </w:r>
          </w:p>
        </w:tc>
        <w:tc>
          <w:tcPr>
            <w:tcW w:w="440" w:type="dxa"/>
            <w:tcBorders>
              <w:top w:val="nil"/>
              <w:left w:val="nil"/>
              <w:bottom w:val="nil"/>
              <w:right w:val="nil"/>
            </w:tcBorders>
            <w:shd w:val="clear" w:color="auto" w:fill="auto"/>
            <w:vAlign w:val="center"/>
            <w:hideMark/>
          </w:tcPr>
          <w:p w14:paraId="28608BB7"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1ADCA1D6"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56</w:t>
            </w:r>
          </w:p>
        </w:tc>
        <w:tc>
          <w:tcPr>
            <w:tcW w:w="1291" w:type="dxa"/>
            <w:tcBorders>
              <w:top w:val="nil"/>
              <w:left w:val="nil"/>
              <w:bottom w:val="nil"/>
              <w:right w:val="nil"/>
            </w:tcBorders>
            <w:shd w:val="clear" w:color="auto" w:fill="auto"/>
            <w:vAlign w:val="bottom"/>
            <w:hideMark/>
          </w:tcPr>
          <w:p w14:paraId="1D3954BA"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31</w:t>
            </w:r>
          </w:p>
        </w:tc>
      </w:tr>
      <w:tr w:rsidR="00F6291B" w:rsidRPr="00A30A72" w14:paraId="74A73913" w14:textId="77777777" w:rsidTr="00FD2BD4">
        <w:trPr>
          <w:trHeight w:val="300"/>
          <w:jc w:val="center"/>
        </w:trPr>
        <w:tc>
          <w:tcPr>
            <w:tcW w:w="838" w:type="dxa"/>
            <w:tcBorders>
              <w:top w:val="nil"/>
              <w:left w:val="nil"/>
              <w:bottom w:val="nil"/>
              <w:right w:val="nil"/>
            </w:tcBorders>
            <w:shd w:val="clear" w:color="auto" w:fill="auto"/>
            <w:vAlign w:val="center"/>
            <w:hideMark/>
          </w:tcPr>
          <w:p w14:paraId="73650DD5" w14:textId="77777777" w:rsidR="00F6291B" w:rsidRPr="00A30A72" w:rsidRDefault="00F6291B" w:rsidP="00FE11BE">
            <w:pPr>
              <w:rPr>
                <w:color w:val="FF0000"/>
                <w:sz w:val="20"/>
                <w:szCs w:val="20"/>
              </w:rPr>
            </w:pPr>
            <w:r w:rsidRPr="00A30A72">
              <w:rPr>
                <w:color w:val="000000"/>
                <w:sz w:val="20"/>
                <w:szCs w:val="20"/>
              </w:rPr>
              <w:t>Item28</w:t>
            </w:r>
          </w:p>
        </w:tc>
        <w:tc>
          <w:tcPr>
            <w:tcW w:w="1144" w:type="dxa"/>
            <w:tcBorders>
              <w:top w:val="nil"/>
              <w:left w:val="nil"/>
              <w:bottom w:val="nil"/>
              <w:right w:val="nil"/>
            </w:tcBorders>
            <w:shd w:val="clear" w:color="auto" w:fill="auto"/>
            <w:vAlign w:val="center"/>
            <w:hideMark/>
          </w:tcPr>
          <w:p w14:paraId="06D0A8C8"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32</w:t>
            </w:r>
          </w:p>
        </w:tc>
        <w:tc>
          <w:tcPr>
            <w:tcW w:w="1263" w:type="dxa"/>
            <w:tcBorders>
              <w:top w:val="nil"/>
              <w:left w:val="nil"/>
              <w:bottom w:val="nil"/>
              <w:right w:val="nil"/>
            </w:tcBorders>
            <w:shd w:val="clear" w:color="auto" w:fill="auto"/>
            <w:vAlign w:val="center"/>
            <w:hideMark/>
          </w:tcPr>
          <w:p w14:paraId="0DE7B2A3"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12</w:t>
            </w:r>
          </w:p>
        </w:tc>
        <w:tc>
          <w:tcPr>
            <w:tcW w:w="440" w:type="dxa"/>
            <w:tcBorders>
              <w:top w:val="nil"/>
              <w:left w:val="nil"/>
              <w:bottom w:val="nil"/>
              <w:right w:val="nil"/>
            </w:tcBorders>
            <w:shd w:val="clear" w:color="auto" w:fill="auto"/>
            <w:vAlign w:val="center"/>
            <w:hideMark/>
          </w:tcPr>
          <w:p w14:paraId="0CBCD09D"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429BCFC2"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69</w:t>
            </w:r>
          </w:p>
        </w:tc>
        <w:tc>
          <w:tcPr>
            <w:tcW w:w="1291" w:type="dxa"/>
            <w:tcBorders>
              <w:top w:val="nil"/>
              <w:left w:val="nil"/>
              <w:bottom w:val="nil"/>
              <w:right w:val="nil"/>
            </w:tcBorders>
            <w:shd w:val="clear" w:color="auto" w:fill="auto"/>
            <w:vAlign w:val="bottom"/>
            <w:hideMark/>
          </w:tcPr>
          <w:p w14:paraId="6E7E0C35"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48</w:t>
            </w:r>
          </w:p>
        </w:tc>
      </w:tr>
      <w:tr w:rsidR="00F6291B" w:rsidRPr="00A30A72" w14:paraId="06E3EAFC" w14:textId="77777777" w:rsidTr="00FD2BD4">
        <w:trPr>
          <w:trHeight w:val="300"/>
          <w:jc w:val="center"/>
        </w:trPr>
        <w:tc>
          <w:tcPr>
            <w:tcW w:w="838" w:type="dxa"/>
            <w:tcBorders>
              <w:top w:val="nil"/>
              <w:left w:val="nil"/>
              <w:bottom w:val="nil"/>
              <w:right w:val="nil"/>
            </w:tcBorders>
            <w:shd w:val="clear" w:color="auto" w:fill="auto"/>
            <w:vAlign w:val="center"/>
            <w:hideMark/>
          </w:tcPr>
          <w:p w14:paraId="4E45766D" w14:textId="77777777" w:rsidR="00F6291B" w:rsidRPr="00A30A72" w:rsidRDefault="00F6291B" w:rsidP="00FE11BE">
            <w:pPr>
              <w:rPr>
                <w:color w:val="FF0000"/>
                <w:sz w:val="20"/>
                <w:szCs w:val="20"/>
              </w:rPr>
            </w:pPr>
            <w:r w:rsidRPr="00A30A72">
              <w:rPr>
                <w:color w:val="000000"/>
                <w:sz w:val="20"/>
                <w:szCs w:val="20"/>
              </w:rPr>
              <w:t>Item23</w:t>
            </w:r>
          </w:p>
        </w:tc>
        <w:tc>
          <w:tcPr>
            <w:tcW w:w="1144" w:type="dxa"/>
            <w:tcBorders>
              <w:top w:val="nil"/>
              <w:left w:val="nil"/>
              <w:bottom w:val="nil"/>
              <w:right w:val="nil"/>
            </w:tcBorders>
            <w:shd w:val="clear" w:color="auto" w:fill="auto"/>
            <w:vAlign w:val="center"/>
            <w:hideMark/>
          </w:tcPr>
          <w:p w14:paraId="59DD1C6C"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23</w:t>
            </w:r>
          </w:p>
        </w:tc>
        <w:tc>
          <w:tcPr>
            <w:tcW w:w="1263" w:type="dxa"/>
            <w:tcBorders>
              <w:top w:val="nil"/>
              <w:left w:val="nil"/>
              <w:bottom w:val="nil"/>
              <w:right w:val="nil"/>
            </w:tcBorders>
            <w:shd w:val="clear" w:color="auto" w:fill="auto"/>
            <w:vAlign w:val="center"/>
            <w:hideMark/>
          </w:tcPr>
          <w:p w14:paraId="1298397F"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10</w:t>
            </w:r>
          </w:p>
        </w:tc>
        <w:tc>
          <w:tcPr>
            <w:tcW w:w="440" w:type="dxa"/>
            <w:tcBorders>
              <w:top w:val="nil"/>
              <w:left w:val="nil"/>
              <w:bottom w:val="nil"/>
              <w:right w:val="nil"/>
            </w:tcBorders>
            <w:shd w:val="clear" w:color="auto" w:fill="auto"/>
            <w:vAlign w:val="center"/>
            <w:hideMark/>
          </w:tcPr>
          <w:p w14:paraId="74E283F1"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30ECA758"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76</w:t>
            </w:r>
          </w:p>
        </w:tc>
        <w:tc>
          <w:tcPr>
            <w:tcW w:w="1291" w:type="dxa"/>
            <w:tcBorders>
              <w:top w:val="nil"/>
              <w:left w:val="nil"/>
              <w:bottom w:val="nil"/>
              <w:right w:val="nil"/>
            </w:tcBorders>
            <w:shd w:val="clear" w:color="auto" w:fill="auto"/>
            <w:vAlign w:val="bottom"/>
            <w:hideMark/>
          </w:tcPr>
          <w:p w14:paraId="01DC98F0"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58</w:t>
            </w:r>
          </w:p>
        </w:tc>
      </w:tr>
      <w:tr w:rsidR="00F6291B" w:rsidRPr="00A30A72" w14:paraId="661A3055" w14:textId="77777777" w:rsidTr="00FD2BD4">
        <w:trPr>
          <w:trHeight w:val="300"/>
          <w:jc w:val="center"/>
        </w:trPr>
        <w:tc>
          <w:tcPr>
            <w:tcW w:w="838" w:type="dxa"/>
            <w:tcBorders>
              <w:top w:val="nil"/>
              <w:left w:val="nil"/>
              <w:bottom w:val="nil"/>
              <w:right w:val="nil"/>
            </w:tcBorders>
            <w:shd w:val="clear" w:color="auto" w:fill="auto"/>
            <w:vAlign w:val="center"/>
            <w:hideMark/>
          </w:tcPr>
          <w:p w14:paraId="70BA7713" w14:textId="77777777" w:rsidR="00F6291B" w:rsidRPr="00A30A72" w:rsidRDefault="00F6291B" w:rsidP="00FE11BE">
            <w:pPr>
              <w:rPr>
                <w:color w:val="FF0000"/>
                <w:sz w:val="20"/>
                <w:szCs w:val="20"/>
              </w:rPr>
            </w:pPr>
            <w:r w:rsidRPr="00A30A72">
              <w:rPr>
                <w:color w:val="000000"/>
                <w:sz w:val="20"/>
                <w:szCs w:val="20"/>
              </w:rPr>
              <w:lastRenderedPageBreak/>
              <w:t>Item14</w:t>
            </w:r>
          </w:p>
        </w:tc>
        <w:tc>
          <w:tcPr>
            <w:tcW w:w="1144" w:type="dxa"/>
            <w:tcBorders>
              <w:top w:val="nil"/>
              <w:left w:val="nil"/>
              <w:bottom w:val="nil"/>
              <w:right w:val="nil"/>
            </w:tcBorders>
            <w:shd w:val="clear" w:color="auto" w:fill="auto"/>
            <w:vAlign w:val="center"/>
            <w:hideMark/>
          </w:tcPr>
          <w:p w14:paraId="3C770735"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15</w:t>
            </w:r>
          </w:p>
        </w:tc>
        <w:tc>
          <w:tcPr>
            <w:tcW w:w="1263" w:type="dxa"/>
            <w:tcBorders>
              <w:top w:val="nil"/>
              <w:left w:val="nil"/>
              <w:bottom w:val="nil"/>
              <w:right w:val="nil"/>
            </w:tcBorders>
            <w:shd w:val="clear" w:color="auto" w:fill="auto"/>
            <w:vAlign w:val="center"/>
            <w:hideMark/>
          </w:tcPr>
          <w:p w14:paraId="3D5C5BCA"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11</w:t>
            </w:r>
          </w:p>
        </w:tc>
        <w:tc>
          <w:tcPr>
            <w:tcW w:w="440" w:type="dxa"/>
            <w:tcBorders>
              <w:top w:val="nil"/>
              <w:left w:val="nil"/>
              <w:bottom w:val="nil"/>
              <w:right w:val="nil"/>
            </w:tcBorders>
            <w:shd w:val="clear" w:color="auto" w:fill="auto"/>
            <w:vAlign w:val="center"/>
            <w:hideMark/>
          </w:tcPr>
          <w:p w14:paraId="1B3A1E90"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1FB34D69"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58</w:t>
            </w:r>
          </w:p>
        </w:tc>
        <w:tc>
          <w:tcPr>
            <w:tcW w:w="1291" w:type="dxa"/>
            <w:tcBorders>
              <w:top w:val="nil"/>
              <w:left w:val="nil"/>
              <w:bottom w:val="nil"/>
              <w:right w:val="nil"/>
            </w:tcBorders>
            <w:shd w:val="clear" w:color="auto" w:fill="auto"/>
            <w:vAlign w:val="bottom"/>
            <w:hideMark/>
          </w:tcPr>
          <w:p w14:paraId="3CAD797B"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34</w:t>
            </w:r>
          </w:p>
        </w:tc>
      </w:tr>
      <w:tr w:rsidR="00F6291B" w:rsidRPr="00A30A72" w14:paraId="715270AC" w14:textId="77777777" w:rsidTr="00FD2BD4">
        <w:trPr>
          <w:trHeight w:val="300"/>
          <w:jc w:val="center"/>
        </w:trPr>
        <w:tc>
          <w:tcPr>
            <w:tcW w:w="838" w:type="dxa"/>
            <w:tcBorders>
              <w:top w:val="nil"/>
              <w:left w:val="nil"/>
              <w:bottom w:val="nil"/>
              <w:right w:val="nil"/>
            </w:tcBorders>
            <w:shd w:val="clear" w:color="auto" w:fill="auto"/>
            <w:vAlign w:val="center"/>
            <w:hideMark/>
          </w:tcPr>
          <w:p w14:paraId="15BD261E" w14:textId="77777777" w:rsidR="00F6291B" w:rsidRPr="00A30A72" w:rsidRDefault="00F6291B" w:rsidP="00FE11BE">
            <w:pPr>
              <w:rPr>
                <w:color w:val="FF0000"/>
                <w:sz w:val="20"/>
                <w:szCs w:val="20"/>
              </w:rPr>
            </w:pPr>
            <w:r w:rsidRPr="00A30A72">
              <w:rPr>
                <w:color w:val="000000"/>
                <w:sz w:val="20"/>
                <w:szCs w:val="20"/>
              </w:rPr>
              <w:t>Item7</w:t>
            </w:r>
          </w:p>
        </w:tc>
        <w:tc>
          <w:tcPr>
            <w:tcW w:w="1144" w:type="dxa"/>
            <w:tcBorders>
              <w:top w:val="nil"/>
              <w:left w:val="nil"/>
              <w:bottom w:val="nil"/>
              <w:right w:val="nil"/>
            </w:tcBorders>
            <w:shd w:val="clear" w:color="auto" w:fill="auto"/>
            <w:vAlign w:val="center"/>
            <w:hideMark/>
          </w:tcPr>
          <w:p w14:paraId="146BFC55"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05</w:t>
            </w:r>
          </w:p>
        </w:tc>
        <w:tc>
          <w:tcPr>
            <w:tcW w:w="1263" w:type="dxa"/>
            <w:tcBorders>
              <w:top w:val="nil"/>
              <w:left w:val="nil"/>
              <w:bottom w:val="nil"/>
              <w:right w:val="nil"/>
            </w:tcBorders>
            <w:shd w:val="clear" w:color="auto" w:fill="auto"/>
            <w:vAlign w:val="center"/>
            <w:hideMark/>
          </w:tcPr>
          <w:p w14:paraId="0DBBFB89"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10</w:t>
            </w:r>
          </w:p>
        </w:tc>
        <w:tc>
          <w:tcPr>
            <w:tcW w:w="440" w:type="dxa"/>
            <w:tcBorders>
              <w:top w:val="nil"/>
              <w:left w:val="nil"/>
              <w:bottom w:val="nil"/>
              <w:right w:val="nil"/>
            </w:tcBorders>
            <w:shd w:val="clear" w:color="auto" w:fill="auto"/>
            <w:vAlign w:val="center"/>
            <w:hideMark/>
          </w:tcPr>
          <w:p w14:paraId="7FAD6226"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399B5287"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62</w:t>
            </w:r>
          </w:p>
        </w:tc>
        <w:tc>
          <w:tcPr>
            <w:tcW w:w="1291" w:type="dxa"/>
            <w:tcBorders>
              <w:top w:val="nil"/>
              <w:left w:val="nil"/>
              <w:bottom w:val="nil"/>
              <w:right w:val="nil"/>
            </w:tcBorders>
            <w:shd w:val="clear" w:color="auto" w:fill="auto"/>
            <w:vAlign w:val="bottom"/>
            <w:hideMark/>
          </w:tcPr>
          <w:p w14:paraId="16B9CF4D"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38</w:t>
            </w:r>
          </w:p>
        </w:tc>
      </w:tr>
      <w:tr w:rsidR="00F6291B" w:rsidRPr="00A30A72" w14:paraId="59005BC3" w14:textId="77777777" w:rsidTr="00FD2BD4">
        <w:trPr>
          <w:trHeight w:val="300"/>
          <w:jc w:val="center"/>
        </w:trPr>
        <w:tc>
          <w:tcPr>
            <w:tcW w:w="838" w:type="dxa"/>
            <w:tcBorders>
              <w:top w:val="nil"/>
              <w:left w:val="nil"/>
              <w:bottom w:val="nil"/>
              <w:right w:val="nil"/>
            </w:tcBorders>
            <w:shd w:val="clear" w:color="auto" w:fill="auto"/>
            <w:vAlign w:val="center"/>
            <w:hideMark/>
          </w:tcPr>
          <w:p w14:paraId="02B95D11" w14:textId="77777777" w:rsidR="00F6291B" w:rsidRPr="00A30A72" w:rsidRDefault="00F6291B" w:rsidP="00FE11BE">
            <w:pPr>
              <w:rPr>
                <w:color w:val="FF0000"/>
                <w:sz w:val="20"/>
                <w:szCs w:val="20"/>
              </w:rPr>
            </w:pPr>
            <w:r w:rsidRPr="00A30A72">
              <w:rPr>
                <w:color w:val="000000"/>
                <w:sz w:val="20"/>
                <w:szCs w:val="20"/>
              </w:rPr>
              <w:t>Item2</w:t>
            </w:r>
          </w:p>
        </w:tc>
        <w:tc>
          <w:tcPr>
            <w:tcW w:w="1144" w:type="dxa"/>
            <w:tcBorders>
              <w:top w:val="nil"/>
              <w:left w:val="nil"/>
              <w:bottom w:val="nil"/>
              <w:right w:val="nil"/>
            </w:tcBorders>
            <w:shd w:val="clear" w:color="auto" w:fill="auto"/>
            <w:vAlign w:val="center"/>
            <w:hideMark/>
          </w:tcPr>
          <w:p w14:paraId="1C33FBEB"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00</w:t>
            </w:r>
          </w:p>
        </w:tc>
        <w:tc>
          <w:tcPr>
            <w:tcW w:w="1263" w:type="dxa"/>
            <w:tcBorders>
              <w:top w:val="nil"/>
              <w:left w:val="nil"/>
              <w:bottom w:val="nil"/>
              <w:right w:val="nil"/>
            </w:tcBorders>
            <w:shd w:val="clear" w:color="auto" w:fill="auto"/>
            <w:vAlign w:val="center"/>
            <w:hideMark/>
          </w:tcPr>
          <w:p w14:paraId="11541655" w14:textId="77777777" w:rsidR="00F6291B" w:rsidRPr="00A30A72" w:rsidRDefault="00F6291B" w:rsidP="00FE11BE">
            <w:pPr>
              <w:jc w:val="center"/>
              <w:rPr>
                <w:color w:val="FF0000"/>
                <w:sz w:val="20"/>
                <w:szCs w:val="20"/>
              </w:rPr>
            </w:pPr>
          </w:p>
        </w:tc>
        <w:tc>
          <w:tcPr>
            <w:tcW w:w="440" w:type="dxa"/>
            <w:tcBorders>
              <w:top w:val="nil"/>
              <w:left w:val="nil"/>
              <w:bottom w:val="nil"/>
              <w:right w:val="nil"/>
            </w:tcBorders>
            <w:shd w:val="clear" w:color="auto" w:fill="auto"/>
            <w:vAlign w:val="bottom"/>
            <w:hideMark/>
          </w:tcPr>
          <w:p w14:paraId="61E96895" w14:textId="77777777" w:rsidR="00F6291B" w:rsidRPr="00A30A72" w:rsidRDefault="00F6291B" w:rsidP="00FE11BE">
            <w:pPr>
              <w:jc w:val="center"/>
              <w:rPr>
                <w:color w:val="FF0000"/>
                <w:sz w:val="20"/>
                <w:szCs w:val="20"/>
              </w:rPr>
            </w:pPr>
          </w:p>
        </w:tc>
        <w:tc>
          <w:tcPr>
            <w:tcW w:w="1318" w:type="dxa"/>
            <w:tcBorders>
              <w:top w:val="nil"/>
              <w:left w:val="nil"/>
              <w:bottom w:val="nil"/>
              <w:right w:val="nil"/>
            </w:tcBorders>
            <w:shd w:val="clear" w:color="auto" w:fill="auto"/>
            <w:vAlign w:val="center"/>
            <w:hideMark/>
          </w:tcPr>
          <w:p w14:paraId="525E14B0"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59</w:t>
            </w:r>
          </w:p>
        </w:tc>
        <w:tc>
          <w:tcPr>
            <w:tcW w:w="1291" w:type="dxa"/>
            <w:tcBorders>
              <w:top w:val="nil"/>
              <w:left w:val="nil"/>
              <w:bottom w:val="nil"/>
              <w:right w:val="nil"/>
            </w:tcBorders>
            <w:shd w:val="clear" w:color="auto" w:fill="auto"/>
            <w:vAlign w:val="bottom"/>
            <w:hideMark/>
          </w:tcPr>
          <w:p w14:paraId="7E4C87BD"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35</w:t>
            </w:r>
          </w:p>
        </w:tc>
      </w:tr>
      <w:tr w:rsidR="00F6291B" w:rsidRPr="00A30A72" w14:paraId="6A0E9894" w14:textId="77777777" w:rsidTr="00FD2BD4">
        <w:trPr>
          <w:trHeight w:val="300"/>
          <w:jc w:val="center"/>
        </w:trPr>
        <w:tc>
          <w:tcPr>
            <w:tcW w:w="838" w:type="dxa"/>
            <w:tcBorders>
              <w:top w:val="nil"/>
              <w:left w:val="nil"/>
              <w:bottom w:val="nil"/>
              <w:right w:val="nil"/>
            </w:tcBorders>
            <w:shd w:val="clear" w:color="auto" w:fill="auto"/>
            <w:vAlign w:val="center"/>
            <w:hideMark/>
          </w:tcPr>
          <w:p w14:paraId="7DCD3CA6" w14:textId="77777777" w:rsidR="00F6291B" w:rsidRPr="00A30A72" w:rsidRDefault="00F6291B" w:rsidP="00FE11BE">
            <w:pPr>
              <w:rPr>
                <w:color w:val="FF0000"/>
                <w:sz w:val="20"/>
                <w:szCs w:val="20"/>
              </w:rPr>
            </w:pPr>
            <w:r w:rsidRPr="00A30A72">
              <w:rPr>
                <w:color w:val="000000"/>
                <w:sz w:val="20"/>
                <w:szCs w:val="20"/>
              </w:rPr>
              <w:t>Item11</w:t>
            </w:r>
          </w:p>
        </w:tc>
        <w:tc>
          <w:tcPr>
            <w:tcW w:w="1144" w:type="dxa"/>
            <w:tcBorders>
              <w:top w:val="nil"/>
              <w:left w:val="nil"/>
              <w:bottom w:val="nil"/>
              <w:right w:val="nil"/>
            </w:tcBorders>
            <w:shd w:val="clear" w:color="auto" w:fill="auto"/>
            <w:vAlign w:val="center"/>
            <w:hideMark/>
          </w:tcPr>
          <w:p w14:paraId="459CB353"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11</w:t>
            </w:r>
          </w:p>
        </w:tc>
        <w:tc>
          <w:tcPr>
            <w:tcW w:w="1263" w:type="dxa"/>
            <w:tcBorders>
              <w:top w:val="nil"/>
              <w:left w:val="nil"/>
              <w:bottom w:val="nil"/>
              <w:right w:val="nil"/>
            </w:tcBorders>
            <w:shd w:val="clear" w:color="auto" w:fill="auto"/>
            <w:vAlign w:val="center"/>
            <w:hideMark/>
          </w:tcPr>
          <w:p w14:paraId="27985D48"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13</w:t>
            </w:r>
          </w:p>
        </w:tc>
        <w:tc>
          <w:tcPr>
            <w:tcW w:w="440" w:type="dxa"/>
            <w:tcBorders>
              <w:top w:val="nil"/>
              <w:left w:val="nil"/>
              <w:bottom w:val="nil"/>
              <w:right w:val="nil"/>
            </w:tcBorders>
            <w:shd w:val="clear" w:color="auto" w:fill="auto"/>
            <w:vAlign w:val="center"/>
            <w:hideMark/>
          </w:tcPr>
          <w:p w14:paraId="1B3F5CBD"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68D5805F"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52</w:t>
            </w:r>
          </w:p>
        </w:tc>
        <w:tc>
          <w:tcPr>
            <w:tcW w:w="1291" w:type="dxa"/>
            <w:tcBorders>
              <w:top w:val="nil"/>
              <w:left w:val="nil"/>
              <w:bottom w:val="nil"/>
              <w:right w:val="nil"/>
            </w:tcBorders>
            <w:shd w:val="clear" w:color="auto" w:fill="auto"/>
            <w:vAlign w:val="bottom"/>
            <w:hideMark/>
          </w:tcPr>
          <w:p w14:paraId="61AAA1D0"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27</w:t>
            </w:r>
          </w:p>
        </w:tc>
      </w:tr>
      <w:tr w:rsidR="00F6291B" w:rsidRPr="00A30A72" w14:paraId="03FE9A19" w14:textId="77777777" w:rsidTr="00FD2BD4">
        <w:trPr>
          <w:trHeight w:val="300"/>
          <w:jc w:val="center"/>
        </w:trPr>
        <w:tc>
          <w:tcPr>
            <w:tcW w:w="838" w:type="dxa"/>
            <w:tcBorders>
              <w:top w:val="nil"/>
              <w:left w:val="nil"/>
              <w:bottom w:val="nil"/>
              <w:right w:val="nil"/>
            </w:tcBorders>
            <w:shd w:val="clear" w:color="auto" w:fill="auto"/>
            <w:vAlign w:val="center"/>
            <w:hideMark/>
          </w:tcPr>
          <w:p w14:paraId="4D0054CF" w14:textId="77777777" w:rsidR="00F6291B" w:rsidRPr="00A30A72" w:rsidRDefault="00F6291B" w:rsidP="00FE11BE">
            <w:pPr>
              <w:rPr>
                <w:color w:val="FF0000"/>
                <w:sz w:val="20"/>
                <w:szCs w:val="20"/>
              </w:rPr>
            </w:pPr>
            <w:r w:rsidRPr="00A30A72">
              <w:rPr>
                <w:color w:val="000000"/>
                <w:sz w:val="20"/>
                <w:szCs w:val="20"/>
              </w:rPr>
              <w:t>Item9</w:t>
            </w:r>
          </w:p>
        </w:tc>
        <w:tc>
          <w:tcPr>
            <w:tcW w:w="1144" w:type="dxa"/>
            <w:tcBorders>
              <w:top w:val="nil"/>
              <w:left w:val="nil"/>
              <w:bottom w:val="nil"/>
              <w:right w:val="nil"/>
            </w:tcBorders>
            <w:shd w:val="clear" w:color="auto" w:fill="auto"/>
            <w:vAlign w:val="center"/>
            <w:hideMark/>
          </w:tcPr>
          <w:p w14:paraId="20C26A62"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83</w:t>
            </w:r>
          </w:p>
        </w:tc>
        <w:tc>
          <w:tcPr>
            <w:tcW w:w="1263" w:type="dxa"/>
            <w:tcBorders>
              <w:top w:val="nil"/>
              <w:left w:val="nil"/>
              <w:bottom w:val="nil"/>
              <w:right w:val="nil"/>
            </w:tcBorders>
            <w:shd w:val="clear" w:color="auto" w:fill="auto"/>
            <w:vAlign w:val="center"/>
            <w:hideMark/>
          </w:tcPr>
          <w:p w14:paraId="5D77FBA1"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11</w:t>
            </w:r>
          </w:p>
        </w:tc>
        <w:tc>
          <w:tcPr>
            <w:tcW w:w="440" w:type="dxa"/>
            <w:tcBorders>
              <w:top w:val="nil"/>
              <w:left w:val="nil"/>
              <w:bottom w:val="nil"/>
              <w:right w:val="nil"/>
            </w:tcBorders>
            <w:shd w:val="clear" w:color="auto" w:fill="auto"/>
            <w:vAlign w:val="center"/>
            <w:hideMark/>
          </w:tcPr>
          <w:p w14:paraId="5EFD3B02"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33CDAEAB"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45</w:t>
            </w:r>
          </w:p>
        </w:tc>
        <w:tc>
          <w:tcPr>
            <w:tcW w:w="1291" w:type="dxa"/>
            <w:tcBorders>
              <w:top w:val="nil"/>
              <w:left w:val="nil"/>
              <w:bottom w:val="nil"/>
              <w:right w:val="nil"/>
            </w:tcBorders>
            <w:shd w:val="clear" w:color="auto" w:fill="auto"/>
            <w:vAlign w:val="bottom"/>
            <w:hideMark/>
          </w:tcPr>
          <w:p w14:paraId="74B2A205"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20</w:t>
            </w:r>
          </w:p>
        </w:tc>
      </w:tr>
      <w:tr w:rsidR="00F6291B" w:rsidRPr="00A30A72" w14:paraId="59EA07BD" w14:textId="77777777" w:rsidTr="00FD2BD4">
        <w:trPr>
          <w:trHeight w:val="300"/>
          <w:jc w:val="center"/>
        </w:trPr>
        <w:tc>
          <w:tcPr>
            <w:tcW w:w="838" w:type="dxa"/>
            <w:tcBorders>
              <w:top w:val="nil"/>
              <w:left w:val="nil"/>
              <w:bottom w:val="nil"/>
              <w:right w:val="nil"/>
            </w:tcBorders>
            <w:shd w:val="clear" w:color="auto" w:fill="auto"/>
            <w:vAlign w:val="center"/>
            <w:hideMark/>
          </w:tcPr>
          <w:p w14:paraId="596A635C" w14:textId="77777777" w:rsidR="00F6291B" w:rsidRPr="00A30A72" w:rsidRDefault="00F6291B" w:rsidP="00FE11BE">
            <w:pPr>
              <w:rPr>
                <w:color w:val="FF0000"/>
                <w:sz w:val="20"/>
                <w:szCs w:val="20"/>
              </w:rPr>
            </w:pPr>
            <w:r w:rsidRPr="00A30A72">
              <w:rPr>
                <w:color w:val="000000"/>
                <w:sz w:val="20"/>
                <w:szCs w:val="20"/>
              </w:rPr>
              <w:t>Item17</w:t>
            </w:r>
          </w:p>
        </w:tc>
        <w:tc>
          <w:tcPr>
            <w:tcW w:w="1144" w:type="dxa"/>
            <w:tcBorders>
              <w:top w:val="nil"/>
              <w:left w:val="nil"/>
              <w:bottom w:val="nil"/>
              <w:right w:val="nil"/>
            </w:tcBorders>
            <w:shd w:val="clear" w:color="auto" w:fill="auto"/>
            <w:vAlign w:val="center"/>
            <w:hideMark/>
          </w:tcPr>
          <w:p w14:paraId="617295B0"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11</w:t>
            </w:r>
          </w:p>
        </w:tc>
        <w:tc>
          <w:tcPr>
            <w:tcW w:w="1263" w:type="dxa"/>
            <w:tcBorders>
              <w:top w:val="nil"/>
              <w:left w:val="nil"/>
              <w:bottom w:val="nil"/>
              <w:right w:val="nil"/>
            </w:tcBorders>
            <w:shd w:val="clear" w:color="auto" w:fill="auto"/>
            <w:vAlign w:val="center"/>
            <w:hideMark/>
          </w:tcPr>
          <w:p w14:paraId="03E575E8"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13</w:t>
            </w:r>
          </w:p>
        </w:tc>
        <w:tc>
          <w:tcPr>
            <w:tcW w:w="440" w:type="dxa"/>
            <w:tcBorders>
              <w:top w:val="nil"/>
              <w:left w:val="nil"/>
              <w:bottom w:val="nil"/>
              <w:right w:val="nil"/>
            </w:tcBorders>
            <w:shd w:val="clear" w:color="auto" w:fill="auto"/>
            <w:vAlign w:val="center"/>
            <w:hideMark/>
          </w:tcPr>
          <w:p w14:paraId="14E8E727"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45F87A8A"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57</w:t>
            </w:r>
          </w:p>
        </w:tc>
        <w:tc>
          <w:tcPr>
            <w:tcW w:w="1291" w:type="dxa"/>
            <w:tcBorders>
              <w:top w:val="nil"/>
              <w:left w:val="nil"/>
              <w:bottom w:val="nil"/>
              <w:right w:val="nil"/>
            </w:tcBorders>
            <w:shd w:val="clear" w:color="auto" w:fill="auto"/>
            <w:vAlign w:val="bottom"/>
            <w:hideMark/>
          </w:tcPr>
          <w:p w14:paraId="6881E2E3"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32</w:t>
            </w:r>
          </w:p>
        </w:tc>
      </w:tr>
      <w:tr w:rsidR="00F6291B" w:rsidRPr="00A30A72" w14:paraId="6DE2FDAD" w14:textId="77777777" w:rsidTr="00FD2BD4">
        <w:trPr>
          <w:trHeight w:val="300"/>
          <w:jc w:val="center"/>
        </w:trPr>
        <w:tc>
          <w:tcPr>
            <w:tcW w:w="838" w:type="dxa"/>
            <w:tcBorders>
              <w:top w:val="nil"/>
              <w:left w:val="nil"/>
              <w:bottom w:val="nil"/>
              <w:right w:val="nil"/>
            </w:tcBorders>
            <w:shd w:val="clear" w:color="auto" w:fill="auto"/>
            <w:vAlign w:val="center"/>
            <w:hideMark/>
          </w:tcPr>
          <w:p w14:paraId="0237BF5F" w14:textId="77777777" w:rsidR="00F6291B" w:rsidRPr="00A30A72" w:rsidRDefault="00F6291B" w:rsidP="00FE11BE">
            <w:pPr>
              <w:rPr>
                <w:color w:val="FF0000"/>
                <w:sz w:val="20"/>
                <w:szCs w:val="20"/>
              </w:rPr>
            </w:pPr>
            <w:r w:rsidRPr="00A30A72">
              <w:rPr>
                <w:color w:val="000000"/>
                <w:sz w:val="20"/>
                <w:szCs w:val="20"/>
              </w:rPr>
              <w:t>Item8</w:t>
            </w:r>
          </w:p>
        </w:tc>
        <w:tc>
          <w:tcPr>
            <w:tcW w:w="1144" w:type="dxa"/>
            <w:tcBorders>
              <w:top w:val="nil"/>
              <w:left w:val="nil"/>
              <w:bottom w:val="nil"/>
              <w:right w:val="nil"/>
            </w:tcBorders>
            <w:shd w:val="clear" w:color="auto" w:fill="auto"/>
            <w:vAlign w:val="center"/>
            <w:hideMark/>
          </w:tcPr>
          <w:p w14:paraId="2FB54D98"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98</w:t>
            </w:r>
          </w:p>
        </w:tc>
        <w:tc>
          <w:tcPr>
            <w:tcW w:w="1263" w:type="dxa"/>
            <w:tcBorders>
              <w:top w:val="nil"/>
              <w:left w:val="nil"/>
              <w:bottom w:val="nil"/>
              <w:right w:val="nil"/>
            </w:tcBorders>
            <w:shd w:val="clear" w:color="auto" w:fill="auto"/>
            <w:vAlign w:val="center"/>
            <w:hideMark/>
          </w:tcPr>
          <w:p w14:paraId="596E8EE5"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12</w:t>
            </w:r>
          </w:p>
        </w:tc>
        <w:tc>
          <w:tcPr>
            <w:tcW w:w="440" w:type="dxa"/>
            <w:tcBorders>
              <w:top w:val="nil"/>
              <w:left w:val="nil"/>
              <w:bottom w:val="nil"/>
              <w:right w:val="nil"/>
            </w:tcBorders>
            <w:shd w:val="clear" w:color="auto" w:fill="auto"/>
            <w:vAlign w:val="center"/>
            <w:hideMark/>
          </w:tcPr>
          <w:p w14:paraId="016CCD66"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46106C3D"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51</w:t>
            </w:r>
          </w:p>
        </w:tc>
        <w:tc>
          <w:tcPr>
            <w:tcW w:w="1291" w:type="dxa"/>
            <w:tcBorders>
              <w:top w:val="nil"/>
              <w:left w:val="nil"/>
              <w:bottom w:val="nil"/>
              <w:right w:val="nil"/>
            </w:tcBorders>
            <w:shd w:val="clear" w:color="auto" w:fill="auto"/>
            <w:vAlign w:val="bottom"/>
            <w:hideMark/>
          </w:tcPr>
          <w:p w14:paraId="7F15441D"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26</w:t>
            </w:r>
          </w:p>
        </w:tc>
      </w:tr>
      <w:tr w:rsidR="00F6291B" w:rsidRPr="00A30A72" w14:paraId="4F85F379" w14:textId="77777777" w:rsidTr="00FD2BD4">
        <w:trPr>
          <w:trHeight w:val="300"/>
          <w:jc w:val="center"/>
        </w:trPr>
        <w:tc>
          <w:tcPr>
            <w:tcW w:w="838" w:type="dxa"/>
            <w:tcBorders>
              <w:top w:val="nil"/>
              <w:left w:val="nil"/>
              <w:bottom w:val="nil"/>
              <w:right w:val="nil"/>
            </w:tcBorders>
            <w:shd w:val="clear" w:color="auto" w:fill="auto"/>
            <w:vAlign w:val="center"/>
            <w:hideMark/>
          </w:tcPr>
          <w:p w14:paraId="382ABA7A" w14:textId="77777777" w:rsidR="00F6291B" w:rsidRPr="00A30A72" w:rsidRDefault="00F6291B" w:rsidP="00FE11BE">
            <w:pPr>
              <w:rPr>
                <w:color w:val="FF0000"/>
                <w:sz w:val="20"/>
                <w:szCs w:val="20"/>
              </w:rPr>
            </w:pPr>
            <w:r w:rsidRPr="00A30A72">
              <w:rPr>
                <w:color w:val="000000"/>
                <w:sz w:val="20"/>
                <w:szCs w:val="20"/>
              </w:rPr>
              <w:t>Item36</w:t>
            </w:r>
          </w:p>
        </w:tc>
        <w:tc>
          <w:tcPr>
            <w:tcW w:w="1144" w:type="dxa"/>
            <w:tcBorders>
              <w:top w:val="nil"/>
              <w:left w:val="nil"/>
              <w:bottom w:val="nil"/>
              <w:right w:val="nil"/>
            </w:tcBorders>
            <w:shd w:val="clear" w:color="auto" w:fill="auto"/>
            <w:vAlign w:val="center"/>
            <w:hideMark/>
          </w:tcPr>
          <w:p w14:paraId="5A40B20F"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20</w:t>
            </w:r>
          </w:p>
        </w:tc>
        <w:tc>
          <w:tcPr>
            <w:tcW w:w="1263" w:type="dxa"/>
            <w:tcBorders>
              <w:top w:val="nil"/>
              <w:left w:val="nil"/>
              <w:bottom w:val="nil"/>
              <w:right w:val="nil"/>
            </w:tcBorders>
            <w:shd w:val="clear" w:color="auto" w:fill="auto"/>
            <w:vAlign w:val="center"/>
            <w:hideMark/>
          </w:tcPr>
          <w:p w14:paraId="7EFBDE2F"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10</w:t>
            </w:r>
          </w:p>
        </w:tc>
        <w:tc>
          <w:tcPr>
            <w:tcW w:w="440" w:type="dxa"/>
            <w:tcBorders>
              <w:top w:val="nil"/>
              <w:left w:val="nil"/>
              <w:bottom w:val="nil"/>
              <w:right w:val="nil"/>
            </w:tcBorders>
            <w:shd w:val="clear" w:color="auto" w:fill="auto"/>
            <w:vAlign w:val="center"/>
            <w:hideMark/>
          </w:tcPr>
          <w:p w14:paraId="1F87B121"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33A302CD"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60</w:t>
            </w:r>
          </w:p>
        </w:tc>
        <w:tc>
          <w:tcPr>
            <w:tcW w:w="1291" w:type="dxa"/>
            <w:tcBorders>
              <w:top w:val="nil"/>
              <w:left w:val="nil"/>
              <w:bottom w:val="nil"/>
              <w:right w:val="nil"/>
            </w:tcBorders>
            <w:shd w:val="clear" w:color="auto" w:fill="auto"/>
            <w:vAlign w:val="bottom"/>
            <w:hideMark/>
          </w:tcPr>
          <w:p w14:paraId="0FAF34B6"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36</w:t>
            </w:r>
          </w:p>
        </w:tc>
      </w:tr>
      <w:tr w:rsidR="00F6291B" w:rsidRPr="00A30A72" w14:paraId="73566796" w14:textId="77777777" w:rsidTr="00FD2BD4">
        <w:trPr>
          <w:trHeight w:val="300"/>
          <w:jc w:val="center"/>
        </w:trPr>
        <w:tc>
          <w:tcPr>
            <w:tcW w:w="838" w:type="dxa"/>
            <w:tcBorders>
              <w:top w:val="nil"/>
              <w:left w:val="nil"/>
              <w:bottom w:val="single" w:sz="4" w:space="0" w:color="auto"/>
              <w:right w:val="nil"/>
            </w:tcBorders>
            <w:shd w:val="clear" w:color="auto" w:fill="auto"/>
            <w:vAlign w:val="center"/>
            <w:hideMark/>
          </w:tcPr>
          <w:p w14:paraId="60DA3C20" w14:textId="77777777" w:rsidR="00F6291B" w:rsidRPr="00A30A72" w:rsidRDefault="00F6291B" w:rsidP="00FE11BE">
            <w:pPr>
              <w:rPr>
                <w:color w:val="FF0000"/>
                <w:sz w:val="20"/>
                <w:szCs w:val="20"/>
              </w:rPr>
            </w:pPr>
            <w:r w:rsidRPr="00A30A72">
              <w:rPr>
                <w:color w:val="000000"/>
                <w:sz w:val="20"/>
                <w:szCs w:val="20"/>
              </w:rPr>
              <w:t>Item10</w:t>
            </w:r>
          </w:p>
        </w:tc>
        <w:tc>
          <w:tcPr>
            <w:tcW w:w="1144" w:type="dxa"/>
            <w:tcBorders>
              <w:top w:val="nil"/>
              <w:left w:val="nil"/>
              <w:bottom w:val="single" w:sz="4" w:space="0" w:color="auto"/>
              <w:right w:val="nil"/>
            </w:tcBorders>
            <w:shd w:val="clear" w:color="auto" w:fill="auto"/>
            <w:vAlign w:val="center"/>
            <w:hideMark/>
          </w:tcPr>
          <w:p w14:paraId="2F41894B"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00</w:t>
            </w:r>
          </w:p>
        </w:tc>
        <w:tc>
          <w:tcPr>
            <w:tcW w:w="1263" w:type="dxa"/>
            <w:tcBorders>
              <w:top w:val="nil"/>
              <w:left w:val="nil"/>
              <w:bottom w:val="single" w:sz="4" w:space="0" w:color="auto"/>
              <w:right w:val="nil"/>
            </w:tcBorders>
            <w:shd w:val="clear" w:color="auto" w:fill="auto"/>
            <w:vAlign w:val="center"/>
            <w:hideMark/>
          </w:tcPr>
          <w:p w14:paraId="003CCAC8" w14:textId="77777777" w:rsidR="00F6291B" w:rsidRPr="00A30A72" w:rsidRDefault="00F6291B" w:rsidP="00FE11BE">
            <w:pPr>
              <w:jc w:val="center"/>
              <w:rPr>
                <w:color w:val="FF0000"/>
                <w:sz w:val="20"/>
                <w:szCs w:val="20"/>
              </w:rPr>
            </w:pPr>
          </w:p>
        </w:tc>
        <w:tc>
          <w:tcPr>
            <w:tcW w:w="440" w:type="dxa"/>
            <w:tcBorders>
              <w:top w:val="nil"/>
              <w:left w:val="nil"/>
              <w:bottom w:val="single" w:sz="4" w:space="0" w:color="auto"/>
              <w:right w:val="nil"/>
            </w:tcBorders>
            <w:shd w:val="clear" w:color="auto" w:fill="auto"/>
            <w:vAlign w:val="bottom"/>
            <w:hideMark/>
          </w:tcPr>
          <w:p w14:paraId="373C078A" w14:textId="77777777" w:rsidR="00F6291B" w:rsidRPr="00A30A72" w:rsidRDefault="00F6291B" w:rsidP="00FE11BE">
            <w:pPr>
              <w:jc w:val="center"/>
              <w:rPr>
                <w:color w:val="FF0000"/>
                <w:sz w:val="20"/>
                <w:szCs w:val="20"/>
              </w:rPr>
            </w:pPr>
          </w:p>
        </w:tc>
        <w:tc>
          <w:tcPr>
            <w:tcW w:w="1318" w:type="dxa"/>
            <w:tcBorders>
              <w:top w:val="nil"/>
              <w:left w:val="nil"/>
              <w:bottom w:val="single" w:sz="4" w:space="0" w:color="auto"/>
              <w:right w:val="nil"/>
            </w:tcBorders>
            <w:shd w:val="clear" w:color="auto" w:fill="auto"/>
            <w:vAlign w:val="center"/>
            <w:hideMark/>
          </w:tcPr>
          <w:p w14:paraId="14FA0B69"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56</w:t>
            </w:r>
          </w:p>
        </w:tc>
        <w:tc>
          <w:tcPr>
            <w:tcW w:w="1291" w:type="dxa"/>
            <w:tcBorders>
              <w:top w:val="nil"/>
              <w:left w:val="nil"/>
              <w:bottom w:val="single" w:sz="4" w:space="0" w:color="auto"/>
              <w:right w:val="nil"/>
            </w:tcBorders>
            <w:shd w:val="clear" w:color="auto" w:fill="auto"/>
            <w:vAlign w:val="bottom"/>
            <w:hideMark/>
          </w:tcPr>
          <w:p w14:paraId="57946793"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31</w:t>
            </w:r>
          </w:p>
        </w:tc>
      </w:tr>
      <w:tr w:rsidR="00FD2BD4" w:rsidRPr="00A30A72" w14:paraId="70CDEFA4" w14:textId="77777777" w:rsidTr="00FD2BD4">
        <w:trPr>
          <w:trHeight w:val="300"/>
          <w:jc w:val="center"/>
        </w:trPr>
        <w:tc>
          <w:tcPr>
            <w:tcW w:w="6294" w:type="dxa"/>
            <w:gridSpan w:val="6"/>
            <w:tcBorders>
              <w:top w:val="single" w:sz="4" w:space="0" w:color="auto"/>
              <w:left w:val="nil"/>
              <w:bottom w:val="nil"/>
              <w:right w:val="nil"/>
            </w:tcBorders>
            <w:shd w:val="clear" w:color="auto" w:fill="auto"/>
            <w:vAlign w:val="center"/>
          </w:tcPr>
          <w:p w14:paraId="1EF9D0DA" w14:textId="30063D7D" w:rsidR="00FD2BD4" w:rsidRPr="00FD2BD4" w:rsidRDefault="00FD2BD4" w:rsidP="00FD2BD4">
            <w:pPr>
              <w:rPr>
                <w:color w:val="FF0000"/>
                <w:sz w:val="22"/>
                <w:szCs w:val="22"/>
              </w:rPr>
            </w:pPr>
            <w:r w:rsidRPr="00A30A72">
              <w:rPr>
                <w:sz w:val="22"/>
                <w:szCs w:val="22"/>
              </w:rPr>
              <w:t xml:space="preserve">*** p&lt;.01 </w:t>
            </w:r>
          </w:p>
        </w:tc>
      </w:tr>
    </w:tbl>
    <w:p w14:paraId="6D8729B8" w14:textId="77777777" w:rsidR="00A06587" w:rsidRPr="00A30A72" w:rsidRDefault="00A06587" w:rsidP="00FE11BE">
      <w:pPr>
        <w:jc w:val="center"/>
        <w:rPr>
          <w:b/>
          <w:lang w:val="en-US"/>
        </w:rPr>
      </w:pPr>
    </w:p>
    <w:p w14:paraId="755862B0" w14:textId="77777777" w:rsidR="00A37701" w:rsidRDefault="00A37701" w:rsidP="00FE11BE">
      <w:pPr>
        <w:pStyle w:val="Sangradetextonormal"/>
        <w:ind w:firstLine="0"/>
        <w:rPr>
          <w:b/>
          <w:bCs/>
          <w:iCs/>
          <w:spacing w:val="-3"/>
          <w:szCs w:val="24"/>
        </w:rPr>
      </w:pPr>
    </w:p>
    <w:p w14:paraId="5ACEFB0A" w14:textId="77777777" w:rsidR="00A37701" w:rsidRDefault="00A37701" w:rsidP="00FE11BE">
      <w:pPr>
        <w:pStyle w:val="Sangradetextonormal"/>
        <w:ind w:firstLine="0"/>
        <w:rPr>
          <w:b/>
          <w:bCs/>
          <w:iCs/>
          <w:spacing w:val="-3"/>
          <w:szCs w:val="24"/>
        </w:rPr>
      </w:pPr>
    </w:p>
    <w:p w14:paraId="51818746" w14:textId="77777777" w:rsidR="00A06587" w:rsidRPr="00A30A72" w:rsidRDefault="005A79F8" w:rsidP="00FE11BE">
      <w:pPr>
        <w:pStyle w:val="Sangradetextonormal"/>
        <w:ind w:firstLine="0"/>
        <w:rPr>
          <w:b/>
          <w:bCs/>
          <w:iCs/>
          <w:spacing w:val="-3"/>
          <w:szCs w:val="24"/>
        </w:rPr>
      </w:pPr>
      <w:r w:rsidRPr="00A30A72">
        <w:rPr>
          <w:b/>
          <w:bCs/>
          <w:iCs/>
          <w:spacing w:val="-3"/>
          <w:szCs w:val="24"/>
        </w:rPr>
        <w:t>Evidencia validez concurrente</w:t>
      </w:r>
    </w:p>
    <w:p w14:paraId="712F5DB2" w14:textId="00458602" w:rsidR="005A79F8" w:rsidRPr="00A30A72" w:rsidRDefault="00F130C7" w:rsidP="00FE11BE">
      <w:pPr>
        <w:ind w:firstLine="708"/>
        <w:jc w:val="both"/>
      </w:pPr>
      <w:r w:rsidRPr="00A30A72">
        <w:t xml:space="preserve">Los resultados de diversas investigaciones evidencian que </w:t>
      </w:r>
      <w:r w:rsidR="00434BBC" w:rsidRPr="00A30A72">
        <w:t>la ansiedad social</w:t>
      </w:r>
      <w:r w:rsidRPr="00A30A72">
        <w:t xml:space="preserve"> </w:t>
      </w:r>
      <w:r w:rsidR="00434BBC" w:rsidRPr="00A30A72">
        <w:t>involucra expectativas de ser rechazado o de ser evaluado negativamente debido a creencias sobrevaloradas sobre la probabilidad de que ocurra un evento social negativo combinado con una preocupación por la impresión que se genera en la otra persona (Baldwi</w:t>
      </w:r>
      <w:r w:rsidR="009C6622">
        <w:t>n &amp;</w:t>
      </w:r>
      <w:r w:rsidR="00434BBC" w:rsidRPr="00A30A72">
        <w:t xml:space="preserve"> </w:t>
      </w:r>
      <w:proofErr w:type="spellStart"/>
      <w:r w:rsidR="00434BBC" w:rsidRPr="00A30A72">
        <w:t>Main</w:t>
      </w:r>
      <w:proofErr w:type="spellEnd"/>
      <w:r w:rsidR="00434BBC" w:rsidRPr="00A30A72">
        <w:t xml:space="preserve">, 2001; </w:t>
      </w:r>
      <w:proofErr w:type="spellStart"/>
      <w:r w:rsidR="006B3898" w:rsidRPr="00A30A72">
        <w:t>Smá</w:t>
      </w:r>
      <w:r w:rsidR="00434BBC" w:rsidRPr="00A30A72">
        <w:t>ri</w:t>
      </w:r>
      <w:proofErr w:type="spellEnd"/>
      <w:r w:rsidR="00434BBC" w:rsidRPr="00A30A72">
        <w:t xml:space="preserve">, </w:t>
      </w:r>
      <w:proofErr w:type="spellStart"/>
      <w:r w:rsidR="00434BBC" w:rsidRPr="00A30A72">
        <w:t>Bjarnadóttir</w:t>
      </w:r>
      <w:proofErr w:type="spellEnd"/>
      <w:r w:rsidR="00434BBC" w:rsidRPr="00A30A72">
        <w:t xml:space="preserve"> &amp; </w:t>
      </w:r>
      <w:proofErr w:type="spellStart"/>
      <w:r w:rsidR="00434BBC" w:rsidRPr="00A30A72">
        <w:t>Bragadóttir</w:t>
      </w:r>
      <w:proofErr w:type="spellEnd"/>
      <w:r w:rsidR="00434BBC" w:rsidRPr="00A30A72">
        <w:t xml:space="preserve">, </w:t>
      </w:r>
      <w:r w:rsidR="006B3898" w:rsidRPr="00A30A72">
        <w:t>1998</w:t>
      </w:r>
      <w:r w:rsidR="00434BBC" w:rsidRPr="00A30A72">
        <w:t xml:space="preserve">). </w:t>
      </w:r>
      <w:r w:rsidRPr="00A30A72">
        <w:t xml:space="preserve">Teniendo en cuenta esto, se correlacionaron las diferentes </w:t>
      </w:r>
      <w:proofErr w:type="spellStart"/>
      <w:r w:rsidRPr="00A30A72">
        <w:t>subescalas</w:t>
      </w:r>
      <w:proofErr w:type="spellEnd"/>
      <w:r w:rsidRPr="00A30A72">
        <w:t xml:space="preserve"> del TAS- U y los factores del ERS utilizando el coeficiente de correlación </w:t>
      </w:r>
      <w:r w:rsidR="00A37701">
        <w:t xml:space="preserve">de </w:t>
      </w:r>
      <w:r w:rsidR="005A79F8" w:rsidRPr="00A30A72">
        <w:t xml:space="preserve">Pearson </w:t>
      </w:r>
      <w:r w:rsidRPr="00A30A72">
        <w:t>y</w:t>
      </w:r>
      <w:r w:rsidR="005A79F8" w:rsidRPr="00A30A72">
        <w:t xml:space="preserve"> los criterios de Cohen para evaluar los tamaños del efecto (TE)</w:t>
      </w:r>
      <w:r w:rsidR="009C6622">
        <w:t>. En este caso se</w:t>
      </w:r>
      <w:r w:rsidRPr="00A30A72">
        <w:t xml:space="preserve"> considera un TE pequeño cuando la correlación se encuentra por debajo de .</w:t>
      </w:r>
      <w:r w:rsidR="005A79F8" w:rsidRPr="00A30A72">
        <w:t>10</w:t>
      </w:r>
      <w:r w:rsidRPr="00A30A72">
        <w:t>, medio cuando está en torno a .</w:t>
      </w:r>
      <w:r w:rsidR="005A79F8" w:rsidRPr="00A30A72">
        <w:t>30 y grande cu</w:t>
      </w:r>
      <w:r w:rsidRPr="00A30A72">
        <w:t>ando es mayor que .5</w:t>
      </w:r>
      <w:r w:rsidR="005A79F8" w:rsidRPr="00A30A72">
        <w:t xml:space="preserve">0 (Cohen, 1988; </w:t>
      </w:r>
      <w:proofErr w:type="spellStart"/>
      <w:r w:rsidR="005A79F8" w:rsidRPr="00A30A72">
        <w:t>Lipsey</w:t>
      </w:r>
      <w:proofErr w:type="spellEnd"/>
      <w:r w:rsidR="005A79F8" w:rsidRPr="00A30A72">
        <w:t xml:space="preserve"> &amp; Wilson, 2001).</w:t>
      </w:r>
    </w:p>
    <w:p w14:paraId="412A6AA1" w14:textId="77777777" w:rsidR="00F130C7" w:rsidRPr="00A30A72" w:rsidRDefault="00F130C7" w:rsidP="00FE11BE">
      <w:pPr>
        <w:pStyle w:val="Default"/>
        <w:ind w:firstLine="567"/>
        <w:jc w:val="both"/>
        <w:rPr>
          <w:rFonts w:ascii="Times New Roman" w:eastAsia="Times New Roman" w:hAnsi="Times New Roman" w:cs="Times New Roman"/>
          <w:color w:val="auto"/>
          <w:lang w:eastAsia="es-ES"/>
        </w:rPr>
      </w:pPr>
      <w:r w:rsidRPr="00A30A72">
        <w:rPr>
          <w:rFonts w:ascii="Times New Roman" w:eastAsia="Times New Roman" w:hAnsi="Times New Roman" w:cs="Times New Roman"/>
          <w:color w:val="auto"/>
          <w:lang w:eastAsia="es-ES"/>
        </w:rPr>
        <w:t xml:space="preserve">Como resultado se observaron relaciones positivas significativas (valores r comprendidos entre .03 y .28). Los tamaños del efecto fueron pequeños y nulos entre </w:t>
      </w:r>
      <w:r w:rsidR="006B3898" w:rsidRPr="00A30A72">
        <w:rPr>
          <w:rFonts w:ascii="Times New Roman" w:eastAsia="Times New Roman" w:hAnsi="Times New Roman" w:cs="Times New Roman"/>
          <w:color w:val="auto"/>
          <w:lang w:eastAsia="es-ES"/>
        </w:rPr>
        <w:t xml:space="preserve">el factor ansiedad social en situaciones académicas y los factores de expectativas de rechazo </w:t>
      </w:r>
      <w:r w:rsidR="00434BBC" w:rsidRPr="00A30A72">
        <w:rPr>
          <w:rFonts w:ascii="Times New Roman" w:eastAsia="Times New Roman" w:hAnsi="Times New Roman" w:cs="Times New Roman"/>
          <w:color w:val="auto"/>
          <w:lang w:eastAsia="es-ES"/>
        </w:rPr>
        <w:t xml:space="preserve">social </w:t>
      </w:r>
      <w:r w:rsidR="006B3898" w:rsidRPr="00A30A72">
        <w:rPr>
          <w:rFonts w:ascii="Times New Roman" w:eastAsia="Times New Roman" w:hAnsi="Times New Roman" w:cs="Times New Roman"/>
          <w:color w:val="auto"/>
          <w:lang w:eastAsia="es-ES"/>
        </w:rPr>
        <w:t xml:space="preserve">ante personas que no forman parte de la red social constituida por las personas. En el resto de las relaciones, los tamaños del efecto fueron medianos (Tabla </w:t>
      </w:r>
      <w:r w:rsidR="00761660" w:rsidRPr="00A30A72">
        <w:rPr>
          <w:rFonts w:ascii="Times New Roman" w:eastAsia="Times New Roman" w:hAnsi="Times New Roman" w:cs="Times New Roman"/>
          <w:color w:val="auto"/>
          <w:lang w:eastAsia="es-ES"/>
        </w:rPr>
        <w:t>3</w:t>
      </w:r>
      <w:r w:rsidR="006B3898" w:rsidRPr="00A30A72">
        <w:rPr>
          <w:rFonts w:ascii="Times New Roman" w:eastAsia="Times New Roman" w:hAnsi="Times New Roman" w:cs="Times New Roman"/>
          <w:color w:val="auto"/>
          <w:lang w:eastAsia="es-ES"/>
        </w:rPr>
        <w:t>).</w:t>
      </w:r>
    </w:p>
    <w:p w14:paraId="13496ACC" w14:textId="77777777" w:rsidR="00434BBC" w:rsidRPr="00A30A72" w:rsidRDefault="00434BBC" w:rsidP="00FE11BE">
      <w:pPr>
        <w:pStyle w:val="Default"/>
        <w:ind w:firstLine="567"/>
        <w:jc w:val="both"/>
        <w:rPr>
          <w:rFonts w:ascii="Times New Roman" w:eastAsia="Times New Roman" w:hAnsi="Times New Roman" w:cs="Times New Roman"/>
          <w:color w:val="auto"/>
          <w:lang w:eastAsia="es-ES"/>
        </w:rPr>
      </w:pPr>
    </w:p>
    <w:p w14:paraId="55A06469" w14:textId="656B15C1" w:rsidR="005A79F8" w:rsidRPr="00A30A72" w:rsidRDefault="005A79F8" w:rsidP="00FE11BE">
      <w:pPr>
        <w:pStyle w:val="Default"/>
        <w:ind w:left="567"/>
        <w:rPr>
          <w:rFonts w:ascii="Times New Roman" w:hAnsi="Times New Roman" w:cs="Times New Roman"/>
          <w:i/>
          <w:color w:val="auto"/>
        </w:rPr>
      </w:pPr>
    </w:p>
    <w:tbl>
      <w:tblPr>
        <w:tblW w:w="7566" w:type="dxa"/>
        <w:jc w:val="center"/>
        <w:tblCellMar>
          <w:left w:w="70" w:type="dxa"/>
          <w:right w:w="70" w:type="dxa"/>
        </w:tblCellMar>
        <w:tblLook w:val="04A0" w:firstRow="1" w:lastRow="0" w:firstColumn="1" w:lastColumn="0" w:noHBand="0" w:noVBand="1"/>
      </w:tblPr>
      <w:tblGrid>
        <w:gridCol w:w="2701"/>
        <w:gridCol w:w="1583"/>
        <w:gridCol w:w="1516"/>
        <w:gridCol w:w="1766"/>
      </w:tblGrid>
      <w:tr w:rsidR="00124834" w:rsidRPr="00A30A72" w14:paraId="61E8A27B" w14:textId="77777777" w:rsidTr="00124834">
        <w:trPr>
          <w:trHeight w:val="525"/>
          <w:jc w:val="center"/>
        </w:trPr>
        <w:tc>
          <w:tcPr>
            <w:tcW w:w="7566" w:type="dxa"/>
            <w:gridSpan w:val="4"/>
            <w:tcBorders>
              <w:bottom w:val="single" w:sz="4" w:space="0" w:color="auto"/>
            </w:tcBorders>
            <w:shd w:val="clear" w:color="auto" w:fill="auto"/>
            <w:vAlign w:val="bottom"/>
          </w:tcPr>
          <w:p w14:paraId="582E8932" w14:textId="77777777" w:rsidR="00124834" w:rsidRPr="00A30A72" w:rsidRDefault="00124834" w:rsidP="00124834">
            <w:pPr>
              <w:pStyle w:val="Default"/>
              <w:ind w:left="67"/>
              <w:rPr>
                <w:rFonts w:ascii="Times New Roman" w:hAnsi="Times New Roman" w:cs="Times New Roman"/>
                <w:color w:val="auto"/>
              </w:rPr>
            </w:pPr>
            <w:r w:rsidRPr="00A30A72">
              <w:rPr>
                <w:rFonts w:ascii="Times New Roman" w:hAnsi="Times New Roman" w:cs="Times New Roman"/>
                <w:color w:val="auto"/>
              </w:rPr>
              <w:t xml:space="preserve">Tabla 3. </w:t>
            </w:r>
          </w:p>
          <w:p w14:paraId="41C5F22E" w14:textId="0C521537" w:rsidR="00124834" w:rsidRPr="00A30A72" w:rsidRDefault="00124834" w:rsidP="00124834">
            <w:pPr>
              <w:ind w:left="67"/>
              <w:rPr>
                <w:color w:val="000000"/>
                <w:sz w:val="20"/>
                <w:szCs w:val="20"/>
              </w:rPr>
            </w:pPr>
            <w:r w:rsidRPr="00A30A72">
              <w:rPr>
                <w:i/>
              </w:rPr>
              <w:t>Coeficientes de correlación entre Expectativas de Rechazo Social y Ansiedad Social</w:t>
            </w:r>
          </w:p>
        </w:tc>
      </w:tr>
      <w:tr w:rsidR="005A3E3B" w:rsidRPr="00A30A72" w14:paraId="119B78BC" w14:textId="77777777" w:rsidTr="00124834">
        <w:trPr>
          <w:trHeight w:val="525"/>
          <w:jc w:val="center"/>
        </w:trPr>
        <w:tc>
          <w:tcPr>
            <w:tcW w:w="2701" w:type="dxa"/>
            <w:tcBorders>
              <w:top w:val="single" w:sz="4" w:space="0" w:color="auto"/>
              <w:bottom w:val="single" w:sz="4" w:space="0" w:color="auto"/>
            </w:tcBorders>
            <w:shd w:val="clear" w:color="auto" w:fill="auto"/>
            <w:vAlign w:val="bottom"/>
            <w:hideMark/>
          </w:tcPr>
          <w:p w14:paraId="0538F9CD" w14:textId="77777777" w:rsidR="005A3E3B" w:rsidRPr="00A30A72" w:rsidRDefault="005A3E3B" w:rsidP="00FE11BE">
            <w:pPr>
              <w:rPr>
                <w:color w:val="000000"/>
                <w:sz w:val="20"/>
                <w:szCs w:val="20"/>
              </w:rPr>
            </w:pPr>
            <w:r w:rsidRPr="00A30A72">
              <w:rPr>
                <w:color w:val="000000"/>
                <w:sz w:val="20"/>
                <w:szCs w:val="20"/>
              </w:rPr>
              <w:t> </w:t>
            </w:r>
          </w:p>
        </w:tc>
        <w:tc>
          <w:tcPr>
            <w:tcW w:w="1583" w:type="dxa"/>
            <w:tcBorders>
              <w:top w:val="single" w:sz="4" w:space="0" w:color="auto"/>
              <w:bottom w:val="single" w:sz="4" w:space="0" w:color="auto"/>
            </w:tcBorders>
            <w:shd w:val="clear" w:color="auto" w:fill="auto"/>
            <w:vAlign w:val="bottom"/>
            <w:hideMark/>
          </w:tcPr>
          <w:p w14:paraId="75D3D5EE" w14:textId="77777777" w:rsidR="005A3E3B" w:rsidRPr="00A30A72" w:rsidRDefault="005A3E3B" w:rsidP="00FE11BE">
            <w:pPr>
              <w:jc w:val="center"/>
              <w:rPr>
                <w:color w:val="000000"/>
                <w:sz w:val="20"/>
                <w:szCs w:val="20"/>
              </w:rPr>
            </w:pPr>
            <w:r w:rsidRPr="00A30A72">
              <w:rPr>
                <w:color w:val="000000"/>
                <w:sz w:val="20"/>
                <w:szCs w:val="20"/>
              </w:rPr>
              <w:t>ERS Vínculos establecidos</w:t>
            </w:r>
          </w:p>
        </w:tc>
        <w:tc>
          <w:tcPr>
            <w:tcW w:w="1516" w:type="dxa"/>
            <w:tcBorders>
              <w:top w:val="single" w:sz="4" w:space="0" w:color="auto"/>
              <w:bottom w:val="single" w:sz="4" w:space="0" w:color="auto"/>
            </w:tcBorders>
            <w:shd w:val="clear" w:color="auto" w:fill="auto"/>
            <w:vAlign w:val="bottom"/>
            <w:hideMark/>
          </w:tcPr>
          <w:p w14:paraId="5AC30EF5" w14:textId="77777777" w:rsidR="005A3E3B" w:rsidRPr="00A30A72" w:rsidRDefault="005A3E3B" w:rsidP="00FE11BE">
            <w:pPr>
              <w:jc w:val="center"/>
              <w:rPr>
                <w:color w:val="000000"/>
                <w:sz w:val="20"/>
                <w:szCs w:val="20"/>
              </w:rPr>
            </w:pPr>
            <w:r w:rsidRPr="00A30A72">
              <w:rPr>
                <w:color w:val="000000"/>
                <w:sz w:val="20"/>
                <w:szCs w:val="20"/>
              </w:rPr>
              <w:t>ERS Nuevos vínculos</w:t>
            </w:r>
          </w:p>
        </w:tc>
        <w:tc>
          <w:tcPr>
            <w:tcW w:w="1766" w:type="dxa"/>
            <w:tcBorders>
              <w:top w:val="single" w:sz="4" w:space="0" w:color="auto"/>
              <w:bottom w:val="single" w:sz="4" w:space="0" w:color="auto"/>
            </w:tcBorders>
            <w:shd w:val="clear" w:color="auto" w:fill="auto"/>
            <w:vAlign w:val="bottom"/>
            <w:hideMark/>
          </w:tcPr>
          <w:p w14:paraId="0821C4D1" w14:textId="77777777" w:rsidR="005A3E3B" w:rsidRPr="00A30A72" w:rsidRDefault="005A3E3B" w:rsidP="00FE11BE">
            <w:pPr>
              <w:jc w:val="center"/>
              <w:rPr>
                <w:color w:val="000000"/>
                <w:sz w:val="20"/>
                <w:szCs w:val="20"/>
              </w:rPr>
            </w:pPr>
            <w:r w:rsidRPr="00A30A72">
              <w:rPr>
                <w:color w:val="000000"/>
                <w:sz w:val="20"/>
                <w:szCs w:val="20"/>
              </w:rPr>
              <w:t>ERS Desconocidos y lugares públicos</w:t>
            </w:r>
          </w:p>
        </w:tc>
      </w:tr>
      <w:tr w:rsidR="005A3E3B" w:rsidRPr="00A30A72" w14:paraId="2A3CE159" w14:textId="77777777" w:rsidTr="005A3E3B">
        <w:trPr>
          <w:trHeight w:val="495"/>
          <w:jc w:val="center"/>
        </w:trPr>
        <w:tc>
          <w:tcPr>
            <w:tcW w:w="2701" w:type="dxa"/>
            <w:tcBorders>
              <w:top w:val="single" w:sz="4" w:space="0" w:color="auto"/>
            </w:tcBorders>
            <w:shd w:val="clear" w:color="auto" w:fill="auto"/>
            <w:hideMark/>
          </w:tcPr>
          <w:p w14:paraId="14738EEE" w14:textId="77777777" w:rsidR="005A3E3B" w:rsidRPr="00A30A72" w:rsidRDefault="005A3E3B" w:rsidP="00FE11BE">
            <w:pPr>
              <w:rPr>
                <w:color w:val="000000"/>
                <w:sz w:val="20"/>
                <w:szCs w:val="20"/>
              </w:rPr>
            </w:pPr>
            <w:r w:rsidRPr="00A30A72">
              <w:rPr>
                <w:color w:val="000000"/>
                <w:sz w:val="20"/>
                <w:szCs w:val="20"/>
              </w:rPr>
              <w:t>AS Conocidos</w:t>
            </w:r>
          </w:p>
        </w:tc>
        <w:tc>
          <w:tcPr>
            <w:tcW w:w="1583" w:type="dxa"/>
            <w:tcBorders>
              <w:top w:val="single" w:sz="4" w:space="0" w:color="auto"/>
            </w:tcBorders>
            <w:shd w:val="clear" w:color="auto" w:fill="auto"/>
            <w:noWrap/>
            <w:hideMark/>
          </w:tcPr>
          <w:p w14:paraId="303EF0A4" w14:textId="77777777" w:rsidR="005A3E3B" w:rsidRPr="00A30A72" w:rsidRDefault="005A3E3B" w:rsidP="00FE11BE">
            <w:pPr>
              <w:jc w:val="right"/>
              <w:rPr>
                <w:color w:val="000000"/>
                <w:sz w:val="20"/>
                <w:szCs w:val="20"/>
              </w:rPr>
            </w:pPr>
            <w:r w:rsidRPr="00A30A72">
              <w:rPr>
                <w:color w:val="000000"/>
                <w:sz w:val="20"/>
                <w:szCs w:val="20"/>
              </w:rPr>
              <w:t>.22</w:t>
            </w:r>
            <w:r w:rsidRPr="00A30A72">
              <w:rPr>
                <w:color w:val="000000"/>
                <w:sz w:val="20"/>
                <w:szCs w:val="20"/>
                <w:vertAlign w:val="superscript"/>
              </w:rPr>
              <w:t>**</w:t>
            </w:r>
          </w:p>
        </w:tc>
        <w:tc>
          <w:tcPr>
            <w:tcW w:w="1516" w:type="dxa"/>
            <w:tcBorders>
              <w:top w:val="single" w:sz="4" w:space="0" w:color="auto"/>
            </w:tcBorders>
            <w:shd w:val="clear" w:color="auto" w:fill="auto"/>
            <w:noWrap/>
            <w:hideMark/>
          </w:tcPr>
          <w:p w14:paraId="79A2958C" w14:textId="77777777" w:rsidR="005A3E3B" w:rsidRPr="00A30A72" w:rsidRDefault="005A3E3B" w:rsidP="00FE11BE">
            <w:pPr>
              <w:jc w:val="right"/>
              <w:rPr>
                <w:color w:val="000000"/>
                <w:sz w:val="20"/>
                <w:szCs w:val="20"/>
              </w:rPr>
            </w:pPr>
            <w:r w:rsidRPr="00A30A72">
              <w:rPr>
                <w:color w:val="000000"/>
                <w:sz w:val="20"/>
                <w:szCs w:val="20"/>
              </w:rPr>
              <w:t>.28</w:t>
            </w:r>
            <w:r w:rsidRPr="00A30A72">
              <w:rPr>
                <w:color w:val="000000"/>
                <w:sz w:val="20"/>
                <w:szCs w:val="20"/>
                <w:vertAlign w:val="superscript"/>
              </w:rPr>
              <w:t>**</w:t>
            </w:r>
          </w:p>
        </w:tc>
        <w:tc>
          <w:tcPr>
            <w:tcW w:w="1766" w:type="dxa"/>
            <w:tcBorders>
              <w:top w:val="single" w:sz="4" w:space="0" w:color="auto"/>
            </w:tcBorders>
            <w:shd w:val="clear" w:color="auto" w:fill="auto"/>
            <w:noWrap/>
            <w:hideMark/>
          </w:tcPr>
          <w:p w14:paraId="6D50111F" w14:textId="77777777" w:rsidR="005A3E3B" w:rsidRPr="00A30A72" w:rsidRDefault="005A3E3B" w:rsidP="00FE11BE">
            <w:pPr>
              <w:jc w:val="right"/>
              <w:rPr>
                <w:color w:val="000000"/>
                <w:sz w:val="20"/>
                <w:szCs w:val="20"/>
              </w:rPr>
            </w:pPr>
            <w:r w:rsidRPr="00A30A72">
              <w:rPr>
                <w:color w:val="000000"/>
                <w:sz w:val="20"/>
                <w:szCs w:val="20"/>
              </w:rPr>
              <w:t>.24</w:t>
            </w:r>
            <w:r w:rsidRPr="00A30A72">
              <w:rPr>
                <w:color w:val="000000"/>
                <w:sz w:val="20"/>
                <w:szCs w:val="20"/>
                <w:vertAlign w:val="superscript"/>
              </w:rPr>
              <w:t>**</w:t>
            </w:r>
          </w:p>
        </w:tc>
      </w:tr>
      <w:tr w:rsidR="005A3E3B" w:rsidRPr="00A30A72" w14:paraId="5B1F9948" w14:textId="77777777" w:rsidTr="005A3E3B">
        <w:trPr>
          <w:trHeight w:val="300"/>
          <w:jc w:val="center"/>
        </w:trPr>
        <w:tc>
          <w:tcPr>
            <w:tcW w:w="2701" w:type="dxa"/>
            <w:shd w:val="clear" w:color="auto" w:fill="auto"/>
            <w:hideMark/>
          </w:tcPr>
          <w:p w14:paraId="7C9DD411" w14:textId="77777777" w:rsidR="005A3E3B" w:rsidRPr="00A30A72" w:rsidRDefault="005A3E3B" w:rsidP="00FE11BE">
            <w:pPr>
              <w:rPr>
                <w:color w:val="000000"/>
                <w:sz w:val="20"/>
                <w:szCs w:val="20"/>
              </w:rPr>
            </w:pPr>
            <w:r w:rsidRPr="00A30A72">
              <w:rPr>
                <w:color w:val="000000"/>
                <w:sz w:val="20"/>
                <w:szCs w:val="20"/>
              </w:rPr>
              <w:t>AS Situaciones Académicas</w:t>
            </w:r>
          </w:p>
        </w:tc>
        <w:tc>
          <w:tcPr>
            <w:tcW w:w="1583" w:type="dxa"/>
            <w:shd w:val="clear" w:color="auto" w:fill="auto"/>
            <w:noWrap/>
            <w:hideMark/>
          </w:tcPr>
          <w:p w14:paraId="4DDD8DFB" w14:textId="77777777" w:rsidR="005A3E3B" w:rsidRPr="00A30A72" w:rsidRDefault="005A3E3B" w:rsidP="00FE11BE">
            <w:pPr>
              <w:jc w:val="right"/>
              <w:rPr>
                <w:color w:val="000000"/>
                <w:sz w:val="20"/>
                <w:szCs w:val="20"/>
              </w:rPr>
            </w:pPr>
            <w:r w:rsidRPr="00A30A72">
              <w:rPr>
                <w:color w:val="000000"/>
                <w:sz w:val="20"/>
                <w:szCs w:val="20"/>
              </w:rPr>
              <w:t>.14</w:t>
            </w:r>
            <w:r w:rsidRPr="00A30A72">
              <w:rPr>
                <w:color w:val="000000"/>
                <w:sz w:val="20"/>
                <w:szCs w:val="20"/>
                <w:vertAlign w:val="superscript"/>
              </w:rPr>
              <w:t>**</w:t>
            </w:r>
          </w:p>
        </w:tc>
        <w:tc>
          <w:tcPr>
            <w:tcW w:w="1516" w:type="dxa"/>
            <w:shd w:val="clear" w:color="auto" w:fill="auto"/>
            <w:noWrap/>
            <w:hideMark/>
          </w:tcPr>
          <w:p w14:paraId="479CAF20" w14:textId="77777777" w:rsidR="005A3E3B" w:rsidRPr="00A30A72" w:rsidRDefault="005A3E3B" w:rsidP="00FE11BE">
            <w:pPr>
              <w:jc w:val="right"/>
              <w:rPr>
                <w:color w:val="000000"/>
                <w:sz w:val="20"/>
                <w:szCs w:val="20"/>
              </w:rPr>
            </w:pPr>
            <w:r w:rsidRPr="00A30A72">
              <w:rPr>
                <w:color w:val="000000"/>
                <w:sz w:val="20"/>
                <w:szCs w:val="20"/>
              </w:rPr>
              <w:t>.09</w:t>
            </w:r>
            <w:r w:rsidRPr="00A30A72">
              <w:rPr>
                <w:color w:val="000000"/>
                <w:sz w:val="20"/>
                <w:szCs w:val="20"/>
                <w:vertAlign w:val="superscript"/>
              </w:rPr>
              <w:t>*</w:t>
            </w:r>
          </w:p>
        </w:tc>
        <w:tc>
          <w:tcPr>
            <w:tcW w:w="1766" w:type="dxa"/>
            <w:shd w:val="clear" w:color="auto" w:fill="auto"/>
            <w:noWrap/>
            <w:hideMark/>
          </w:tcPr>
          <w:p w14:paraId="60F72967" w14:textId="77777777" w:rsidR="005A3E3B" w:rsidRPr="00A30A72" w:rsidRDefault="005A3E3B" w:rsidP="00FE11BE">
            <w:pPr>
              <w:jc w:val="right"/>
              <w:rPr>
                <w:color w:val="000000"/>
                <w:sz w:val="20"/>
                <w:szCs w:val="20"/>
              </w:rPr>
            </w:pPr>
            <w:r w:rsidRPr="00A30A72">
              <w:rPr>
                <w:color w:val="000000"/>
                <w:sz w:val="20"/>
                <w:szCs w:val="20"/>
              </w:rPr>
              <w:t>.03</w:t>
            </w:r>
          </w:p>
        </w:tc>
      </w:tr>
      <w:tr w:rsidR="005A3E3B" w:rsidRPr="00A30A72" w14:paraId="58E18BA9" w14:textId="77777777" w:rsidTr="005A3E3B">
        <w:trPr>
          <w:trHeight w:val="300"/>
          <w:jc w:val="center"/>
        </w:trPr>
        <w:tc>
          <w:tcPr>
            <w:tcW w:w="2701" w:type="dxa"/>
            <w:shd w:val="clear" w:color="auto" w:fill="auto"/>
            <w:hideMark/>
          </w:tcPr>
          <w:p w14:paraId="6648552B" w14:textId="77777777" w:rsidR="005A3E3B" w:rsidRPr="00A30A72" w:rsidRDefault="005A3E3B" w:rsidP="00FE11BE">
            <w:pPr>
              <w:rPr>
                <w:color w:val="000000"/>
                <w:sz w:val="20"/>
                <w:szCs w:val="20"/>
              </w:rPr>
            </w:pPr>
            <w:r w:rsidRPr="00A30A72">
              <w:rPr>
                <w:color w:val="000000"/>
                <w:sz w:val="20"/>
                <w:szCs w:val="20"/>
              </w:rPr>
              <w:t>AS Situaciones Generales</w:t>
            </w:r>
          </w:p>
        </w:tc>
        <w:tc>
          <w:tcPr>
            <w:tcW w:w="1583" w:type="dxa"/>
            <w:shd w:val="clear" w:color="auto" w:fill="auto"/>
            <w:noWrap/>
            <w:hideMark/>
          </w:tcPr>
          <w:p w14:paraId="7FF82FAE" w14:textId="77777777" w:rsidR="005A3E3B" w:rsidRPr="00A30A72" w:rsidRDefault="005A3E3B" w:rsidP="00FE11BE">
            <w:pPr>
              <w:jc w:val="right"/>
              <w:rPr>
                <w:color w:val="000000"/>
                <w:sz w:val="20"/>
                <w:szCs w:val="20"/>
              </w:rPr>
            </w:pPr>
            <w:r w:rsidRPr="00A30A72">
              <w:rPr>
                <w:color w:val="000000"/>
                <w:sz w:val="20"/>
                <w:szCs w:val="20"/>
              </w:rPr>
              <w:t>.21</w:t>
            </w:r>
            <w:r w:rsidRPr="00A30A72">
              <w:rPr>
                <w:color w:val="000000"/>
                <w:sz w:val="20"/>
                <w:szCs w:val="20"/>
                <w:vertAlign w:val="superscript"/>
              </w:rPr>
              <w:t>**</w:t>
            </w:r>
          </w:p>
        </w:tc>
        <w:tc>
          <w:tcPr>
            <w:tcW w:w="1516" w:type="dxa"/>
            <w:shd w:val="clear" w:color="auto" w:fill="auto"/>
            <w:noWrap/>
            <w:hideMark/>
          </w:tcPr>
          <w:p w14:paraId="6F4A16FA" w14:textId="77777777" w:rsidR="005A3E3B" w:rsidRPr="00A30A72" w:rsidRDefault="005A3E3B" w:rsidP="00FE11BE">
            <w:pPr>
              <w:jc w:val="right"/>
              <w:rPr>
                <w:color w:val="000000"/>
                <w:sz w:val="20"/>
                <w:szCs w:val="20"/>
              </w:rPr>
            </w:pPr>
            <w:r w:rsidRPr="00A30A72">
              <w:rPr>
                <w:color w:val="000000"/>
                <w:sz w:val="20"/>
                <w:szCs w:val="20"/>
              </w:rPr>
              <w:t>.22</w:t>
            </w:r>
            <w:r w:rsidRPr="00A30A72">
              <w:rPr>
                <w:color w:val="000000"/>
                <w:sz w:val="20"/>
                <w:szCs w:val="20"/>
                <w:vertAlign w:val="superscript"/>
              </w:rPr>
              <w:t>**</w:t>
            </w:r>
          </w:p>
        </w:tc>
        <w:tc>
          <w:tcPr>
            <w:tcW w:w="1766" w:type="dxa"/>
            <w:shd w:val="clear" w:color="auto" w:fill="auto"/>
            <w:noWrap/>
            <w:hideMark/>
          </w:tcPr>
          <w:p w14:paraId="08605CE6" w14:textId="77777777" w:rsidR="005A3E3B" w:rsidRPr="00A30A72" w:rsidRDefault="005A3E3B" w:rsidP="00FE11BE">
            <w:pPr>
              <w:jc w:val="right"/>
              <w:rPr>
                <w:color w:val="000000"/>
                <w:sz w:val="20"/>
                <w:szCs w:val="20"/>
              </w:rPr>
            </w:pPr>
            <w:r w:rsidRPr="00A30A72">
              <w:rPr>
                <w:color w:val="000000"/>
                <w:sz w:val="20"/>
                <w:szCs w:val="20"/>
              </w:rPr>
              <w:t>.21</w:t>
            </w:r>
            <w:r w:rsidRPr="00A30A72">
              <w:rPr>
                <w:color w:val="000000"/>
                <w:sz w:val="20"/>
                <w:szCs w:val="20"/>
                <w:vertAlign w:val="superscript"/>
              </w:rPr>
              <w:t>**</w:t>
            </w:r>
          </w:p>
        </w:tc>
      </w:tr>
      <w:tr w:rsidR="005A3E3B" w:rsidRPr="00A30A72" w14:paraId="24BE0F39" w14:textId="77777777" w:rsidTr="005A3E3B">
        <w:trPr>
          <w:trHeight w:val="300"/>
          <w:jc w:val="center"/>
        </w:trPr>
        <w:tc>
          <w:tcPr>
            <w:tcW w:w="2701" w:type="dxa"/>
            <w:shd w:val="clear" w:color="auto" w:fill="auto"/>
            <w:hideMark/>
          </w:tcPr>
          <w:p w14:paraId="5FB7BD51" w14:textId="77777777" w:rsidR="005A3E3B" w:rsidRPr="00A30A72" w:rsidRDefault="005A3E3B" w:rsidP="00FE11BE">
            <w:pPr>
              <w:rPr>
                <w:color w:val="000000"/>
                <w:sz w:val="20"/>
                <w:szCs w:val="20"/>
              </w:rPr>
            </w:pPr>
            <w:r w:rsidRPr="00A30A72">
              <w:rPr>
                <w:color w:val="000000"/>
                <w:sz w:val="20"/>
                <w:szCs w:val="20"/>
              </w:rPr>
              <w:t>AS Abordaje Afectivo- Sexual</w:t>
            </w:r>
          </w:p>
        </w:tc>
        <w:tc>
          <w:tcPr>
            <w:tcW w:w="1583" w:type="dxa"/>
            <w:tcBorders>
              <w:bottom w:val="single" w:sz="4" w:space="0" w:color="auto"/>
            </w:tcBorders>
            <w:shd w:val="clear" w:color="auto" w:fill="auto"/>
            <w:noWrap/>
            <w:hideMark/>
          </w:tcPr>
          <w:p w14:paraId="26E6ADFC" w14:textId="77777777" w:rsidR="005A3E3B" w:rsidRPr="00A30A72" w:rsidRDefault="005A3E3B" w:rsidP="00FE11BE">
            <w:pPr>
              <w:jc w:val="right"/>
              <w:rPr>
                <w:color w:val="000000"/>
                <w:sz w:val="20"/>
                <w:szCs w:val="20"/>
              </w:rPr>
            </w:pPr>
            <w:r w:rsidRPr="00A30A72">
              <w:rPr>
                <w:color w:val="000000"/>
                <w:sz w:val="20"/>
                <w:szCs w:val="20"/>
              </w:rPr>
              <w:t>.25</w:t>
            </w:r>
            <w:r w:rsidRPr="00A30A72">
              <w:rPr>
                <w:color w:val="000000"/>
                <w:sz w:val="20"/>
                <w:szCs w:val="20"/>
                <w:vertAlign w:val="superscript"/>
              </w:rPr>
              <w:t>**</w:t>
            </w:r>
          </w:p>
        </w:tc>
        <w:tc>
          <w:tcPr>
            <w:tcW w:w="1516" w:type="dxa"/>
            <w:tcBorders>
              <w:bottom w:val="single" w:sz="4" w:space="0" w:color="auto"/>
            </w:tcBorders>
            <w:shd w:val="clear" w:color="auto" w:fill="auto"/>
            <w:noWrap/>
            <w:hideMark/>
          </w:tcPr>
          <w:p w14:paraId="7AAD630D" w14:textId="77777777" w:rsidR="005A3E3B" w:rsidRPr="00A30A72" w:rsidRDefault="005A3E3B" w:rsidP="00FE11BE">
            <w:pPr>
              <w:jc w:val="right"/>
              <w:rPr>
                <w:color w:val="000000"/>
                <w:sz w:val="20"/>
                <w:szCs w:val="20"/>
              </w:rPr>
            </w:pPr>
            <w:r w:rsidRPr="00A30A72">
              <w:rPr>
                <w:color w:val="000000"/>
                <w:sz w:val="20"/>
                <w:szCs w:val="20"/>
              </w:rPr>
              <w:t>.15</w:t>
            </w:r>
            <w:r w:rsidRPr="00A30A72">
              <w:rPr>
                <w:color w:val="000000"/>
                <w:sz w:val="20"/>
                <w:szCs w:val="20"/>
                <w:vertAlign w:val="superscript"/>
              </w:rPr>
              <w:t>**</w:t>
            </w:r>
          </w:p>
        </w:tc>
        <w:tc>
          <w:tcPr>
            <w:tcW w:w="1766" w:type="dxa"/>
            <w:tcBorders>
              <w:bottom w:val="single" w:sz="4" w:space="0" w:color="auto"/>
            </w:tcBorders>
            <w:shd w:val="clear" w:color="auto" w:fill="auto"/>
            <w:noWrap/>
            <w:hideMark/>
          </w:tcPr>
          <w:p w14:paraId="68BDE700" w14:textId="77777777" w:rsidR="005A3E3B" w:rsidRPr="00A30A72" w:rsidRDefault="005A3E3B" w:rsidP="00FE11BE">
            <w:pPr>
              <w:jc w:val="right"/>
              <w:rPr>
                <w:color w:val="000000"/>
                <w:sz w:val="20"/>
                <w:szCs w:val="20"/>
              </w:rPr>
            </w:pPr>
            <w:r w:rsidRPr="00A30A72">
              <w:rPr>
                <w:color w:val="000000"/>
                <w:sz w:val="20"/>
                <w:szCs w:val="20"/>
              </w:rPr>
              <w:t>.05</w:t>
            </w:r>
          </w:p>
        </w:tc>
      </w:tr>
      <w:tr w:rsidR="005A3E3B" w:rsidRPr="00A30A72" w14:paraId="7866CC5F" w14:textId="77777777" w:rsidTr="005A3E3B">
        <w:trPr>
          <w:gridAfter w:val="3"/>
          <w:wAfter w:w="4865" w:type="dxa"/>
          <w:trHeight w:val="300"/>
          <w:jc w:val="center"/>
        </w:trPr>
        <w:tc>
          <w:tcPr>
            <w:tcW w:w="2701" w:type="dxa"/>
            <w:tcBorders>
              <w:top w:val="single" w:sz="4" w:space="0" w:color="auto"/>
            </w:tcBorders>
            <w:shd w:val="clear" w:color="auto" w:fill="auto"/>
            <w:hideMark/>
          </w:tcPr>
          <w:p w14:paraId="54C3D8F3" w14:textId="0C0D324B" w:rsidR="005A3E3B" w:rsidRPr="00A30A72" w:rsidRDefault="005A3E3B" w:rsidP="00FE11BE">
            <w:pPr>
              <w:rPr>
                <w:color w:val="000000"/>
                <w:sz w:val="20"/>
                <w:szCs w:val="20"/>
              </w:rPr>
            </w:pPr>
            <w:r>
              <w:rPr>
                <w:color w:val="000000"/>
                <w:sz w:val="20"/>
                <w:szCs w:val="20"/>
              </w:rPr>
              <w:t>**p&lt;.01; *p&lt;.05</w:t>
            </w:r>
          </w:p>
        </w:tc>
      </w:tr>
    </w:tbl>
    <w:p w14:paraId="3140EE27" w14:textId="0B7EF325" w:rsidR="00A37701" w:rsidRDefault="00A37701" w:rsidP="00FE11BE">
      <w:pPr>
        <w:spacing w:after="160"/>
        <w:rPr>
          <w:b/>
        </w:rPr>
      </w:pPr>
    </w:p>
    <w:p w14:paraId="22FD2BAE" w14:textId="77777777" w:rsidR="00F6291B" w:rsidRPr="00A30A72" w:rsidRDefault="00F6291B" w:rsidP="00FE11BE">
      <w:pPr>
        <w:jc w:val="center"/>
        <w:rPr>
          <w:b/>
        </w:rPr>
      </w:pPr>
      <w:r w:rsidRPr="00A30A72">
        <w:rPr>
          <w:b/>
        </w:rPr>
        <w:t>Discusión</w:t>
      </w:r>
    </w:p>
    <w:p w14:paraId="6581800F" w14:textId="2C9676DA" w:rsidR="006433E3" w:rsidRPr="00A30A72" w:rsidRDefault="000809B4" w:rsidP="00FE11BE">
      <w:pPr>
        <w:jc w:val="both"/>
        <w:rPr>
          <w:color w:val="000000" w:themeColor="text1"/>
        </w:rPr>
      </w:pPr>
      <w:r>
        <w:rPr>
          <w:color w:val="000000" w:themeColor="text1"/>
        </w:rPr>
        <w:t xml:space="preserve">El establecimiento de relaciones sociales satisfactorias es un factor </w:t>
      </w:r>
      <w:proofErr w:type="spellStart"/>
      <w:r>
        <w:rPr>
          <w:color w:val="000000" w:themeColor="text1"/>
        </w:rPr>
        <w:t>salugénico</w:t>
      </w:r>
      <w:proofErr w:type="spellEnd"/>
      <w:r>
        <w:rPr>
          <w:color w:val="000000" w:themeColor="text1"/>
        </w:rPr>
        <w:t xml:space="preserve"> y de protección frente a los diferentes factores de estrés psicosocial que las persona</w:t>
      </w:r>
      <w:r w:rsidR="00FF4836">
        <w:rPr>
          <w:color w:val="000000" w:themeColor="text1"/>
        </w:rPr>
        <w:t>s</w:t>
      </w:r>
      <w:r>
        <w:rPr>
          <w:color w:val="000000" w:themeColor="text1"/>
        </w:rPr>
        <w:t xml:space="preserve"> afrontan diariamente. Por esto, el estudio de</w:t>
      </w:r>
      <w:r w:rsidR="00FF4836">
        <w:rPr>
          <w:color w:val="000000" w:themeColor="text1"/>
        </w:rPr>
        <w:t xml:space="preserve">l comportamiento interpersonal </w:t>
      </w:r>
      <w:r>
        <w:rPr>
          <w:color w:val="000000" w:themeColor="text1"/>
        </w:rPr>
        <w:t xml:space="preserve">y </w:t>
      </w:r>
      <w:r w:rsidR="006433E3" w:rsidRPr="00A30A72">
        <w:rPr>
          <w:color w:val="000000" w:themeColor="text1"/>
        </w:rPr>
        <w:t>de l</w:t>
      </w:r>
      <w:r>
        <w:rPr>
          <w:color w:val="000000" w:themeColor="text1"/>
        </w:rPr>
        <w:t xml:space="preserve">as diferentes variables </w:t>
      </w:r>
      <w:proofErr w:type="spellStart"/>
      <w:r w:rsidR="00575BFB">
        <w:rPr>
          <w:color w:val="000000" w:themeColor="text1"/>
        </w:rPr>
        <w:t>predictoras</w:t>
      </w:r>
      <w:proofErr w:type="spellEnd"/>
      <w:r w:rsidR="00575BFB">
        <w:rPr>
          <w:color w:val="000000" w:themeColor="text1"/>
        </w:rPr>
        <w:t xml:space="preserve"> de la competencia social </w:t>
      </w:r>
      <w:r w:rsidR="00E30E4D" w:rsidRPr="00A30A72">
        <w:rPr>
          <w:color w:val="000000" w:themeColor="text1"/>
        </w:rPr>
        <w:t>resulta de suma importancia en la actualidad</w:t>
      </w:r>
      <w:r w:rsidR="006433E3" w:rsidRPr="00A30A72">
        <w:rPr>
          <w:color w:val="000000" w:themeColor="text1"/>
        </w:rPr>
        <w:t xml:space="preserve">. </w:t>
      </w:r>
      <w:r w:rsidR="00E30E4D" w:rsidRPr="00A30A72">
        <w:rPr>
          <w:color w:val="000000" w:themeColor="text1"/>
        </w:rPr>
        <w:t>No obstante, p</w:t>
      </w:r>
      <w:r w:rsidR="006433E3" w:rsidRPr="00A30A72">
        <w:rPr>
          <w:color w:val="000000" w:themeColor="text1"/>
        </w:rPr>
        <w:t xml:space="preserve">ara contribuir a este campo de investigación, se hace </w:t>
      </w:r>
      <w:r w:rsidR="006433E3" w:rsidRPr="00A30A72">
        <w:rPr>
          <w:color w:val="000000" w:themeColor="text1"/>
        </w:rPr>
        <w:lastRenderedPageBreak/>
        <w:t>imprescindible contar con instrumentos de evaluación que sean válidos y confiables. Por ello, e</w:t>
      </w:r>
      <w:r w:rsidR="00F6291B" w:rsidRPr="00A30A72">
        <w:rPr>
          <w:color w:val="000000" w:themeColor="text1"/>
        </w:rPr>
        <w:t xml:space="preserve">l </w:t>
      </w:r>
      <w:r w:rsidR="006433E3" w:rsidRPr="00A30A72">
        <w:rPr>
          <w:color w:val="000000" w:themeColor="text1"/>
        </w:rPr>
        <w:t>objetivo de este estudio fue la</w:t>
      </w:r>
      <w:r w:rsidR="00F6291B" w:rsidRPr="00A30A72">
        <w:rPr>
          <w:color w:val="000000" w:themeColor="text1"/>
        </w:rPr>
        <w:t xml:space="preserve"> construcción</w:t>
      </w:r>
      <w:r w:rsidR="006433E3" w:rsidRPr="00A30A72">
        <w:rPr>
          <w:color w:val="000000" w:themeColor="text1"/>
        </w:rPr>
        <w:t xml:space="preserve"> y validación</w:t>
      </w:r>
      <w:r w:rsidR="00F6291B" w:rsidRPr="00A30A72">
        <w:rPr>
          <w:color w:val="000000" w:themeColor="text1"/>
        </w:rPr>
        <w:t xml:space="preserve"> de la Escala de Expectativas de Rechazo Social</w:t>
      </w:r>
      <w:r w:rsidR="006433E3" w:rsidRPr="00A30A72">
        <w:rPr>
          <w:color w:val="000000" w:themeColor="text1"/>
        </w:rPr>
        <w:t xml:space="preserve"> (ERS)</w:t>
      </w:r>
      <w:r w:rsidR="00F6291B" w:rsidRPr="00A30A72">
        <w:rPr>
          <w:color w:val="000000" w:themeColor="text1"/>
        </w:rPr>
        <w:t xml:space="preserve">. </w:t>
      </w:r>
    </w:p>
    <w:p w14:paraId="341AB516" w14:textId="77777777" w:rsidR="00F6291B" w:rsidRPr="00A30A72" w:rsidRDefault="006433E3" w:rsidP="00FE11BE">
      <w:pPr>
        <w:ind w:firstLine="708"/>
        <w:jc w:val="both"/>
        <w:rPr>
          <w:color w:val="000000" w:themeColor="text1"/>
        </w:rPr>
      </w:pPr>
      <w:r w:rsidRPr="00A30A72">
        <w:rPr>
          <w:color w:val="000000" w:themeColor="text1"/>
        </w:rPr>
        <w:t>Se</w:t>
      </w:r>
      <w:r w:rsidR="00F6291B" w:rsidRPr="00A30A72">
        <w:rPr>
          <w:color w:val="000000" w:themeColor="text1"/>
        </w:rPr>
        <w:t xml:space="preserve"> realizó una exhaustiva revisión de escalas que evalúan constructos afines, los desarrollos teóricos y sus recomendaciones para la construcción de escalas, y estudios empíricos antecedentes. Para el diseño se tuvieron en cuenta diferentes situaciones sociales, distintos números de integrantes y diversos niveles de familiaridad. El segundo paso fue recabar evidencia de contenido, a través del juicio de expertos sobre la inclusión y calidad de los reactivos obteniéndose un instrumento inicial de 45 ítems que fueron sometidos a estudios de estructura interna mediante AFE y AFC. Este análisis permitió identificar una estructura interna compuesta de 27 ítems distribuidos en tres factores.</w:t>
      </w:r>
    </w:p>
    <w:p w14:paraId="7FA1ED92" w14:textId="28AEBA39" w:rsidR="00F6291B" w:rsidRPr="00A30A72" w:rsidRDefault="00F6291B" w:rsidP="00FE11BE">
      <w:pPr>
        <w:ind w:firstLine="709"/>
        <w:jc w:val="both"/>
      </w:pPr>
      <w:r w:rsidRPr="00A30A72">
        <w:t xml:space="preserve">El primer factor se denomina </w:t>
      </w:r>
      <w:r w:rsidR="009803BF">
        <w:t>Expectativas de r</w:t>
      </w:r>
      <w:r w:rsidRPr="009803BF">
        <w:t>echazo en situaciones con vínculos establecidos, el cual evalúa expectat</w:t>
      </w:r>
      <w:r w:rsidRPr="00A30A72">
        <w:t xml:space="preserve">ivas en situaciones cotidianas de interacción con amigos, colegas y familiares. Incluye expresar ideas, hacer propuestas, hacer pedidos y ser integrado en actividades sociales. </w:t>
      </w:r>
      <w:r w:rsidR="00575BFB">
        <w:t>L</w:t>
      </w:r>
      <w:r w:rsidR="00FF4836">
        <w:t>os ítems que forma</w:t>
      </w:r>
      <w:r w:rsidR="00575BFB">
        <w:t xml:space="preserve">n parte de esta </w:t>
      </w:r>
      <w:proofErr w:type="spellStart"/>
      <w:r w:rsidR="00575BFB">
        <w:t>subescala</w:t>
      </w:r>
      <w:proofErr w:type="spellEnd"/>
      <w:r w:rsidR="00575BFB">
        <w:t xml:space="preserve"> </w:t>
      </w:r>
      <w:r w:rsidRPr="00A30A72">
        <w:t>también ha</w:t>
      </w:r>
      <w:r w:rsidR="00575BFB">
        <w:t>n</w:t>
      </w:r>
      <w:r w:rsidRPr="00A30A72">
        <w:t xml:space="preserve"> sido considerad</w:t>
      </w:r>
      <w:r w:rsidR="00575BFB">
        <w:t xml:space="preserve">os en el contenido </w:t>
      </w:r>
      <w:r w:rsidRPr="00A30A72">
        <w:t xml:space="preserve">de otras escalas afines, tales como la Escala de Miedo a la Evaluación Negativa (FNE de Collins, </w:t>
      </w:r>
      <w:proofErr w:type="spellStart"/>
      <w:r w:rsidRPr="00A30A72">
        <w:t>Westra</w:t>
      </w:r>
      <w:proofErr w:type="spellEnd"/>
      <w:r w:rsidRPr="00A30A72">
        <w:t xml:space="preserve">, </w:t>
      </w:r>
      <w:proofErr w:type="spellStart"/>
      <w:r w:rsidRPr="00A30A72">
        <w:t>Dozois</w:t>
      </w:r>
      <w:proofErr w:type="spellEnd"/>
      <w:r w:rsidRPr="00A30A72">
        <w:t xml:space="preserve">, &amp; Stewart, 2005; </w:t>
      </w:r>
      <w:proofErr w:type="spellStart"/>
      <w:r w:rsidRPr="00A30A72">
        <w:t>Leary</w:t>
      </w:r>
      <w:proofErr w:type="spellEnd"/>
      <w:r w:rsidRPr="00A30A72">
        <w:t>, 1983), la escala de Sensibilidad al Rechazo (</w:t>
      </w:r>
      <w:proofErr w:type="spellStart"/>
      <w:r w:rsidRPr="00A30A72">
        <w:t>Mehrabian</w:t>
      </w:r>
      <w:proofErr w:type="spellEnd"/>
      <w:r w:rsidRPr="00A30A72">
        <w:t>, 1976), el Cuestionario de evaluación de dificultades interpersonales en la adolescencia (</w:t>
      </w:r>
      <w:proofErr w:type="gramStart"/>
      <w:r w:rsidRPr="00A30A72">
        <w:t>Inglés</w:t>
      </w:r>
      <w:proofErr w:type="gramEnd"/>
      <w:r w:rsidRPr="00A30A72">
        <w:t>, Méndez &amp; Hidalgo, 2000) y el TAS-U. L</w:t>
      </w:r>
      <w:r w:rsidR="00575BFB">
        <w:t xml:space="preserve">a característica distintiva de los ítems de este factor </w:t>
      </w:r>
      <w:r w:rsidRPr="00A30A72">
        <w:t xml:space="preserve">es </w:t>
      </w:r>
      <w:r w:rsidR="00575BFB">
        <w:t xml:space="preserve">el hecho de </w:t>
      </w:r>
      <w:r w:rsidRPr="00A30A72">
        <w:t>que los interlocutores son personas con quienes la persona ya ha establecido un vínculo y posee información previa acerca de los posibles resultados de la interacción. Por otro lado, las actividades o demandas son relacionadas a contextos conocidos por la persona y específicas de los mismos (por ejemplo, relativas al lugar de trabajo), y si bien existe cierto grado de incertidumbre en todas las relaciones, afrontar algo nuevo o desconocido puede ser generador de mayores niveles de ansiedad (</w:t>
      </w:r>
      <w:proofErr w:type="spellStart"/>
      <w:r w:rsidRPr="00A30A72">
        <w:t>Gudykunst</w:t>
      </w:r>
      <w:proofErr w:type="spellEnd"/>
      <w:r w:rsidRPr="00A30A72">
        <w:t xml:space="preserve"> &amp; </w:t>
      </w:r>
      <w:proofErr w:type="spellStart"/>
      <w:r w:rsidRPr="00A30A72">
        <w:t>Shapiro</w:t>
      </w:r>
      <w:proofErr w:type="spellEnd"/>
      <w:r w:rsidRPr="00A30A72">
        <w:t xml:space="preserve">, 1996). </w:t>
      </w:r>
    </w:p>
    <w:p w14:paraId="3A0A4546" w14:textId="0AB638C4" w:rsidR="00F6291B" w:rsidRPr="00A30A72" w:rsidRDefault="00F6291B" w:rsidP="00FE11BE">
      <w:pPr>
        <w:autoSpaceDE w:val="0"/>
        <w:autoSpaceDN w:val="0"/>
        <w:adjustRightInd w:val="0"/>
        <w:ind w:firstLine="708"/>
        <w:jc w:val="both"/>
      </w:pPr>
      <w:r w:rsidRPr="00A30A72">
        <w:t xml:space="preserve">El segundo factor se denomina </w:t>
      </w:r>
      <w:r w:rsidRPr="009803BF">
        <w:t>Expectativas de rechazo en situaciones de establecimiento de nuevos vínculos, y eval</w:t>
      </w:r>
      <w:r w:rsidRPr="00A30A72">
        <w:t>úa expectativas en situaciones de interacción con personas nuevas que generan algún tipo de interés, ya sea amistoso, académico o sexual por lo cual se incluyen situaciones de abordaje afectivo-sexual</w:t>
      </w:r>
      <w:r w:rsidRPr="00A30A72">
        <w:rPr>
          <w:rStyle w:val="apple-style-span"/>
          <w:rFonts w:eastAsia="Calibri"/>
          <w:color w:val="000000"/>
        </w:rPr>
        <w:t xml:space="preserve">. </w:t>
      </w:r>
      <w:r w:rsidR="00575BFB">
        <w:t xml:space="preserve">El contenido específico de este factor se vincula a situaciones donde la persona </w:t>
      </w:r>
      <w:r w:rsidR="000B1836">
        <w:t xml:space="preserve">tiene </w:t>
      </w:r>
      <w:r w:rsidRPr="00A30A72">
        <w:t xml:space="preserve">un interés genuino en ser evaluado positivamente o aceptado por su interlocutor, sin tener información previa específica de los posibles </w:t>
      </w:r>
      <w:r w:rsidR="00585190" w:rsidRPr="00A30A72">
        <w:t>resultados. Como</w:t>
      </w:r>
      <w:r w:rsidRPr="00A30A72">
        <w:t xml:space="preserve"> afirman </w:t>
      </w:r>
      <w:proofErr w:type="spellStart"/>
      <w:r w:rsidRPr="00A30A72">
        <w:t>McClure</w:t>
      </w:r>
      <w:proofErr w:type="spellEnd"/>
      <w:r w:rsidRPr="00A30A72">
        <w:t xml:space="preserve">, </w:t>
      </w:r>
      <w:proofErr w:type="spellStart"/>
      <w:r w:rsidRPr="00A30A72">
        <w:t>Lydon</w:t>
      </w:r>
      <w:proofErr w:type="spellEnd"/>
      <w:r w:rsidRPr="00A30A72">
        <w:t xml:space="preserve">, </w:t>
      </w:r>
      <w:proofErr w:type="spellStart"/>
      <w:r w:rsidRPr="00A30A72">
        <w:t>Baccus</w:t>
      </w:r>
      <w:proofErr w:type="spellEnd"/>
      <w:r w:rsidRPr="00A30A72">
        <w:t xml:space="preserve"> y Baldwin (2010), en condiciones óptimas los seres humanos son capaces de equilibrar el deseo de entablar una relación con el miedo al rechazo, así como </w:t>
      </w:r>
      <w:r w:rsidR="001972AD">
        <w:t xml:space="preserve">realizar un </w:t>
      </w:r>
      <w:r w:rsidRPr="00A30A72">
        <w:t>acercamiento s</w:t>
      </w:r>
      <w:r w:rsidR="001972AD">
        <w:t xml:space="preserve">electivo a </w:t>
      </w:r>
      <w:r w:rsidRPr="00A30A72">
        <w:t xml:space="preserve">personas que puedan corresponder </w:t>
      </w:r>
      <w:r w:rsidR="001972AD">
        <w:t>el</w:t>
      </w:r>
      <w:r w:rsidRPr="00A30A72">
        <w:t xml:space="preserve"> interés disminuyendo las posibilidades </w:t>
      </w:r>
      <w:r w:rsidR="001972AD">
        <w:t xml:space="preserve">de </w:t>
      </w:r>
      <w:r w:rsidRPr="00A30A72">
        <w:t xml:space="preserve">ser rechazado, </w:t>
      </w:r>
      <w:r w:rsidR="001972AD">
        <w:t>disminuyendo las probabilidades de</w:t>
      </w:r>
      <w:r w:rsidRPr="00A30A72">
        <w:t xml:space="preserve"> fracaso interpersonal </w:t>
      </w:r>
      <w:r w:rsidR="001972AD">
        <w:t>a</w:t>
      </w:r>
      <w:r w:rsidR="001972AD" w:rsidRPr="00A30A72">
        <w:t xml:space="preserve"> </w:t>
      </w:r>
      <w:r w:rsidRPr="00A30A72">
        <w:t xml:space="preserve">un mínimo. Sin embargo, la estrategia utilizada y la percepción de las posibilidades de éxito relacional se basan en la forma en que la persona sopesa el valor del éxito contra el costo de un posible fracaso. En este sentido, personas cuyas expectativas en este tipo de situaciones sean predominantemente de rechazo, posiblemente tendrán conductas </w:t>
      </w:r>
      <w:proofErr w:type="spellStart"/>
      <w:r w:rsidRPr="00A30A72">
        <w:t>evitativas</w:t>
      </w:r>
      <w:proofErr w:type="spellEnd"/>
      <w:r w:rsidRPr="00A30A72">
        <w:t xml:space="preserve"> (Gilbert, 2001; </w:t>
      </w:r>
      <w:proofErr w:type="spellStart"/>
      <w:r w:rsidRPr="00A30A72">
        <w:t>Gudykunsta</w:t>
      </w:r>
      <w:proofErr w:type="spellEnd"/>
      <w:r w:rsidRPr="00A30A72">
        <w:t xml:space="preserve"> &amp; </w:t>
      </w:r>
      <w:proofErr w:type="spellStart"/>
      <w:r w:rsidRPr="00A30A72">
        <w:t>Nishida</w:t>
      </w:r>
      <w:proofErr w:type="spellEnd"/>
      <w:r w:rsidRPr="00A30A72">
        <w:t>, 2001), disminuyendo sus oportunidades relacionales (</w:t>
      </w:r>
      <w:proofErr w:type="spellStart"/>
      <w:r w:rsidRPr="00A30A72">
        <w:t>Vorauer</w:t>
      </w:r>
      <w:proofErr w:type="spellEnd"/>
      <w:r w:rsidRPr="00A30A72">
        <w:t xml:space="preserve"> &amp; </w:t>
      </w:r>
      <w:proofErr w:type="spellStart"/>
      <w:r w:rsidRPr="00A30A72">
        <w:t>Ratner</w:t>
      </w:r>
      <w:proofErr w:type="spellEnd"/>
      <w:r w:rsidRPr="00A30A72">
        <w:t>, 1996)</w:t>
      </w:r>
      <w:r w:rsidR="00B61052">
        <w:t>. Ca</w:t>
      </w:r>
      <w:r w:rsidRPr="00A30A72">
        <w:t xml:space="preserve">be mencionar que </w:t>
      </w:r>
      <w:r w:rsidR="00B61052">
        <w:t>el conteni</w:t>
      </w:r>
      <w:r w:rsidR="00A63944">
        <w:t>d</w:t>
      </w:r>
      <w:r w:rsidR="00B61052">
        <w:t xml:space="preserve">o de este </w:t>
      </w:r>
      <w:r w:rsidRPr="00A30A72">
        <w:t xml:space="preserve">factor </w:t>
      </w:r>
      <w:r w:rsidR="00B61052">
        <w:t xml:space="preserve">se vincula con el de las </w:t>
      </w:r>
      <w:proofErr w:type="spellStart"/>
      <w:r w:rsidR="00B61052">
        <w:t>subescalas</w:t>
      </w:r>
      <w:proofErr w:type="spellEnd"/>
      <w:r w:rsidR="00B61052">
        <w:t xml:space="preserve"> de diferentes instrumentos </w:t>
      </w:r>
      <w:r w:rsidRPr="00A30A72">
        <w:t>que evalúan constructos interpersonales tales como el Cuestionario de Habilidades Sociales (Morán et al., 2015), la Escala de Autoeficacia Social (</w:t>
      </w:r>
      <w:proofErr w:type="spellStart"/>
      <w:r w:rsidRPr="00A30A72">
        <w:t>Olaz</w:t>
      </w:r>
      <w:proofErr w:type="spellEnd"/>
      <w:r w:rsidRPr="00A30A72">
        <w:t>, 2012), el Cuestionario de Ansiedad Social para Adultos (CASO- A30, Caballo et al. 2010) y el TAS-U. Por otro lado,</w:t>
      </w:r>
      <w:r w:rsidR="009261F3">
        <w:t xml:space="preserve"> el contenido de</w:t>
      </w:r>
      <w:r w:rsidRPr="00A30A72">
        <w:t xml:space="preserve"> algunos de sus ítems también se </w:t>
      </w:r>
      <w:r w:rsidR="00B61052" w:rsidRPr="00A30A72">
        <w:t>relaciona</w:t>
      </w:r>
      <w:r w:rsidRPr="00A30A72">
        <w:t xml:space="preserve"> con los reactivos del FNE.</w:t>
      </w:r>
    </w:p>
    <w:p w14:paraId="37105803" w14:textId="0BAC75FF" w:rsidR="00F6291B" w:rsidRPr="00A30A72" w:rsidRDefault="00F6291B" w:rsidP="00FE11BE">
      <w:pPr>
        <w:ind w:firstLine="709"/>
        <w:jc w:val="both"/>
      </w:pPr>
      <w:r w:rsidRPr="00A30A72">
        <w:lastRenderedPageBreak/>
        <w:t xml:space="preserve">El tercer factor se denomina </w:t>
      </w:r>
      <w:r w:rsidRPr="009803BF">
        <w:t>Expectativas de rechazo en lugares públicos y ante desconocidos y el mismo también ha s</w:t>
      </w:r>
      <w:r w:rsidRPr="00A30A72">
        <w:t>ido evidenciado en la estructura factorial del TAS-U, el CASO- A30, y la escala de Ansiedad ante la interacción social y ser observado por otros (</w:t>
      </w:r>
      <w:proofErr w:type="spellStart"/>
      <w:r w:rsidR="00E41B79" w:rsidRPr="00A30A72">
        <w:t>Heimberg</w:t>
      </w:r>
      <w:proofErr w:type="spellEnd"/>
      <w:r w:rsidR="00E41B79" w:rsidRPr="00A30A72">
        <w:t xml:space="preserve">, </w:t>
      </w:r>
      <w:proofErr w:type="spellStart"/>
      <w:r w:rsidR="00E41B79" w:rsidRPr="00A30A72">
        <w:t>Mueller</w:t>
      </w:r>
      <w:proofErr w:type="spellEnd"/>
      <w:r w:rsidR="00E41B79" w:rsidRPr="00A30A72">
        <w:t xml:space="preserve">, </w:t>
      </w:r>
      <w:proofErr w:type="spellStart"/>
      <w:r w:rsidR="00E41B79" w:rsidRPr="00A30A72">
        <w:t>Holt</w:t>
      </w:r>
      <w:proofErr w:type="spellEnd"/>
      <w:r w:rsidR="00E41B79" w:rsidRPr="00A30A72">
        <w:t xml:space="preserve">, Hope &amp; </w:t>
      </w:r>
      <w:proofErr w:type="spellStart"/>
      <w:r w:rsidR="00E41B79" w:rsidRPr="00A30A72">
        <w:t>Liebowitz</w:t>
      </w:r>
      <w:proofErr w:type="spellEnd"/>
      <w:r w:rsidR="00E41B79" w:rsidRPr="00A30A72">
        <w:t xml:space="preserve">, </w:t>
      </w:r>
      <w:r w:rsidRPr="00A30A72">
        <w:t>1993). Este factor evalúa expectativas en situaciones de interacción con personas desconocidas en lugares neutrales y concurridos, como por ejemplo un banco. Incluye iniciar conversaciones, compartir espacios y hacer pedidos. Si bien exponerse a una audiencia, iniciar una conversación casual, o hacer una petición, son situaciones que implican un riesgo menor de fracaso o de impacto de sus consecuencias</w:t>
      </w:r>
      <w:r w:rsidR="00A63944">
        <w:t xml:space="preserve"> si son ante desconocidos</w:t>
      </w:r>
      <w:r w:rsidRPr="00A30A72">
        <w:t xml:space="preserve">, existen personas que en base a sus expectativas tienden a sobreestimar la probabilidad y el efecto de ser evaluado negativamente. Sumado a ello, </w:t>
      </w:r>
      <w:r w:rsidR="00B61052">
        <w:t xml:space="preserve">los resultados de diferentes </w:t>
      </w:r>
      <w:r w:rsidRPr="00A30A72">
        <w:t xml:space="preserve">investigaciones </w:t>
      </w:r>
      <w:proofErr w:type="gramStart"/>
      <w:r w:rsidR="00B61052">
        <w:t xml:space="preserve">evidencian </w:t>
      </w:r>
      <w:r w:rsidR="00B61052" w:rsidRPr="00A30A72">
        <w:t xml:space="preserve"> </w:t>
      </w:r>
      <w:r w:rsidRPr="00A30A72">
        <w:t>que</w:t>
      </w:r>
      <w:proofErr w:type="gramEnd"/>
      <w:r w:rsidRPr="00A30A72">
        <w:t xml:space="preserve"> este tipo de individuos tienden a padecer fobia social (Nelson, </w:t>
      </w:r>
      <w:proofErr w:type="spellStart"/>
      <w:r w:rsidRPr="00A30A72">
        <w:t>Lickel</w:t>
      </w:r>
      <w:proofErr w:type="spellEnd"/>
      <w:r w:rsidRPr="00A30A72">
        <w:t xml:space="preserve">, </w:t>
      </w:r>
      <w:proofErr w:type="spellStart"/>
      <w:r w:rsidRPr="00A30A72">
        <w:t>Sy</w:t>
      </w:r>
      <w:proofErr w:type="spellEnd"/>
      <w:r w:rsidRPr="00A30A72">
        <w:t xml:space="preserve">, Dixon, &amp; </w:t>
      </w:r>
      <w:proofErr w:type="spellStart"/>
      <w:r w:rsidRPr="00A30A72">
        <w:t>Deacon</w:t>
      </w:r>
      <w:proofErr w:type="spellEnd"/>
      <w:r w:rsidRPr="00A30A72">
        <w:t>, 2010). Por último, e</w:t>
      </w:r>
      <w:r w:rsidRPr="00A30A72">
        <w:rPr>
          <w:rFonts w:eastAsia="Calibri"/>
        </w:rPr>
        <w:t xml:space="preserve">s importante destacar que este factor se diferencia del primer factor en base a que </w:t>
      </w:r>
      <w:r w:rsidRPr="00A30A72">
        <w:t>los niveles de incertidumbre son mayores cuando nos relacionamos con personas desconocidas que cuando nos comunicamos con miembros de nuestros propios grupos (</w:t>
      </w:r>
      <w:proofErr w:type="spellStart"/>
      <w:r w:rsidRPr="00A30A72">
        <w:t>Gudyku</w:t>
      </w:r>
      <w:r w:rsidR="00761660" w:rsidRPr="00A30A72">
        <w:t>nst</w:t>
      </w:r>
      <w:proofErr w:type="spellEnd"/>
      <w:r w:rsidR="00761660" w:rsidRPr="00A30A72">
        <w:t xml:space="preserve"> &amp;</w:t>
      </w:r>
      <w:r w:rsidRPr="00A30A72">
        <w:t xml:space="preserve"> </w:t>
      </w:r>
      <w:proofErr w:type="spellStart"/>
      <w:r w:rsidRPr="00A30A72">
        <w:t>Shapiro</w:t>
      </w:r>
      <w:proofErr w:type="spellEnd"/>
      <w:r w:rsidRPr="00A30A72">
        <w:t xml:space="preserve">, 1996). </w:t>
      </w:r>
    </w:p>
    <w:p w14:paraId="090D43CF" w14:textId="77777777" w:rsidR="00F6291B" w:rsidRPr="00A30A72" w:rsidRDefault="00CE791C" w:rsidP="00FE11BE">
      <w:pPr>
        <w:ind w:firstLine="709"/>
        <w:jc w:val="both"/>
        <w:rPr>
          <w:color w:val="000000" w:themeColor="text1"/>
        </w:rPr>
      </w:pPr>
      <w:r w:rsidRPr="00A30A72">
        <w:t xml:space="preserve">Con </w:t>
      </w:r>
      <w:r w:rsidR="00F6291B" w:rsidRPr="00A30A72">
        <w:t xml:space="preserve">respecto a la fiabilidad de la ERS, todos los factores presentaron una consistencia interna adecuada (coeficientes alfa de </w:t>
      </w:r>
      <w:proofErr w:type="spellStart"/>
      <w:r w:rsidR="00F6291B" w:rsidRPr="00A30A72">
        <w:t>Cronbach</w:t>
      </w:r>
      <w:proofErr w:type="spellEnd"/>
      <w:r w:rsidR="00F6291B" w:rsidRPr="00A30A72">
        <w:t xml:space="preserve"> y fiabilidad compuesta superiores a .70), según los criterios sugeridos por la preceptiva psicométrica (</w:t>
      </w:r>
      <w:proofErr w:type="spellStart"/>
      <w:r w:rsidR="00F6291B" w:rsidRPr="00A30A72">
        <w:t>Nunnally</w:t>
      </w:r>
      <w:proofErr w:type="spellEnd"/>
      <w:r w:rsidR="00F6291B" w:rsidRPr="00A30A72">
        <w:t xml:space="preserve"> &amp; </w:t>
      </w:r>
      <w:proofErr w:type="spellStart"/>
      <w:r w:rsidR="00F6291B" w:rsidRPr="00A30A72">
        <w:t>Berstein</w:t>
      </w:r>
      <w:proofErr w:type="spellEnd"/>
      <w:r w:rsidR="00F6291B" w:rsidRPr="00A30A72">
        <w:t>, 1955 citados en Carretero Dios &amp; Pérez, 200</w:t>
      </w:r>
      <w:r w:rsidR="00F6291B" w:rsidRPr="00A30A72">
        <w:rPr>
          <w:color w:val="000000" w:themeColor="text1"/>
        </w:rPr>
        <w:t xml:space="preserve">5). </w:t>
      </w:r>
    </w:p>
    <w:p w14:paraId="5CEF1212" w14:textId="54513AFB" w:rsidR="00081681" w:rsidRPr="00A30A72" w:rsidRDefault="00CE791C" w:rsidP="00FE11BE">
      <w:pPr>
        <w:ind w:firstLine="709"/>
        <w:jc w:val="both"/>
        <w:rPr>
          <w:color w:val="000000" w:themeColor="text1"/>
        </w:rPr>
      </w:pPr>
      <w:r w:rsidRPr="00A30A72">
        <w:rPr>
          <w:color w:val="000000" w:themeColor="text1"/>
        </w:rPr>
        <w:t>Finalmente se obtuvo evidencia de validez con variables externas corroborando que las expectativas de rechazo social se</w:t>
      </w:r>
      <w:r w:rsidR="00A63944">
        <w:rPr>
          <w:color w:val="000000" w:themeColor="text1"/>
        </w:rPr>
        <w:t xml:space="preserve"> relacionan significativamente </w:t>
      </w:r>
      <w:r w:rsidRPr="00A30A72">
        <w:rPr>
          <w:color w:val="000000" w:themeColor="text1"/>
        </w:rPr>
        <w:t xml:space="preserve">de manera positiva con la ansiedad social. Estos resultados son coincidentes con la literatura e investigaciones antecedentes. </w:t>
      </w:r>
      <w:proofErr w:type="spellStart"/>
      <w:r w:rsidRPr="00A30A72">
        <w:rPr>
          <w:rFonts w:eastAsia="Arial"/>
          <w:color w:val="000000" w:themeColor="text1"/>
        </w:rPr>
        <w:t>Spence</w:t>
      </w:r>
      <w:proofErr w:type="spellEnd"/>
      <w:r w:rsidRPr="00A30A72">
        <w:rPr>
          <w:rFonts w:eastAsia="Arial"/>
          <w:color w:val="000000" w:themeColor="text1"/>
        </w:rPr>
        <w:t xml:space="preserve">, Donovan y </w:t>
      </w:r>
      <w:proofErr w:type="spellStart"/>
      <w:r w:rsidRPr="00A30A72">
        <w:rPr>
          <w:rFonts w:eastAsia="Arial"/>
          <w:color w:val="000000" w:themeColor="text1"/>
        </w:rPr>
        <w:t>Brechman</w:t>
      </w:r>
      <w:proofErr w:type="spellEnd"/>
      <w:r w:rsidRPr="00A30A72">
        <w:rPr>
          <w:rFonts w:eastAsia="Arial"/>
          <w:color w:val="000000" w:themeColor="text1"/>
        </w:rPr>
        <w:t xml:space="preserve"> </w:t>
      </w:r>
      <w:proofErr w:type="spellStart"/>
      <w:r w:rsidRPr="00A30A72">
        <w:rPr>
          <w:rFonts w:eastAsia="Arial"/>
          <w:color w:val="000000" w:themeColor="text1"/>
        </w:rPr>
        <w:t>Toussaint</w:t>
      </w:r>
      <w:proofErr w:type="spellEnd"/>
      <w:r w:rsidRPr="00A30A72">
        <w:rPr>
          <w:rFonts w:eastAsia="Arial"/>
          <w:color w:val="000000" w:themeColor="text1"/>
        </w:rPr>
        <w:t xml:space="preserve"> (1999) demostraron que los niños con fobia social, tendían a anticipar resultados negativos de las situaciones sociales, a evaluar su propio desempeño más negativamente, y a presentar un mayor nivel de cogniciones negativas en tareas socio-evaluativas en comparación con niños no ansiosos. </w:t>
      </w:r>
      <w:r w:rsidR="0036431D" w:rsidRPr="00A30A72">
        <w:t xml:space="preserve">Alfano, </w:t>
      </w:r>
      <w:proofErr w:type="spellStart"/>
      <w:r w:rsidR="0036431D" w:rsidRPr="00A30A72">
        <w:t>Beidel</w:t>
      </w:r>
      <w:proofErr w:type="spellEnd"/>
      <w:r w:rsidR="0036431D" w:rsidRPr="00A30A72">
        <w:t xml:space="preserve"> y Turner</w:t>
      </w:r>
      <w:r w:rsidR="0036431D" w:rsidRPr="00A30A72">
        <w:rPr>
          <w:rFonts w:eastAsia="Arial"/>
          <w:color w:val="000000" w:themeColor="text1"/>
        </w:rPr>
        <w:t xml:space="preserve"> </w:t>
      </w:r>
      <w:r w:rsidRPr="00A30A72">
        <w:rPr>
          <w:rFonts w:eastAsia="Arial"/>
          <w:color w:val="000000" w:themeColor="text1"/>
        </w:rPr>
        <w:t xml:space="preserve">(2006) también encontraron </w:t>
      </w:r>
      <w:r w:rsidR="00EC5725">
        <w:rPr>
          <w:rFonts w:eastAsia="Arial"/>
          <w:color w:val="000000" w:themeColor="text1"/>
        </w:rPr>
        <w:t xml:space="preserve">que los </w:t>
      </w:r>
      <w:r w:rsidRPr="00A30A72">
        <w:rPr>
          <w:rFonts w:eastAsia="Arial"/>
          <w:color w:val="000000" w:themeColor="text1"/>
        </w:rPr>
        <w:t>adultos que presentan mayores niveles de ansiedad social tienen mayores expectativas de rechazo o de resultados negativos sobre su desempeño.</w:t>
      </w:r>
      <w:r w:rsidRPr="00A30A72">
        <w:rPr>
          <w:color w:val="000000" w:themeColor="text1"/>
        </w:rPr>
        <w:t xml:space="preserve"> </w:t>
      </w:r>
      <w:proofErr w:type="spellStart"/>
      <w:r w:rsidR="00081681" w:rsidRPr="00A30A72">
        <w:rPr>
          <w:color w:val="000000" w:themeColor="text1"/>
        </w:rPr>
        <w:t>Rapee</w:t>
      </w:r>
      <w:proofErr w:type="spellEnd"/>
      <w:r w:rsidR="00081681" w:rsidRPr="00A30A72">
        <w:rPr>
          <w:color w:val="000000" w:themeColor="text1"/>
        </w:rPr>
        <w:t xml:space="preserve"> y </w:t>
      </w:r>
      <w:proofErr w:type="spellStart"/>
      <w:r w:rsidR="00081681" w:rsidRPr="00A30A72">
        <w:rPr>
          <w:color w:val="000000" w:themeColor="text1"/>
        </w:rPr>
        <w:t>Heimberg</w:t>
      </w:r>
      <w:proofErr w:type="spellEnd"/>
      <w:r w:rsidR="00081681" w:rsidRPr="00A30A72">
        <w:rPr>
          <w:color w:val="000000" w:themeColor="text1"/>
        </w:rPr>
        <w:t xml:space="preserve"> (1997) postulan </w:t>
      </w:r>
      <w:proofErr w:type="gramStart"/>
      <w:r w:rsidR="00081681" w:rsidRPr="00A30A72">
        <w:rPr>
          <w:color w:val="000000" w:themeColor="text1"/>
        </w:rPr>
        <w:t>que</w:t>
      </w:r>
      <w:proofErr w:type="gramEnd"/>
      <w:r w:rsidR="00081681" w:rsidRPr="00A30A72">
        <w:rPr>
          <w:color w:val="000000" w:themeColor="text1"/>
        </w:rPr>
        <w:t xml:space="preserve"> para reducir el riesgo potencial de rechazo en una interacción social, las personas socialmente ansiosas emplean conductas tales como evitar el contacto visual, reducir la producción verbal, utilizar tono de voz bajo o mantenerse aislado dentro de un grupo. Si bien estos comportamientos son sutiles, en la mayoría de los casos no pasan desapercibidos y tienen el efecto de reducir la calidad del desempeño social tornándose una profecía </w:t>
      </w:r>
      <w:proofErr w:type="spellStart"/>
      <w:r w:rsidR="00081681" w:rsidRPr="00A30A72">
        <w:rPr>
          <w:color w:val="000000" w:themeColor="text1"/>
        </w:rPr>
        <w:t>autocumplida</w:t>
      </w:r>
      <w:proofErr w:type="spellEnd"/>
      <w:r w:rsidR="00081681" w:rsidRPr="00A30A72">
        <w:rPr>
          <w:color w:val="000000" w:themeColor="text1"/>
        </w:rPr>
        <w:t xml:space="preserve">, ya que el sujeto recibe </w:t>
      </w:r>
      <w:proofErr w:type="spellStart"/>
      <w:r w:rsidR="00081681" w:rsidRPr="00A30A72">
        <w:rPr>
          <w:color w:val="000000" w:themeColor="text1"/>
        </w:rPr>
        <w:t>feedback</w:t>
      </w:r>
      <w:proofErr w:type="spellEnd"/>
      <w:r w:rsidR="00081681" w:rsidRPr="00A30A72">
        <w:rPr>
          <w:color w:val="000000" w:themeColor="text1"/>
        </w:rPr>
        <w:t xml:space="preserve"> tanto de su propio sistema de </w:t>
      </w:r>
      <w:proofErr w:type="spellStart"/>
      <w:r w:rsidR="00081681" w:rsidRPr="00A30A72">
        <w:rPr>
          <w:color w:val="000000" w:themeColor="text1"/>
        </w:rPr>
        <w:t>autovigilancia</w:t>
      </w:r>
      <w:proofErr w:type="spellEnd"/>
      <w:r w:rsidR="00081681" w:rsidRPr="00A30A72">
        <w:rPr>
          <w:color w:val="000000" w:themeColor="text1"/>
        </w:rPr>
        <w:t>, como de las respuestas verbales y no verbales de la audiencia, confirmando su inferior rendimiento. De esta manera, aun presenta</w:t>
      </w:r>
      <w:r w:rsidRPr="00A30A72">
        <w:rPr>
          <w:color w:val="000000" w:themeColor="text1"/>
        </w:rPr>
        <w:t>ndo un adecuado repertorio de habilidades sociales</w:t>
      </w:r>
      <w:r w:rsidR="00081681" w:rsidRPr="00A30A72">
        <w:rPr>
          <w:color w:val="000000" w:themeColor="text1"/>
        </w:rPr>
        <w:t>, la persona podría no actuar competentemente debido a una inhibición media</w:t>
      </w:r>
      <w:r w:rsidRPr="00A30A72">
        <w:rPr>
          <w:color w:val="000000" w:themeColor="text1"/>
        </w:rPr>
        <w:t>da por expectativas de rechazo y baja autoeficacia social.</w:t>
      </w:r>
    </w:p>
    <w:p w14:paraId="71C3BA78" w14:textId="30C2ACA7" w:rsidR="00093A96" w:rsidRPr="002B7009" w:rsidRDefault="009C6622" w:rsidP="00F82738">
      <w:pPr>
        <w:ind w:firstLine="709"/>
        <w:jc w:val="both"/>
        <w:rPr>
          <w:color w:val="FF0000"/>
        </w:rPr>
      </w:pPr>
      <w:r w:rsidRPr="00F82738">
        <w:rPr>
          <w:color w:val="FF0000"/>
        </w:rPr>
        <w:t>Para finalizar, cabe mencionar que este trabajo presentó algunas limitaciones</w:t>
      </w:r>
      <w:r w:rsidR="00F82738">
        <w:rPr>
          <w:color w:val="FF0000"/>
        </w:rPr>
        <w:t xml:space="preserve">. </w:t>
      </w:r>
      <w:r w:rsidRPr="00F82738">
        <w:rPr>
          <w:color w:val="FF0000"/>
        </w:rPr>
        <w:t xml:space="preserve"> </w:t>
      </w:r>
      <w:r w:rsidR="00F82738" w:rsidRPr="00F82738">
        <w:rPr>
          <w:color w:val="FF0000"/>
        </w:rPr>
        <w:t xml:space="preserve">En primer lugar, el método de muestreo fue de tipo no probabilístico </w:t>
      </w:r>
      <w:r w:rsidR="00F82738">
        <w:rPr>
          <w:color w:val="FF0000"/>
        </w:rPr>
        <w:t xml:space="preserve">lo que </w:t>
      </w:r>
      <w:r w:rsidR="00F82738" w:rsidRPr="00F82738">
        <w:rPr>
          <w:color w:val="FF0000"/>
        </w:rPr>
        <w:t xml:space="preserve">conlleva un riesgo importante de que los individuos seleccionados no sean representativos de la población. No obstante, </w:t>
      </w:r>
      <w:r w:rsidR="00F82738">
        <w:rPr>
          <w:color w:val="FF0000"/>
        </w:rPr>
        <w:t>se tomaron ciertos recaudos que permitieran reducir l</w:t>
      </w:r>
      <w:r w:rsidR="00F82738" w:rsidRPr="00F82738">
        <w:rPr>
          <w:color w:val="FF0000"/>
        </w:rPr>
        <w:t xml:space="preserve">a probabilidad de sesgos, </w:t>
      </w:r>
      <w:r w:rsidR="00F82738">
        <w:rPr>
          <w:color w:val="FF0000"/>
        </w:rPr>
        <w:t xml:space="preserve">entre ellos se incluyeron </w:t>
      </w:r>
      <w:r w:rsidR="00F82738" w:rsidRPr="00F82738">
        <w:rPr>
          <w:color w:val="FF0000"/>
        </w:rPr>
        <w:t xml:space="preserve">universidades públicas y privadas, carreras de diferentes </w:t>
      </w:r>
      <w:r w:rsidR="00F82738">
        <w:rPr>
          <w:color w:val="FF0000"/>
        </w:rPr>
        <w:t>disciplinas</w:t>
      </w:r>
      <w:r w:rsidR="00F82738" w:rsidRPr="00F82738">
        <w:rPr>
          <w:color w:val="FF0000"/>
        </w:rPr>
        <w:t>, y alumnos de distintos años de cursado</w:t>
      </w:r>
      <w:r w:rsidR="00F82738">
        <w:rPr>
          <w:color w:val="FF0000"/>
        </w:rPr>
        <w:t xml:space="preserve">. Otra limitación a tener en cuenta es que la muestra utilizada en el AFC no se adecuó a </w:t>
      </w:r>
      <w:r w:rsidR="00F82738" w:rsidRPr="00F82738">
        <w:rPr>
          <w:color w:val="FF0000"/>
        </w:rPr>
        <w:t xml:space="preserve">los criterios </w:t>
      </w:r>
      <w:proofErr w:type="spellStart"/>
      <w:r w:rsidR="00F82738" w:rsidRPr="00F82738">
        <w:rPr>
          <w:color w:val="FF0000"/>
        </w:rPr>
        <w:t>muestrales</w:t>
      </w:r>
      <w:proofErr w:type="spellEnd"/>
      <w:r w:rsidR="00F82738" w:rsidRPr="00F82738">
        <w:rPr>
          <w:color w:val="FF0000"/>
        </w:rPr>
        <w:t xml:space="preserve"> exigidos por Jackson (2003) que indica</w:t>
      </w:r>
      <w:r w:rsidR="00F82738">
        <w:rPr>
          <w:color w:val="FF0000"/>
        </w:rPr>
        <w:t>n</w:t>
      </w:r>
      <w:r w:rsidR="00F82738" w:rsidRPr="00F82738">
        <w:rPr>
          <w:color w:val="FF0000"/>
        </w:rPr>
        <w:t xml:space="preserve"> una proporción de en</w:t>
      </w:r>
      <w:r w:rsidR="00F82738">
        <w:rPr>
          <w:color w:val="FF0000"/>
        </w:rPr>
        <w:t>tre 10 y 20 casos por parámetro, aunque si se tuvieron en cuenta los postulados de otros autores que sugieren trabajar con muestras mayores a 200 casos (</w:t>
      </w:r>
      <w:proofErr w:type="spellStart"/>
      <w:r w:rsidR="00F82738">
        <w:rPr>
          <w:color w:val="FF0000"/>
        </w:rPr>
        <w:t>Boomsma</w:t>
      </w:r>
      <w:proofErr w:type="spellEnd"/>
      <w:r w:rsidR="002B7009">
        <w:rPr>
          <w:color w:val="FF0000"/>
        </w:rPr>
        <w:t xml:space="preserve"> &amp; </w:t>
      </w:r>
      <w:proofErr w:type="spellStart"/>
      <w:r w:rsidR="002B7009" w:rsidRPr="002B7009">
        <w:rPr>
          <w:color w:val="FF0000"/>
        </w:rPr>
        <w:t>Hoogland</w:t>
      </w:r>
      <w:proofErr w:type="spellEnd"/>
      <w:r w:rsidR="002B7009">
        <w:rPr>
          <w:color w:val="FF0000"/>
        </w:rPr>
        <w:t>, 2001).</w:t>
      </w:r>
    </w:p>
    <w:p w14:paraId="5A952D61" w14:textId="6C14B72A" w:rsidR="00F6291B" w:rsidRPr="00A30A72" w:rsidRDefault="00F6291B" w:rsidP="00FE11BE">
      <w:pPr>
        <w:ind w:firstLine="709"/>
        <w:jc w:val="both"/>
      </w:pPr>
      <w:r w:rsidRPr="00A30A72">
        <w:lastRenderedPageBreak/>
        <w:t xml:space="preserve">En base a los resultados obtenidos en los estudios psicométricos realizados sobre </w:t>
      </w:r>
      <w:r w:rsidR="00CE791C" w:rsidRPr="00A30A72">
        <w:t>el ERS, se puede concluir que es un instrumento</w:t>
      </w:r>
      <w:r w:rsidRPr="00A30A72">
        <w:t xml:space="preserve"> </w:t>
      </w:r>
      <w:r w:rsidR="00EC5725">
        <w:t xml:space="preserve">inicialmente </w:t>
      </w:r>
      <w:r w:rsidR="00CE791C" w:rsidRPr="00A30A72">
        <w:t>válido y confiable</w:t>
      </w:r>
      <w:r w:rsidRPr="00A30A72">
        <w:t xml:space="preserve"> para la evaluación de las expectativas de rechazo social en población </w:t>
      </w:r>
      <w:r w:rsidR="00CE791C" w:rsidRPr="00A30A72">
        <w:t xml:space="preserve">adulta </w:t>
      </w:r>
      <w:r w:rsidRPr="00A30A72">
        <w:t xml:space="preserve">argentina. En este sentido, </w:t>
      </w:r>
      <w:r w:rsidR="00CE791C" w:rsidRPr="00A30A72">
        <w:t>resulta una herramienta</w:t>
      </w:r>
      <w:r w:rsidRPr="00A30A72">
        <w:t xml:space="preserve"> a considerar para su uso </w:t>
      </w:r>
      <w:r w:rsidR="00CE791C" w:rsidRPr="00A30A72">
        <w:t>en investigación y diagnóstico</w:t>
      </w:r>
      <w:r w:rsidRPr="00A30A72">
        <w:t xml:space="preserve">. Sin embargo, se considera pertinente ampliar el estudio realizando análisis que permitan obtener más evidencia de estas propiedades, entre ellos, </w:t>
      </w:r>
      <w:r w:rsidR="00CE791C" w:rsidRPr="00A30A72">
        <w:t xml:space="preserve">análisis </w:t>
      </w:r>
      <w:r w:rsidRPr="00A30A72">
        <w:t>discriminantes</w:t>
      </w:r>
      <w:r w:rsidR="00D81B1B">
        <w:t xml:space="preserve">, por </w:t>
      </w:r>
      <w:r w:rsidR="009C6622">
        <w:t>ejemplo,</w:t>
      </w:r>
      <w:r w:rsidR="00D81B1B">
        <w:t xml:space="preserve"> con medidas de</w:t>
      </w:r>
      <w:r w:rsidR="00B0014B">
        <w:t xml:space="preserve"> autoestima o</w:t>
      </w:r>
      <w:r w:rsidRPr="00A30A72">
        <w:t xml:space="preserve"> </w:t>
      </w:r>
      <w:r w:rsidR="00B0014B">
        <w:t xml:space="preserve">autoeficacia, </w:t>
      </w:r>
      <w:r w:rsidRPr="00A30A72">
        <w:t xml:space="preserve">análisis de detección de cambios ante una intervención, y </w:t>
      </w:r>
      <w:r w:rsidR="00FA7F41">
        <w:t>estudios de diferencias de grupos con poblaciones clínicas</w:t>
      </w:r>
    </w:p>
    <w:p w14:paraId="27FAD135" w14:textId="77777777" w:rsidR="00520E33" w:rsidRPr="00A30A72" w:rsidRDefault="00520E33" w:rsidP="00FE11BE"/>
    <w:p w14:paraId="5C38B877" w14:textId="77777777" w:rsidR="00DD6BDF" w:rsidRPr="009C6622" w:rsidRDefault="00DD6BDF" w:rsidP="00FE11BE">
      <w:pPr>
        <w:jc w:val="center"/>
        <w:rPr>
          <w:b/>
          <w:lang w:val="en-US"/>
        </w:rPr>
      </w:pPr>
      <w:proofErr w:type="spellStart"/>
      <w:r w:rsidRPr="009C6622">
        <w:rPr>
          <w:b/>
          <w:lang w:val="en-US"/>
        </w:rPr>
        <w:t>Referencias</w:t>
      </w:r>
      <w:proofErr w:type="spellEnd"/>
    </w:p>
    <w:p w14:paraId="0709A1BF" w14:textId="77777777" w:rsidR="0036431D" w:rsidRPr="009C6622" w:rsidRDefault="0036431D" w:rsidP="00FE11BE">
      <w:pPr>
        <w:jc w:val="center"/>
        <w:rPr>
          <w:b/>
          <w:lang w:val="en-US"/>
        </w:rPr>
      </w:pPr>
    </w:p>
    <w:p w14:paraId="178EE12C" w14:textId="77777777" w:rsidR="0036431D" w:rsidRPr="00A30A72" w:rsidRDefault="0036431D" w:rsidP="00FE11BE">
      <w:pPr>
        <w:shd w:val="clear" w:color="auto" w:fill="FFFFFF"/>
        <w:ind w:left="709" w:hanging="709"/>
        <w:jc w:val="both"/>
        <w:rPr>
          <w:lang w:val="en-US"/>
        </w:rPr>
      </w:pPr>
      <w:proofErr w:type="spellStart"/>
      <w:r w:rsidRPr="009C6622">
        <w:rPr>
          <w:lang w:val="en-US"/>
        </w:rPr>
        <w:t>Alfano</w:t>
      </w:r>
      <w:proofErr w:type="spellEnd"/>
      <w:r w:rsidRPr="009C6622">
        <w:rPr>
          <w:lang w:val="en-US"/>
        </w:rPr>
        <w:t xml:space="preserve">, C. A., </w:t>
      </w:r>
      <w:proofErr w:type="spellStart"/>
      <w:r w:rsidRPr="009C6622">
        <w:rPr>
          <w:lang w:val="en-US"/>
        </w:rPr>
        <w:t>Beidel</w:t>
      </w:r>
      <w:proofErr w:type="spellEnd"/>
      <w:r w:rsidRPr="009C6622">
        <w:rPr>
          <w:lang w:val="en-US"/>
        </w:rPr>
        <w:t xml:space="preserve">, D. C., &amp; Turner, S. M. (2006). </w:t>
      </w:r>
      <w:r w:rsidRPr="00A30A72">
        <w:rPr>
          <w:lang w:val="en-US"/>
        </w:rPr>
        <w:t xml:space="preserve">Cognitive Correlates of Social Phobia Among Children and Adolescents. </w:t>
      </w:r>
      <w:r w:rsidRPr="00A30A72">
        <w:rPr>
          <w:i/>
          <w:lang w:val="en-US"/>
        </w:rPr>
        <w:t xml:space="preserve">J </w:t>
      </w:r>
      <w:proofErr w:type="spellStart"/>
      <w:r w:rsidRPr="00A30A72">
        <w:rPr>
          <w:i/>
          <w:lang w:val="en-US"/>
        </w:rPr>
        <w:t>Abnorm</w:t>
      </w:r>
      <w:proofErr w:type="spellEnd"/>
      <w:r w:rsidRPr="00A30A72">
        <w:rPr>
          <w:i/>
          <w:lang w:val="en-US"/>
        </w:rPr>
        <w:t xml:space="preserve"> Child </w:t>
      </w:r>
      <w:proofErr w:type="spellStart"/>
      <w:r w:rsidRPr="00A30A72">
        <w:rPr>
          <w:i/>
          <w:lang w:val="en-US"/>
        </w:rPr>
        <w:t>Psychol</w:t>
      </w:r>
      <w:proofErr w:type="spellEnd"/>
      <w:r w:rsidRPr="00A30A72">
        <w:rPr>
          <w:i/>
          <w:lang w:val="en-US"/>
        </w:rPr>
        <w:t>, 34</w:t>
      </w:r>
      <w:r w:rsidRPr="00A30A72">
        <w:rPr>
          <w:lang w:val="en-US"/>
        </w:rPr>
        <w:t xml:space="preserve">(2), 182–194. doi:10.1007/s10802-005-9012-9 </w:t>
      </w:r>
    </w:p>
    <w:p w14:paraId="5F612515" w14:textId="77777777" w:rsidR="0036431D" w:rsidRPr="00A30A72" w:rsidRDefault="0036431D" w:rsidP="00FE11BE">
      <w:pPr>
        <w:shd w:val="clear" w:color="auto" w:fill="FFFFFF"/>
        <w:ind w:left="709" w:hanging="709"/>
        <w:jc w:val="both"/>
        <w:rPr>
          <w:lang w:val="en-US"/>
        </w:rPr>
      </w:pPr>
      <w:r w:rsidRPr="00A30A72">
        <w:rPr>
          <w:lang w:val="en-US"/>
        </w:rPr>
        <w:t xml:space="preserve">American Educational Research Association, American Psychological Association, &amp; National Council of Measurement in Education (2014). </w:t>
      </w:r>
      <w:r w:rsidRPr="00A30A72">
        <w:rPr>
          <w:i/>
          <w:lang w:val="en-US"/>
        </w:rPr>
        <w:t>The standards for educational and psychological testing</w:t>
      </w:r>
      <w:r w:rsidRPr="00A30A72">
        <w:rPr>
          <w:lang w:val="en-US"/>
        </w:rPr>
        <w:t>. Washington, DC: AERA.</w:t>
      </w:r>
    </w:p>
    <w:p w14:paraId="2CD87723" w14:textId="5FF41D9D" w:rsidR="0036431D" w:rsidRPr="00303EA9" w:rsidRDefault="0036431D" w:rsidP="00303EA9">
      <w:pPr>
        <w:shd w:val="clear" w:color="auto" w:fill="FFFFFF"/>
        <w:ind w:left="709" w:hanging="709"/>
        <w:jc w:val="both"/>
        <w:rPr>
          <w:color w:val="000000"/>
          <w:lang w:val="en-US" w:eastAsia="ar-SA"/>
        </w:rPr>
      </w:pPr>
      <w:proofErr w:type="spellStart"/>
      <w:r w:rsidRPr="00A30A72">
        <w:rPr>
          <w:color w:val="000000"/>
          <w:lang w:val="en-US" w:eastAsia="ar-SA"/>
        </w:rPr>
        <w:t>Ayduk</w:t>
      </w:r>
      <w:proofErr w:type="spellEnd"/>
      <w:r w:rsidRPr="00A30A72">
        <w:rPr>
          <w:color w:val="000000"/>
          <w:lang w:val="en-US" w:eastAsia="ar-SA"/>
        </w:rPr>
        <w:t xml:space="preserve">, O., Downey, G., &amp; Kim, M. (2001). Rejection sensitivity and depressive symptoms in women. </w:t>
      </w:r>
      <w:r w:rsidRPr="00A30A72">
        <w:rPr>
          <w:i/>
          <w:color w:val="000000"/>
          <w:lang w:val="en-US" w:eastAsia="ar-SA"/>
        </w:rPr>
        <w:t>Personality and Social Psychology Bulletin</w:t>
      </w:r>
      <w:r w:rsidRPr="00A30A72">
        <w:rPr>
          <w:color w:val="000000"/>
          <w:lang w:val="en-US" w:eastAsia="ar-SA"/>
        </w:rPr>
        <w:t>, 27(7), 868-877.</w:t>
      </w:r>
      <w:r w:rsidR="00303EA9">
        <w:rPr>
          <w:color w:val="000000"/>
          <w:lang w:val="en-US" w:eastAsia="ar-SA"/>
        </w:rPr>
        <w:t>doi:</w:t>
      </w:r>
      <w:r w:rsidR="00303EA9" w:rsidRPr="009C6622">
        <w:rPr>
          <w:lang w:val="en-US"/>
        </w:rPr>
        <w:t xml:space="preserve"> </w:t>
      </w:r>
      <w:r w:rsidR="00303EA9" w:rsidRPr="00303EA9">
        <w:rPr>
          <w:color w:val="000000"/>
          <w:lang w:val="en-US" w:eastAsia="ar-SA"/>
        </w:rPr>
        <w:t>10.1177/0146167201277009</w:t>
      </w:r>
    </w:p>
    <w:p w14:paraId="075F51C2" w14:textId="77777777" w:rsidR="0036431D" w:rsidRPr="00A30A72" w:rsidRDefault="0036431D" w:rsidP="00FE11BE">
      <w:pPr>
        <w:shd w:val="clear" w:color="auto" w:fill="FFFFFF"/>
        <w:ind w:left="709" w:hanging="709"/>
        <w:jc w:val="both"/>
        <w:rPr>
          <w:color w:val="000000"/>
          <w:lang w:val="en-US" w:eastAsia="ar-SA"/>
        </w:rPr>
      </w:pPr>
      <w:r w:rsidRPr="00A30A72">
        <w:rPr>
          <w:color w:val="000000"/>
          <w:lang w:val="en-US" w:eastAsia="ar-SA"/>
        </w:rPr>
        <w:t xml:space="preserve">Baldwin, M. W., &amp; </w:t>
      </w:r>
      <w:proofErr w:type="spellStart"/>
      <w:r w:rsidRPr="00A30A72">
        <w:rPr>
          <w:color w:val="000000"/>
          <w:lang w:val="en-US" w:eastAsia="ar-SA"/>
        </w:rPr>
        <w:t>Dandeneau</w:t>
      </w:r>
      <w:proofErr w:type="spellEnd"/>
      <w:r w:rsidRPr="00A30A72">
        <w:rPr>
          <w:color w:val="000000"/>
          <w:lang w:val="en-US" w:eastAsia="ar-SA"/>
        </w:rPr>
        <w:t xml:space="preserve">, S. D. (2006). Understanding and Modifying the Relational Schemas Underlying Insecurity. In M.W. Baldwin (Ed.), </w:t>
      </w:r>
      <w:r w:rsidRPr="00A30A72">
        <w:rPr>
          <w:i/>
          <w:color w:val="000000"/>
          <w:lang w:val="en-US" w:eastAsia="ar-SA"/>
        </w:rPr>
        <w:t>Interpersonal cognition</w:t>
      </w:r>
      <w:r w:rsidRPr="00A30A72">
        <w:rPr>
          <w:color w:val="000000"/>
          <w:lang w:val="en-US" w:eastAsia="ar-SA"/>
        </w:rPr>
        <w:t xml:space="preserve">, (pp. 32-61). New York, </w:t>
      </w:r>
      <w:proofErr w:type="spellStart"/>
      <w:r w:rsidRPr="00A30A72">
        <w:rPr>
          <w:color w:val="000000"/>
          <w:lang w:val="en-US" w:eastAsia="ar-SA"/>
        </w:rPr>
        <w:t>Estados</w:t>
      </w:r>
      <w:proofErr w:type="spellEnd"/>
      <w:r w:rsidRPr="00A30A72">
        <w:rPr>
          <w:color w:val="000000"/>
          <w:lang w:val="en-US" w:eastAsia="ar-SA"/>
        </w:rPr>
        <w:t xml:space="preserve"> </w:t>
      </w:r>
      <w:proofErr w:type="spellStart"/>
      <w:r w:rsidRPr="00A30A72">
        <w:rPr>
          <w:color w:val="000000"/>
          <w:lang w:val="en-US" w:eastAsia="ar-SA"/>
        </w:rPr>
        <w:t>Unidos</w:t>
      </w:r>
      <w:proofErr w:type="spellEnd"/>
      <w:r w:rsidRPr="00A30A72">
        <w:rPr>
          <w:color w:val="000000"/>
          <w:lang w:val="en-US" w:eastAsia="ar-SA"/>
        </w:rPr>
        <w:t>: Guilford Press.</w:t>
      </w:r>
    </w:p>
    <w:p w14:paraId="6ED0435C" w14:textId="1D4D6741" w:rsidR="0036431D" w:rsidRDefault="0036431D" w:rsidP="00FE11BE">
      <w:pPr>
        <w:ind w:left="709" w:hanging="709"/>
        <w:jc w:val="both"/>
        <w:rPr>
          <w:color w:val="222222"/>
          <w:lang w:val="en-US"/>
        </w:rPr>
      </w:pPr>
      <w:r w:rsidRPr="00A30A72">
        <w:rPr>
          <w:color w:val="222222"/>
          <w:lang w:val="en-US"/>
        </w:rPr>
        <w:t xml:space="preserve">Baldwin, M.W., &amp; Main, K. J. (2001). Social anxiety and the cued activation of relational knowledge. </w:t>
      </w:r>
      <w:r w:rsidRPr="00A30A72">
        <w:rPr>
          <w:i/>
          <w:iCs/>
          <w:color w:val="222222"/>
          <w:lang w:val="en-US"/>
        </w:rPr>
        <w:t>Personality and Social Psychology Bulletin</w:t>
      </w:r>
      <w:r w:rsidRPr="00A30A72">
        <w:rPr>
          <w:color w:val="222222"/>
          <w:lang w:val="en-US"/>
        </w:rPr>
        <w:t xml:space="preserve">, </w:t>
      </w:r>
      <w:r w:rsidRPr="00A30A72">
        <w:rPr>
          <w:i/>
          <w:iCs/>
          <w:color w:val="222222"/>
          <w:lang w:val="en-US"/>
        </w:rPr>
        <w:t>27</w:t>
      </w:r>
      <w:r w:rsidRPr="00A30A72">
        <w:rPr>
          <w:color w:val="222222"/>
          <w:lang w:val="en-US"/>
        </w:rPr>
        <w:t xml:space="preserve">(12), 1637-1647. </w:t>
      </w:r>
      <w:proofErr w:type="spellStart"/>
      <w:r w:rsidRPr="00A30A72">
        <w:rPr>
          <w:color w:val="222222"/>
          <w:lang w:val="en-US"/>
        </w:rPr>
        <w:t>doi</w:t>
      </w:r>
      <w:proofErr w:type="spellEnd"/>
      <w:r w:rsidRPr="00A30A72">
        <w:rPr>
          <w:color w:val="222222"/>
          <w:lang w:val="en-US"/>
        </w:rPr>
        <w:t>: 10.1177/01461672012712007</w:t>
      </w:r>
    </w:p>
    <w:p w14:paraId="3D7EE9CD" w14:textId="4DFDF0FD" w:rsidR="004B51FA" w:rsidRPr="004B51FA" w:rsidRDefault="004B51FA" w:rsidP="00FE11BE">
      <w:pPr>
        <w:ind w:left="709" w:hanging="709"/>
        <w:jc w:val="both"/>
        <w:rPr>
          <w:color w:val="FF0000"/>
          <w:lang w:val="en-US" w:eastAsia="ar-SA"/>
        </w:rPr>
      </w:pPr>
      <w:proofErr w:type="spellStart"/>
      <w:r w:rsidRPr="004B51FA">
        <w:rPr>
          <w:color w:val="FF0000"/>
          <w:lang w:val="en-US"/>
        </w:rPr>
        <w:t>Boomsma</w:t>
      </w:r>
      <w:proofErr w:type="spellEnd"/>
      <w:r w:rsidRPr="004B51FA">
        <w:rPr>
          <w:color w:val="FF0000"/>
          <w:lang w:val="en-US"/>
        </w:rPr>
        <w:t>,</w:t>
      </w:r>
      <w:r w:rsidRPr="004B51FA">
        <w:rPr>
          <w:color w:val="FF0000"/>
          <w:lang w:val="en-US"/>
        </w:rPr>
        <w:t xml:space="preserve"> </w:t>
      </w:r>
      <w:proofErr w:type="gramStart"/>
      <w:r w:rsidRPr="004B51FA">
        <w:rPr>
          <w:color w:val="FF0000"/>
          <w:lang w:val="en-US"/>
        </w:rPr>
        <w:t>A</w:t>
      </w:r>
      <w:r w:rsidRPr="004B51FA">
        <w:rPr>
          <w:color w:val="FF0000"/>
          <w:lang w:val="en-US"/>
        </w:rPr>
        <w:t>.</w:t>
      </w:r>
      <w:r w:rsidRPr="004B51FA">
        <w:rPr>
          <w:color w:val="FF0000"/>
          <w:lang w:val="en-US"/>
        </w:rPr>
        <w:t>,</w:t>
      </w:r>
      <w:r w:rsidRPr="004B51FA">
        <w:rPr>
          <w:color w:val="FF0000"/>
          <w:lang w:val="en-US"/>
        </w:rPr>
        <w:t>&amp;</w:t>
      </w:r>
      <w:proofErr w:type="gramEnd"/>
      <w:r w:rsidRPr="004B51FA">
        <w:rPr>
          <w:color w:val="FF0000"/>
          <w:lang w:val="en-US"/>
        </w:rPr>
        <w:t xml:space="preserve"> </w:t>
      </w:r>
      <w:proofErr w:type="spellStart"/>
      <w:r w:rsidRPr="004B51FA">
        <w:rPr>
          <w:color w:val="FF0000"/>
          <w:lang w:val="en-US"/>
        </w:rPr>
        <w:t>Hoogland</w:t>
      </w:r>
      <w:proofErr w:type="spellEnd"/>
      <w:r w:rsidRPr="004B51FA">
        <w:rPr>
          <w:color w:val="FF0000"/>
          <w:lang w:val="en-US"/>
        </w:rPr>
        <w:t>,</w:t>
      </w:r>
      <w:r w:rsidRPr="004B51FA">
        <w:rPr>
          <w:color w:val="FF0000"/>
          <w:lang w:val="en-US"/>
        </w:rPr>
        <w:t xml:space="preserve"> J</w:t>
      </w:r>
      <w:r w:rsidRPr="004B51FA">
        <w:rPr>
          <w:color w:val="FF0000"/>
          <w:lang w:val="en-US"/>
        </w:rPr>
        <w:t xml:space="preserve">. </w:t>
      </w:r>
      <w:r w:rsidRPr="004B51FA">
        <w:rPr>
          <w:color w:val="FF0000"/>
          <w:lang w:val="en-US"/>
        </w:rPr>
        <w:t>J.</w:t>
      </w:r>
      <w:r w:rsidRPr="004B51FA">
        <w:rPr>
          <w:color w:val="FF0000"/>
          <w:lang w:val="en-US"/>
        </w:rPr>
        <w:t xml:space="preserve"> (2001).</w:t>
      </w:r>
      <w:r w:rsidRPr="004B51FA">
        <w:rPr>
          <w:color w:val="FF0000"/>
          <w:lang w:val="en-US"/>
        </w:rPr>
        <w:t xml:space="preserve"> The robustness of LISREL modeling revisited. </w:t>
      </w:r>
      <w:proofErr w:type="spellStart"/>
      <w:r w:rsidRPr="004B51FA">
        <w:rPr>
          <w:color w:val="FF0000"/>
          <w:lang w:val="pt-BR"/>
        </w:rPr>
        <w:t>En</w:t>
      </w:r>
      <w:proofErr w:type="spellEnd"/>
      <w:r w:rsidRPr="004B51FA">
        <w:rPr>
          <w:color w:val="FF0000"/>
          <w:lang w:val="pt-BR"/>
        </w:rPr>
        <w:t xml:space="preserve">: </w:t>
      </w:r>
      <w:r w:rsidRPr="004B51FA">
        <w:rPr>
          <w:color w:val="FF0000"/>
          <w:lang w:val="pt-BR"/>
        </w:rPr>
        <w:t xml:space="preserve">R. </w:t>
      </w:r>
      <w:proofErr w:type="spellStart"/>
      <w:r w:rsidRPr="004B51FA">
        <w:rPr>
          <w:color w:val="FF0000"/>
          <w:lang w:val="pt-BR"/>
        </w:rPr>
        <w:t>Cudeck</w:t>
      </w:r>
      <w:proofErr w:type="spellEnd"/>
      <w:r w:rsidRPr="004B51FA">
        <w:rPr>
          <w:color w:val="FF0000"/>
          <w:lang w:val="pt-BR"/>
        </w:rPr>
        <w:t xml:space="preserve">, </w:t>
      </w:r>
      <w:r w:rsidRPr="004B51FA">
        <w:rPr>
          <w:color w:val="FF0000"/>
          <w:lang w:val="pt-BR"/>
        </w:rPr>
        <w:t xml:space="preserve">S. Du </w:t>
      </w:r>
      <w:proofErr w:type="spellStart"/>
      <w:r w:rsidRPr="004B51FA">
        <w:rPr>
          <w:color w:val="FF0000"/>
          <w:lang w:val="pt-BR"/>
        </w:rPr>
        <w:t>Toit</w:t>
      </w:r>
      <w:proofErr w:type="spellEnd"/>
      <w:r w:rsidRPr="004B51FA">
        <w:rPr>
          <w:color w:val="FF0000"/>
          <w:lang w:val="pt-BR"/>
        </w:rPr>
        <w:t xml:space="preserve">, </w:t>
      </w:r>
      <w:r w:rsidRPr="004B51FA">
        <w:rPr>
          <w:color w:val="FF0000"/>
          <w:lang w:val="pt-BR"/>
        </w:rPr>
        <w:t xml:space="preserve">D. </w:t>
      </w:r>
      <w:proofErr w:type="spellStart"/>
      <w:r w:rsidRPr="004B51FA">
        <w:rPr>
          <w:color w:val="FF0000"/>
          <w:lang w:val="pt-BR"/>
        </w:rPr>
        <w:t>Sörbom</w:t>
      </w:r>
      <w:proofErr w:type="spellEnd"/>
      <w:r w:rsidRPr="004B51FA">
        <w:rPr>
          <w:color w:val="FF0000"/>
          <w:lang w:val="pt-BR"/>
        </w:rPr>
        <w:t xml:space="preserve"> (</w:t>
      </w:r>
      <w:proofErr w:type="spellStart"/>
      <w:r w:rsidRPr="004B51FA">
        <w:rPr>
          <w:color w:val="FF0000"/>
          <w:lang w:val="pt-BR"/>
        </w:rPr>
        <w:t>Eds</w:t>
      </w:r>
      <w:proofErr w:type="spellEnd"/>
      <w:r w:rsidRPr="004B51FA">
        <w:rPr>
          <w:color w:val="FF0000"/>
          <w:lang w:val="pt-BR"/>
        </w:rPr>
        <w:t>)</w:t>
      </w:r>
      <w:r w:rsidRPr="004B51FA">
        <w:rPr>
          <w:color w:val="FF0000"/>
          <w:lang w:val="pt-BR"/>
        </w:rPr>
        <w:t xml:space="preserve">. </w:t>
      </w:r>
      <w:r w:rsidRPr="004B51FA">
        <w:rPr>
          <w:i/>
          <w:color w:val="FF0000"/>
          <w:lang w:val="en-US"/>
        </w:rPr>
        <w:t xml:space="preserve">Structural equation modeling: present and future. A festschrift in honor of Karl </w:t>
      </w:r>
      <w:proofErr w:type="spellStart"/>
      <w:r w:rsidRPr="004B51FA">
        <w:rPr>
          <w:i/>
          <w:color w:val="FF0000"/>
          <w:lang w:val="en-US"/>
        </w:rPr>
        <w:t>Jöreskog</w:t>
      </w:r>
      <w:proofErr w:type="spellEnd"/>
      <w:r w:rsidRPr="004B51FA">
        <w:rPr>
          <w:color w:val="FF0000"/>
          <w:lang w:val="en-US"/>
        </w:rPr>
        <w:t>. p. 139-68</w:t>
      </w:r>
      <w:r w:rsidRPr="004B51FA">
        <w:rPr>
          <w:color w:val="FF0000"/>
          <w:lang w:val="en-US"/>
        </w:rPr>
        <w:t xml:space="preserve">. </w:t>
      </w:r>
      <w:r w:rsidRPr="004B51FA">
        <w:rPr>
          <w:color w:val="FF0000"/>
          <w:lang w:val="en-US"/>
        </w:rPr>
        <w:t>Chicago: Sci</w:t>
      </w:r>
      <w:r w:rsidRPr="004B51FA">
        <w:rPr>
          <w:color w:val="FF0000"/>
          <w:lang w:val="en-US"/>
        </w:rPr>
        <w:t>entific Software International.</w:t>
      </w:r>
      <w:r w:rsidRPr="004B51FA">
        <w:rPr>
          <w:color w:val="FF0000"/>
          <w:lang w:val="en-US"/>
        </w:rPr>
        <w:t xml:space="preserve"> </w:t>
      </w:r>
    </w:p>
    <w:p w14:paraId="46B50FFD" w14:textId="77777777" w:rsidR="0036431D" w:rsidRPr="00A30A72" w:rsidRDefault="0036431D" w:rsidP="00FE11BE">
      <w:pPr>
        <w:shd w:val="clear" w:color="auto" w:fill="FFFFFF"/>
        <w:ind w:left="709" w:hanging="709"/>
        <w:jc w:val="both"/>
        <w:rPr>
          <w:color w:val="000000"/>
          <w:lang w:val="en-US" w:eastAsia="ar-SA"/>
        </w:rPr>
      </w:pPr>
      <w:r w:rsidRPr="00A30A72">
        <w:rPr>
          <w:color w:val="000000"/>
          <w:lang w:val="en-US" w:eastAsia="ar-SA"/>
        </w:rPr>
        <w:t xml:space="preserve">Bretherton, I. &amp; </w:t>
      </w:r>
      <w:proofErr w:type="spellStart"/>
      <w:r w:rsidRPr="00A30A72">
        <w:rPr>
          <w:color w:val="000000"/>
          <w:lang w:val="en-US" w:eastAsia="ar-SA"/>
        </w:rPr>
        <w:t>Munholland</w:t>
      </w:r>
      <w:proofErr w:type="spellEnd"/>
      <w:r w:rsidRPr="00A30A72">
        <w:rPr>
          <w:color w:val="000000"/>
          <w:lang w:val="en-US" w:eastAsia="ar-SA"/>
        </w:rPr>
        <w:t xml:space="preserve">, K.A. (1999). Internal working models in attachment relationships. </w:t>
      </w:r>
      <w:proofErr w:type="spellStart"/>
      <w:r w:rsidRPr="00A30A72">
        <w:rPr>
          <w:color w:val="000000"/>
          <w:lang w:val="en-US" w:eastAsia="ar-SA"/>
        </w:rPr>
        <w:t>En</w:t>
      </w:r>
      <w:proofErr w:type="spellEnd"/>
      <w:r w:rsidRPr="00A30A72">
        <w:rPr>
          <w:color w:val="000000"/>
          <w:lang w:val="en-US" w:eastAsia="ar-SA"/>
        </w:rPr>
        <w:t xml:space="preserve"> J. Cassidy &amp; P.R. Shaver (Eds.), </w:t>
      </w:r>
      <w:r w:rsidRPr="00A30A72">
        <w:rPr>
          <w:i/>
          <w:color w:val="000000"/>
          <w:spacing w:val="-15"/>
          <w:lang w:val="en-US" w:eastAsia="ar-SA"/>
        </w:rPr>
        <w:t xml:space="preserve">Handbook of attachment: Theory, </w:t>
      </w:r>
      <w:r w:rsidRPr="00A30A72">
        <w:rPr>
          <w:i/>
          <w:color w:val="000000"/>
          <w:lang w:val="en-US" w:eastAsia="ar-SA"/>
        </w:rPr>
        <w:t>research, and clinical applications</w:t>
      </w:r>
      <w:r w:rsidRPr="00A30A72">
        <w:rPr>
          <w:color w:val="000000"/>
          <w:lang w:val="en-US" w:eastAsia="ar-SA"/>
        </w:rPr>
        <w:t xml:space="preserve"> (pp. 89-113). New York: Guilford Press.</w:t>
      </w:r>
    </w:p>
    <w:p w14:paraId="2B334895" w14:textId="77777777" w:rsidR="0036431D" w:rsidRPr="00A30A72" w:rsidRDefault="0036431D" w:rsidP="00FE11BE">
      <w:pPr>
        <w:shd w:val="clear" w:color="auto" w:fill="FFFFFF"/>
        <w:ind w:left="709" w:hanging="709"/>
        <w:jc w:val="both"/>
        <w:rPr>
          <w:color w:val="000000"/>
          <w:lang w:val="en-US" w:eastAsia="ar-SA"/>
        </w:rPr>
      </w:pPr>
      <w:r w:rsidRPr="00A30A72">
        <w:rPr>
          <w:color w:val="000000"/>
          <w:lang w:val="en-US" w:eastAsia="ar-SA"/>
        </w:rPr>
        <w:t xml:space="preserve">Brown, T. A. (2006). </w:t>
      </w:r>
      <w:r w:rsidRPr="00A30A72">
        <w:rPr>
          <w:i/>
          <w:color w:val="000000"/>
          <w:lang w:val="en-US" w:eastAsia="ar-SA"/>
        </w:rPr>
        <w:t>Confirmatory factor analysis for applied research.</w:t>
      </w:r>
      <w:r w:rsidRPr="00A30A72">
        <w:rPr>
          <w:color w:val="000000"/>
          <w:lang w:val="en-US" w:eastAsia="ar-SA"/>
        </w:rPr>
        <w:t xml:space="preserve"> New York: The Guilford Press.</w:t>
      </w:r>
    </w:p>
    <w:p w14:paraId="697456A4" w14:textId="77777777" w:rsidR="0036431D" w:rsidRPr="00A30A72" w:rsidRDefault="0036431D" w:rsidP="00FE11BE">
      <w:pPr>
        <w:ind w:left="709" w:hanging="709"/>
        <w:jc w:val="both"/>
        <w:rPr>
          <w:lang w:val="pt-BR" w:eastAsia="ar-SA"/>
        </w:rPr>
      </w:pPr>
      <w:proofErr w:type="spellStart"/>
      <w:r w:rsidRPr="009C6622">
        <w:rPr>
          <w:lang w:val="pt-BR" w:eastAsia="ar-SA"/>
        </w:rPr>
        <w:t>Caballo</w:t>
      </w:r>
      <w:proofErr w:type="spellEnd"/>
      <w:r w:rsidRPr="009C6622">
        <w:rPr>
          <w:lang w:val="pt-BR" w:eastAsia="ar-SA"/>
        </w:rPr>
        <w:t xml:space="preserve">, V; </w:t>
      </w:r>
      <w:proofErr w:type="spellStart"/>
      <w:r w:rsidRPr="009C6622">
        <w:rPr>
          <w:lang w:val="pt-BR" w:eastAsia="ar-SA"/>
        </w:rPr>
        <w:t>Irurtia</w:t>
      </w:r>
      <w:proofErr w:type="spellEnd"/>
      <w:r w:rsidRPr="009C6622">
        <w:rPr>
          <w:lang w:val="pt-BR" w:eastAsia="ar-SA"/>
        </w:rPr>
        <w:t xml:space="preserve">, M.A. &amp; Salazar I. (2011). </w:t>
      </w:r>
      <w:r w:rsidRPr="00A30A72">
        <w:rPr>
          <w:lang w:val="pt-BR" w:eastAsia="ar-SA"/>
        </w:rPr>
        <w:t xml:space="preserve">Abordagem cognitiva na </w:t>
      </w:r>
      <w:proofErr w:type="spellStart"/>
      <w:r w:rsidRPr="00A30A72">
        <w:rPr>
          <w:lang w:val="pt-BR" w:eastAsia="ar-SA"/>
        </w:rPr>
        <w:t>avaliacao</w:t>
      </w:r>
      <w:proofErr w:type="spellEnd"/>
      <w:r w:rsidRPr="00A30A72">
        <w:rPr>
          <w:lang w:val="pt-BR" w:eastAsia="ar-SA"/>
        </w:rPr>
        <w:t xml:space="preserve"> e </w:t>
      </w:r>
      <w:proofErr w:type="spellStart"/>
      <w:r w:rsidRPr="00A30A72">
        <w:rPr>
          <w:lang w:val="pt-BR" w:eastAsia="ar-SA"/>
        </w:rPr>
        <w:t>intervencao</w:t>
      </w:r>
      <w:proofErr w:type="spellEnd"/>
      <w:r w:rsidRPr="00A30A72">
        <w:rPr>
          <w:lang w:val="pt-BR" w:eastAsia="ar-SA"/>
        </w:rPr>
        <w:t xml:space="preserve"> sobre habilidades </w:t>
      </w:r>
      <w:proofErr w:type="spellStart"/>
      <w:r w:rsidRPr="00A30A72">
        <w:rPr>
          <w:lang w:val="pt-BR" w:eastAsia="ar-SA"/>
        </w:rPr>
        <w:t>socias</w:t>
      </w:r>
      <w:proofErr w:type="spellEnd"/>
      <w:r w:rsidRPr="00A30A72">
        <w:rPr>
          <w:lang w:val="pt-BR" w:eastAsia="ar-SA"/>
        </w:rPr>
        <w:t xml:space="preserve">. </w:t>
      </w:r>
      <w:r w:rsidRPr="00A30A72">
        <w:rPr>
          <w:lang w:eastAsia="ar-SA"/>
        </w:rPr>
        <w:t xml:space="preserve">En A. Del </w:t>
      </w:r>
      <w:proofErr w:type="spellStart"/>
      <w:r w:rsidRPr="00A30A72">
        <w:rPr>
          <w:lang w:eastAsia="ar-SA"/>
        </w:rPr>
        <w:t>Prette</w:t>
      </w:r>
      <w:proofErr w:type="spellEnd"/>
      <w:r w:rsidRPr="00A30A72">
        <w:rPr>
          <w:lang w:eastAsia="ar-SA"/>
        </w:rPr>
        <w:t xml:space="preserve"> &amp; Z.A.P. Del </w:t>
      </w:r>
      <w:proofErr w:type="spellStart"/>
      <w:r w:rsidRPr="00A30A72">
        <w:rPr>
          <w:lang w:eastAsia="ar-SA"/>
        </w:rPr>
        <w:t>Prette</w:t>
      </w:r>
      <w:proofErr w:type="spellEnd"/>
      <w:r w:rsidRPr="00A30A72">
        <w:rPr>
          <w:lang w:eastAsia="ar-SA"/>
        </w:rPr>
        <w:t xml:space="preserve"> (</w:t>
      </w:r>
      <w:proofErr w:type="spellStart"/>
      <w:r w:rsidRPr="00A30A72">
        <w:rPr>
          <w:lang w:eastAsia="ar-SA"/>
        </w:rPr>
        <w:t>Orgs</w:t>
      </w:r>
      <w:proofErr w:type="spellEnd"/>
      <w:r w:rsidRPr="00A30A72">
        <w:rPr>
          <w:lang w:eastAsia="ar-SA"/>
        </w:rPr>
        <w:t xml:space="preserve">.). </w:t>
      </w:r>
      <w:r w:rsidRPr="00A30A72">
        <w:rPr>
          <w:i/>
          <w:iCs/>
          <w:lang w:val="pt-BR" w:eastAsia="ar-SA"/>
        </w:rPr>
        <w:t xml:space="preserve">Psicologia das habilidades sociais: Diversidade teórica e suas implicações </w:t>
      </w:r>
      <w:r w:rsidRPr="00A30A72">
        <w:rPr>
          <w:iCs/>
          <w:lang w:val="pt-BR" w:eastAsia="ar-SA"/>
        </w:rPr>
        <w:t xml:space="preserve">(2da </w:t>
      </w:r>
      <w:proofErr w:type="gramStart"/>
      <w:r w:rsidRPr="00A30A72">
        <w:rPr>
          <w:iCs/>
          <w:lang w:val="pt-BR" w:eastAsia="ar-SA"/>
        </w:rPr>
        <w:t>Ed)</w:t>
      </w:r>
      <w:r w:rsidRPr="00A30A72">
        <w:rPr>
          <w:lang w:val="pt-BR" w:eastAsia="ar-SA"/>
        </w:rPr>
        <w:t>(</w:t>
      </w:r>
      <w:proofErr w:type="gramEnd"/>
      <w:r w:rsidRPr="00A30A72">
        <w:rPr>
          <w:lang w:val="pt-BR" w:eastAsia="ar-SA"/>
        </w:rPr>
        <w:t>pp. 67-107).</w:t>
      </w:r>
      <w:r w:rsidRPr="00A30A72">
        <w:rPr>
          <w:i/>
          <w:iCs/>
          <w:lang w:val="pt-BR" w:eastAsia="ar-SA"/>
        </w:rPr>
        <w:t xml:space="preserve"> </w:t>
      </w:r>
      <w:r w:rsidRPr="00A30A72">
        <w:rPr>
          <w:lang w:val="pt-BR" w:eastAsia="ar-SA"/>
        </w:rPr>
        <w:t xml:space="preserve">Petrópolis: Vozes. </w:t>
      </w:r>
    </w:p>
    <w:p w14:paraId="2F2CBB9A" w14:textId="77777777" w:rsidR="0036431D" w:rsidRPr="00A30A72" w:rsidRDefault="0036431D" w:rsidP="00FE11BE">
      <w:pPr>
        <w:ind w:left="709" w:hanging="709"/>
        <w:jc w:val="both"/>
      </w:pPr>
      <w:proofErr w:type="spellStart"/>
      <w:r w:rsidRPr="00A30A72">
        <w:rPr>
          <w:lang w:val="pt-BR"/>
        </w:rPr>
        <w:t>Caballo</w:t>
      </w:r>
      <w:proofErr w:type="spellEnd"/>
      <w:r w:rsidRPr="00A30A72">
        <w:rPr>
          <w:lang w:val="pt-BR"/>
        </w:rPr>
        <w:t xml:space="preserve">, V. E., Salazar, I. C., Arias, B., </w:t>
      </w:r>
      <w:proofErr w:type="spellStart"/>
      <w:r w:rsidRPr="00A30A72">
        <w:rPr>
          <w:lang w:val="pt-BR"/>
        </w:rPr>
        <w:t>Irurtia</w:t>
      </w:r>
      <w:proofErr w:type="spellEnd"/>
      <w:r w:rsidRPr="00A30A72">
        <w:rPr>
          <w:lang w:val="pt-BR"/>
        </w:rPr>
        <w:t xml:space="preserve">, M., </w:t>
      </w:r>
      <w:proofErr w:type="spellStart"/>
      <w:r w:rsidRPr="00A30A72">
        <w:rPr>
          <w:lang w:val="pt-BR"/>
        </w:rPr>
        <w:t>Calderero</w:t>
      </w:r>
      <w:proofErr w:type="spellEnd"/>
      <w:r w:rsidRPr="00A30A72">
        <w:rPr>
          <w:lang w:val="pt-BR"/>
        </w:rPr>
        <w:t xml:space="preserve">, M., &amp; CISO-A </w:t>
      </w:r>
      <w:proofErr w:type="spellStart"/>
      <w:r w:rsidRPr="00A30A72">
        <w:rPr>
          <w:lang w:val="pt-BR"/>
        </w:rPr>
        <w:t>Research</w:t>
      </w:r>
      <w:proofErr w:type="spellEnd"/>
      <w:r w:rsidRPr="00A30A72">
        <w:rPr>
          <w:lang w:val="pt-BR"/>
        </w:rPr>
        <w:t xml:space="preserve"> Team. </w:t>
      </w:r>
      <w:r w:rsidRPr="00A30A72">
        <w:t xml:space="preserve">(2010). Validación del Cuestionario de Ansiedad Social para Adultos’ (CASO-A30) en universitarios españoles: similitudes y diferencias entre carreras universitarias y comunidades autónomas. </w:t>
      </w:r>
      <w:proofErr w:type="spellStart"/>
      <w:r w:rsidRPr="00A30A72">
        <w:rPr>
          <w:i/>
          <w:iCs/>
        </w:rPr>
        <w:t>Behavioral</w:t>
      </w:r>
      <w:proofErr w:type="spellEnd"/>
      <w:r w:rsidRPr="00A30A72">
        <w:rPr>
          <w:i/>
          <w:iCs/>
        </w:rPr>
        <w:t xml:space="preserve"> </w:t>
      </w:r>
      <w:proofErr w:type="spellStart"/>
      <w:r w:rsidRPr="00A30A72">
        <w:rPr>
          <w:i/>
          <w:iCs/>
        </w:rPr>
        <w:t>Psychology</w:t>
      </w:r>
      <w:proofErr w:type="spellEnd"/>
      <w:r w:rsidRPr="00A30A72">
        <w:t xml:space="preserve">, </w:t>
      </w:r>
      <w:r w:rsidRPr="00A30A72">
        <w:rPr>
          <w:i/>
          <w:iCs/>
        </w:rPr>
        <w:t>18</w:t>
      </w:r>
      <w:r w:rsidRPr="00A30A72">
        <w:t>(1), 5-34.</w:t>
      </w:r>
    </w:p>
    <w:p w14:paraId="6225DD9B" w14:textId="77777777" w:rsidR="0036431D" w:rsidRPr="00A30A72" w:rsidRDefault="0036431D" w:rsidP="00FE11BE">
      <w:pPr>
        <w:ind w:left="709" w:hanging="709"/>
        <w:jc w:val="both"/>
        <w:rPr>
          <w:lang w:val="en-US" w:eastAsia="ar-SA"/>
        </w:rPr>
      </w:pPr>
      <w:r w:rsidRPr="00A30A72">
        <w:rPr>
          <w:lang w:eastAsia="ar-SA"/>
        </w:rPr>
        <w:t xml:space="preserve">Carretero- Dios, H., &amp; Pérez, C. (2005). Normas para el desarrollo y revisión de estudios instrumentales. </w:t>
      </w:r>
      <w:r w:rsidRPr="00A30A72">
        <w:rPr>
          <w:i/>
          <w:iCs/>
          <w:lang w:val="en-US" w:eastAsia="ar-SA"/>
        </w:rPr>
        <w:t xml:space="preserve">International Journal of Clinical and Health Psychology, 5 (3), </w:t>
      </w:r>
      <w:r w:rsidRPr="00A30A72">
        <w:rPr>
          <w:lang w:val="en-US" w:eastAsia="ar-SA"/>
        </w:rPr>
        <w:t>521-551.</w:t>
      </w:r>
    </w:p>
    <w:p w14:paraId="61B37B44" w14:textId="7A515901" w:rsidR="0036431D" w:rsidRDefault="0036431D" w:rsidP="00FE11BE">
      <w:pPr>
        <w:ind w:left="709" w:hanging="709"/>
        <w:jc w:val="both"/>
        <w:rPr>
          <w:lang w:val="en-US"/>
        </w:rPr>
      </w:pPr>
      <w:proofErr w:type="spellStart"/>
      <w:r w:rsidRPr="00A30A72">
        <w:rPr>
          <w:lang w:val="en-US"/>
        </w:rPr>
        <w:t>Catell</w:t>
      </w:r>
      <w:proofErr w:type="spellEnd"/>
      <w:r w:rsidRPr="00A30A72">
        <w:rPr>
          <w:lang w:val="en-US"/>
        </w:rPr>
        <w:t xml:space="preserve">, R. (1966). The Scree test for the number of factors. </w:t>
      </w:r>
      <w:r w:rsidRPr="00A30A72">
        <w:rPr>
          <w:i/>
          <w:lang w:val="en-US"/>
        </w:rPr>
        <w:t>Multivariate Behavior Research, 1</w:t>
      </w:r>
      <w:r w:rsidRPr="00A30A72">
        <w:rPr>
          <w:lang w:val="en-US"/>
        </w:rPr>
        <w:t>, 245-276.doi: 10.1207/s15327906mbr0102_10</w:t>
      </w:r>
    </w:p>
    <w:p w14:paraId="1DD077F9" w14:textId="7140C54D" w:rsidR="00FA5DA3" w:rsidRPr="00FA5DA3" w:rsidRDefault="00FA5DA3" w:rsidP="00FA5DA3">
      <w:pPr>
        <w:ind w:left="709" w:hanging="709"/>
        <w:jc w:val="both"/>
        <w:rPr>
          <w:lang w:val="en-US"/>
        </w:rPr>
      </w:pPr>
      <w:proofErr w:type="spellStart"/>
      <w:r w:rsidRPr="00FA5DA3">
        <w:rPr>
          <w:lang w:val="en-US"/>
        </w:rPr>
        <w:lastRenderedPageBreak/>
        <w:t>Caouette</w:t>
      </w:r>
      <w:proofErr w:type="spellEnd"/>
      <w:r w:rsidRPr="00FA5DA3">
        <w:rPr>
          <w:lang w:val="en-US"/>
        </w:rPr>
        <w:t xml:space="preserve">, J. D., &amp; </w:t>
      </w:r>
      <w:proofErr w:type="spellStart"/>
      <w:r w:rsidRPr="00FA5DA3">
        <w:rPr>
          <w:lang w:val="en-US"/>
        </w:rPr>
        <w:t>Guyer</w:t>
      </w:r>
      <w:proofErr w:type="spellEnd"/>
      <w:r w:rsidRPr="00FA5DA3">
        <w:rPr>
          <w:lang w:val="en-US"/>
        </w:rPr>
        <w:t xml:space="preserve">, A. E. (2016). Cognitive distortions mediate depression and affective response to social acceptance and rejection. </w:t>
      </w:r>
      <w:r w:rsidRPr="00FA5DA3">
        <w:rPr>
          <w:i/>
          <w:lang w:val="en-US"/>
        </w:rPr>
        <w:t>Journal of affective disorders</w:t>
      </w:r>
      <w:r w:rsidRPr="00FA5DA3">
        <w:rPr>
          <w:lang w:val="en-US"/>
        </w:rPr>
        <w:t>, 190, 792-799.</w:t>
      </w:r>
      <w:r>
        <w:rPr>
          <w:lang w:val="en-US"/>
        </w:rPr>
        <w:t xml:space="preserve"> </w:t>
      </w:r>
      <w:proofErr w:type="spellStart"/>
      <w:r>
        <w:rPr>
          <w:lang w:val="en-US"/>
        </w:rPr>
        <w:t>doi</w:t>
      </w:r>
      <w:proofErr w:type="spellEnd"/>
      <w:r>
        <w:rPr>
          <w:lang w:val="en-US"/>
        </w:rPr>
        <w:t>:</w:t>
      </w:r>
      <w:r w:rsidRPr="00303EA9">
        <w:rPr>
          <w:lang w:val="en-GB"/>
        </w:rPr>
        <w:t xml:space="preserve"> </w:t>
      </w:r>
      <w:r w:rsidRPr="00FA5DA3">
        <w:rPr>
          <w:lang w:val="en-US"/>
        </w:rPr>
        <w:t>10.1016/j.jad.2015.11.015</w:t>
      </w:r>
    </w:p>
    <w:p w14:paraId="3D8CD87D" w14:textId="77777777" w:rsidR="0036431D" w:rsidRPr="00A30A72" w:rsidRDefault="0036431D" w:rsidP="00FE11BE">
      <w:pPr>
        <w:ind w:left="709" w:hanging="709"/>
        <w:jc w:val="both"/>
        <w:rPr>
          <w:lang w:val="en-US"/>
        </w:rPr>
      </w:pPr>
      <w:r w:rsidRPr="00A30A72">
        <w:rPr>
          <w:lang w:val="en-US"/>
        </w:rPr>
        <w:t xml:space="preserve">Cohen, J. (1988). </w:t>
      </w:r>
      <w:r w:rsidRPr="00A30A72">
        <w:rPr>
          <w:i/>
          <w:lang w:val="en-US"/>
        </w:rPr>
        <w:t>Statistical power analysis for the behavioral sciences</w:t>
      </w:r>
      <w:r w:rsidRPr="00A30A72">
        <w:rPr>
          <w:lang w:val="en-US"/>
        </w:rPr>
        <w:t xml:space="preserve"> (2nd ed.). Hillsdale, NJ: Erlbaum.</w:t>
      </w:r>
    </w:p>
    <w:p w14:paraId="5F5A05C1" w14:textId="77777777" w:rsidR="0036431D" w:rsidRPr="00A30A72" w:rsidRDefault="0036431D" w:rsidP="00FE11BE">
      <w:pPr>
        <w:ind w:left="709" w:hanging="709"/>
        <w:jc w:val="both"/>
        <w:rPr>
          <w:color w:val="000000"/>
          <w:lang w:val="en-US" w:eastAsia="ar-SA"/>
        </w:rPr>
      </w:pPr>
      <w:r w:rsidRPr="00A30A72">
        <w:rPr>
          <w:color w:val="000000"/>
          <w:lang w:val="en-US" w:eastAsia="ar-SA"/>
        </w:rPr>
        <w:t xml:space="preserve">Collins, K. A., </w:t>
      </w:r>
      <w:proofErr w:type="spellStart"/>
      <w:r w:rsidRPr="00A30A72">
        <w:rPr>
          <w:color w:val="000000"/>
          <w:lang w:val="en-US" w:eastAsia="ar-SA"/>
        </w:rPr>
        <w:t>Westra</w:t>
      </w:r>
      <w:proofErr w:type="spellEnd"/>
      <w:r w:rsidRPr="00A30A72">
        <w:rPr>
          <w:color w:val="000000"/>
          <w:lang w:val="en-US" w:eastAsia="ar-SA"/>
        </w:rPr>
        <w:t xml:space="preserve">, H. A., </w:t>
      </w:r>
      <w:proofErr w:type="spellStart"/>
      <w:r w:rsidRPr="00A30A72">
        <w:rPr>
          <w:color w:val="000000"/>
          <w:lang w:val="en-US" w:eastAsia="ar-SA"/>
        </w:rPr>
        <w:t>Dozois</w:t>
      </w:r>
      <w:proofErr w:type="spellEnd"/>
      <w:r w:rsidRPr="00A30A72">
        <w:rPr>
          <w:color w:val="000000"/>
          <w:lang w:val="en-US" w:eastAsia="ar-SA"/>
        </w:rPr>
        <w:t xml:space="preserve">, D. J., &amp; Stewart, S. H. (2005). The validity of the brief version of the Fear of Negative Evaluation Scale. </w:t>
      </w:r>
      <w:r w:rsidRPr="00A30A72">
        <w:rPr>
          <w:i/>
          <w:color w:val="000000"/>
          <w:lang w:val="en-US" w:eastAsia="ar-SA"/>
        </w:rPr>
        <w:t>Journal of anxiety disorders, 19</w:t>
      </w:r>
      <w:r w:rsidRPr="00A30A72">
        <w:rPr>
          <w:color w:val="000000"/>
          <w:lang w:val="en-US" w:eastAsia="ar-SA"/>
        </w:rPr>
        <w:t>(3), 345-359.</w:t>
      </w:r>
    </w:p>
    <w:p w14:paraId="1B9BAEDB" w14:textId="77777777" w:rsidR="0036431D" w:rsidRPr="00A30A72" w:rsidRDefault="0036431D" w:rsidP="00FE11BE">
      <w:pPr>
        <w:ind w:left="709" w:hanging="709"/>
        <w:jc w:val="both"/>
        <w:rPr>
          <w:lang w:val="en-US"/>
        </w:rPr>
      </w:pPr>
      <w:proofErr w:type="spellStart"/>
      <w:r w:rsidRPr="009C6622">
        <w:rPr>
          <w:lang w:val="pt-BR"/>
        </w:rPr>
        <w:t>Costello</w:t>
      </w:r>
      <w:proofErr w:type="spellEnd"/>
      <w:r w:rsidRPr="009C6622">
        <w:rPr>
          <w:lang w:val="pt-BR"/>
        </w:rPr>
        <w:t xml:space="preserve">, A. B., &amp; Osborne, J. W. (2005). </w:t>
      </w:r>
      <w:r w:rsidRPr="00A30A72">
        <w:rPr>
          <w:lang w:val="en-US"/>
        </w:rPr>
        <w:t xml:space="preserve">Best Practices in Exploratory Factor Analysis: Four Recommendations for Getting the Most </w:t>
      </w:r>
      <w:proofErr w:type="gramStart"/>
      <w:r w:rsidRPr="00A30A72">
        <w:rPr>
          <w:lang w:val="en-US"/>
        </w:rPr>
        <w:t>From</w:t>
      </w:r>
      <w:proofErr w:type="gramEnd"/>
      <w:r w:rsidRPr="00A30A72">
        <w:rPr>
          <w:lang w:val="en-US"/>
        </w:rPr>
        <w:t xml:space="preserve"> Your Analysis. </w:t>
      </w:r>
      <w:r w:rsidRPr="00A30A72">
        <w:rPr>
          <w:i/>
          <w:lang w:val="en-US"/>
        </w:rPr>
        <w:t>Assessment, 10</w:t>
      </w:r>
      <w:r w:rsidRPr="00A30A72">
        <w:rPr>
          <w:lang w:val="en-US"/>
        </w:rPr>
        <w:t xml:space="preserve"> (7), 1-9.doi: 10.4135/9781412995627.d8</w:t>
      </w:r>
    </w:p>
    <w:p w14:paraId="3E8FD70F" w14:textId="570F3335" w:rsidR="0036431D" w:rsidRPr="00303EA9" w:rsidRDefault="0036431D" w:rsidP="00303EA9">
      <w:pPr>
        <w:ind w:left="709" w:hanging="709"/>
        <w:jc w:val="both"/>
        <w:rPr>
          <w:lang w:val="en-US" w:eastAsia="ar-SA"/>
        </w:rPr>
      </w:pPr>
      <w:r w:rsidRPr="00A30A72">
        <w:rPr>
          <w:lang w:val="en-US" w:eastAsia="ar-SA"/>
        </w:rPr>
        <w:t xml:space="preserve">Downey, G., &amp; Feldman, S. I. (1996). Implications of rejection sensitivity for intimate relationships. </w:t>
      </w:r>
      <w:r w:rsidRPr="00A30A72">
        <w:rPr>
          <w:i/>
          <w:lang w:val="en-US" w:eastAsia="ar-SA"/>
        </w:rPr>
        <w:t>Journal of personality and social psychology, 70</w:t>
      </w:r>
      <w:r w:rsidRPr="00A30A72">
        <w:rPr>
          <w:lang w:val="en-US" w:eastAsia="ar-SA"/>
        </w:rPr>
        <w:t>(6), 1327-1343.</w:t>
      </w:r>
      <w:r w:rsidR="00303EA9">
        <w:rPr>
          <w:lang w:val="en-US" w:eastAsia="ar-SA"/>
        </w:rPr>
        <w:t>doi:</w:t>
      </w:r>
      <w:r w:rsidR="00303EA9" w:rsidRPr="009C6622">
        <w:rPr>
          <w:lang w:val="en-US"/>
        </w:rPr>
        <w:t xml:space="preserve"> </w:t>
      </w:r>
      <w:r w:rsidR="00303EA9" w:rsidRPr="00303EA9">
        <w:rPr>
          <w:lang w:val="en-US" w:eastAsia="ar-SA"/>
        </w:rPr>
        <w:t>10.1037//0022-3514.70.6.1327</w:t>
      </w:r>
    </w:p>
    <w:p w14:paraId="2F3A2993" w14:textId="6B43DA3C" w:rsidR="0036431D" w:rsidRDefault="0036431D" w:rsidP="00FE11BE">
      <w:pPr>
        <w:ind w:left="709" w:hanging="709"/>
        <w:jc w:val="both"/>
        <w:rPr>
          <w:lang w:val="en-US" w:eastAsia="ar-SA"/>
        </w:rPr>
      </w:pPr>
      <w:r w:rsidRPr="00A30A72">
        <w:rPr>
          <w:lang w:val="en-US" w:eastAsia="ar-SA"/>
        </w:rPr>
        <w:t xml:space="preserve">Downey, G., Feldman, S., </w:t>
      </w:r>
      <w:proofErr w:type="spellStart"/>
      <w:r w:rsidRPr="00A30A72">
        <w:rPr>
          <w:lang w:val="en-US" w:eastAsia="ar-SA"/>
        </w:rPr>
        <w:t>Khuri</w:t>
      </w:r>
      <w:proofErr w:type="spellEnd"/>
      <w:r w:rsidRPr="00A30A72">
        <w:rPr>
          <w:lang w:val="en-US" w:eastAsia="ar-SA"/>
        </w:rPr>
        <w:t xml:space="preserve">, J., &amp; Friedman, S. (1994). Maltreatment and child depression. In W. M. Reynolds &amp; H. E Johnson (Eds.), </w:t>
      </w:r>
      <w:r w:rsidRPr="00A30A72">
        <w:rPr>
          <w:i/>
          <w:lang w:val="en-US" w:eastAsia="ar-SA"/>
        </w:rPr>
        <w:t xml:space="preserve">Handbook of depression in childhood and adolescence </w:t>
      </w:r>
      <w:r w:rsidRPr="00A30A72">
        <w:rPr>
          <w:lang w:val="en-US" w:eastAsia="ar-SA"/>
        </w:rPr>
        <w:t>(pp. 481-508). New York: Plenum.</w:t>
      </w:r>
    </w:p>
    <w:p w14:paraId="25181A7F" w14:textId="49F755DE" w:rsidR="00FA5DA3" w:rsidRPr="00FA5DA3" w:rsidRDefault="00FA5DA3" w:rsidP="00FA5DA3">
      <w:pPr>
        <w:ind w:left="709" w:hanging="709"/>
        <w:jc w:val="both"/>
        <w:rPr>
          <w:lang w:val="en-US" w:eastAsia="ar-SA"/>
        </w:rPr>
      </w:pPr>
      <w:r w:rsidRPr="00FA5DA3">
        <w:rPr>
          <w:lang w:val="en-US" w:eastAsia="ar-SA"/>
        </w:rPr>
        <w:t xml:space="preserve">Driscoll, R. L., Barclay, P., &amp; </w:t>
      </w:r>
      <w:proofErr w:type="spellStart"/>
      <w:r w:rsidRPr="00FA5DA3">
        <w:rPr>
          <w:lang w:val="en-US" w:eastAsia="ar-SA"/>
        </w:rPr>
        <w:t>Fenske</w:t>
      </w:r>
      <w:proofErr w:type="spellEnd"/>
      <w:r w:rsidRPr="00FA5DA3">
        <w:rPr>
          <w:lang w:val="en-US" w:eastAsia="ar-SA"/>
        </w:rPr>
        <w:t xml:space="preserve">, M. J. (2017). To be spurned no more: The affective and behavioral consequences of social and nonsocial rejection. </w:t>
      </w:r>
      <w:proofErr w:type="spellStart"/>
      <w:r w:rsidRPr="00FA5DA3">
        <w:rPr>
          <w:i/>
          <w:lang w:val="en-US" w:eastAsia="ar-SA"/>
        </w:rPr>
        <w:t>Psychonomic</w:t>
      </w:r>
      <w:proofErr w:type="spellEnd"/>
      <w:r w:rsidRPr="00FA5DA3">
        <w:rPr>
          <w:i/>
          <w:lang w:val="en-US" w:eastAsia="ar-SA"/>
        </w:rPr>
        <w:t xml:space="preserve"> bulletin &amp; review, 24</w:t>
      </w:r>
      <w:r w:rsidRPr="00FA5DA3">
        <w:rPr>
          <w:lang w:val="en-US" w:eastAsia="ar-SA"/>
        </w:rPr>
        <w:t>(2), 566-573.</w:t>
      </w:r>
      <w:r>
        <w:rPr>
          <w:lang w:val="en-US" w:eastAsia="ar-SA"/>
        </w:rPr>
        <w:t xml:space="preserve">doi: </w:t>
      </w:r>
      <w:r w:rsidRPr="00FA5DA3">
        <w:rPr>
          <w:lang w:val="en-US" w:eastAsia="ar-SA"/>
        </w:rPr>
        <w:t>10.3758/s13423-016-1114-6</w:t>
      </w:r>
    </w:p>
    <w:p w14:paraId="6559BF0C" w14:textId="77777777" w:rsidR="0036431D" w:rsidRPr="00A30A72" w:rsidRDefault="0036431D" w:rsidP="00FE11BE">
      <w:pPr>
        <w:ind w:left="709" w:hanging="709"/>
        <w:jc w:val="both"/>
        <w:rPr>
          <w:color w:val="000000"/>
          <w:lang w:val="en-US" w:eastAsia="ar-SA"/>
        </w:rPr>
      </w:pPr>
      <w:r w:rsidRPr="00A30A72">
        <w:rPr>
          <w:color w:val="000000"/>
          <w:lang w:val="en-US" w:eastAsia="ar-SA"/>
        </w:rPr>
        <w:t xml:space="preserve">Fiedler, D. &amp; Beach, L, R. (1978). On the decision to be assertive. </w:t>
      </w:r>
      <w:r w:rsidRPr="00A30A72">
        <w:rPr>
          <w:i/>
          <w:color w:val="000000"/>
          <w:lang w:val="en-US" w:eastAsia="ar-SA"/>
        </w:rPr>
        <w:t>Journal of Consulting and Clinical Psychology, 46(3</w:t>
      </w:r>
      <w:r w:rsidRPr="00A30A72">
        <w:rPr>
          <w:color w:val="000000"/>
          <w:lang w:val="en-US" w:eastAsia="ar-SA"/>
        </w:rPr>
        <w:t>), 537-54.</w:t>
      </w:r>
    </w:p>
    <w:p w14:paraId="3F03169C" w14:textId="77777777" w:rsidR="0036431D" w:rsidRPr="00A30A72" w:rsidRDefault="0036431D" w:rsidP="00FE11BE">
      <w:pPr>
        <w:ind w:left="709" w:hanging="709"/>
        <w:jc w:val="both"/>
        <w:rPr>
          <w:rFonts w:eastAsiaTheme="minorHAnsi"/>
          <w:lang w:val="en-US" w:eastAsia="en-US"/>
        </w:rPr>
      </w:pPr>
      <w:r w:rsidRPr="00A30A72">
        <w:rPr>
          <w:rFonts w:eastAsiaTheme="minorHAnsi"/>
          <w:lang w:val="en-US" w:eastAsia="en-US"/>
        </w:rPr>
        <w:t xml:space="preserve">Gilbert, P. (2001). Evolution and social anxiety: The role of attraction, social competition, and social hierarchies. </w:t>
      </w:r>
      <w:r w:rsidRPr="00A30A72">
        <w:rPr>
          <w:rFonts w:eastAsiaTheme="minorHAnsi"/>
          <w:i/>
          <w:lang w:val="en-US" w:eastAsia="en-US"/>
        </w:rPr>
        <w:t>Psychiatric Clinics of North America, 24</w:t>
      </w:r>
      <w:r w:rsidRPr="00A30A72">
        <w:rPr>
          <w:rFonts w:eastAsiaTheme="minorHAnsi"/>
          <w:lang w:val="en-US" w:eastAsia="en-US"/>
        </w:rPr>
        <w:t>(4), 723-751.</w:t>
      </w:r>
    </w:p>
    <w:p w14:paraId="7487440C" w14:textId="52B9E925" w:rsidR="0036431D" w:rsidRPr="00303EA9" w:rsidRDefault="0036431D" w:rsidP="00303EA9">
      <w:pPr>
        <w:ind w:left="709" w:hanging="709"/>
        <w:jc w:val="both"/>
        <w:rPr>
          <w:rFonts w:eastAsiaTheme="minorHAnsi"/>
          <w:lang w:val="en-US" w:eastAsia="en-US"/>
        </w:rPr>
      </w:pPr>
      <w:proofErr w:type="spellStart"/>
      <w:r w:rsidRPr="00A30A72">
        <w:rPr>
          <w:rFonts w:eastAsiaTheme="minorHAnsi"/>
          <w:lang w:val="en-US" w:eastAsia="en-US"/>
        </w:rPr>
        <w:t>Gudykunst</w:t>
      </w:r>
      <w:proofErr w:type="spellEnd"/>
      <w:r w:rsidRPr="00A30A72">
        <w:rPr>
          <w:rFonts w:eastAsiaTheme="minorHAnsi"/>
          <w:lang w:val="en-US" w:eastAsia="en-US"/>
        </w:rPr>
        <w:t>, W. B., &amp; Nishida, T. (2001). Anxiety, uncertainty, and perceived effectiveness of communication across relationships and cultures</w:t>
      </w:r>
      <w:r w:rsidRPr="00A30A72">
        <w:rPr>
          <w:rFonts w:eastAsiaTheme="minorHAnsi"/>
          <w:i/>
          <w:lang w:val="en-US" w:eastAsia="en-US"/>
        </w:rPr>
        <w:t>. International journal of Intercultural Relations, 25</w:t>
      </w:r>
      <w:r w:rsidRPr="00A30A72">
        <w:rPr>
          <w:rFonts w:eastAsiaTheme="minorHAnsi"/>
          <w:lang w:val="en-US" w:eastAsia="en-US"/>
        </w:rPr>
        <w:t>(1), 55-71.</w:t>
      </w:r>
      <w:r w:rsidR="00303EA9">
        <w:rPr>
          <w:rFonts w:eastAsiaTheme="minorHAnsi"/>
          <w:lang w:val="en-US" w:eastAsia="en-US"/>
        </w:rPr>
        <w:t xml:space="preserve">doi: </w:t>
      </w:r>
      <w:r w:rsidR="00303EA9" w:rsidRPr="00303EA9">
        <w:rPr>
          <w:rFonts w:eastAsiaTheme="minorHAnsi"/>
          <w:lang w:val="en-US" w:eastAsia="en-US"/>
        </w:rPr>
        <w:t>10.1016/s0147-1767(00)00042-0</w:t>
      </w:r>
    </w:p>
    <w:p w14:paraId="044A7759" w14:textId="2A304D60" w:rsidR="0036431D" w:rsidRPr="003109F0" w:rsidRDefault="0036431D" w:rsidP="003109F0">
      <w:pPr>
        <w:ind w:left="709" w:hanging="709"/>
        <w:jc w:val="both"/>
        <w:rPr>
          <w:rFonts w:eastAsiaTheme="minorHAnsi"/>
          <w:lang w:val="en-US" w:eastAsia="en-US"/>
        </w:rPr>
      </w:pPr>
      <w:proofErr w:type="spellStart"/>
      <w:r w:rsidRPr="00A30A72">
        <w:rPr>
          <w:rFonts w:eastAsiaTheme="minorHAnsi"/>
          <w:lang w:val="en-US" w:eastAsia="en-US"/>
        </w:rPr>
        <w:t>Gudykunst</w:t>
      </w:r>
      <w:proofErr w:type="spellEnd"/>
      <w:r w:rsidRPr="00A30A72">
        <w:rPr>
          <w:rFonts w:eastAsiaTheme="minorHAnsi"/>
          <w:lang w:val="en-US" w:eastAsia="en-US"/>
        </w:rPr>
        <w:t xml:space="preserve">, W. B., &amp; Shapiro, R. (1996). Communication in everyday interpersonal and intergroup encounters. </w:t>
      </w:r>
      <w:r w:rsidRPr="00A30A72">
        <w:rPr>
          <w:rFonts w:eastAsiaTheme="minorHAnsi"/>
          <w:i/>
          <w:lang w:val="en-US" w:eastAsia="en-US"/>
        </w:rPr>
        <w:t>International Journal of Intercultural Relations</w:t>
      </w:r>
      <w:r w:rsidRPr="00A30A72">
        <w:rPr>
          <w:rFonts w:eastAsiaTheme="minorHAnsi"/>
          <w:lang w:val="en-US" w:eastAsia="en-US"/>
        </w:rPr>
        <w:t>, 20, 19-45.</w:t>
      </w:r>
      <w:r w:rsidR="003109F0">
        <w:rPr>
          <w:rFonts w:eastAsiaTheme="minorHAnsi"/>
          <w:lang w:val="en-US" w:eastAsia="en-US"/>
        </w:rPr>
        <w:t>doi:</w:t>
      </w:r>
      <w:r w:rsidR="003109F0" w:rsidRPr="009C6622">
        <w:rPr>
          <w:lang w:val="en-US"/>
        </w:rPr>
        <w:t xml:space="preserve"> </w:t>
      </w:r>
      <w:r w:rsidR="003109F0" w:rsidRPr="003109F0">
        <w:rPr>
          <w:rFonts w:eastAsiaTheme="minorHAnsi"/>
          <w:lang w:val="en-US" w:eastAsia="en-US"/>
        </w:rPr>
        <w:t>10.1016/0147-1767(96)00037-5</w:t>
      </w:r>
    </w:p>
    <w:p w14:paraId="37D155E4" w14:textId="77777777" w:rsidR="0036431D" w:rsidRPr="00A30A72" w:rsidRDefault="0036431D" w:rsidP="00FE11BE">
      <w:pPr>
        <w:ind w:left="709" w:hanging="709"/>
        <w:jc w:val="both"/>
        <w:rPr>
          <w:lang w:val="en-US" w:eastAsia="ar-SA"/>
        </w:rPr>
      </w:pPr>
      <w:r w:rsidRPr="00A30A72">
        <w:rPr>
          <w:lang w:val="en-US" w:eastAsia="ar-SA"/>
        </w:rPr>
        <w:t xml:space="preserve">Hair, J. F., Black, W. C., </w:t>
      </w:r>
      <w:proofErr w:type="spellStart"/>
      <w:r w:rsidRPr="00A30A72">
        <w:rPr>
          <w:lang w:val="en-US" w:eastAsia="ar-SA"/>
        </w:rPr>
        <w:t>Babin</w:t>
      </w:r>
      <w:proofErr w:type="spellEnd"/>
      <w:r w:rsidRPr="00A30A72">
        <w:rPr>
          <w:lang w:val="en-US" w:eastAsia="ar-SA"/>
        </w:rPr>
        <w:t xml:space="preserve">, B. J., Anderson, R. E., &amp; Tatham, R. L. (2006). </w:t>
      </w:r>
      <w:r w:rsidRPr="00A30A72">
        <w:rPr>
          <w:i/>
          <w:lang w:val="en-US" w:eastAsia="ar-SA"/>
        </w:rPr>
        <w:t>Multivariate data analysis (</w:t>
      </w:r>
      <w:r w:rsidRPr="00A30A72">
        <w:rPr>
          <w:lang w:val="en-US" w:eastAsia="ar-SA"/>
        </w:rPr>
        <w:t>6th Edition). New Jersey: Pearson Education.</w:t>
      </w:r>
    </w:p>
    <w:p w14:paraId="74D8ED62" w14:textId="77777777" w:rsidR="0036431D" w:rsidRPr="00A30A72" w:rsidRDefault="0036431D" w:rsidP="00FE11BE">
      <w:pPr>
        <w:ind w:left="709" w:hanging="709"/>
        <w:jc w:val="both"/>
        <w:rPr>
          <w:lang w:val="en-US"/>
        </w:rPr>
      </w:pPr>
      <w:proofErr w:type="spellStart"/>
      <w:r w:rsidRPr="00A30A72">
        <w:rPr>
          <w:lang w:val="en-US"/>
        </w:rPr>
        <w:t>Heimberg</w:t>
      </w:r>
      <w:proofErr w:type="spellEnd"/>
      <w:r w:rsidRPr="00A30A72">
        <w:rPr>
          <w:lang w:val="en-US"/>
        </w:rPr>
        <w:t xml:space="preserve">, R. G., Mueller, G. P., Holt, C. S., Hope, D. A., &amp; </w:t>
      </w:r>
      <w:proofErr w:type="spellStart"/>
      <w:r w:rsidRPr="00A30A72">
        <w:rPr>
          <w:lang w:val="en-US"/>
        </w:rPr>
        <w:t>Liebowitz</w:t>
      </w:r>
      <w:proofErr w:type="spellEnd"/>
      <w:r w:rsidRPr="00A30A72">
        <w:rPr>
          <w:lang w:val="en-US"/>
        </w:rPr>
        <w:t xml:space="preserve">, M. R. (1993). Assessment of anxiety in social interaction and being observed by others: The Social Interaction Anxiety Scale and the Social Phobia Scale. </w:t>
      </w:r>
      <w:r w:rsidRPr="00A30A72">
        <w:rPr>
          <w:i/>
          <w:lang w:val="en-US"/>
        </w:rPr>
        <w:t>Behavior Therapy, 23</w:t>
      </w:r>
      <w:r w:rsidRPr="00A30A72">
        <w:rPr>
          <w:lang w:val="en-US"/>
        </w:rPr>
        <w:t>(1), 53-73.</w:t>
      </w:r>
    </w:p>
    <w:p w14:paraId="4117B579" w14:textId="77777777" w:rsidR="0036431D" w:rsidRPr="00A30A72" w:rsidRDefault="0036431D" w:rsidP="00FE11BE">
      <w:pPr>
        <w:ind w:left="709" w:hanging="709"/>
        <w:jc w:val="both"/>
        <w:rPr>
          <w:color w:val="000000"/>
          <w:lang w:val="pt-BR" w:eastAsia="ar-SA"/>
        </w:rPr>
      </w:pPr>
      <w:r w:rsidRPr="00A30A72">
        <w:rPr>
          <w:color w:val="000000"/>
          <w:lang w:val="en-US" w:eastAsia="ar-SA"/>
        </w:rPr>
        <w:t xml:space="preserve">Horn, J. (1965). A rationales and test for the number of factor in factor analysis. </w:t>
      </w:r>
      <w:proofErr w:type="spellStart"/>
      <w:r w:rsidRPr="00A30A72">
        <w:rPr>
          <w:i/>
          <w:color w:val="000000"/>
          <w:lang w:val="pt-BR" w:eastAsia="ar-SA"/>
        </w:rPr>
        <w:t>Psychometrika</w:t>
      </w:r>
      <w:proofErr w:type="spellEnd"/>
      <w:r w:rsidRPr="00A30A72">
        <w:rPr>
          <w:i/>
          <w:color w:val="000000"/>
          <w:lang w:val="pt-BR" w:eastAsia="ar-SA"/>
        </w:rPr>
        <w:t>, 30</w:t>
      </w:r>
      <w:r w:rsidRPr="00A30A72">
        <w:rPr>
          <w:color w:val="000000"/>
          <w:lang w:val="pt-BR" w:eastAsia="ar-SA"/>
        </w:rPr>
        <w:t>, 179-185.doi:</w:t>
      </w:r>
      <w:r w:rsidRPr="00A30A72">
        <w:rPr>
          <w:lang w:val="pt-BR"/>
        </w:rPr>
        <w:t xml:space="preserve"> </w:t>
      </w:r>
      <w:r w:rsidRPr="00A30A72">
        <w:rPr>
          <w:color w:val="000000"/>
          <w:lang w:val="pt-BR" w:eastAsia="ar-SA"/>
        </w:rPr>
        <w:t>10.1007/bf02289447</w:t>
      </w:r>
    </w:p>
    <w:p w14:paraId="4599B9F3" w14:textId="48FEA391" w:rsidR="0036431D" w:rsidRPr="003109F0" w:rsidRDefault="0036431D" w:rsidP="003109F0">
      <w:pPr>
        <w:ind w:left="709" w:hanging="709"/>
        <w:jc w:val="both"/>
        <w:rPr>
          <w:lang w:val="en-US"/>
        </w:rPr>
      </w:pPr>
      <w:proofErr w:type="spellStart"/>
      <w:r w:rsidRPr="00A30A72">
        <w:rPr>
          <w:lang w:val="pt-BR"/>
        </w:rPr>
        <w:t>Inglés</w:t>
      </w:r>
      <w:proofErr w:type="spellEnd"/>
      <w:r w:rsidRPr="00A30A72">
        <w:rPr>
          <w:lang w:val="pt-BR"/>
        </w:rPr>
        <w:t xml:space="preserve">, C. J., </w:t>
      </w:r>
      <w:proofErr w:type="spellStart"/>
      <w:r w:rsidRPr="00A30A72">
        <w:rPr>
          <w:lang w:val="pt-BR"/>
        </w:rPr>
        <w:t>Méndez</w:t>
      </w:r>
      <w:proofErr w:type="spellEnd"/>
      <w:r w:rsidRPr="00A30A72">
        <w:rPr>
          <w:lang w:val="pt-BR"/>
        </w:rPr>
        <w:t xml:space="preserve">, F. X., &amp; Hidalgo, M. D. (2000). </w:t>
      </w:r>
      <w:r w:rsidRPr="00A30A72">
        <w:t xml:space="preserve">Cuestionario de evaluación de dificultades interpersonales en la adolescencia. </w:t>
      </w:r>
      <w:proofErr w:type="spellStart"/>
      <w:r w:rsidRPr="00A30A72">
        <w:rPr>
          <w:i/>
          <w:lang w:val="en-US"/>
        </w:rPr>
        <w:t>Psicothema</w:t>
      </w:r>
      <w:proofErr w:type="spellEnd"/>
      <w:r w:rsidRPr="00A30A72">
        <w:rPr>
          <w:i/>
          <w:lang w:val="en-US"/>
        </w:rPr>
        <w:t>, 12</w:t>
      </w:r>
      <w:r w:rsidRPr="00A30A72">
        <w:rPr>
          <w:lang w:val="en-US"/>
        </w:rPr>
        <w:t>, 390-398.</w:t>
      </w:r>
      <w:r w:rsidR="003109F0">
        <w:rPr>
          <w:lang w:val="en-US"/>
        </w:rPr>
        <w:t>doi:</w:t>
      </w:r>
      <w:r w:rsidR="003109F0" w:rsidRPr="009C6622">
        <w:rPr>
          <w:lang w:val="en-US"/>
        </w:rPr>
        <w:t xml:space="preserve"> </w:t>
      </w:r>
      <w:r w:rsidR="003109F0" w:rsidRPr="003109F0">
        <w:rPr>
          <w:lang w:val="en-US"/>
        </w:rPr>
        <w:t>10.1037/t03602-000</w:t>
      </w:r>
    </w:p>
    <w:p w14:paraId="357F74B2" w14:textId="77777777" w:rsidR="0036431D" w:rsidRPr="00A30A72" w:rsidRDefault="0036431D" w:rsidP="00FE11BE">
      <w:pPr>
        <w:ind w:left="709" w:hanging="709"/>
        <w:jc w:val="both"/>
        <w:rPr>
          <w:rFonts w:eastAsia="AGaramondPro-Regular"/>
          <w:lang w:val="en-US"/>
        </w:rPr>
      </w:pPr>
      <w:r w:rsidRPr="00A30A72">
        <w:rPr>
          <w:rFonts w:eastAsia="AGaramondPro-Regular"/>
          <w:lang w:val="en-US"/>
        </w:rPr>
        <w:t xml:space="preserve">Leary, M. R. (1983). A brief </w:t>
      </w:r>
      <w:proofErr w:type="spellStart"/>
      <w:r w:rsidRPr="00A30A72">
        <w:rPr>
          <w:rFonts w:eastAsia="AGaramondPro-Regular"/>
          <w:lang w:val="en-US"/>
        </w:rPr>
        <w:t>versión</w:t>
      </w:r>
      <w:proofErr w:type="spellEnd"/>
      <w:r w:rsidRPr="00A30A72">
        <w:rPr>
          <w:rFonts w:eastAsia="AGaramondPro-Regular"/>
          <w:lang w:val="en-US"/>
        </w:rPr>
        <w:t xml:space="preserve"> of the Fear of Negative Evaluation Scale. </w:t>
      </w:r>
      <w:r w:rsidRPr="00A30A72">
        <w:rPr>
          <w:rFonts w:eastAsia="AGaramondPro-Regular"/>
          <w:i/>
          <w:lang w:val="en-US"/>
        </w:rPr>
        <w:t>Personality and Social Psychology Bulletin, 9</w:t>
      </w:r>
      <w:r w:rsidRPr="00A30A72">
        <w:rPr>
          <w:rFonts w:eastAsia="AGaramondPro-Regular"/>
          <w:lang w:val="en-US"/>
        </w:rPr>
        <w:t>, 371-375.</w:t>
      </w:r>
    </w:p>
    <w:p w14:paraId="75ACAD33" w14:textId="77777777" w:rsidR="0036431D" w:rsidRPr="00A30A72" w:rsidRDefault="0036431D" w:rsidP="00FE11BE">
      <w:pPr>
        <w:ind w:left="709" w:hanging="709"/>
        <w:jc w:val="both"/>
        <w:rPr>
          <w:color w:val="000000"/>
          <w:lang w:val="en-US" w:eastAsia="ar-SA"/>
        </w:rPr>
      </w:pPr>
      <w:r w:rsidRPr="00A30A72">
        <w:rPr>
          <w:color w:val="000000"/>
          <w:lang w:val="en-US" w:eastAsia="ar-SA"/>
        </w:rPr>
        <w:t xml:space="preserve">Leary, M. R (1986). The impact of interactional impediments on social anxiety and </w:t>
      </w:r>
      <w:proofErr w:type="spellStart"/>
      <w:r w:rsidRPr="00A30A72">
        <w:rPr>
          <w:color w:val="000000"/>
          <w:lang w:val="en-US" w:eastAsia="ar-SA"/>
        </w:rPr>
        <w:t>self presentation</w:t>
      </w:r>
      <w:proofErr w:type="spellEnd"/>
      <w:r w:rsidRPr="00A30A72">
        <w:rPr>
          <w:color w:val="000000"/>
          <w:lang w:val="en-US" w:eastAsia="ar-SA"/>
        </w:rPr>
        <w:t xml:space="preserve">. </w:t>
      </w:r>
      <w:r w:rsidRPr="00A30A72">
        <w:rPr>
          <w:i/>
          <w:color w:val="000000"/>
          <w:lang w:val="en-US" w:eastAsia="ar-SA"/>
        </w:rPr>
        <w:t>Journal of Experimental Social Psychology, 22</w:t>
      </w:r>
      <w:r w:rsidRPr="00A30A72">
        <w:rPr>
          <w:color w:val="000000"/>
          <w:lang w:val="en-US" w:eastAsia="ar-SA"/>
        </w:rPr>
        <w:t>, 122-135.doi:</w:t>
      </w:r>
      <w:r w:rsidRPr="00A30A72">
        <w:rPr>
          <w:lang w:val="en-US"/>
        </w:rPr>
        <w:t xml:space="preserve"> </w:t>
      </w:r>
      <w:r w:rsidRPr="00A30A72">
        <w:rPr>
          <w:color w:val="000000"/>
          <w:lang w:val="en-US" w:eastAsia="ar-SA"/>
        </w:rPr>
        <w:t>10.1016/0022-1031(86)90032-6</w:t>
      </w:r>
    </w:p>
    <w:p w14:paraId="716D8D5F" w14:textId="7E4EC9AB" w:rsidR="0036431D" w:rsidRPr="003109F0" w:rsidRDefault="0036431D" w:rsidP="003109F0">
      <w:pPr>
        <w:ind w:left="709" w:hanging="709"/>
        <w:jc w:val="both"/>
        <w:rPr>
          <w:lang w:val="en-US" w:eastAsia="ar-SA"/>
        </w:rPr>
      </w:pPr>
      <w:r w:rsidRPr="00A30A72">
        <w:rPr>
          <w:lang w:val="en-US" w:eastAsia="ar-SA"/>
        </w:rPr>
        <w:t xml:space="preserve">Leary, M.R., </w:t>
      </w:r>
      <w:proofErr w:type="spellStart"/>
      <w:r w:rsidRPr="00A30A72">
        <w:rPr>
          <w:lang w:val="en-US" w:eastAsia="ar-SA"/>
        </w:rPr>
        <w:t>Twenge</w:t>
      </w:r>
      <w:proofErr w:type="spellEnd"/>
      <w:r w:rsidRPr="00A30A72">
        <w:rPr>
          <w:lang w:val="en-US" w:eastAsia="ar-SA"/>
        </w:rPr>
        <w:t xml:space="preserve">, J.M. &amp; </w:t>
      </w:r>
      <w:proofErr w:type="spellStart"/>
      <w:r w:rsidRPr="00A30A72">
        <w:rPr>
          <w:lang w:val="en-US" w:eastAsia="ar-SA"/>
        </w:rPr>
        <w:t>Quinlivan</w:t>
      </w:r>
      <w:proofErr w:type="spellEnd"/>
      <w:r w:rsidRPr="00A30A72">
        <w:rPr>
          <w:lang w:val="en-US" w:eastAsia="ar-SA"/>
        </w:rPr>
        <w:t xml:space="preserve">, E. (2006). Interpersonal Rejection as a Determinant of Anger and Aggression. </w:t>
      </w:r>
      <w:r w:rsidRPr="00A30A72">
        <w:rPr>
          <w:i/>
          <w:lang w:val="en-US" w:eastAsia="ar-SA"/>
        </w:rPr>
        <w:t>Personality and Social Psychology Review, 10</w:t>
      </w:r>
      <w:r w:rsidRPr="00A30A72">
        <w:rPr>
          <w:lang w:val="en-US" w:eastAsia="ar-SA"/>
        </w:rPr>
        <w:t>(2), 111-132.</w:t>
      </w:r>
      <w:r w:rsidR="003109F0">
        <w:rPr>
          <w:lang w:val="en-US" w:eastAsia="ar-SA"/>
        </w:rPr>
        <w:t>doi:</w:t>
      </w:r>
      <w:r w:rsidR="003109F0" w:rsidRPr="009C6622">
        <w:rPr>
          <w:lang w:val="en-US"/>
        </w:rPr>
        <w:t xml:space="preserve"> </w:t>
      </w:r>
      <w:r w:rsidR="003109F0" w:rsidRPr="003109F0">
        <w:rPr>
          <w:lang w:val="en-US" w:eastAsia="ar-SA"/>
        </w:rPr>
        <w:t>10.1207/s15327957pspr1002_2</w:t>
      </w:r>
    </w:p>
    <w:p w14:paraId="5677B637" w14:textId="48645B58" w:rsidR="00FA5DA3" w:rsidRPr="00FA5DA3" w:rsidRDefault="00FA5DA3" w:rsidP="00FA5DA3">
      <w:pPr>
        <w:ind w:left="709" w:hanging="709"/>
        <w:jc w:val="both"/>
        <w:rPr>
          <w:lang w:val="en-US" w:eastAsia="ar-SA"/>
        </w:rPr>
      </w:pPr>
      <w:r w:rsidRPr="00FA5DA3">
        <w:rPr>
          <w:lang w:val="en-US" w:eastAsia="ar-SA"/>
        </w:rPr>
        <w:lastRenderedPageBreak/>
        <w:t xml:space="preserve">Lee, C. S., &amp; Hayes-Skelton, S. A. (2017). Social Cost Bias, Probability Bias, and Self-Efficacy as Correlates of Behavioral Action in Social Anxiety. </w:t>
      </w:r>
      <w:r w:rsidRPr="00FA5DA3">
        <w:rPr>
          <w:i/>
          <w:lang w:val="en-US" w:eastAsia="ar-SA"/>
        </w:rPr>
        <w:t>Behavior Modification</w:t>
      </w:r>
      <w:r w:rsidRPr="00FA5DA3">
        <w:rPr>
          <w:lang w:val="en-US" w:eastAsia="ar-SA"/>
        </w:rPr>
        <w:t xml:space="preserve">, </w:t>
      </w:r>
      <w:r>
        <w:rPr>
          <w:lang w:val="en-US" w:eastAsia="ar-SA"/>
        </w:rPr>
        <w:t xml:space="preserve">1-21. </w:t>
      </w:r>
      <w:proofErr w:type="spellStart"/>
      <w:r>
        <w:rPr>
          <w:lang w:val="en-US" w:eastAsia="ar-SA"/>
        </w:rPr>
        <w:t>doi</w:t>
      </w:r>
      <w:proofErr w:type="spellEnd"/>
      <w:r>
        <w:rPr>
          <w:lang w:val="en-US" w:eastAsia="ar-SA"/>
        </w:rPr>
        <w:t xml:space="preserve">: </w:t>
      </w:r>
      <w:r w:rsidRPr="00FA5DA3">
        <w:rPr>
          <w:lang w:val="en-US" w:eastAsia="ar-SA"/>
        </w:rPr>
        <w:t>10.1177/0145445517720447</w:t>
      </w:r>
    </w:p>
    <w:p w14:paraId="12D55F3D" w14:textId="77777777" w:rsidR="0036431D" w:rsidRPr="00A30A72" w:rsidRDefault="0036431D" w:rsidP="00FE11BE">
      <w:pPr>
        <w:ind w:left="709" w:hanging="709"/>
        <w:jc w:val="both"/>
        <w:rPr>
          <w:lang w:val="en-US"/>
        </w:rPr>
      </w:pPr>
      <w:r w:rsidRPr="00A30A72">
        <w:rPr>
          <w:lang w:val="en-US"/>
        </w:rPr>
        <w:t xml:space="preserve">Lent, R.W., &amp; Brown, S.D. (2006). On conceptualizing and assessing social cognitive constructs in career research: A measurement guide. </w:t>
      </w:r>
      <w:r w:rsidRPr="00A30A72">
        <w:rPr>
          <w:i/>
          <w:lang w:val="en-US"/>
        </w:rPr>
        <w:t>Journal of Career Assessment, 14</w:t>
      </w:r>
      <w:r w:rsidRPr="00A30A72">
        <w:rPr>
          <w:lang w:val="en-US"/>
        </w:rPr>
        <w:t>(1), 12-35.doi: 10.1177/1069072705281364</w:t>
      </w:r>
    </w:p>
    <w:p w14:paraId="1EB36607" w14:textId="77777777" w:rsidR="0036431D" w:rsidRPr="00A30A72" w:rsidRDefault="0036431D" w:rsidP="00FE11BE">
      <w:pPr>
        <w:ind w:left="709" w:hanging="709"/>
        <w:jc w:val="both"/>
        <w:rPr>
          <w:lang w:val="en-US"/>
        </w:rPr>
      </w:pPr>
      <w:proofErr w:type="spellStart"/>
      <w:r w:rsidRPr="00A30A72">
        <w:rPr>
          <w:lang w:val="en-US"/>
        </w:rPr>
        <w:t>Lipsey</w:t>
      </w:r>
      <w:proofErr w:type="spellEnd"/>
      <w:r w:rsidRPr="00A30A72">
        <w:rPr>
          <w:lang w:val="en-US"/>
        </w:rPr>
        <w:t xml:space="preserve">, M. W., &amp; Wilson, D. B. (2001). </w:t>
      </w:r>
      <w:r w:rsidRPr="00A30A72">
        <w:rPr>
          <w:i/>
          <w:lang w:val="en-US"/>
        </w:rPr>
        <w:t>Practical meta-analysis</w:t>
      </w:r>
      <w:r w:rsidRPr="00A30A72">
        <w:rPr>
          <w:lang w:val="en-US"/>
        </w:rPr>
        <w:t>. Thousand Oaks, CA: Sage publications.</w:t>
      </w:r>
    </w:p>
    <w:p w14:paraId="635DDD3A" w14:textId="6F210491" w:rsidR="0036431D" w:rsidRPr="003109F0" w:rsidRDefault="0036431D" w:rsidP="003109F0">
      <w:pPr>
        <w:ind w:left="709" w:hanging="709"/>
        <w:jc w:val="both"/>
        <w:rPr>
          <w:lang w:val="en-US" w:eastAsia="ar-SA"/>
        </w:rPr>
      </w:pPr>
      <w:r w:rsidRPr="00A30A72">
        <w:rPr>
          <w:lang w:val="en-US" w:eastAsia="ar-SA"/>
        </w:rPr>
        <w:t xml:space="preserve">MacDonald, G., &amp; Leary, M. R. (2005). Why does social exclusion hurt? The relationship between social and physical pain. </w:t>
      </w:r>
      <w:r w:rsidRPr="00A30A72">
        <w:rPr>
          <w:i/>
          <w:lang w:val="en-US" w:eastAsia="ar-SA"/>
        </w:rPr>
        <w:t>Psychological bulletin, 131</w:t>
      </w:r>
      <w:r w:rsidRPr="00A30A72">
        <w:rPr>
          <w:lang w:val="en-US" w:eastAsia="ar-SA"/>
        </w:rPr>
        <w:t>(2), 202.</w:t>
      </w:r>
      <w:r w:rsidR="003109F0">
        <w:rPr>
          <w:lang w:val="en-US" w:eastAsia="ar-SA"/>
        </w:rPr>
        <w:t>doi:</w:t>
      </w:r>
      <w:r w:rsidR="003109F0" w:rsidRPr="009C6622">
        <w:rPr>
          <w:lang w:val="en-US"/>
        </w:rPr>
        <w:t xml:space="preserve"> </w:t>
      </w:r>
      <w:r w:rsidR="003109F0" w:rsidRPr="003109F0">
        <w:rPr>
          <w:lang w:val="en-US" w:eastAsia="ar-SA"/>
        </w:rPr>
        <w:t>10.1037/0033-2909.131.2.202</w:t>
      </w:r>
    </w:p>
    <w:p w14:paraId="22FCED3D" w14:textId="77777777" w:rsidR="0036431D" w:rsidRPr="00A30A72" w:rsidRDefault="0036431D" w:rsidP="00FE11BE">
      <w:pPr>
        <w:ind w:left="709" w:hanging="709"/>
        <w:jc w:val="both"/>
        <w:rPr>
          <w:lang w:val="en-US" w:eastAsia="ar-SA"/>
        </w:rPr>
      </w:pPr>
      <w:r w:rsidRPr="00A30A72">
        <w:rPr>
          <w:lang w:val="en-US" w:eastAsia="ar-SA"/>
        </w:rPr>
        <w:t xml:space="preserve">McClure, M. J., </w:t>
      </w:r>
      <w:proofErr w:type="spellStart"/>
      <w:r w:rsidRPr="00A30A72">
        <w:rPr>
          <w:lang w:val="en-US" w:eastAsia="ar-SA"/>
        </w:rPr>
        <w:t>Lydon</w:t>
      </w:r>
      <w:proofErr w:type="spellEnd"/>
      <w:r w:rsidRPr="00A30A72">
        <w:rPr>
          <w:lang w:val="en-US" w:eastAsia="ar-SA"/>
        </w:rPr>
        <w:t xml:space="preserve">, J. E., </w:t>
      </w:r>
      <w:proofErr w:type="spellStart"/>
      <w:r w:rsidRPr="00A30A72">
        <w:rPr>
          <w:lang w:val="en-US" w:eastAsia="ar-SA"/>
        </w:rPr>
        <w:t>Baccus</w:t>
      </w:r>
      <w:proofErr w:type="spellEnd"/>
      <w:r w:rsidRPr="00A30A72">
        <w:rPr>
          <w:lang w:val="en-US" w:eastAsia="ar-SA"/>
        </w:rPr>
        <w:t xml:space="preserve">, J. R., &amp; Baldwin, M. W. (2010). A signal detection analysis of chronic attachment anxiety at speed dating: Being unpopular is only the first part of the problem. </w:t>
      </w:r>
      <w:r w:rsidRPr="00A30A72">
        <w:rPr>
          <w:i/>
          <w:lang w:val="en-US" w:eastAsia="ar-SA"/>
        </w:rPr>
        <w:t>Personality and Social Psychology Bulletin, 36</w:t>
      </w:r>
      <w:r w:rsidRPr="00A30A72">
        <w:rPr>
          <w:lang w:val="en-US" w:eastAsia="ar-SA"/>
        </w:rPr>
        <w:t xml:space="preserve">(8) 1024–1036. </w:t>
      </w:r>
      <w:proofErr w:type="spellStart"/>
      <w:r w:rsidRPr="00A30A72">
        <w:rPr>
          <w:lang w:val="en-US" w:eastAsia="ar-SA"/>
        </w:rPr>
        <w:t>doi</w:t>
      </w:r>
      <w:proofErr w:type="spellEnd"/>
      <w:r w:rsidRPr="00A30A72">
        <w:rPr>
          <w:lang w:val="en-US" w:eastAsia="ar-SA"/>
        </w:rPr>
        <w:t>: 10.1177/0146167210374238</w:t>
      </w:r>
    </w:p>
    <w:p w14:paraId="5C25F79A" w14:textId="77777777" w:rsidR="0036431D" w:rsidRPr="00A30A72" w:rsidRDefault="0036431D" w:rsidP="00FE11BE">
      <w:pPr>
        <w:ind w:left="709" w:hanging="709"/>
        <w:jc w:val="both"/>
        <w:rPr>
          <w:lang w:val="en-US" w:eastAsia="ar-SA"/>
        </w:rPr>
      </w:pPr>
      <w:proofErr w:type="spellStart"/>
      <w:r w:rsidRPr="00A30A72">
        <w:rPr>
          <w:lang w:val="en-US" w:eastAsia="ar-SA"/>
        </w:rPr>
        <w:t>Mehrabian</w:t>
      </w:r>
      <w:proofErr w:type="spellEnd"/>
      <w:r w:rsidRPr="00A30A72">
        <w:rPr>
          <w:lang w:val="en-US" w:eastAsia="ar-SA"/>
        </w:rPr>
        <w:t xml:space="preserve">, A. (1970). The development and validation of measures of affiliative tendency and sensitivity to rejection. </w:t>
      </w:r>
      <w:r w:rsidRPr="00A30A72">
        <w:rPr>
          <w:i/>
          <w:lang w:val="en-US" w:eastAsia="ar-SA"/>
        </w:rPr>
        <w:t>Educational and Psychological Measurement, 30</w:t>
      </w:r>
      <w:r w:rsidRPr="00A30A72">
        <w:rPr>
          <w:lang w:val="en-US" w:eastAsia="ar-SA"/>
        </w:rPr>
        <w:t xml:space="preserve">(2), 417-428. doi:10.1177/001316447003000226 </w:t>
      </w:r>
    </w:p>
    <w:p w14:paraId="3798C2DC" w14:textId="77777777" w:rsidR="0036431D" w:rsidRPr="00A30A72" w:rsidRDefault="0036431D" w:rsidP="00FE11BE">
      <w:pPr>
        <w:ind w:left="709" w:hanging="709"/>
        <w:jc w:val="both"/>
        <w:rPr>
          <w:lang w:val="pt-BR" w:eastAsia="ar-SA"/>
        </w:rPr>
      </w:pPr>
      <w:proofErr w:type="spellStart"/>
      <w:r w:rsidRPr="00A30A72">
        <w:rPr>
          <w:lang w:val="en-US" w:eastAsia="ar-SA"/>
        </w:rPr>
        <w:t>Mehrabian</w:t>
      </w:r>
      <w:proofErr w:type="spellEnd"/>
      <w:r w:rsidRPr="00A30A72">
        <w:rPr>
          <w:lang w:val="en-US" w:eastAsia="ar-SA"/>
        </w:rPr>
        <w:t xml:space="preserve">, A. (1976). Questionnaire measures of affiliative tendency and sensitivity to rejection. </w:t>
      </w:r>
      <w:proofErr w:type="spellStart"/>
      <w:r w:rsidRPr="00A30A72">
        <w:rPr>
          <w:i/>
          <w:lang w:val="pt-BR" w:eastAsia="ar-SA"/>
        </w:rPr>
        <w:t>Psychological</w:t>
      </w:r>
      <w:proofErr w:type="spellEnd"/>
      <w:r w:rsidRPr="00A30A72">
        <w:rPr>
          <w:i/>
          <w:lang w:val="pt-BR" w:eastAsia="ar-SA"/>
        </w:rPr>
        <w:t xml:space="preserve"> </w:t>
      </w:r>
      <w:proofErr w:type="spellStart"/>
      <w:r w:rsidRPr="00A30A72">
        <w:rPr>
          <w:i/>
          <w:lang w:val="pt-BR" w:eastAsia="ar-SA"/>
        </w:rPr>
        <w:t>Reports</w:t>
      </w:r>
      <w:proofErr w:type="spellEnd"/>
      <w:r w:rsidRPr="00A30A72">
        <w:rPr>
          <w:i/>
          <w:lang w:val="pt-BR" w:eastAsia="ar-SA"/>
        </w:rPr>
        <w:t>, 38</w:t>
      </w:r>
      <w:r w:rsidRPr="00A30A72">
        <w:rPr>
          <w:lang w:val="pt-BR" w:eastAsia="ar-SA"/>
        </w:rPr>
        <w:t xml:space="preserve">, 199-209. </w:t>
      </w:r>
      <w:proofErr w:type="spellStart"/>
      <w:proofErr w:type="gramStart"/>
      <w:r w:rsidRPr="00A30A72">
        <w:rPr>
          <w:lang w:val="pt-BR" w:eastAsia="ar-SA"/>
        </w:rPr>
        <w:t>doi</w:t>
      </w:r>
      <w:proofErr w:type="spellEnd"/>
      <w:proofErr w:type="gramEnd"/>
      <w:r w:rsidRPr="00A30A72">
        <w:rPr>
          <w:lang w:val="pt-BR" w:eastAsia="ar-SA"/>
        </w:rPr>
        <w:t>: 10.2466/pr0.1976.38.1.199</w:t>
      </w:r>
    </w:p>
    <w:p w14:paraId="7A784BAF" w14:textId="77777777" w:rsidR="0036431D" w:rsidRPr="00A30A72" w:rsidRDefault="0036431D" w:rsidP="00FE11BE">
      <w:pPr>
        <w:shd w:val="clear" w:color="auto" w:fill="FFFFFF"/>
        <w:ind w:left="709" w:hanging="709"/>
        <w:jc w:val="both"/>
      </w:pPr>
      <w:r w:rsidRPr="00A30A72">
        <w:rPr>
          <w:lang w:val="pt-BR"/>
        </w:rPr>
        <w:t xml:space="preserve">Merino Soto, C., &amp; </w:t>
      </w:r>
      <w:proofErr w:type="spellStart"/>
      <w:r w:rsidRPr="00A30A72">
        <w:rPr>
          <w:lang w:val="pt-BR"/>
        </w:rPr>
        <w:t>Livia</w:t>
      </w:r>
      <w:proofErr w:type="spellEnd"/>
      <w:r w:rsidRPr="00A30A72">
        <w:rPr>
          <w:lang w:val="pt-BR"/>
        </w:rPr>
        <w:t xml:space="preserve"> </w:t>
      </w:r>
      <w:proofErr w:type="spellStart"/>
      <w:r w:rsidRPr="00A30A72">
        <w:rPr>
          <w:lang w:val="pt-BR"/>
        </w:rPr>
        <w:t>Segovia</w:t>
      </w:r>
      <w:proofErr w:type="spellEnd"/>
      <w:r w:rsidRPr="00A30A72">
        <w:rPr>
          <w:lang w:val="pt-BR"/>
        </w:rPr>
        <w:t xml:space="preserve">, J. (2009). </w:t>
      </w:r>
      <w:r w:rsidRPr="00A30A72">
        <w:t xml:space="preserve">Intervalos de confianza asimétricos para el índice la validez de contenido: Un programa Visual Basic para la V de </w:t>
      </w:r>
      <w:proofErr w:type="spellStart"/>
      <w:r w:rsidRPr="00A30A72">
        <w:t>Aiken</w:t>
      </w:r>
      <w:proofErr w:type="spellEnd"/>
      <w:r w:rsidRPr="00A30A72">
        <w:t xml:space="preserve">. </w:t>
      </w:r>
      <w:r w:rsidRPr="00A30A72">
        <w:rPr>
          <w:i/>
        </w:rPr>
        <w:t>Anales de Psicología, 25</w:t>
      </w:r>
      <w:r w:rsidRPr="00A30A72">
        <w:t>(1), 169-171.</w:t>
      </w:r>
    </w:p>
    <w:p w14:paraId="73FC69A3" w14:textId="13681D53" w:rsidR="0036431D" w:rsidRPr="00A30A72" w:rsidRDefault="00D23286" w:rsidP="00FE11BE">
      <w:pPr>
        <w:ind w:left="709" w:hanging="709"/>
        <w:jc w:val="both"/>
        <w:rPr>
          <w:lang w:eastAsia="ar-SA"/>
        </w:rPr>
      </w:pPr>
      <w:r>
        <w:rPr>
          <w:lang w:eastAsia="ar-SA"/>
        </w:rPr>
        <w:t>Morán, V. E. (2017</w:t>
      </w:r>
      <w:r w:rsidR="0036431D" w:rsidRPr="00A30A72">
        <w:rPr>
          <w:lang w:eastAsia="ar-SA"/>
        </w:rPr>
        <w:t xml:space="preserve">). </w:t>
      </w:r>
      <w:r w:rsidR="0036431D" w:rsidRPr="00746494">
        <w:rPr>
          <w:i/>
          <w:lang w:eastAsia="ar-SA"/>
        </w:rPr>
        <w:t>Modelo de ansiedad social en estudiantes universitarios</w:t>
      </w:r>
      <w:r w:rsidR="0036431D" w:rsidRPr="00A30A72">
        <w:rPr>
          <w:lang w:eastAsia="ar-SA"/>
        </w:rPr>
        <w:t xml:space="preserve">. </w:t>
      </w:r>
      <w:r w:rsidR="0036431D" w:rsidRPr="00746494">
        <w:rPr>
          <w:lang w:eastAsia="ar-SA"/>
        </w:rPr>
        <w:t>Tesis doctoral no publicada. Universidad Nacional</w:t>
      </w:r>
      <w:r w:rsidR="0036431D" w:rsidRPr="00A30A72">
        <w:rPr>
          <w:lang w:eastAsia="ar-SA"/>
        </w:rPr>
        <w:t xml:space="preserve"> de Córdoba, Argentina.</w:t>
      </w:r>
    </w:p>
    <w:p w14:paraId="356D962A" w14:textId="77777777" w:rsidR="0036431D" w:rsidRPr="00A30A72" w:rsidRDefault="0036431D" w:rsidP="00FE11BE">
      <w:pPr>
        <w:ind w:left="709" w:hanging="709"/>
        <w:jc w:val="both"/>
        <w:rPr>
          <w:bCs/>
          <w:lang w:val="en-US"/>
        </w:rPr>
      </w:pPr>
      <w:r w:rsidRPr="00A30A72">
        <w:rPr>
          <w:bCs/>
        </w:rPr>
        <w:t xml:space="preserve">Morán, V. E., </w:t>
      </w:r>
      <w:proofErr w:type="spellStart"/>
      <w:r w:rsidRPr="00A30A72">
        <w:rPr>
          <w:bCs/>
        </w:rPr>
        <w:t>Olaz</w:t>
      </w:r>
      <w:proofErr w:type="spellEnd"/>
      <w:r w:rsidRPr="00A30A72">
        <w:rPr>
          <w:bCs/>
        </w:rPr>
        <w:t xml:space="preserve">, F. O., &amp; Del </w:t>
      </w:r>
      <w:proofErr w:type="spellStart"/>
      <w:r w:rsidRPr="00A30A72">
        <w:rPr>
          <w:bCs/>
        </w:rPr>
        <w:t>Prette</w:t>
      </w:r>
      <w:proofErr w:type="spellEnd"/>
      <w:r w:rsidRPr="00A30A72">
        <w:rPr>
          <w:bCs/>
        </w:rPr>
        <w:t xml:space="preserve">, Z. A. (2015). </w:t>
      </w:r>
      <w:r w:rsidRPr="00A30A72">
        <w:rPr>
          <w:bCs/>
          <w:lang w:val="en-US"/>
        </w:rPr>
        <w:t xml:space="preserve">Social Skills Questionnaire for Argentinean College Students (SSQ-U) Development and Validation. </w:t>
      </w:r>
      <w:r w:rsidRPr="00A30A72">
        <w:rPr>
          <w:bCs/>
          <w:i/>
          <w:lang w:val="en-US"/>
        </w:rPr>
        <w:t>The Spanish Journal of Psychology</w:t>
      </w:r>
      <w:r w:rsidRPr="00A30A72">
        <w:rPr>
          <w:bCs/>
          <w:lang w:val="en-US"/>
        </w:rPr>
        <w:t>, 18, E95.doi:</w:t>
      </w:r>
      <w:r w:rsidRPr="00A30A72">
        <w:rPr>
          <w:lang w:val="en-US"/>
        </w:rPr>
        <w:t xml:space="preserve"> </w:t>
      </w:r>
      <w:r w:rsidRPr="00A30A72">
        <w:rPr>
          <w:bCs/>
          <w:lang w:val="en-US"/>
        </w:rPr>
        <w:t>10.1017/sjp.2015.92</w:t>
      </w:r>
    </w:p>
    <w:p w14:paraId="48269E27" w14:textId="5A2E3911" w:rsidR="0036431D" w:rsidRPr="003109F0" w:rsidRDefault="0036431D" w:rsidP="003109F0">
      <w:pPr>
        <w:ind w:left="709" w:hanging="709"/>
        <w:jc w:val="both"/>
        <w:rPr>
          <w:lang w:val="es-AR" w:eastAsia="ar-SA"/>
        </w:rPr>
      </w:pPr>
      <w:r w:rsidRPr="00A30A72">
        <w:rPr>
          <w:lang w:val="en-US" w:eastAsia="ar-SA"/>
        </w:rPr>
        <w:t xml:space="preserve">Nelson, E. A., </w:t>
      </w:r>
      <w:proofErr w:type="spellStart"/>
      <w:r w:rsidRPr="00A30A72">
        <w:rPr>
          <w:lang w:val="en-US" w:eastAsia="ar-SA"/>
        </w:rPr>
        <w:t>Lickel</w:t>
      </w:r>
      <w:proofErr w:type="spellEnd"/>
      <w:r w:rsidRPr="00A30A72">
        <w:rPr>
          <w:lang w:val="en-US" w:eastAsia="ar-SA"/>
        </w:rPr>
        <w:t xml:space="preserve">, J. J., </w:t>
      </w:r>
      <w:proofErr w:type="spellStart"/>
      <w:r w:rsidRPr="00A30A72">
        <w:rPr>
          <w:lang w:val="en-US" w:eastAsia="ar-SA"/>
        </w:rPr>
        <w:t>Sy</w:t>
      </w:r>
      <w:proofErr w:type="spellEnd"/>
      <w:r w:rsidRPr="00A30A72">
        <w:rPr>
          <w:lang w:val="en-US" w:eastAsia="ar-SA"/>
        </w:rPr>
        <w:t xml:space="preserve">, J. T., Dixon, L. J., &amp; Deacon, B. J. (2010). Probability and cost biases in social phobia: nature, specificity, and relationship to treatment outcome. </w:t>
      </w:r>
      <w:proofErr w:type="spellStart"/>
      <w:r w:rsidRPr="00303EA9">
        <w:rPr>
          <w:i/>
          <w:lang w:val="es-AR" w:eastAsia="ar-SA"/>
        </w:rPr>
        <w:t>Journal</w:t>
      </w:r>
      <w:proofErr w:type="spellEnd"/>
      <w:r w:rsidRPr="00303EA9">
        <w:rPr>
          <w:i/>
          <w:lang w:val="es-AR" w:eastAsia="ar-SA"/>
        </w:rPr>
        <w:t xml:space="preserve"> of </w:t>
      </w:r>
      <w:proofErr w:type="spellStart"/>
      <w:r w:rsidRPr="00303EA9">
        <w:rPr>
          <w:i/>
          <w:lang w:val="es-AR" w:eastAsia="ar-SA"/>
        </w:rPr>
        <w:t>Cognitive</w:t>
      </w:r>
      <w:proofErr w:type="spellEnd"/>
      <w:r w:rsidRPr="00303EA9">
        <w:rPr>
          <w:i/>
          <w:lang w:val="es-AR" w:eastAsia="ar-SA"/>
        </w:rPr>
        <w:t xml:space="preserve"> </w:t>
      </w:r>
      <w:proofErr w:type="spellStart"/>
      <w:r w:rsidRPr="00303EA9">
        <w:rPr>
          <w:i/>
          <w:lang w:val="es-AR" w:eastAsia="ar-SA"/>
        </w:rPr>
        <w:t>Psychotherapy</w:t>
      </w:r>
      <w:proofErr w:type="spellEnd"/>
      <w:r w:rsidRPr="00303EA9">
        <w:rPr>
          <w:i/>
          <w:lang w:val="es-AR" w:eastAsia="ar-SA"/>
        </w:rPr>
        <w:t>, 24</w:t>
      </w:r>
      <w:r w:rsidRPr="00303EA9">
        <w:rPr>
          <w:lang w:val="es-AR" w:eastAsia="ar-SA"/>
        </w:rPr>
        <w:t>(3), 213-228.</w:t>
      </w:r>
      <w:r w:rsidR="003109F0">
        <w:rPr>
          <w:lang w:val="es-AR" w:eastAsia="ar-SA"/>
        </w:rPr>
        <w:t>doi:</w:t>
      </w:r>
      <w:r w:rsidR="003109F0" w:rsidRPr="003109F0">
        <w:t xml:space="preserve"> </w:t>
      </w:r>
      <w:r w:rsidR="003109F0" w:rsidRPr="003109F0">
        <w:rPr>
          <w:lang w:val="es-AR" w:eastAsia="ar-SA"/>
        </w:rPr>
        <w:t>10.1891/0889-8391.24.3.213</w:t>
      </w:r>
    </w:p>
    <w:p w14:paraId="0C8E104B" w14:textId="77777777" w:rsidR="0036431D" w:rsidRPr="00A30A72" w:rsidRDefault="0036431D" w:rsidP="00FE11BE">
      <w:pPr>
        <w:ind w:left="709" w:hanging="709"/>
        <w:jc w:val="both"/>
        <w:rPr>
          <w:lang w:val="pt-BR" w:eastAsia="ar-SA"/>
        </w:rPr>
      </w:pPr>
      <w:proofErr w:type="spellStart"/>
      <w:r w:rsidRPr="00FE11BE">
        <w:rPr>
          <w:lang w:val="es-AR" w:eastAsia="ar-SA"/>
        </w:rPr>
        <w:t>Olaz</w:t>
      </w:r>
      <w:proofErr w:type="spellEnd"/>
      <w:r w:rsidRPr="00FE11BE">
        <w:rPr>
          <w:lang w:val="es-AR" w:eastAsia="ar-SA"/>
        </w:rPr>
        <w:t xml:space="preserve">, F.O. (2011). </w:t>
      </w:r>
      <w:proofErr w:type="spellStart"/>
      <w:r w:rsidRPr="00FE11BE">
        <w:rPr>
          <w:lang w:val="es-AR" w:eastAsia="ar-SA"/>
        </w:rPr>
        <w:t>Contribucoes</w:t>
      </w:r>
      <w:proofErr w:type="spellEnd"/>
      <w:r w:rsidRPr="00FE11BE">
        <w:rPr>
          <w:lang w:val="es-AR" w:eastAsia="ar-SA"/>
        </w:rPr>
        <w:t xml:space="preserve"> da Teoría Social Cognitiva de Bandura para o </w:t>
      </w:r>
      <w:proofErr w:type="spellStart"/>
      <w:r w:rsidRPr="00FE11BE">
        <w:rPr>
          <w:lang w:val="es-AR" w:eastAsia="ar-SA"/>
        </w:rPr>
        <w:t>Treinamento</w:t>
      </w:r>
      <w:proofErr w:type="spellEnd"/>
      <w:r w:rsidRPr="00FE11BE">
        <w:rPr>
          <w:lang w:val="es-AR" w:eastAsia="ar-SA"/>
        </w:rPr>
        <w:t xml:space="preserve"> de Habilidades </w:t>
      </w:r>
      <w:proofErr w:type="spellStart"/>
      <w:r w:rsidRPr="00FE11BE">
        <w:rPr>
          <w:lang w:val="es-AR" w:eastAsia="ar-SA"/>
        </w:rPr>
        <w:t>Sociais</w:t>
      </w:r>
      <w:proofErr w:type="spellEnd"/>
      <w:r w:rsidRPr="00FE11BE">
        <w:rPr>
          <w:lang w:val="es-AR" w:eastAsia="ar-SA"/>
        </w:rPr>
        <w:t xml:space="preserve">. </w:t>
      </w:r>
      <w:r w:rsidRPr="00046F75">
        <w:rPr>
          <w:lang w:eastAsia="ar-SA"/>
        </w:rPr>
        <w:t xml:space="preserve">En A. Del </w:t>
      </w:r>
      <w:proofErr w:type="spellStart"/>
      <w:r w:rsidRPr="00046F75">
        <w:rPr>
          <w:lang w:eastAsia="ar-SA"/>
        </w:rPr>
        <w:t>Prette</w:t>
      </w:r>
      <w:proofErr w:type="spellEnd"/>
      <w:r w:rsidRPr="00046F75">
        <w:rPr>
          <w:lang w:eastAsia="ar-SA"/>
        </w:rPr>
        <w:t xml:space="preserve"> &amp; Z.A.P. Del </w:t>
      </w:r>
      <w:proofErr w:type="spellStart"/>
      <w:r w:rsidRPr="00046F75">
        <w:rPr>
          <w:lang w:eastAsia="ar-SA"/>
        </w:rPr>
        <w:t>Prette</w:t>
      </w:r>
      <w:proofErr w:type="spellEnd"/>
      <w:r w:rsidRPr="00046F75">
        <w:rPr>
          <w:lang w:eastAsia="ar-SA"/>
        </w:rPr>
        <w:t xml:space="preserve"> (</w:t>
      </w:r>
      <w:proofErr w:type="spellStart"/>
      <w:r w:rsidRPr="00046F75">
        <w:rPr>
          <w:lang w:eastAsia="ar-SA"/>
        </w:rPr>
        <w:t>Orgs</w:t>
      </w:r>
      <w:proofErr w:type="spellEnd"/>
      <w:r w:rsidRPr="00046F75">
        <w:rPr>
          <w:lang w:eastAsia="ar-SA"/>
        </w:rPr>
        <w:t xml:space="preserve">.). </w:t>
      </w:r>
      <w:r w:rsidRPr="00A30A72">
        <w:rPr>
          <w:i/>
          <w:iCs/>
          <w:lang w:val="pt-BR" w:eastAsia="ar-SA"/>
        </w:rPr>
        <w:t xml:space="preserve">Psicologia das habilidades sociais: Diversidade teórica e suas implicações </w:t>
      </w:r>
      <w:r w:rsidRPr="00A30A72">
        <w:rPr>
          <w:iCs/>
          <w:lang w:val="pt-BR" w:eastAsia="ar-SA"/>
        </w:rPr>
        <w:t xml:space="preserve">(2da </w:t>
      </w:r>
      <w:proofErr w:type="gramStart"/>
      <w:r w:rsidRPr="00A30A72">
        <w:rPr>
          <w:iCs/>
          <w:lang w:val="pt-BR" w:eastAsia="ar-SA"/>
        </w:rPr>
        <w:t>Ed.)</w:t>
      </w:r>
      <w:r w:rsidRPr="00A30A72">
        <w:rPr>
          <w:lang w:val="pt-BR" w:eastAsia="ar-SA"/>
        </w:rPr>
        <w:t>(</w:t>
      </w:r>
      <w:proofErr w:type="gramEnd"/>
      <w:r w:rsidRPr="00A30A72">
        <w:rPr>
          <w:lang w:val="pt-BR" w:eastAsia="ar-SA"/>
        </w:rPr>
        <w:t>pp. 109-148).</w:t>
      </w:r>
      <w:r w:rsidRPr="00A30A72">
        <w:rPr>
          <w:i/>
          <w:iCs/>
          <w:lang w:val="pt-BR" w:eastAsia="ar-SA"/>
        </w:rPr>
        <w:t xml:space="preserve"> </w:t>
      </w:r>
      <w:r w:rsidRPr="00A30A72">
        <w:rPr>
          <w:lang w:val="pt-BR" w:eastAsia="ar-SA"/>
        </w:rPr>
        <w:t xml:space="preserve">Petrópolis: Vozes. </w:t>
      </w:r>
    </w:p>
    <w:p w14:paraId="4113C3B8" w14:textId="77777777" w:rsidR="0036431D" w:rsidRPr="00A30A72" w:rsidRDefault="0036431D" w:rsidP="00FE11BE">
      <w:pPr>
        <w:shd w:val="clear" w:color="auto" w:fill="FFFFFF"/>
        <w:ind w:left="709" w:hanging="709"/>
        <w:jc w:val="both"/>
        <w:rPr>
          <w:rFonts w:eastAsia="AGaramondPro-Regular"/>
          <w:lang w:val="pt-BR"/>
        </w:rPr>
      </w:pPr>
      <w:proofErr w:type="spellStart"/>
      <w:r w:rsidRPr="00A30A72">
        <w:rPr>
          <w:lang w:val="pt-BR"/>
        </w:rPr>
        <w:t>Olaz</w:t>
      </w:r>
      <w:proofErr w:type="spellEnd"/>
      <w:r w:rsidRPr="00A30A72">
        <w:rPr>
          <w:lang w:val="pt-BR"/>
        </w:rPr>
        <w:t xml:space="preserve">, F.O. (2012) </w:t>
      </w:r>
      <w:r w:rsidRPr="00A30A72">
        <w:rPr>
          <w:i/>
          <w:lang w:val="pt-BR"/>
        </w:rPr>
        <w:t xml:space="preserve">Escala de </w:t>
      </w:r>
      <w:proofErr w:type="spellStart"/>
      <w:r w:rsidRPr="00A30A72">
        <w:rPr>
          <w:i/>
          <w:lang w:val="pt-BR"/>
        </w:rPr>
        <w:t>Autoeficacia</w:t>
      </w:r>
      <w:proofErr w:type="spellEnd"/>
      <w:r w:rsidRPr="00A30A72">
        <w:rPr>
          <w:i/>
          <w:lang w:val="pt-BR"/>
        </w:rPr>
        <w:t xml:space="preserve"> Social para </w:t>
      </w:r>
      <w:proofErr w:type="spellStart"/>
      <w:r w:rsidRPr="00A30A72">
        <w:rPr>
          <w:i/>
          <w:lang w:val="pt-BR"/>
        </w:rPr>
        <w:t>Universitarios</w:t>
      </w:r>
      <w:proofErr w:type="spellEnd"/>
      <w:r w:rsidRPr="00A30A72">
        <w:rPr>
          <w:i/>
          <w:lang w:val="pt-BR"/>
        </w:rPr>
        <w:t xml:space="preserve"> (EAS-U) </w:t>
      </w:r>
      <w:proofErr w:type="spellStart"/>
      <w:r w:rsidRPr="00A30A72">
        <w:rPr>
          <w:i/>
          <w:lang w:val="pt-BR"/>
        </w:rPr>
        <w:t>Estudios</w:t>
      </w:r>
      <w:proofErr w:type="spellEnd"/>
      <w:r w:rsidRPr="00A30A72">
        <w:rPr>
          <w:i/>
          <w:lang w:val="pt-BR"/>
        </w:rPr>
        <w:t xml:space="preserve"> Psicométricos y Bases </w:t>
      </w:r>
      <w:proofErr w:type="spellStart"/>
      <w:r w:rsidRPr="00A30A72">
        <w:rPr>
          <w:i/>
          <w:lang w:val="pt-BR"/>
        </w:rPr>
        <w:t>Conceptuales</w:t>
      </w:r>
      <w:proofErr w:type="spellEnd"/>
      <w:r w:rsidRPr="00A30A72">
        <w:rPr>
          <w:lang w:val="pt-BR"/>
        </w:rPr>
        <w:t xml:space="preserve">. </w:t>
      </w:r>
      <w:proofErr w:type="spellStart"/>
      <w:r w:rsidRPr="00A30A72">
        <w:rPr>
          <w:lang w:val="pt-BR"/>
        </w:rPr>
        <w:t>España</w:t>
      </w:r>
      <w:proofErr w:type="spellEnd"/>
      <w:r w:rsidRPr="00A30A72">
        <w:rPr>
          <w:lang w:val="pt-BR"/>
        </w:rPr>
        <w:t xml:space="preserve">: Editorial Académica </w:t>
      </w:r>
      <w:proofErr w:type="spellStart"/>
      <w:r w:rsidRPr="00A30A72">
        <w:rPr>
          <w:lang w:val="pt-BR"/>
        </w:rPr>
        <w:t>Española</w:t>
      </w:r>
      <w:proofErr w:type="spellEnd"/>
    </w:p>
    <w:p w14:paraId="2E4845B5" w14:textId="77777777" w:rsidR="0036431D" w:rsidRPr="00A30A72" w:rsidRDefault="0036431D" w:rsidP="00FE11BE">
      <w:pPr>
        <w:ind w:left="709" w:hanging="709"/>
        <w:jc w:val="both"/>
        <w:rPr>
          <w:lang w:val="pt-BR"/>
        </w:rPr>
      </w:pPr>
      <w:r w:rsidRPr="00A30A72">
        <w:rPr>
          <w:lang w:val="pt-BR"/>
        </w:rPr>
        <w:t xml:space="preserve">Pajares, F., &amp; </w:t>
      </w:r>
      <w:proofErr w:type="spellStart"/>
      <w:r w:rsidRPr="00A30A72">
        <w:rPr>
          <w:lang w:val="pt-BR"/>
        </w:rPr>
        <w:t>Olaz</w:t>
      </w:r>
      <w:proofErr w:type="spellEnd"/>
      <w:r w:rsidRPr="00A30A72">
        <w:rPr>
          <w:lang w:val="pt-BR"/>
        </w:rPr>
        <w:t xml:space="preserve">, F. (2008). Teoria Social Cognitiva e </w:t>
      </w:r>
      <w:proofErr w:type="spellStart"/>
      <w:r w:rsidRPr="00A30A72">
        <w:rPr>
          <w:lang w:val="pt-BR"/>
        </w:rPr>
        <w:t>auto-eficacia</w:t>
      </w:r>
      <w:proofErr w:type="spellEnd"/>
      <w:r w:rsidRPr="00A30A72">
        <w:rPr>
          <w:lang w:val="pt-BR"/>
        </w:rPr>
        <w:t xml:space="preserve">: uma visão geral. </w:t>
      </w:r>
      <w:r w:rsidRPr="00A30A72">
        <w:t xml:space="preserve">En A. Bandura, R.G. </w:t>
      </w:r>
      <w:proofErr w:type="spellStart"/>
      <w:r w:rsidRPr="00A30A72">
        <w:t>Azzi</w:t>
      </w:r>
      <w:proofErr w:type="spellEnd"/>
      <w:r w:rsidRPr="00A30A72">
        <w:t xml:space="preserve"> &amp; S. </w:t>
      </w:r>
      <w:proofErr w:type="spellStart"/>
      <w:r w:rsidRPr="00A30A72">
        <w:t>Polydoro</w:t>
      </w:r>
      <w:proofErr w:type="spellEnd"/>
      <w:r w:rsidRPr="00A30A72">
        <w:t xml:space="preserve"> (</w:t>
      </w:r>
      <w:proofErr w:type="spellStart"/>
      <w:r w:rsidRPr="00A30A72">
        <w:t>Eds</w:t>
      </w:r>
      <w:proofErr w:type="spellEnd"/>
      <w:r w:rsidRPr="00A30A72">
        <w:t xml:space="preserve">), </w:t>
      </w:r>
      <w:r w:rsidRPr="00A30A72">
        <w:rPr>
          <w:i/>
        </w:rPr>
        <w:t xml:space="preserve">Teoría Social Cognitiva. </w:t>
      </w:r>
      <w:r w:rsidRPr="00A30A72">
        <w:rPr>
          <w:i/>
          <w:lang w:val="pt-BR"/>
        </w:rPr>
        <w:t>Conceitos básicos</w:t>
      </w:r>
      <w:r w:rsidRPr="00A30A72">
        <w:rPr>
          <w:lang w:val="pt-BR"/>
        </w:rPr>
        <w:t xml:space="preserve"> (pp. 97-114). Brasil: Artmed.</w:t>
      </w:r>
    </w:p>
    <w:p w14:paraId="25A6FEC2" w14:textId="16550819" w:rsidR="0036431D" w:rsidRPr="003109F0" w:rsidRDefault="0036431D" w:rsidP="003109F0">
      <w:pPr>
        <w:ind w:left="709" w:hanging="709"/>
        <w:jc w:val="both"/>
        <w:rPr>
          <w:lang w:val="en-US" w:eastAsia="ar-SA"/>
        </w:rPr>
      </w:pPr>
      <w:proofErr w:type="spellStart"/>
      <w:r w:rsidRPr="00A30A72">
        <w:rPr>
          <w:lang w:val="pt-BR" w:eastAsia="ar-SA"/>
        </w:rPr>
        <w:t>Rapee</w:t>
      </w:r>
      <w:proofErr w:type="spellEnd"/>
      <w:r w:rsidRPr="00A30A72">
        <w:rPr>
          <w:lang w:val="pt-BR" w:eastAsia="ar-SA"/>
        </w:rPr>
        <w:t xml:space="preserve">, R. M. &amp; </w:t>
      </w:r>
      <w:proofErr w:type="spellStart"/>
      <w:r w:rsidRPr="00A30A72">
        <w:rPr>
          <w:lang w:val="pt-BR" w:eastAsia="ar-SA"/>
        </w:rPr>
        <w:t>Heimberg</w:t>
      </w:r>
      <w:proofErr w:type="spellEnd"/>
      <w:r w:rsidRPr="00A30A72">
        <w:rPr>
          <w:lang w:val="pt-BR" w:eastAsia="ar-SA"/>
        </w:rPr>
        <w:t xml:space="preserve">, R. G. (1997). </w:t>
      </w:r>
      <w:r w:rsidRPr="00A30A72">
        <w:rPr>
          <w:lang w:val="en-US" w:eastAsia="ar-SA"/>
        </w:rPr>
        <w:t xml:space="preserve">A cognitive-behavioral model of anxiety in social phobia. </w:t>
      </w:r>
      <w:proofErr w:type="spellStart"/>
      <w:r w:rsidRPr="00A30A72">
        <w:rPr>
          <w:i/>
          <w:iCs/>
          <w:lang w:val="en-US" w:eastAsia="ar-SA"/>
        </w:rPr>
        <w:t>Behaviour</w:t>
      </w:r>
      <w:proofErr w:type="spellEnd"/>
      <w:r w:rsidRPr="00A30A72">
        <w:rPr>
          <w:i/>
          <w:iCs/>
          <w:lang w:val="en-US" w:eastAsia="ar-SA"/>
        </w:rPr>
        <w:t xml:space="preserve"> Research and Therapy, 35, </w:t>
      </w:r>
      <w:r w:rsidRPr="00A30A72">
        <w:rPr>
          <w:lang w:val="en-US" w:eastAsia="ar-SA"/>
        </w:rPr>
        <w:t>741–756.</w:t>
      </w:r>
      <w:r w:rsidR="003109F0">
        <w:rPr>
          <w:lang w:val="en-US" w:eastAsia="ar-SA"/>
        </w:rPr>
        <w:t>doi:</w:t>
      </w:r>
      <w:r w:rsidR="003109F0" w:rsidRPr="009C6622">
        <w:rPr>
          <w:lang w:val="en-US"/>
        </w:rPr>
        <w:t xml:space="preserve"> </w:t>
      </w:r>
      <w:r w:rsidR="003109F0" w:rsidRPr="003109F0">
        <w:rPr>
          <w:lang w:val="en-US" w:eastAsia="ar-SA"/>
        </w:rPr>
        <w:t>10.1016/s0005-7967(97)00022-3</w:t>
      </w:r>
    </w:p>
    <w:p w14:paraId="12880F54" w14:textId="28224C2D" w:rsidR="0036431D" w:rsidRPr="003109F0" w:rsidRDefault="0036431D" w:rsidP="003109F0">
      <w:pPr>
        <w:ind w:left="709" w:hanging="709"/>
        <w:jc w:val="both"/>
        <w:rPr>
          <w:lang w:val="en-US"/>
        </w:rPr>
      </w:pPr>
      <w:r w:rsidRPr="00A30A72">
        <w:rPr>
          <w:lang w:val="en-US"/>
        </w:rPr>
        <w:t xml:space="preserve">Smart Richman, L., &amp; Leary, M. R. (2009). Reactions to discrimination, stigmatization, ostracism, and other forms of interpersonal rejection: a </w:t>
      </w:r>
      <w:proofErr w:type="spellStart"/>
      <w:r w:rsidRPr="00A30A72">
        <w:rPr>
          <w:lang w:val="en-US"/>
        </w:rPr>
        <w:t>multimotive</w:t>
      </w:r>
      <w:proofErr w:type="spellEnd"/>
      <w:r w:rsidRPr="00A30A72">
        <w:rPr>
          <w:lang w:val="en-US"/>
        </w:rPr>
        <w:t xml:space="preserve"> model. </w:t>
      </w:r>
      <w:r w:rsidRPr="00A30A72">
        <w:rPr>
          <w:i/>
          <w:lang w:val="en-US"/>
        </w:rPr>
        <w:t>Psychological review, 116</w:t>
      </w:r>
      <w:r w:rsidRPr="00A30A72">
        <w:rPr>
          <w:lang w:val="en-US"/>
        </w:rPr>
        <w:t>(2), 365.</w:t>
      </w:r>
      <w:r w:rsidR="003109F0">
        <w:rPr>
          <w:lang w:val="en-US"/>
        </w:rPr>
        <w:t>doi:</w:t>
      </w:r>
      <w:r w:rsidR="003109F0" w:rsidRPr="003109F0">
        <w:t xml:space="preserve"> </w:t>
      </w:r>
      <w:r w:rsidR="003109F0" w:rsidRPr="003109F0">
        <w:rPr>
          <w:lang w:val="en-US"/>
        </w:rPr>
        <w:t>10.1037/a0015250</w:t>
      </w:r>
    </w:p>
    <w:p w14:paraId="08C0BB7F" w14:textId="77777777" w:rsidR="0036431D" w:rsidRPr="00A30A72" w:rsidRDefault="0036431D" w:rsidP="00FE11BE">
      <w:pPr>
        <w:ind w:left="709" w:hanging="709"/>
        <w:jc w:val="both"/>
        <w:rPr>
          <w:lang w:val="en-US" w:eastAsia="ar-SA"/>
        </w:rPr>
      </w:pPr>
      <w:proofErr w:type="spellStart"/>
      <w:r w:rsidRPr="00A30A72">
        <w:rPr>
          <w:lang w:val="en-US" w:eastAsia="ar-SA"/>
        </w:rPr>
        <w:t>Sokolowski</w:t>
      </w:r>
      <w:proofErr w:type="spellEnd"/>
      <w:r w:rsidRPr="00A30A72">
        <w:rPr>
          <w:lang w:val="en-US" w:eastAsia="ar-SA"/>
        </w:rPr>
        <w:t xml:space="preserve">, K., </w:t>
      </w:r>
      <w:proofErr w:type="spellStart"/>
      <w:r w:rsidRPr="00A30A72">
        <w:rPr>
          <w:lang w:val="en-US" w:eastAsia="ar-SA"/>
        </w:rPr>
        <w:t>Schmalt</w:t>
      </w:r>
      <w:proofErr w:type="spellEnd"/>
      <w:r w:rsidRPr="00A30A72">
        <w:rPr>
          <w:lang w:val="en-US" w:eastAsia="ar-SA"/>
        </w:rPr>
        <w:t xml:space="preserve">, H.-D., </w:t>
      </w:r>
      <w:proofErr w:type="spellStart"/>
      <w:r w:rsidRPr="00A30A72">
        <w:rPr>
          <w:lang w:val="en-US" w:eastAsia="ar-SA"/>
        </w:rPr>
        <w:t>Langens</w:t>
      </w:r>
      <w:proofErr w:type="spellEnd"/>
      <w:r w:rsidRPr="00A30A72">
        <w:rPr>
          <w:lang w:val="en-US" w:eastAsia="ar-SA"/>
        </w:rPr>
        <w:t xml:space="preserve">, T. A., &amp; </w:t>
      </w:r>
      <w:proofErr w:type="spellStart"/>
      <w:r w:rsidRPr="00A30A72">
        <w:rPr>
          <w:lang w:val="en-US" w:eastAsia="ar-SA"/>
        </w:rPr>
        <w:t>Puca</w:t>
      </w:r>
      <w:proofErr w:type="spellEnd"/>
      <w:r w:rsidRPr="00A30A72">
        <w:rPr>
          <w:lang w:val="en-US" w:eastAsia="ar-SA"/>
        </w:rPr>
        <w:t xml:space="preserve">, R. M. (2000). Assessing achievement, affiliation, and power motives all at once- the Multi-Motive Grid </w:t>
      </w:r>
      <w:r w:rsidRPr="00A30A72">
        <w:rPr>
          <w:lang w:val="en-US" w:eastAsia="ar-SA"/>
        </w:rPr>
        <w:lastRenderedPageBreak/>
        <w:t>(MMG</w:t>
      </w:r>
      <w:proofErr w:type="gramStart"/>
      <w:r w:rsidRPr="00A30A72">
        <w:rPr>
          <w:lang w:val="en-US" w:eastAsia="ar-SA"/>
        </w:rPr>
        <w:t>).</w:t>
      </w:r>
      <w:r w:rsidRPr="00A30A72">
        <w:rPr>
          <w:i/>
          <w:lang w:val="en-US" w:eastAsia="ar-SA"/>
        </w:rPr>
        <w:t>Journal</w:t>
      </w:r>
      <w:proofErr w:type="gramEnd"/>
      <w:r w:rsidRPr="00A30A72">
        <w:rPr>
          <w:i/>
          <w:lang w:val="en-US" w:eastAsia="ar-SA"/>
        </w:rPr>
        <w:t xml:space="preserve"> of Personality Assessment, 74</w:t>
      </w:r>
      <w:r w:rsidRPr="00A30A72">
        <w:rPr>
          <w:lang w:val="en-US" w:eastAsia="ar-SA"/>
        </w:rPr>
        <w:t>, 126-145.doi:</w:t>
      </w:r>
      <w:r w:rsidRPr="00A30A72">
        <w:rPr>
          <w:lang w:val="en-US"/>
        </w:rPr>
        <w:t xml:space="preserve"> </w:t>
      </w:r>
      <w:r w:rsidRPr="00A30A72">
        <w:rPr>
          <w:lang w:val="en-US" w:eastAsia="ar-SA"/>
        </w:rPr>
        <w:t>10.1207/s15327752jpa740109</w:t>
      </w:r>
    </w:p>
    <w:p w14:paraId="64E5B088" w14:textId="77777777" w:rsidR="0036431D" w:rsidRPr="00A30A72" w:rsidRDefault="0036431D" w:rsidP="00FE11BE">
      <w:pPr>
        <w:ind w:left="709" w:hanging="709"/>
        <w:jc w:val="both"/>
        <w:rPr>
          <w:lang w:val="en-US"/>
        </w:rPr>
      </w:pPr>
      <w:r w:rsidRPr="00A30A72">
        <w:rPr>
          <w:lang w:val="en-US"/>
        </w:rPr>
        <w:t xml:space="preserve">Spence, S. H., Donovan, C., &amp; </w:t>
      </w:r>
      <w:proofErr w:type="spellStart"/>
      <w:r w:rsidRPr="00A30A72">
        <w:rPr>
          <w:lang w:val="en-US"/>
        </w:rPr>
        <w:t>Brechman</w:t>
      </w:r>
      <w:proofErr w:type="spellEnd"/>
      <w:r w:rsidRPr="00A30A72">
        <w:rPr>
          <w:lang w:val="en-US"/>
        </w:rPr>
        <w:t>‐Toussaint, M. (2000). The treatment of childhood social phobia: The effectiveness of a social skills training‐based, cognitive‐</w:t>
      </w:r>
      <w:proofErr w:type="spellStart"/>
      <w:r w:rsidRPr="00A30A72">
        <w:rPr>
          <w:lang w:val="en-US"/>
        </w:rPr>
        <w:t>behavioural</w:t>
      </w:r>
      <w:proofErr w:type="spellEnd"/>
      <w:r w:rsidRPr="00A30A72">
        <w:rPr>
          <w:lang w:val="en-US"/>
        </w:rPr>
        <w:t xml:space="preserve"> intervention, with and without parental involvement. </w:t>
      </w:r>
      <w:r w:rsidRPr="00A30A72">
        <w:rPr>
          <w:i/>
          <w:lang w:val="en-US"/>
        </w:rPr>
        <w:t>Journal of Child Psychology and Psychiatry, 41</w:t>
      </w:r>
      <w:r w:rsidRPr="00A30A72">
        <w:rPr>
          <w:lang w:val="en-US"/>
        </w:rPr>
        <w:t>(6), 713-726.doi: 10.1017/s0021963099005934</w:t>
      </w:r>
    </w:p>
    <w:p w14:paraId="5AB2307D" w14:textId="153C0145" w:rsidR="0036431D" w:rsidRPr="004443FE" w:rsidRDefault="0036431D" w:rsidP="004443FE">
      <w:pPr>
        <w:ind w:left="709" w:hanging="709"/>
        <w:jc w:val="both"/>
        <w:rPr>
          <w:lang w:val="en-US" w:eastAsia="ar-SA"/>
        </w:rPr>
      </w:pPr>
      <w:r w:rsidRPr="00A30A72">
        <w:rPr>
          <w:lang w:val="en-US" w:eastAsia="ar-SA"/>
        </w:rPr>
        <w:t xml:space="preserve">Stephan, W., &amp; Stephan, C. (1985). Intergroup anxiety. </w:t>
      </w:r>
      <w:r w:rsidRPr="00A30A72">
        <w:rPr>
          <w:i/>
          <w:lang w:val="en-US" w:eastAsia="ar-SA"/>
        </w:rPr>
        <w:t>Journal of Social Issues, 41</w:t>
      </w:r>
      <w:r w:rsidRPr="00A30A72">
        <w:rPr>
          <w:lang w:val="en-US" w:eastAsia="ar-SA"/>
        </w:rPr>
        <w:t>, 15-166.</w:t>
      </w:r>
      <w:r w:rsidR="004443FE">
        <w:rPr>
          <w:lang w:val="en-US" w:eastAsia="ar-SA"/>
        </w:rPr>
        <w:t>doi:</w:t>
      </w:r>
      <w:r w:rsidR="004443FE" w:rsidRPr="004443FE">
        <w:rPr>
          <w:lang w:val="en-GB"/>
        </w:rPr>
        <w:t xml:space="preserve"> </w:t>
      </w:r>
      <w:r w:rsidR="004443FE" w:rsidRPr="004443FE">
        <w:rPr>
          <w:lang w:val="en-US" w:eastAsia="ar-SA"/>
        </w:rPr>
        <w:t>10.1037/t54598-000</w:t>
      </w:r>
    </w:p>
    <w:p w14:paraId="00FB1883" w14:textId="34655D6B" w:rsidR="0036431D" w:rsidRPr="009C6622" w:rsidRDefault="0036431D" w:rsidP="004443FE">
      <w:pPr>
        <w:ind w:left="709" w:hanging="709"/>
        <w:jc w:val="both"/>
        <w:rPr>
          <w:lang w:val="en-US"/>
        </w:rPr>
      </w:pPr>
      <w:proofErr w:type="spellStart"/>
      <w:r w:rsidRPr="00A30A72">
        <w:rPr>
          <w:lang w:val="en-US"/>
        </w:rPr>
        <w:t>Tabak</w:t>
      </w:r>
      <w:proofErr w:type="spellEnd"/>
      <w:r w:rsidRPr="00A30A72">
        <w:rPr>
          <w:lang w:val="en-US"/>
        </w:rPr>
        <w:t xml:space="preserve">, B. A., Meyer, M. L., Dutcher, J. M., Castle, E., Irwin, M. R., Lieberman, M. D., &amp; </w:t>
      </w:r>
      <w:proofErr w:type="spellStart"/>
      <w:r w:rsidRPr="00A30A72">
        <w:rPr>
          <w:lang w:val="en-US"/>
        </w:rPr>
        <w:t>Eisenberger</w:t>
      </w:r>
      <w:proofErr w:type="spellEnd"/>
      <w:r w:rsidRPr="00A30A72">
        <w:rPr>
          <w:lang w:val="en-US"/>
        </w:rPr>
        <w:t xml:space="preserve">, N. I. (2016). Oxytocin, but not vasopressin, impairs social cognitive ability among individuals with higher levels of social anxiety: A randomized controlled trial. </w:t>
      </w:r>
      <w:r w:rsidRPr="009C6622">
        <w:rPr>
          <w:i/>
          <w:lang w:val="en-US"/>
        </w:rPr>
        <w:t>Social cognitive and affective neuroscience, 41</w:t>
      </w:r>
      <w:r w:rsidRPr="009C6622">
        <w:rPr>
          <w:lang w:val="en-US"/>
        </w:rPr>
        <w:t>(2), 1-34.</w:t>
      </w:r>
      <w:r w:rsidR="004443FE" w:rsidRPr="009C6622">
        <w:rPr>
          <w:lang w:val="en-US"/>
        </w:rPr>
        <w:t>doi: 10.1093/scan/nsw041</w:t>
      </w:r>
    </w:p>
    <w:p w14:paraId="3BE7F8B0" w14:textId="179D1578" w:rsidR="0036431D" w:rsidRDefault="0036431D" w:rsidP="00FE11BE">
      <w:pPr>
        <w:ind w:left="709" w:hanging="709"/>
        <w:jc w:val="both"/>
        <w:rPr>
          <w:lang w:val="es-AR" w:eastAsia="ar-SA"/>
        </w:rPr>
      </w:pPr>
      <w:proofErr w:type="spellStart"/>
      <w:r w:rsidRPr="009C6622">
        <w:rPr>
          <w:lang w:val="en-US"/>
        </w:rPr>
        <w:t>Tevez</w:t>
      </w:r>
      <w:proofErr w:type="spellEnd"/>
      <w:r w:rsidRPr="009C6622">
        <w:rPr>
          <w:lang w:val="en-US"/>
        </w:rPr>
        <w:t xml:space="preserve"> Carranza, F. N. (2016). </w:t>
      </w:r>
      <w:r w:rsidRPr="00746494">
        <w:rPr>
          <w:i/>
          <w:lang w:val="es-AR"/>
        </w:rPr>
        <w:t xml:space="preserve">Expectativas de rechazo social en personas </w:t>
      </w:r>
      <w:proofErr w:type="spellStart"/>
      <w:r w:rsidRPr="00746494">
        <w:rPr>
          <w:i/>
          <w:lang w:val="es-AR"/>
        </w:rPr>
        <w:t>trans</w:t>
      </w:r>
      <w:proofErr w:type="spellEnd"/>
      <w:r w:rsidRPr="00746494">
        <w:rPr>
          <w:i/>
          <w:lang w:val="es-AR"/>
        </w:rPr>
        <w:t xml:space="preserve"> y </w:t>
      </w:r>
      <w:proofErr w:type="spellStart"/>
      <w:r w:rsidRPr="00746494">
        <w:rPr>
          <w:i/>
          <w:lang w:val="es-AR"/>
        </w:rPr>
        <w:t>cisgénero</w:t>
      </w:r>
      <w:proofErr w:type="spellEnd"/>
      <w:r w:rsidRPr="00FE11BE">
        <w:rPr>
          <w:lang w:val="es-AR"/>
        </w:rPr>
        <w:t xml:space="preserve">. </w:t>
      </w:r>
      <w:r w:rsidRPr="00746494">
        <w:rPr>
          <w:lang w:val="es-AR"/>
        </w:rPr>
        <w:t>Tesis de grado no publicada</w:t>
      </w:r>
      <w:r w:rsidRPr="00FE11BE">
        <w:rPr>
          <w:lang w:val="es-AR"/>
        </w:rPr>
        <w:t xml:space="preserve">. </w:t>
      </w:r>
      <w:r w:rsidRPr="00FE11BE">
        <w:rPr>
          <w:lang w:val="es-AR" w:eastAsia="ar-SA"/>
        </w:rPr>
        <w:t>Universidad Nacional de Córdoba, Argentina.</w:t>
      </w:r>
    </w:p>
    <w:p w14:paraId="004D4B21" w14:textId="69B67B87" w:rsidR="00FA5DA3" w:rsidRPr="00FA5DA3" w:rsidRDefault="00FA5DA3" w:rsidP="00FA5DA3">
      <w:pPr>
        <w:ind w:left="709" w:hanging="709"/>
        <w:jc w:val="both"/>
        <w:rPr>
          <w:lang w:val="en-GB" w:eastAsia="ar-SA"/>
        </w:rPr>
      </w:pPr>
      <w:proofErr w:type="spellStart"/>
      <w:r w:rsidRPr="009C6622">
        <w:rPr>
          <w:lang w:val="en-US" w:eastAsia="ar-SA"/>
        </w:rPr>
        <w:t>Tobia</w:t>
      </w:r>
      <w:proofErr w:type="spellEnd"/>
      <w:r w:rsidRPr="009C6622">
        <w:rPr>
          <w:lang w:val="en-US" w:eastAsia="ar-SA"/>
        </w:rPr>
        <w:t xml:space="preserve">, V., Riva, P., &amp; </w:t>
      </w:r>
      <w:proofErr w:type="spellStart"/>
      <w:r w:rsidRPr="009C6622">
        <w:rPr>
          <w:lang w:val="en-US" w:eastAsia="ar-SA"/>
        </w:rPr>
        <w:t>Caprin</w:t>
      </w:r>
      <w:proofErr w:type="spellEnd"/>
      <w:r w:rsidRPr="009C6622">
        <w:rPr>
          <w:lang w:val="en-US" w:eastAsia="ar-SA"/>
        </w:rPr>
        <w:t xml:space="preserve">, C. (2017). </w:t>
      </w:r>
      <w:r w:rsidRPr="00FA5DA3">
        <w:rPr>
          <w:lang w:val="en-GB" w:eastAsia="ar-SA"/>
        </w:rPr>
        <w:t xml:space="preserve">Who are the children most vulnerable to social exclusion? The moderating role of self-esteem, popularity, and nonverbal intelligence on cognitive performance following social exclusion. </w:t>
      </w:r>
      <w:r w:rsidRPr="00FA5DA3">
        <w:rPr>
          <w:i/>
          <w:lang w:val="en-GB" w:eastAsia="ar-SA"/>
        </w:rPr>
        <w:t>Journal of abnormal child psychology, 45</w:t>
      </w:r>
      <w:r w:rsidRPr="00FA5DA3">
        <w:rPr>
          <w:lang w:val="en-GB" w:eastAsia="ar-SA"/>
        </w:rPr>
        <w:t>(4), 789-801.</w:t>
      </w:r>
      <w:r>
        <w:rPr>
          <w:lang w:val="en-GB" w:eastAsia="ar-SA"/>
        </w:rPr>
        <w:t>doi:</w:t>
      </w:r>
      <w:r w:rsidRPr="00303EA9">
        <w:rPr>
          <w:lang w:val="en-GB"/>
        </w:rPr>
        <w:t xml:space="preserve"> </w:t>
      </w:r>
      <w:r w:rsidRPr="00FA5DA3">
        <w:rPr>
          <w:lang w:val="en-GB" w:eastAsia="ar-SA"/>
        </w:rPr>
        <w:t>10.1007/s10802-016-0191-3</w:t>
      </w:r>
    </w:p>
    <w:p w14:paraId="4D3C3A06" w14:textId="746A796A" w:rsidR="0036431D" w:rsidRPr="004443FE" w:rsidRDefault="0036431D" w:rsidP="004443FE">
      <w:pPr>
        <w:ind w:left="709" w:hanging="709"/>
        <w:jc w:val="both"/>
        <w:rPr>
          <w:lang w:val="en-US"/>
        </w:rPr>
      </w:pPr>
      <w:proofErr w:type="spellStart"/>
      <w:r w:rsidRPr="00A30A72">
        <w:rPr>
          <w:lang w:val="en-US"/>
        </w:rPr>
        <w:t>Vorauer</w:t>
      </w:r>
      <w:proofErr w:type="spellEnd"/>
      <w:r w:rsidRPr="00A30A72">
        <w:rPr>
          <w:lang w:val="en-US"/>
        </w:rPr>
        <w:t xml:space="preserve">, J. D., &amp; Ratner, R. K. (1996). Who’s going to make the first move? Pluralistic ignorance as an impediment to relationship formation. </w:t>
      </w:r>
      <w:r w:rsidRPr="00A30A72">
        <w:rPr>
          <w:i/>
          <w:lang w:val="en-US"/>
        </w:rPr>
        <w:t>Journal of Social and Personal Relationships, 13</w:t>
      </w:r>
      <w:r w:rsidRPr="00A30A72">
        <w:rPr>
          <w:lang w:val="en-US"/>
        </w:rPr>
        <w:t>, 483–506.</w:t>
      </w:r>
      <w:r w:rsidR="004443FE">
        <w:rPr>
          <w:lang w:val="en-US"/>
        </w:rPr>
        <w:t>doi:</w:t>
      </w:r>
      <w:r w:rsidR="004443FE" w:rsidRPr="009C6622">
        <w:rPr>
          <w:lang w:val="en-US"/>
        </w:rPr>
        <w:t xml:space="preserve"> </w:t>
      </w:r>
      <w:r w:rsidR="004443FE" w:rsidRPr="004443FE">
        <w:rPr>
          <w:lang w:val="en-US"/>
        </w:rPr>
        <w:t>10.1177/0265407596134001</w:t>
      </w:r>
    </w:p>
    <w:p w14:paraId="1A8AE56E" w14:textId="77777777" w:rsidR="0036431D" w:rsidRPr="00A30A72" w:rsidRDefault="0036431D" w:rsidP="00FE11BE">
      <w:pPr>
        <w:ind w:left="709" w:hanging="709"/>
        <w:jc w:val="both"/>
        <w:rPr>
          <w:lang w:val="en-US"/>
        </w:rPr>
      </w:pPr>
      <w:r w:rsidRPr="00A30A72">
        <w:rPr>
          <w:lang w:val="en-US"/>
        </w:rPr>
        <w:t xml:space="preserve">Wirth, J. H., Bernstein M. J., </w:t>
      </w:r>
      <w:proofErr w:type="spellStart"/>
      <w:r w:rsidRPr="00A30A72">
        <w:rPr>
          <w:lang w:val="en-US"/>
        </w:rPr>
        <w:t>Wesselmann</w:t>
      </w:r>
      <w:proofErr w:type="spellEnd"/>
      <w:r w:rsidRPr="00A30A72">
        <w:rPr>
          <w:lang w:val="en-US"/>
        </w:rPr>
        <w:t xml:space="preserve">, E. D. &amp; LeRoy A. S. (2015). Social cues establish expectations of rejection and affect the response to being rejected. </w:t>
      </w:r>
      <w:r w:rsidRPr="00A30A72">
        <w:rPr>
          <w:i/>
          <w:lang w:val="en-US"/>
        </w:rPr>
        <w:t>Group Processes &amp; Intergroup Relations</w:t>
      </w:r>
      <w:r w:rsidRPr="00A30A72">
        <w:rPr>
          <w:lang w:val="en-US"/>
        </w:rPr>
        <w:t xml:space="preserve">, 1-20. </w:t>
      </w:r>
      <w:proofErr w:type="spellStart"/>
      <w:r w:rsidRPr="00A30A72">
        <w:rPr>
          <w:lang w:val="en-US"/>
        </w:rPr>
        <w:t>doi</w:t>
      </w:r>
      <w:proofErr w:type="spellEnd"/>
      <w:r w:rsidRPr="00A30A72">
        <w:rPr>
          <w:lang w:val="en-US"/>
        </w:rPr>
        <w:t>: 10.1177/1368430215596073</w:t>
      </w:r>
    </w:p>
    <w:p w14:paraId="5D9059FE" w14:textId="77777777" w:rsidR="0036431D" w:rsidRPr="00A30A72" w:rsidRDefault="0036431D" w:rsidP="00FE11BE">
      <w:pPr>
        <w:rPr>
          <w:lang w:val="en-US"/>
        </w:rPr>
      </w:pPr>
    </w:p>
    <w:p w14:paraId="05D9457C" w14:textId="77777777" w:rsidR="0036431D" w:rsidRPr="00A30A72" w:rsidRDefault="0036431D" w:rsidP="00FE11BE">
      <w:pPr>
        <w:jc w:val="center"/>
        <w:rPr>
          <w:b/>
        </w:rPr>
      </w:pPr>
    </w:p>
    <w:sectPr w:rsidR="0036431D" w:rsidRPr="00A30A72" w:rsidSect="00531696">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F38C8" w14:textId="77777777" w:rsidR="00EC3C3A" w:rsidRDefault="00EC3C3A" w:rsidP="00135D9D">
      <w:r>
        <w:separator/>
      </w:r>
    </w:p>
  </w:endnote>
  <w:endnote w:type="continuationSeparator" w:id="0">
    <w:p w14:paraId="1A71E6D2" w14:textId="77777777" w:rsidR="00EC3C3A" w:rsidRDefault="00EC3C3A" w:rsidP="0013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uphemia">
    <w:charset w:val="00"/>
    <w:family w:val="swiss"/>
    <w:pitch w:val="variable"/>
    <w:sig w:usb0="8000006F" w:usb1="0000004A" w:usb2="00002000" w:usb3="00000000" w:csb0="00000001" w:csb1="00000000"/>
  </w:font>
  <w:font w:name="Segoe UI">
    <w:panose1 w:val="020B0502040204020203"/>
    <w:charset w:val="00"/>
    <w:family w:val="swiss"/>
    <w:pitch w:val="variable"/>
    <w:sig w:usb0="E4002EFF" w:usb1="C000E47F" w:usb2="00000009" w:usb3="00000000" w:csb0="000001FF" w:csb1="00000000"/>
  </w:font>
  <w:font w:name="Arial,Arial,Calib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Calibri">
    <w:altName w:val="Times New Roman"/>
    <w:panose1 w:val="00000000000000000000"/>
    <w:charset w:val="00"/>
    <w:family w:val="roman"/>
    <w:notTrueType/>
    <w:pitch w:val="default"/>
  </w:font>
  <w:font w:name="AGaramondPro-Regular">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D0E32" w14:textId="77777777" w:rsidR="009C6622" w:rsidRDefault="009C662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C104A" w14:textId="77777777" w:rsidR="009C6622" w:rsidRDefault="009C6622">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6A46B" w14:textId="77777777" w:rsidR="009C6622" w:rsidRDefault="009C662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E63E2" w14:textId="77777777" w:rsidR="00EC3C3A" w:rsidRDefault="00EC3C3A" w:rsidP="00135D9D">
      <w:r>
        <w:separator/>
      </w:r>
    </w:p>
  </w:footnote>
  <w:footnote w:type="continuationSeparator" w:id="0">
    <w:p w14:paraId="1F4F475E" w14:textId="77777777" w:rsidR="00EC3C3A" w:rsidRDefault="00EC3C3A" w:rsidP="00135D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3069D" w14:textId="77777777" w:rsidR="009C6622" w:rsidRDefault="009C662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87693" w14:textId="77777777" w:rsidR="009C6622" w:rsidRDefault="009C6622">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13843" w14:textId="77777777" w:rsidR="009C6622" w:rsidRDefault="009C662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56816"/>
    <w:multiLevelType w:val="hybridMultilevel"/>
    <w:tmpl w:val="ADA4DEA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pt-BR"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AR" w:vendorID="64" w:dllVersion="131078" w:nlCheck="1" w:checkStyle="0"/>
  <w:activeWritingStyle w:appName="MSWord" w:lang="en-GB"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91B"/>
    <w:rsid w:val="00046F75"/>
    <w:rsid w:val="00056EC9"/>
    <w:rsid w:val="00076BD7"/>
    <w:rsid w:val="000809B4"/>
    <w:rsid w:val="00081681"/>
    <w:rsid w:val="00093A96"/>
    <w:rsid w:val="000B1836"/>
    <w:rsid w:val="000C7A59"/>
    <w:rsid w:val="00124834"/>
    <w:rsid w:val="00135D9D"/>
    <w:rsid w:val="00141094"/>
    <w:rsid w:val="00161C9A"/>
    <w:rsid w:val="001972AD"/>
    <w:rsid w:val="001F7BC6"/>
    <w:rsid w:val="002446A0"/>
    <w:rsid w:val="002B7009"/>
    <w:rsid w:val="002C14D6"/>
    <w:rsid w:val="002D2F07"/>
    <w:rsid w:val="00303EA9"/>
    <w:rsid w:val="003109F0"/>
    <w:rsid w:val="0036431D"/>
    <w:rsid w:val="00371D72"/>
    <w:rsid w:val="00390BBF"/>
    <w:rsid w:val="003A31ED"/>
    <w:rsid w:val="003A7EF4"/>
    <w:rsid w:val="003C0E17"/>
    <w:rsid w:val="003F5131"/>
    <w:rsid w:val="00411F15"/>
    <w:rsid w:val="00430DF5"/>
    <w:rsid w:val="00434BBC"/>
    <w:rsid w:val="004443FE"/>
    <w:rsid w:val="00445B5B"/>
    <w:rsid w:val="00456272"/>
    <w:rsid w:val="0045668E"/>
    <w:rsid w:val="004B51FA"/>
    <w:rsid w:val="004C791D"/>
    <w:rsid w:val="004F01BD"/>
    <w:rsid w:val="00520E33"/>
    <w:rsid w:val="00531696"/>
    <w:rsid w:val="00575BFB"/>
    <w:rsid w:val="00585190"/>
    <w:rsid w:val="005A19C1"/>
    <w:rsid w:val="005A3E3B"/>
    <w:rsid w:val="005A79F8"/>
    <w:rsid w:val="005C7C3A"/>
    <w:rsid w:val="005E4FB8"/>
    <w:rsid w:val="00604C3D"/>
    <w:rsid w:val="00635E43"/>
    <w:rsid w:val="006433E3"/>
    <w:rsid w:val="00654E4F"/>
    <w:rsid w:val="00684CB3"/>
    <w:rsid w:val="0069474B"/>
    <w:rsid w:val="006B3898"/>
    <w:rsid w:val="006B7D80"/>
    <w:rsid w:val="00735A3E"/>
    <w:rsid w:val="00746494"/>
    <w:rsid w:val="00761660"/>
    <w:rsid w:val="007A28C3"/>
    <w:rsid w:val="007D44BD"/>
    <w:rsid w:val="008C01AB"/>
    <w:rsid w:val="008C1509"/>
    <w:rsid w:val="008C7956"/>
    <w:rsid w:val="009071FF"/>
    <w:rsid w:val="009152E7"/>
    <w:rsid w:val="009261F3"/>
    <w:rsid w:val="009803BF"/>
    <w:rsid w:val="009C6622"/>
    <w:rsid w:val="00A06587"/>
    <w:rsid w:val="00A30A72"/>
    <w:rsid w:val="00A37701"/>
    <w:rsid w:val="00A63043"/>
    <w:rsid w:val="00A63944"/>
    <w:rsid w:val="00A95EA4"/>
    <w:rsid w:val="00AC7577"/>
    <w:rsid w:val="00B0014B"/>
    <w:rsid w:val="00B4169F"/>
    <w:rsid w:val="00B61052"/>
    <w:rsid w:val="00B930DA"/>
    <w:rsid w:val="00BA3D68"/>
    <w:rsid w:val="00BE17FF"/>
    <w:rsid w:val="00BF3716"/>
    <w:rsid w:val="00C17628"/>
    <w:rsid w:val="00C35612"/>
    <w:rsid w:val="00C72403"/>
    <w:rsid w:val="00CA1D02"/>
    <w:rsid w:val="00CA65A3"/>
    <w:rsid w:val="00CE791C"/>
    <w:rsid w:val="00CF0F1D"/>
    <w:rsid w:val="00D116C8"/>
    <w:rsid w:val="00D23286"/>
    <w:rsid w:val="00D50D5A"/>
    <w:rsid w:val="00D81B1B"/>
    <w:rsid w:val="00DD6BDF"/>
    <w:rsid w:val="00E306A6"/>
    <w:rsid w:val="00E30E4D"/>
    <w:rsid w:val="00E41B79"/>
    <w:rsid w:val="00EC3C3A"/>
    <w:rsid w:val="00EC5725"/>
    <w:rsid w:val="00ED1515"/>
    <w:rsid w:val="00F130C7"/>
    <w:rsid w:val="00F6291B"/>
    <w:rsid w:val="00F7358A"/>
    <w:rsid w:val="00F73B34"/>
    <w:rsid w:val="00F82738"/>
    <w:rsid w:val="00FA5DA3"/>
    <w:rsid w:val="00FA7F41"/>
    <w:rsid w:val="00FD2BD4"/>
    <w:rsid w:val="00FE11BE"/>
    <w:rsid w:val="00FF462B"/>
    <w:rsid w:val="00FF4836"/>
    <w:rsid w:val="00FF5F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B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91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F6291B"/>
  </w:style>
  <w:style w:type="character" w:customStyle="1" w:styleId="apple-converted-space">
    <w:name w:val="apple-converted-space"/>
    <w:basedOn w:val="Fuentedeprrafopredeter"/>
    <w:rsid w:val="00F6291B"/>
  </w:style>
  <w:style w:type="character" w:customStyle="1" w:styleId="hps">
    <w:name w:val="hps"/>
    <w:basedOn w:val="Fuentedeprrafopredeter"/>
    <w:rsid w:val="00F6291B"/>
  </w:style>
  <w:style w:type="character" w:customStyle="1" w:styleId="a">
    <w:name w:val="a"/>
    <w:basedOn w:val="Fuentedeprrafopredeter"/>
    <w:rsid w:val="00F6291B"/>
  </w:style>
  <w:style w:type="paragraph" w:styleId="Sangradetextonormal">
    <w:name w:val="Body Text Indent"/>
    <w:aliases w:val="Sangría de t. independiente"/>
    <w:basedOn w:val="Normal"/>
    <w:link w:val="SangradetextonormalCar"/>
    <w:rsid w:val="00F6291B"/>
    <w:pPr>
      <w:ind w:firstLine="708"/>
      <w:jc w:val="both"/>
    </w:pPr>
    <w:rPr>
      <w:szCs w:val="20"/>
    </w:rPr>
  </w:style>
  <w:style w:type="character" w:customStyle="1" w:styleId="SangradetextonormalCar">
    <w:name w:val="Sangría de texto normal Car"/>
    <w:aliases w:val="Sangría de t. independiente Car"/>
    <w:basedOn w:val="Fuentedeprrafopredeter"/>
    <w:link w:val="Sangradetextonormal"/>
    <w:rsid w:val="00F6291B"/>
    <w:rPr>
      <w:rFonts w:ascii="Times New Roman" w:eastAsia="Times New Roman" w:hAnsi="Times New Roman" w:cs="Times New Roman"/>
      <w:sz w:val="24"/>
      <w:szCs w:val="20"/>
      <w:lang w:eastAsia="es-ES"/>
    </w:rPr>
  </w:style>
  <w:style w:type="paragraph" w:styleId="Textoindependiente2">
    <w:name w:val="Body Text 2"/>
    <w:basedOn w:val="Normal"/>
    <w:link w:val="Textoindependiente2Car"/>
    <w:uiPriority w:val="99"/>
    <w:rsid w:val="00F6291B"/>
    <w:rPr>
      <w:i/>
      <w:szCs w:val="20"/>
      <w:lang w:val="es-AR"/>
    </w:rPr>
  </w:style>
  <w:style w:type="character" w:customStyle="1" w:styleId="Textoindependiente2Car">
    <w:name w:val="Texto independiente 2 Car"/>
    <w:basedOn w:val="Fuentedeprrafopredeter"/>
    <w:link w:val="Textoindependiente2"/>
    <w:uiPriority w:val="99"/>
    <w:rsid w:val="00F6291B"/>
    <w:rPr>
      <w:rFonts w:ascii="Times New Roman" w:eastAsia="Times New Roman" w:hAnsi="Times New Roman" w:cs="Times New Roman"/>
      <w:i/>
      <w:sz w:val="24"/>
      <w:szCs w:val="20"/>
      <w:lang w:val="es-AR" w:eastAsia="es-ES"/>
    </w:rPr>
  </w:style>
  <w:style w:type="paragraph" w:customStyle="1" w:styleId="Default">
    <w:name w:val="Default"/>
    <w:rsid w:val="00F6291B"/>
    <w:pPr>
      <w:autoSpaceDE w:val="0"/>
      <w:autoSpaceDN w:val="0"/>
      <w:adjustRightInd w:val="0"/>
      <w:spacing w:after="0" w:line="240" w:lineRule="auto"/>
    </w:pPr>
    <w:rPr>
      <w:rFonts w:ascii="Euphemia" w:hAnsi="Euphemia" w:cs="Euphemia"/>
      <w:color w:val="000000"/>
      <w:sz w:val="24"/>
      <w:szCs w:val="24"/>
    </w:rPr>
  </w:style>
  <w:style w:type="paragraph" w:styleId="NormalWeb">
    <w:name w:val="Normal (Web)"/>
    <w:basedOn w:val="Normal"/>
    <w:uiPriority w:val="99"/>
    <w:semiHidden/>
    <w:unhideWhenUsed/>
    <w:rsid w:val="00430DF5"/>
    <w:pPr>
      <w:spacing w:before="100" w:beforeAutospacing="1" w:after="100" w:afterAutospacing="1"/>
    </w:pPr>
  </w:style>
  <w:style w:type="character" w:styleId="Refdecomentario">
    <w:name w:val="annotation reference"/>
    <w:basedOn w:val="Fuentedeprrafopredeter"/>
    <w:uiPriority w:val="99"/>
    <w:semiHidden/>
    <w:unhideWhenUsed/>
    <w:rsid w:val="0045668E"/>
    <w:rPr>
      <w:sz w:val="16"/>
      <w:szCs w:val="16"/>
    </w:rPr>
  </w:style>
  <w:style w:type="paragraph" w:styleId="Textocomentario">
    <w:name w:val="annotation text"/>
    <w:basedOn w:val="Normal"/>
    <w:link w:val="TextocomentarioCar"/>
    <w:uiPriority w:val="99"/>
    <w:unhideWhenUsed/>
    <w:rsid w:val="0045668E"/>
    <w:rPr>
      <w:sz w:val="20"/>
      <w:szCs w:val="20"/>
    </w:rPr>
  </w:style>
  <w:style w:type="character" w:customStyle="1" w:styleId="TextocomentarioCar">
    <w:name w:val="Texto comentario Car"/>
    <w:basedOn w:val="Fuentedeprrafopredeter"/>
    <w:link w:val="Textocomentario"/>
    <w:uiPriority w:val="99"/>
    <w:rsid w:val="0045668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5668E"/>
    <w:rPr>
      <w:b/>
      <w:bCs/>
    </w:rPr>
  </w:style>
  <w:style w:type="character" w:customStyle="1" w:styleId="AsuntodelcomentarioCar">
    <w:name w:val="Asunto del comentario Car"/>
    <w:basedOn w:val="TextocomentarioCar"/>
    <w:link w:val="Asuntodelcomentario"/>
    <w:uiPriority w:val="99"/>
    <w:semiHidden/>
    <w:rsid w:val="0045668E"/>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4566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68E"/>
    <w:rPr>
      <w:rFonts w:ascii="Segoe UI" w:eastAsia="Times New Roman" w:hAnsi="Segoe UI" w:cs="Segoe UI"/>
      <w:sz w:val="18"/>
      <w:szCs w:val="18"/>
      <w:lang w:eastAsia="es-ES"/>
    </w:rPr>
  </w:style>
  <w:style w:type="paragraph" w:styleId="Prrafodelista">
    <w:name w:val="List Paragraph"/>
    <w:basedOn w:val="Normal"/>
    <w:uiPriority w:val="34"/>
    <w:qFormat/>
    <w:rsid w:val="00F73B34"/>
    <w:pPr>
      <w:spacing w:before="100" w:after="200" w:line="276" w:lineRule="auto"/>
      <w:ind w:left="720"/>
      <w:contextualSpacing/>
    </w:pPr>
    <w:rPr>
      <w:rFonts w:asciiTheme="minorHAnsi" w:eastAsiaTheme="minorEastAsia" w:hAnsiTheme="minorHAnsi" w:cstheme="minorBidi"/>
      <w:sz w:val="20"/>
      <w:szCs w:val="20"/>
      <w:lang w:val="en-US" w:eastAsia="ja-JP"/>
    </w:rPr>
  </w:style>
  <w:style w:type="paragraph" w:styleId="Encabezado">
    <w:name w:val="header"/>
    <w:basedOn w:val="Normal"/>
    <w:link w:val="EncabezadoCar"/>
    <w:uiPriority w:val="99"/>
    <w:unhideWhenUsed/>
    <w:rsid w:val="00135D9D"/>
    <w:pPr>
      <w:tabs>
        <w:tab w:val="center" w:pos="4252"/>
        <w:tab w:val="right" w:pos="8504"/>
      </w:tabs>
    </w:pPr>
  </w:style>
  <w:style w:type="character" w:customStyle="1" w:styleId="EncabezadoCar">
    <w:name w:val="Encabezado Car"/>
    <w:basedOn w:val="Fuentedeprrafopredeter"/>
    <w:link w:val="Encabezado"/>
    <w:uiPriority w:val="99"/>
    <w:rsid w:val="00135D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35D9D"/>
    <w:pPr>
      <w:tabs>
        <w:tab w:val="center" w:pos="4252"/>
        <w:tab w:val="right" w:pos="8504"/>
      </w:tabs>
    </w:pPr>
  </w:style>
  <w:style w:type="character" w:customStyle="1" w:styleId="PiedepginaCar">
    <w:name w:val="Pie de página Car"/>
    <w:basedOn w:val="Fuentedeprrafopredeter"/>
    <w:link w:val="Piedepgina"/>
    <w:uiPriority w:val="99"/>
    <w:rsid w:val="00135D9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6650">
      <w:bodyDiv w:val="1"/>
      <w:marLeft w:val="0"/>
      <w:marRight w:val="0"/>
      <w:marTop w:val="0"/>
      <w:marBottom w:val="0"/>
      <w:divBdr>
        <w:top w:val="none" w:sz="0" w:space="0" w:color="auto"/>
        <w:left w:val="none" w:sz="0" w:space="0" w:color="auto"/>
        <w:bottom w:val="none" w:sz="0" w:space="0" w:color="auto"/>
        <w:right w:val="none" w:sz="0" w:space="0" w:color="auto"/>
      </w:divBdr>
      <w:divsChild>
        <w:div w:id="32460874">
          <w:marLeft w:val="0"/>
          <w:marRight w:val="0"/>
          <w:marTop w:val="0"/>
          <w:marBottom w:val="0"/>
          <w:divBdr>
            <w:top w:val="none" w:sz="0" w:space="0" w:color="auto"/>
            <w:left w:val="none" w:sz="0" w:space="0" w:color="auto"/>
            <w:bottom w:val="none" w:sz="0" w:space="0" w:color="auto"/>
            <w:right w:val="none" w:sz="0" w:space="0" w:color="auto"/>
          </w:divBdr>
        </w:div>
        <w:div w:id="62290756">
          <w:marLeft w:val="0"/>
          <w:marRight w:val="0"/>
          <w:marTop w:val="0"/>
          <w:marBottom w:val="0"/>
          <w:divBdr>
            <w:top w:val="none" w:sz="0" w:space="0" w:color="auto"/>
            <w:left w:val="none" w:sz="0" w:space="0" w:color="auto"/>
            <w:bottom w:val="none" w:sz="0" w:space="0" w:color="auto"/>
            <w:right w:val="none" w:sz="0" w:space="0" w:color="auto"/>
          </w:divBdr>
        </w:div>
        <w:div w:id="196045115">
          <w:marLeft w:val="0"/>
          <w:marRight w:val="0"/>
          <w:marTop w:val="0"/>
          <w:marBottom w:val="0"/>
          <w:divBdr>
            <w:top w:val="none" w:sz="0" w:space="0" w:color="auto"/>
            <w:left w:val="none" w:sz="0" w:space="0" w:color="auto"/>
            <w:bottom w:val="none" w:sz="0" w:space="0" w:color="auto"/>
            <w:right w:val="none" w:sz="0" w:space="0" w:color="auto"/>
          </w:divBdr>
        </w:div>
        <w:div w:id="233976203">
          <w:marLeft w:val="0"/>
          <w:marRight w:val="0"/>
          <w:marTop w:val="0"/>
          <w:marBottom w:val="0"/>
          <w:divBdr>
            <w:top w:val="none" w:sz="0" w:space="0" w:color="auto"/>
            <w:left w:val="none" w:sz="0" w:space="0" w:color="auto"/>
            <w:bottom w:val="none" w:sz="0" w:space="0" w:color="auto"/>
            <w:right w:val="none" w:sz="0" w:space="0" w:color="auto"/>
          </w:divBdr>
        </w:div>
        <w:div w:id="249388258">
          <w:marLeft w:val="0"/>
          <w:marRight w:val="0"/>
          <w:marTop w:val="0"/>
          <w:marBottom w:val="0"/>
          <w:divBdr>
            <w:top w:val="none" w:sz="0" w:space="0" w:color="auto"/>
            <w:left w:val="none" w:sz="0" w:space="0" w:color="auto"/>
            <w:bottom w:val="none" w:sz="0" w:space="0" w:color="auto"/>
            <w:right w:val="none" w:sz="0" w:space="0" w:color="auto"/>
          </w:divBdr>
        </w:div>
        <w:div w:id="259919341">
          <w:marLeft w:val="0"/>
          <w:marRight w:val="0"/>
          <w:marTop w:val="0"/>
          <w:marBottom w:val="0"/>
          <w:divBdr>
            <w:top w:val="none" w:sz="0" w:space="0" w:color="auto"/>
            <w:left w:val="none" w:sz="0" w:space="0" w:color="auto"/>
            <w:bottom w:val="none" w:sz="0" w:space="0" w:color="auto"/>
            <w:right w:val="none" w:sz="0" w:space="0" w:color="auto"/>
          </w:divBdr>
        </w:div>
        <w:div w:id="265386658">
          <w:marLeft w:val="0"/>
          <w:marRight w:val="0"/>
          <w:marTop w:val="0"/>
          <w:marBottom w:val="0"/>
          <w:divBdr>
            <w:top w:val="none" w:sz="0" w:space="0" w:color="auto"/>
            <w:left w:val="none" w:sz="0" w:space="0" w:color="auto"/>
            <w:bottom w:val="none" w:sz="0" w:space="0" w:color="auto"/>
            <w:right w:val="none" w:sz="0" w:space="0" w:color="auto"/>
          </w:divBdr>
        </w:div>
        <w:div w:id="369307890">
          <w:marLeft w:val="0"/>
          <w:marRight w:val="0"/>
          <w:marTop w:val="0"/>
          <w:marBottom w:val="0"/>
          <w:divBdr>
            <w:top w:val="none" w:sz="0" w:space="0" w:color="auto"/>
            <w:left w:val="none" w:sz="0" w:space="0" w:color="auto"/>
            <w:bottom w:val="none" w:sz="0" w:space="0" w:color="auto"/>
            <w:right w:val="none" w:sz="0" w:space="0" w:color="auto"/>
          </w:divBdr>
        </w:div>
        <w:div w:id="417139972">
          <w:marLeft w:val="0"/>
          <w:marRight w:val="0"/>
          <w:marTop w:val="0"/>
          <w:marBottom w:val="0"/>
          <w:divBdr>
            <w:top w:val="none" w:sz="0" w:space="0" w:color="auto"/>
            <w:left w:val="none" w:sz="0" w:space="0" w:color="auto"/>
            <w:bottom w:val="none" w:sz="0" w:space="0" w:color="auto"/>
            <w:right w:val="none" w:sz="0" w:space="0" w:color="auto"/>
          </w:divBdr>
        </w:div>
        <w:div w:id="491143658">
          <w:marLeft w:val="0"/>
          <w:marRight w:val="0"/>
          <w:marTop w:val="0"/>
          <w:marBottom w:val="0"/>
          <w:divBdr>
            <w:top w:val="none" w:sz="0" w:space="0" w:color="auto"/>
            <w:left w:val="none" w:sz="0" w:space="0" w:color="auto"/>
            <w:bottom w:val="none" w:sz="0" w:space="0" w:color="auto"/>
            <w:right w:val="none" w:sz="0" w:space="0" w:color="auto"/>
          </w:divBdr>
        </w:div>
        <w:div w:id="547422850">
          <w:marLeft w:val="0"/>
          <w:marRight w:val="0"/>
          <w:marTop w:val="0"/>
          <w:marBottom w:val="0"/>
          <w:divBdr>
            <w:top w:val="none" w:sz="0" w:space="0" w:color="auto"/>
            <w:left w:val="none" w:sz="0" w:space="0" w:color="auto"/>
            <w:bottom w:val="none" w:sz="0" w:space="0" w:color="auto"/>
            <w:right w:val="none" w:sz="0" w:space="0" w:color="auto"/>
          </w:divBdr>
        </w:div>
        <w:div w:id="560406884">
          <w:marLeft w:val="0"/>
          <w:marRight w:val="0"/>
          <w:marTop w:val="0"/>
          <w:marBottom w:val="0"/>
          <w:divBdr>
            <w:top w:val="none" w:sz="0" w:space="0" w:color="auto"/>
            <w:left w:val="none" w:sz="0" w:space="0" w:color="auto"/>
            <w:bottom w:val="none" w:sz="0" w:space="0" w:color="auto"/>
            <w:right w:val="none" w:sz="0" w:space="0" w:color="auto"/>
          </w:divBdr>
        </w:div>
        <w:div w:id="561065921">
          <w:marLeft w:val="0"/>
          <w:marRight w:val="0"/>
          <w:marTop w:val="0"/>
          <w:marBottom w:val="0"/>
          <w:divBdr>
            <w:top w:val="none" w:sz="0" w:space="0" w:color="auto"/>
            <w:left w:val="none" w:sz="0" w:space="0" w:color="auto"/>
            <w:bottom w:val="none" w:sz="0" w:space="0" w:color="auto"/>
            <w:right w:val="none" w:sz="0" w:space="0" w:color="auto"/>
          </w:divBdr>
        </w:div>
        <w:div w:id="636298689">
          <w:marLeft w:val="0"/>
          <w:marRight w:val="0"/>
          <w:marTop w:val="0"/>
          <w:marBottom w:val="0"/>
          <w:divBdr>
            <w:top w:val="none" w:sz="0" w:space="0" w:color="auto"/>
            <w:left w:val="none" w:sz="0" w:space="0" w:color="auto"/>
            <w:bottom w:val="none" w:sz="0" w:space="0" w:color="auto"/>
            <w:right w:val="none" w:sz="0" w:space="0" w:color="auto"/>
          </w:divBdr>
        </w:div>
        <w:div w:id="799033115">
          <w:marLeft w:val="0"/>
          <w:marRight w:val="0"/>
          <w:marTop w:val="0"/>
          <w:marBottom w:val="0"/>
          <w:divBdr>
            <w:top w:val="none" w:sz="0" w:space="0" w:color="auto"/>
            <w:left w:val="none" w:sz="0" w:space="0" w:color="auto"/>
            <w:bottom w:val="none" w:sz="0" w:space="0" w:color="auto"/>
            <w:right w:val="none" w:sz="0" w:space="0" w:color="auto"/>
          </w:divBdr>
        </w:div>
        <w:div w:id="825705071">
          <w:marLeft w:val="0"/>
          <w:marRight w:val="0"/>
          <w:marTop w:val="0"/>
          <w:marBottom w:val="0"/>
          <w:divBdr>
            <w:top w:val="none" w:sz="0" w:space="0" w:color="auto"/>
            <w:left w:val="none" w:sz="0" w:space="0" w:color="auto"/>
            <w:bottom w:val="none" w:sz="0" w:space="0" w:color="auto"/>
            <w:right w:val="none" w:sz="0" w:space="0" w:color="auto"/>
          </w:divBdr>
        </w:div>
        <w:div w:id="828325453">
          <w:marLeft w:val="0"/>
          <w:marRight w:val="0"/>
          <w:marTop w:val="0"/>
          <w:marBottom w:val="0"/>
          <w:divBdr>
            <w:top w:val="none" w:sz="0" w:space="0" w:color="auto"/>
            <w:left w:val="none" w:sz="0" w:space="0" w:color="auto"/>
            <w:bottom w:val="none" w:sz="0" w:space="0" w:color="auto"/>
            <w:right w:val="none" w:sz="0" w:space="0" w:color="auto"/>
          </w:divBdr>
        </w:div>
        <w:div w:id="901797492">
          <w:marLeft w:val="0"/>
          <w:marRight w:val="0"/>
          <w:marTop w:val="0"/>
          <w:marBottom w:val="0"/>
          <w:divBdr>
            <w:top w:val="none" w:sz="0" w:space="0" w:color="auto"/>
            <w:left w:val="none" w:sz="0" w:space="0" w:color="auto"/>
            <w:bottom w:val="none" w:sz="0" w:space="0" w:color="auto"/>
            <w:right w:val="none" w:sz="0" w:space="0" w:color="auto"/>
          </w:divBdr>
        </w:div>
        <w:div w:id="906719396">
          <w:marLeft w:val="0"/>
          <w:marRight w:val="0"/>
          <w:marTop w:val="0"/>
          <w:marBottom w:val="0"/>
          <w:divBdr>
            <w:top w:val="none" w:sz="0" w:space="0" w:color="auto"/>
            <w:left w:val="none" w:sz="0" w:space="0" w:color="auto"/>
            <w:bottom w:val="none" w:sz="0" w:space="0" w:color="auto"/>
            <w:right w:val="none" w:sz="0" w:space="0" w:color="auto"/>
          </w:divBdr>
        </w:div>
        <w:div w:id="966936229">
          <w:marLeft w:val="0"/>
          <w:marRight w:val="0"/>
          <w:marTop w:val="0"/>
          <w:marBottom w:val="0"/>
          <w:divBdr>
            <w:top w:val="none" w:sz="0" w:space="0" w:color="auto"/>
            <w:left w:val="none" w:sz="0" w:space="0" w:color="auto"/>
            <w:bottom w:val="none" w:sz="0" w:space="0" w:color="auto"/>
            <w:right w:val="none" w:sz="0" w:space="0" w:color="auto"/>
          </w:divBdr>
        </w:div>
        <w:div w:id="1001540360">
          <w:marLeft w:val="0"/>
          <w:marRight w:val="0"/>
          <w:marTop w:val="0"/>
          <w:marBottom w:val="0"/>
          <w:divBdr>
            <w:top w:val="none" w:sz="0" w:space="0" w:color="auto"/>
            <w:left w:val="none" w:sz="0" w:space="0" w:color="auto"/>
            <w:bottom w:val="none" w:sz="0" w:space="0" w:color="auto"/>
            <w:right w:val="none" w:sz="0" w:space="0" w:color="auto"/>
          </w:divBdr>
        </w:div>
        <w:div w:id="1005983710">
          <w:marLeft w:val="0"/>
          <w:marRight w:val="0"/>
          <w:marTop w:val="0"/>
          <w:marBottom w:val="0"/>
          <w:divBdr>
            <w:top w:val="none" w:sz="0" w:space="0" w:color="auto"/>
            <w:left w:val="none" w:sz="0" w:space="0" w:color="auto"/>
            <w:bottom w:val="none" w:sz="0" w:space="0" w:color="auto"/>
            <w:right w:val="none" w:sz="0" w:space="0" w:color="auto"/>
          </w:divBdr>
        </w:div>
        <w:div w:id="1042637355">
          <w:marLeft w:val="0"/>
          <w:marRight w:val="0"/>
          <w:marTop w:val="0"/>
          <w:marBottom w:val="0"/>
          <w:divBdr>
            <w:top w:val="none" w:sz="0" w:space="0" w:color="auto"/>
            <w:left w:val="none" w:sz="0" w:space="0" w:color="auto"/>
            <w:bottom w:val="none" w:sz="0" w:space="0" w:color="auto"/>
            <w:right w:val="none" w:sz="0" w:space="0" w:color="auto"/>
          </w:divBdr>
        </w:div>
        <w:div w:id="1110705653">
          <w:marLeft w:val="0"/>
          <w:marRight w:val="0"/>
          <w:marTop w:val="0"/>
          <w:marBottom w:val="0"/>
          <w:divBdr>
            <w:top w:val="none" w:sz="0" w:space="0" w:color="auto"/>
            <w:left w:val="none" w:sz="0" w:space="0" w:color="auto"/>
            <w:bottom w:val="none" w:sz="0" w:space="0" w:color="auto"/>
            <w:right w:val="none" w:sz="0" w:space="0" w:color="auto"/>
          </w:divBdr>
        </w:div>
        <w:div w:id="1115099203">
          <w:marLeft w:val="0"/>
          <w:marRight w:val="0"/>
          <w:marTop w:val="0"/>
          <w:marBottom w:val="0"/>
          <w:divBdr>
            <w:top w:val="none" w:sz="0" w:space="0" w:color="auto"/>
            <w:left w:val="none" w:sz="0" w:space="0" w:color="auto"/>
            <w:bottom w:val="none" w:sz="0" w:space="0" w:color="auto"/>
            <w:right w:val="none" w:sz="0" w:space="0" w:color="auto"/>
          </w:divBdr>
        </w:div>
        <w:div w:id="1158107105">
          <w:marLeft w:val="0"/>
          <w:marRight w:val="0"/>
          <w:marTop w:val="0"/>
          <w:marBottom w:val="0"/>
          <w:divBdr>
            <w:top w:val="none" w:sz="0" w:space="0" w:color="auto"/>
            <w:left w:val="none" w:sz="0" w:space="0" w:color="auto"/>
            <w:bottom w:val="none" w:sz="0" w:space="0" w:color="auto"/>
            <w:right w:val="none" w:sz="0" w:space="0" w:color="auto"/>
          </w:divBdr>
        </w:div>
        <w:div w:id="1212230660">
          <w:marLeft w:val="0"/>
          <w:marRight w:val="0"/>
          <w:marTop w:val="0"/>
          <w:marBottom w:val="0"/>
          <w:divBdr>
            <w:top w:val="none" w:sz="0" w:space="0" w:color="auto"/>
            <w:left w:val="none" w:sz="0" w:space="0" w:color="auto"/>
            <w:bottom w:val="none" w:sz="0" w:space="0" w:color="auto"/>
            <w:right w:val="none" w:sz="0" w:space="0" w:color="auto"/>
          </w:divBdr>
        </w:div>
        <w:div w:id="1251742114">
          <w:marLeft w:val="0"/>
          <w:marRight w:val="0"/>
          <w:marTop w:val="0"/>
          <w:marBottom w:val="0"/>
          <w:divBdr>
            <w:top w:val="none" w:sz="0" w:space="0" w:color="auto"/>
            <w:left w:val="none" w:sz="0" w:space="0" w:color="auto"/>
            <w:bottom w:val="none" w:sz="0" w:space="0" w:color="auto"/>
            <w:right w:val="none" w:sz="0" w:space="0" w:color="auto"/>
          </w:divBdr>
        </w:div>
        <w:div w:id="1347170602">
          <w:marLeft w:val="0"/>
          <w:marRight w:val="0"/>
          <w:marTop w:val="0"/>
          <w:marBottom w:val="0"/>
          <w:divBdr>
            <w:top w:val="none" w:sz="0" w:space="0" w:color="auto"/>
            <w:left w:val="none" w:sz="0" w:space="0" w:color="auto"/>
            <w:bottom w:val="none" w:sz="0" w:space="0" w:color="auto"/>
            <w:right w:val="none" w:sz="0" w:space="0" w:color="auto"/>
          </w:divBdr>
        </w:div>
        <w:div w:id="1404332334">
          <w:marLeft w:val="0"/>
          <w:marRight w:val="0"/>
          <w:marTop w:val="0"/>
          <w:marBottom w:val="0"/>
          <w:divBdr>
            <w:top w:val="none" w:sz="0" w:space="0" w:color="auto"/>
            <w:left w:val="none" w:sz="0" w:space="0" w:color="auto"/>
            <w:bottom w:val="none" w:sz="0" w:space="0" w:color="auto"/>
            <w:right w:val="none" w:sz="0" w:space="0" w:color="auto"/>
          </w:divBdr>
        </w:div>
        <w:div w:id="1426418314">
          <w:marLeft w:val="0"/>
          <w:marRight w:val="0"/>
          <w:marTop w:val="0"/>
          <w:marBottom w:val="0"/>
          <w:divBdr>
            <w:top w:val="none" w:sz="0" w:space="0" w:color="auto"/>
            <w:left w:val="none" w:sz="0" w:space="0" w:color="auto"/>
            <w:bottom w:val="none" w:sz="0" w:space="0" w:color="auto"/>
            <w:right w:val="none" w:sz="0" w:space="0" w:color="auto"/>
          </w:divBdr>
        </w:div>
        <w:div w:id="1432357080">
          <w:marLeft w:val="0"/>
          <w:marRight w:val="0"/>
          <w:marTop w:val="0"/>
          <w:marBottom w:val="0"/>
          <w:divBdr>
            <w:top w:val="none" w:sz="0" w:space="0" w:color="auto"/>
            <w:left w:val="none" w:sz="0" w:space="0" w:color="auto"/>
            <w:bottom w:val="none" w:sz="0" w:space="0" w:color="auto"/>
            <w:right w:val="none" w:sz="0" w:space="0" w:color="auto"/>
          </w:divBdr>
        </w:div>
        <w:div w:id="1558128335">
          <w:marLeft w:val="0"/>
          <w:marRight w:val="0"/>
          <w:marTop w:val="0"/>
          <w:marBottom w:val="0"/>
          <w:divBdr>
            <w:top w:val="none" w:sz="0" w:space="0" w:color="auto"/>
            <w:left w:val="none" w:sz="0" w:space="0" w:color="auto"/>
            <w:bottom w:val="none" w:sz="0" w:space="0" w:color="auto"/>
            <w:right w:val="none" w:sz="0" w:space="0" w:color="auto"/>
          </w:divBdr>
        </w:div>
        <w:div w:id="1890145740">
          <w:marLeft w:val="0"/>
          <w:marRight w:val="0"/>
          <w:marTop w:val="0"/>
          <w:marBottom w:val="0"/>
          <w:divBdr>
            <w:top w:val="none" w:sz="0" w:space="0" w:color="auto"/>
            <w:left w:val="none" w:sz="0" w:space="0" w:color="auto"/>
            <w:bottom w:val="none" w:sz="0" w:space="0" w:color="auto"/>
            <w:right w:val="none" w:sz="0" w:space="0" w:color="auto"/>
          </w:divBdr>
        </w:div>
        <w:div w:id="1905673751">
          <w:marLeft w:val="0"/>
          <w:marRight w:val="0"/>
          <w:marTop w:val="0"/>
          <w:marBottom w:val="0"/>
          <w:divBdr>
            <w:top w:val="none" w:sz="0" w:space="0" w:color="auto"/>
            <w:left w:val="none" w:sz="0" w:space="0" w:color="auto"/>
            <w:bottom w:val="none" w:sz="0" w:space="0" w:color="auto"/>
            <w:right w:val="none" w:sz="0" w:space="0" w:color="auto"/>
          </w:divBdr>
        </w:div>
        <w:div w:id="2019191779">
          <w:marLeft w:val="0"/>
          <w:marRight w:val="0"/>
          <w:marTop w:val="0"/>
          <w:marBottom w:val="0"/>
          <w:divBdr>
            <w:top w:val="none" w:sz="0" w:space="0" w:color="auto"/>
            <w:left w:val="none" w:sz="0" w:space="0" w:color="auto"/>
            <w:bottom w:val="none" w:sz="0" w:space="0" w:color="auto"/>
            <w:right w:val="none" w:sz="0" w:space="0" w:color="auto"/>
          </w:divBdr>
        </w:div>
        <w:div w:id="2048287741">
          <w:marLeft w:val="0"/>
          <w:marRight w:val="0"/>
          <w:marTop w:val="0"/>
          <w:marBottom w:val="0"/>
          <w:divBdr>
            <w:top w:val="none" w:sz="0" w:space="0" w:color="auto"/>
            <w:left w:val="none" w:sz="0" w:space="0" w:color="auto"/>
            <w:bottom w:val="none" w:sz="0" w:space="0" w:color="auto"/>
            <w:right w:val="none" w:sz="0" w:space="0" w:color="auto"/>
          </w:divBdr>
        </w:div>
      </w:divsChild>
    </w:div>
    <w:div w:id="128283780">
      <w:bodyDiv w:val="1"/>
      <w:marLeft w:val="0"/>
      <w:marRight w:val="0"/>
      <w:marTop w:val="0"/>
      <w:marBottom w:val="0"/>
      <w:divBdr>
        <w:top w:val="none" w:sz="0" w:space="0" w:color="auto"/>
        <w:left w:val="none" w:sz="0" w:space="0" w:color="auto"/>
        <w:bottom w:val="none" w:sz="0" w:space="0" w:color="auto"/>
        <w:right w:val="none" w:sz="0" w:space="0" w:color="auto"/>
      </w:divBdr>
    </w:div>
    <w:div w:id="617761810">
      <w:bodyDiv w:val="1"/>
      <w:marLeft w:val="0"/>
      <w:marRight w:val="0"/>
      <w:marTop w:val="0"/>
      <w:marBottom w:val="0"/>
      <w:divBdr>
        <w:top w:val="none" w:sz="0" w:space="0" w:color="auto"/>
        <w:left w:val="none" w:sz="0" w:space="0" w:color="auto"/>
        <w:bottom w:val="none" w:sz="0" w:space="0" w:color="auto"/>
        <w:right w:val="none" w:sz="0" w:space="0" w:color="auto"/>
      </w:divBdr>
    </w:div>
    <w:div w:id="1047224487">
      <w:bodyDiv w:val="1"/>
      <w:marLeft w:val="0"/>
      <w:marRight w:val="0"/>
      <w:marTop w:val="0"/>
      <w:marBottom w:val="0"/>
      <w:divBdr>
        <w:top w:val="none" w:sz="0" w:space="0" w:color="auto"/>
        <w:left w:val="none" w:sz="0" w:space="0" w:color="auto"/>
        <w:bottom w:val="none" w:sz="0" w:space="0" w:color="auto"/>
        <w:right w:val="none" w:sz="0" w:space="0" w:color="auto"/>
      </w:divBdr>
    </w:div>
    <w:div w:id="1302463388">
      <w:bodyDiv w:val="1"/>
      <w:marLeft w:val="0"/>
      <w:marRight w:val="0"/>
      <w:marTop w:val="0"/>
      <w:marBottom w:val="0"/>
      <w:divBdr>
        <w:top w:val="none" w:sz="0" w:space="0" w:color="auto"/>
        <w:left w:val="none" w:sz="0" w:space="0" w:color="auto"/>
        <w:bottom w:val="none" w:sz="0" w:space="0" w:color="auto"/>
        <w:right w:val="none" w:sz="0" w:space="0" w:color="auto"/>
      </w:divBdr>
    </w:div>
    <w:div w:id="1380662917">
      <w:bodyDiv w:val="1"/>
      <w:marLeft w:val="0"/>
      <w:marRight w:val="0"/>
      <w:marTop w:val="0"/>
      <w:marBottom w:val="0"/>
      <w:divBdr>
        <w:top w:val="none" w:sz="0" w:space="0" w:color="auto"/>
        <w:left w:val="none" w:sz="0" w:space="0" w:color="auto"/>
        <w:bottom w:val="none" w:sz="0" w:space="0" w:color="auto"/>
        <w:right w:val="none" w:sz="0" w:space="0" w:color="auto"/>
      </w:divBdr>
      <w:divsChild>
        <w:div w:id="1027411024">
          <w:marLeft w:val="0"/>
          <w:marRight w:val="0"/>
          <w:marTop w:val="0"/>
          <w:marBottom w:val="0"/>
          <w:divBdr>
            <w:top w:val="none" w:sz="0" w:space="0" w:color="auto"/>
            <w:left w:val="none" w:sz="0" w:space="0" w:color="auto"/>
            <w:bottom w:val="none" w:sz="0" w:space="0" w:color="auto"/>
            <w:right w:val="none" w:sz="0" w:space="0" w:color="auto"/>
          </w:divBdr>
        </w:div>
      </w:divsChild>
    </w:div>
    <w:div w:id="1915168175">
      <w:bodyDiv w:val="1"/>
      <w:marLeft w:val="0"/>
      <w:marRight w:val="0"/>
      <w:marTop w:val="0"/>
      <w:marBottom w:val="0"/>
      <w:divBdr>
        <w:top w:val="none" w:sz="0" w:space="0" w:color="auto"/>
        <w:left w:val="none" w:sz="0" w:space="0" w:color="auto"/>
        <w:bottom w:val="none" w:sz="0" w:space="0" w:color="auto"/>
        <w:right w:val="none" w:sz="0" w:space="0" w:color="auto"/>
      </w:divBdr>
    </w:div>
    <w:div w:id="1940943971">
      <w:bodyDiv w:val="1"/>
      <w:marLeft w:val="0"/>
      <w:marRight w:val="0"/>
      <w:marTop w:val="0"/>
      <w:marBottom w:val="0"/>
      <w:divBdr>
        <w:top w:val="none" w:sz="0" w:space="0" w:color="auto"/>
        <w:left w:val="none" w:sz="0" w:space="0" w:color="auto"/>
        <w:bottom w:val="none" w:sz="0" w:space="0" w:color="auto"/>
        <w:right w:val="none" w:sz="0" w:space="0" w:color="auto"/>
      </w:divBdr>
    </w:div>
    <w:div w:id="2014143121">
      <w:bodyDiv w:val="1"/>
      <w:marLeft w:val="0"/>
      <w:marRight w:val="0"/>
      <w:marTop w:val="0"/>
      <w:marBottom w:val="0"/>
      <w:divBdr>
        <w:top w:val="none" w:sz="0" w:space="0" w:color="auto"/>
        <w:left w:val="none" w:sz="0" w:space="0" w:color="auto"/>
        <w:bottom w:val="none" w:sz="0" w:space="0" w:color="auto"/>
        <w:right w:val="none" w:sz="0" w:space="0" w:color="auto"/>
      </w:divBdr>
    </w:div>
    <w:div w:id="2133162060">
      <w:bodyDiv w:val="1"/>
      <w:marLeft w:val="0"/>
      <w:marRight w:val="0"/>
      <w:marTop w:val="0"/>
      <w:marBottom w:val="0"/>
      <w:divBdr>
        <w:top w:val="none" w:sz="0" w:space="0" w:color="auto"/>
        <w:left w:val="none" w:sz="0" w:space="0" w:color="auto"/>
        <w:bottom w:val="none" w:sz="0" w:space="0" w:color="auto"/>
        <w:right w:val="none" w:sz="0" w:space="0" w:color="auto"/>
      </w:divBdr>
      <w:divsChild>
        <w:div w:id="1579243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815AA-9F1C-4640-A868-689E753F1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7257</Words>
  <Characters>41371</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2018-09-05T19:24:00Z</dcterms:created>
  <dcterms:modified xsi:type="dcterms:W3CDTF">2018-09-05T20:00:00Z</dcterms:modified>
</cp:coreProperties>
</file>