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8"/>
        <w:jc w:val="center"/>
        <w:rPr>
          <w:rFonts w:ascii="Times New Roman" w:hAnsi="Times New Roman"/>
          <w:b/>
          <w:b/>
          <w:lang w:val="en-GB"/>
        </w:rPr>
      </w:pPr>
      <w:r>
        <w:rPr>
          <w:rFonts w:ascii="Times New Roman" w:hAnsi="Times New Roman"/>
          <w:b/>
          <w:lang w:val="en-GB"/>
        </w:rPr>
        <w:t>ABSTRACT</w:t>
      </w:r>
    </w:p>
    <w:p>
      <w:pPr>
        <w:pStyle w:val="Normal"/>
        <w:ind w:firstLine="708"/>
        <w:jc w:val="both"/>
        <w:rPr>
          <w:rFonts w:ascii="Times New Roman" w:hAnsi="Times New Roman"/>
          <w:lang w:val="en-GB"/>
        </w:rPr>
      </w:pPr>
      <w:r>
        <w:rPr>
          <w:rFonts w:ascii="Times New Roman" w:hAnsi="Times New Roman"/>
          <w:lang w:val="en-GB"/>
        </w:rPr>
      </w:r>
    </w:p>
    <w:p>
      <w:pPr>
        <w:pStyle w:val="Normal"/>
        <w:ind w:firstLine="708"/>
        <w:jc w:val="both"/>
        <w:rPr/>
      </w:pPr>
      <w:r>
        <w:rPr>
          <w:rFonts w:ascii="Times New Roman" w:hAnsi="Times New Roman"/>
          <w:b/>
          <w:i/>
          <w:lang w:val="en-GB"/>
        </w:rPr>
        <w:t>Background:</w:t>
      </w:r>
      <w:r>
        <w:rPr>
          <w:rFonts w:ascii="Times New Roman" w:hAnsi="Times New Roman"/>
          <w:lang w:val="en-GB"/>
        </w:rPr>
        <w:t xml:space="preserve"> Social support and community integration have been studied as important dimensions of social care policies </w:t>
      </w:r>
      <w:r>
        <w:rPr>
          <w:rFonts w:ascii="Times New Roman" w:hAnsi="Times New Roman"/>
          <w:lang w:val="en-GB"/>
        </w:rPr>
        <w:t>and</w:t>
      </w:r>
      <w:r>
        <w:rPr>
          <w:rFonts w:ascii="Times New Roman" w:hAnsi="Times New Roman"/>
          <w:lang w:val="en-GB"/>
        </w:rPr>
        <w:t xml:space="preserve"> known to be important protective factors of psychosocial stressors. </w:t>
      </w:r>
      <w:r>
        <w:rPr>
          <w:rFonts w:ascii="Times New Roman" w:hAnsi="Times New Roman"/>
          <w:b/>
          <w:i/>
          <w:lang w:val="en-GB"/>
        </w:rPr>
        <w:t xml:space="preserve">Objective: </w:t>
      </w:r>
      <w:r>
        <w:rPr>
          <w:rFonts w:ascii="Times New Roman" w:hAnsi="Times New Roman"/>
          <w:lang w:val="en-GB"/>
        </w:rPr>
        <w:t xml:space="preserve">To explore social </w:t>
      </w:r>
      <w:r>
        <w:rPr>
          <w:rFonts w:ascii="Times New Roman" w:hAnsi="Times New Roman"/>
          <w:lang w:val="en-GB"/>
        </w:rPr>
        <w:t>support</w:t>
      </w:r>
      <w:r>
        <w:rPr>
          <w:rFonts w:ascii="Times New Roman" w:hAnsi="Times New Roman"/>
          <w:lang w:val="en-GB"/>
        </w:rPr>
        <w:t xml:space="preserve"> and community integration of individuals aided by the PAIF (Integral Family Assistance Program), a key service in the Brazilian Social Care Policy. </w:t>
      </w:r>
      <w:r>
        <w:rPr>
          <w:rFonts w:ascii="Times New Roman" w:hAnsi="Times New Roman"/>
          <w:b/>
          <w:i/>
          <w:lang w:val="en-GB"/>
        </w:rPr>
        <w:t xml:space="preserve">Method: </w:t>
      </w:r>
      <w:r>
        <w:rPr>
          <w:rFonts w:ascii="Times New Roman" w:hAnsi="Times New Roman"/>
          <w:b w:val="false"/>
          <w:bCs w:val="false"/>
          <w:i w:val="false"/>
          <w:iCs w:val="false"/>
          <w:lang w:val="en-GB"/>
        </w:rPr>
        <w:t>I</w:t>
      </w:r>
      <w:r>
        <w:rPr>
          <w:rFonts w:ascii="Times New Roman" w:hAnsi="Times New Roman"/>
          <w:lang w:val="en-GB"/>
        </w:rPr>
        <w:t xml:space="preserve">nferential quantitative study </w:t>
      </w:r>
      <w:r>
        <w:rPr>
          <w:rFonts w:ascii="Times New Roman" w:hAnsi="Times New Roman"/>
          <w:lang w:val="en-GB"/>
        </w:rPr>
        <w:t xml:space="preserve">with </w:t>
      </w:r>
      <w:r>
        <w:rPr>
          <w:rFonts w:ascii="Times New Roman" w:hAnsi="Times New Roman"/>
          <w:lang w:val="en-GB"/>
        </w:rPr>
        <w:t xml:space="preserve">201 </w:t>
      </w:r>
      <w:r>
        <w:rPr>
          <w:rFonts w:ascii="Times New Roman" w:hAnsi="Times New Roman"/>
          <w:lang w:val="en-GB"/>
        </w:rPr>
        <w:t>participants from</w:t>
      </w:r>
      <w:r>
        <w:rPr>
          <w:rFonts w:ascii="Times New Roman" w:hAnsi="Times New Roman"/>
          <w:lang w:val="en-GB"/>
        </w:rPr>
        <w:t xml:space="preserve"> families engaged with PAIF. </w:t>
      </w:r>
      <w:r>
        <w:rPr>
          <w:rFonts w:ascii="Times New Roman" w:hAnsi="Times New Roman"/>
          <w:b/>
          <w:i/>
          <w:lang w:val="en-GB"/>
        </w:rPr>
        <w:t xml:space="preserve">Results: </w:t>
      </w:r>
      <w:r>
        <w:rPr>
          <w:rFonts w:ascii="Times New Roman" w:hAnsi="Times New Roman"/>
          <w:lang w:val="en-GB"/>
        </w:rPr>
        <w:t xml:space="preserve">The length of the </w:t>
      </w:r>
      <w:r>
        <w:rPr>
          <w:rFonts w:ascii="Times New Roman" w:hAnsi="Times New Roman"/>
          <w:lang w:val="en-GB"/>
        </w:rPr>
        <w:t>participants</w:t>
      </w:r>
      <w:r>
        <w:rPr>
          <w:rFonts w:ascii="Times New Roman" w:hAnsi="Times New Roman"/>
          <w:lang w:val="en-GB"/>
        </w:rPr>
        <w:t xml:space="preserve"> link to PAIF showed a positive correlation with community integration (r=.145, p&lt;.05). </w:t>
      </w:r>
      <w:r>
        <w:rPr>
          <w:rFonts w:ascii="Times New Roman" w:hAnsi="Times New Roman"/>
          <w:lang w:val="en-GB"/>
        </w:rPr>
        <w:t>T</w:t>
      </w:r>
      <w:r>
        <w:rPr>
          <w:rFonts w:ascii="Times New Roman" w:hAnsi="Times New Roman"/>
          <w:lang w:val="en-GB"/>
        </w:rPr>
        <w:t>he highest explanatory degree</w:t>
      </w:r>
      <w:r>
        <w:rPr>
          <w:rFonts w:ascii="Times New Roman" w:hAnsi="Times New Roman"/>
          <w:lang w:val="en-GB"/>
        </w:rPr>
        <w:t>s</w:t>
      </w:r>
      <w:r>
        <w:rPr>
          <w:rFonts w:ascii="Times New Roman" w:hAnsi="Times New Roman"/>
          <w:lang w:val="en-GB"/>
        </w:rPr>
        <w:t xml:space="preserve"> for community integration were age (</w:t>
      </w:r>
      <w:r>
        <w:rPr>
          <w:rFonts w:ascii="Times New Roman" w:hAnsi="Times New Roman"/>
          <w:i/>
          <w:lang w:val="en-GB"/>
        </w:rPr>
        <w:t>β</w:t>
      </w:r>
      <w:r>
        <w:rPr>
          <w:rFonts w:ascii="Times New Roman" w:hAnsi="Times New Roman"/>
          <w:lang w:val="en-GB"/>
        </w:rPr>
        <w:t xml:space="preserve">=.323, p&lt;.001) and social financial benefit </w:t>
      </w:r>
      <w:r>
        <w:rPr>
          <w:rFonts w:ascii="Times New Roman" w:hAnsi="Times New Roman"/>
          <w:color w:val="000000"/>
          <w:shd w:fill="FFFFFF" w:val="clear"/>
          <w:lang w:val="en-GB"/>
        </w:rPr>
        <w:t>(</w:t>
      </w:r>
      <w:r>
        <w:rPr>
          <w:rFonts w:ascii="Times New Roman" w:hAnsi="Times New Roman"/>
          <w:i/>
          <w:iCs/>
          <w:color w:val="000000"/>
          <w:shd w:fill="FFFFFF" w:val="clear"/>
          <w:lang w:val="en-GB"/>
        </w:rPr>
        <w:t>β</w:t>
      </w:r>
      <w:r>
        <w:rPr>
          <w:rStyle w:val="Appleconvertedspace"/>
          <w:color w:val="000000"/>
          <w:shd w:fill="FFFFFF" w:val="clear"/>
          <w:lang w:val="en-GB"/>
        </w:rPr>
        <w:t> </w:t>
      </w:r>
      <w:r>
        <w:rPr>
          <w:rFonts w:ascii="Times New Roman" w:hAnsi="Times New Roman"/>
          <w:color w:val="000000"/>
          <w:shd w:fill="FFFFFF" w:val="clear"/>
          <w:lang w:val="en-GB"/>
        </w:rPr>
        <w:t xml:space="preserve">=.224, p=.002). </w:t>
      </w:r>
      <w:r>
        <w:rPr>
          <w:rFonts w:ascii="Times New Roman" w:hAnsi="Times New Roman"/>
          <w:b/>
          <w:i/>
          <w:color w:val="000000"/>
          <w:shd w:fill="FFFFFF" w:val="clear"/>
          <w:lang w:val="en-GB"/>
        </w:rPr>
        <w:t>Conclusions</w:t>
      </w:r>
      <w:r>
        <w:rPr>
          <w:rFonts w:ascii="Times New Roman" w:hAnsi="Times New Roman"/>
          <w:b/>
          <w:color w:val="000000"/>
          <w:shd w:fill="FFFFFF" w:val="clear"/>
          <w:lang w:val="en-GB"/>
        </w:rPr>
        <w:t xml:space="preserve">: </w:t>
      </w:r>
      <w:r>
        <w:rPr>
          <w:rFonts w:ascii="Times New Roman" w:hAnsi="Times New Roman"/>
          <w:color w:val="000000"/>
          <w:shd w:fill="FFFFFF" w:val="clear"/>
          <w:lang w:val="en-GB"/>
        </w:rPr>
        <w:t xml:space="preserve">PAIF has an impact on the community integration of its users, thus effecting one of </w:t>
      </w:r>
      <w:r>
        <w:rPr>
          <w:rFonts w:ascii="Times New Roman" w:hAnsi="Times New Roman"/>
          <w:color w:val="000000"/>
          <w:shd w:fill="FFFFFF" w:val="clear"/>
          <w:lang w:val="en-GB"/>
        </w:rPr>
        <w:t>its goals</w:t>
      </w:r>
      <w:r>
        <w:rPr>
          <w:rFonts w:ascii="Times New Roman" w:hAnsi="Times New Roman"/>
          <w:color w:val="000000"/>
          <w:shd w:fill="FFFFFF" w:val="clear"/>
          <w:lang w:val="en-GB"/>
        </w:rPr>
        <w:t xml:space="preserve">. </w:t>
      </w:r>
    </w:p>
    <w:p>
      <w:pPr>
        <w:pStyle w:val="Normal"/>
        <w:ind w:firstLine="708"/>
        <w:jc w:val="both"/>
        <w:rPr>
          <w:rFonts w:ascii="Times New Roman" w:hAnsi="Times New Roman"/>
          <w:lang w:val="en-GB"/>
        </w:rPr>
      </w:pPr>
      <w:r>
        <w:rPr>
          <w:rFonts w:ascii="Times New Roman" w:hAnsi="Times New Roman"/>
          <w:lang w:val="en-GB"/>
        </w:rPr>
      </w:r>
    </w:p>
    <w:p>
      <w:pPr>
        <w:pStyle w:val="Normal"/>
        <w:ind w:firstLine="708"/>
        <w:jc w:val="both"/>
        <w:rPr/>
      </w:pPr>
      <w:r>
        <w:rPr>
          <w:rFonts w:ascii="Times New Roman" w:hAnsi="Times New Roman"/>
          <w:b/>
          <w:lang w:val="en-GB"/>
        </w:rPr>
        <w:t>Keywords:</w:t>
      </w:r>
      <w:r>
        <w:rPr>
          <w:rFonts w:ascii="Times New Roman" w:hAnsi="Times New Roman"/>
          <w:lang w:val="en-GB"/>
        </w:rPr>
        <w:t xml:space="preserve"> social support; community integration; social care policies; Brazil.</w:t>
      </w:r>
    </w:p>
    <w:p>
      <w:pPr>
        <w:pStyle w:val="Normal"/>
        <w:ind w:firstLine="708"/>
        <w:jc w:val="both"/>
        <w:rPr>
          <w:rFonts w:ascii="Times New Roman" w:hAnsi="Times New Roman"/>
          <w:lang w:val="en-GB"/>
        </w:rPr>
      </w:pPr>
      <w:r>
        <w:rPr>
          <w:rFonts w:ascii="Times New Roman" w:hAnsi="Times New Roman"/>
          <w:lang w:val="en-GB"/>
        </w:rPr>
      </w:r>
    </w:p>
    <w:p>
      <w:pPr>
        <w:pStyle w:val="Normal"/>
        <w:ind w:firstLine="708"/>
        <w:jc w:val="center"/>
        <w:rPr>
          <w:rFonts w:ascii="Times New Roman" w:hAnsi="Times New Roman"/>
          <w:b/>
          <w:b/>
          <w:lang w:val="en-GB"/>
        </w:rPr>
      </w:pPr>
      <w:r>
        <w:rPr>
          <w:rFonts w:ascii="Times New Roman" w:hAnsi="Times New Roman"/>
          <w:b/>
          <w:lang w:val="en-GB"/>
        </w:rPr>
      </w:r>
    </w:p>
    <w:p>
      <w:pPr>
        <w:pStyle w:val="Normal"/>
        <w:ind w:firstLine="708"/>
        <w:jc w:val="center"/>
        <w:rPr/>
      </w:pPr>
      <w:r>
        <w:rPr>
          <w:rFonts w:ascii="Times New Roman" w:hAnsi="Times New Roman"/>
          <w:b/>
          <w:lang w:val="en-GB"/>
        </w:rPr>
        <w:t>RESUMO</w:t>
      </w:r>
    </w:p>
    <w:p>
      <w:pPr>
        <w:pStyle w:val="Normal"/>
        <w:ind w:firstLine="708"/>
        <w:jc w:val="center"/>
        <w:rPr>
          <w:rFonts w:ascii="Times New Roman" w:hAnsi="Times New Roman"/>
          <w:b/>
          <w:b/>
          <w:lang w:val="en-GB"/>
        </w:rPr>
      </w:pPr>
      <w:r>
        <w:rPr/>
      </w:r>
    </w:p>
    <w:p>
      <w:pPr>
        <w:pStyle w:val="Normal"/>
        <w:ind w:firstLine="708"/>
        <w:jc w:val="both"/>
        <w:rPr>
          <w:rFonts w:ascii="Times New Roman" w:hAnsi="Times New Roman"/>
        </w:rPr>
      </w:pPr>
      <w:bookmarkStart w:id="0" w:name="result_box"/>
      <w:bookmarkEnd w:id="0"/>
      <w:r>
        <w:rPr>
          <w:rFonts w:ascii="Times New Roman" w:hAnsi="Times New Roman"/>
          <w:b/>
          <w:bCs/>
          <w:lang w:val="pt-PT"/>
        </w:rPr>
        <w:t>Contexto:</w:t>
      </w:r>
      <w:r>
        <w:rPr>
          <w:rFonts w:ascii="Times New Roman" w:hAnsi="Times New Roman"/>
          <w:lang w:val="pt-PT"/>
        </w:rPr>
        <w:t xml:space="preserve"> </w:t>
      </w:r>
      <w:r>
        <w:rPr>
          <w:rFonts w:ascii="Times New Roman" w:hAnsi="Times New Roman"/>
          <w:lang w:val="pt-PT"/>
        </w:rPr>
        <w:t>A</w:t>
      </w:r>
      <w:r>
        <w:rPr>
          <w:rFonts w:ascii="Times New Roman" w:hAnsi="Times New Roman"/>
          <w:lang w:val="pt-PT"/>
        </w:rPr>
        <w:t>poio social e integração da comuni</w:t>
      </w:r>
      <w:r>
        <w:rPr>
          <w:rFonts w:ascii="Times New Roman" w:hAnsi="Times New Roman"/>
          <w:lang w:val="pt-PT"/>
        </w:rPr>
        <w:t>tária</w:t>
      </w:r>
      <w:r>
        <w:rPr>
          <w:rFonts w:ascii="Times New Roman" w:hAnsi="Times New Roman"/>
          <w:lang w:val="pt-PT"/>
        </w:rPr>
        <w:t xml:space="preserve"> </w:t>
      </w:r>
      <w:r>
        <w:rPr>
          <w:rFonts w:ascii="Times New Roman" w:hAnsi="Times New Roman"/>
          <w:lang w:val="pt-PT"/>
        </w:rPr>
        <w:t>são</w:t>
      </w:r>
      <w:r>
        <w:rPr>
          <w:rFonts w:ascii="Times New Roman" w:hAnsi="Times New Roman"/>
          <w:lang w:val="pt-PT"/>
        </w:rPr>
        <w:t xml:space="preserve"> estudados como dimensões importantes das políticas de assistência social e conhecidos como fatores de proteção dos estressores psicossociais. </w:t>
      </w:r>
      <w:r>
        <w:rPr>
          <w:rFonts w:ascii="Times New Roman" w:hAnsi="Times New Roman"/>
          <w:b/>
          <w:bCs/>
          <w:lang w:val="pt-PT"/>
        </w:rPr>
        <w:t>Objetivo:</w:t>
      </w:r>
      <w:r>
        <w:rPr>
          <w:rFonts w:ascii="Times New Roman" w:hAnsi="Times New Roman"/>
          <w:lang w:val="pt-PT"/>
        </w:rPr>
        <w:t xml:space="preserve"> </w:t>
      </w:r>
      <w:r>
        <w:rPr>
          <w:rFonts w:ascii="Times New Roman" w:hAnsi="Times New Roman"/>
          <w:lang w:val="pt-PT"/>
        </w:rPr>
        <w:t>E</w:t>
      </w:r>
      <w:r>
        <w:rPr>
          <w:rFonts w:ascii="Times New Roman" w:hAnsi="Times New Roman"/>
          <w:lang w:val="pt-PT"/>
        </w:rPr>
        <w:t xml:space="preserve">xplorar o apoio social e a integração da comunidade de indivíduos auxiliados pelo PAIF (Programa Integral de Assistência Familiar), um dos principais serviços da Política Brasileira de Assistência Social. </w:t>
      </w:r>
      <w:r>
        <w:rPr>
          <w:rFonts w:ascii="Times New Roman" w:hAnsi="Times New Roman"/>
          <w:b/>
          <w:bCs/>
          <w:lang w:val="pt-PT"/>
        </w:rPr>
        <w:t xml:space="preserve">Método: </w:t>
      </w:r>
      <w:r>
        <w:rPr>
          <w:rFonts w:ascii="Times New Roman" w:hAnsi="Times New Roman"/>
          <w:b/>
          <w:bCs/>
          <w:lang w:val="pt-PT"/>
        </w:rPr>
        <w:t>E</w:t>
      </w:r>
      <w:r>
        <w:rPr>
          <w:rFonts w:ascii="Times New Roman" w:hAnsi="Times New Roman"/>
          <w:lang w:val="pt-PT"/>
        </w:rPr>
        <w:t>studo quantitativo in</w:t>
      </w:r>
      <w:r>
        <w:rPr>
          <w:rFonts w:ascii="Times New Roman" w:hAnsi="Times New Roman"/>
          <w:lang w:val="pt-PT"/>
        </w:rPr>
        <w:t>ferencial</w:t>
      </w:r>
      <w:r>
        <w:rPr>
          <w:rFonts w:ascii="Times New Roman" w:hAnsi="Times New Roman"/>
          <w:lang w:val="pt-PT"/>
        </w:rPr>
        <w:t xml:space="preserve"> com 201 participantes de famílias </w:t>
      </w:r>
      <w:r>
        <w:rPr>
          <w:rFonts w:ascii="Times New Roman" w:hAnsi="Times New Roman"/>
          <w:lang w:val="pt-PT"/>
        </w:rPr>
        <w:t>atendidas</w:t>
      </w:r>
      <w:r>
        <w:rPr>
          <w:rFonts w:ascii="Times New Roman" w:hAnsi="Times New Roman"/>
          <w:lang w:val="pt-PT"/>
        </w:rPr>
        <w:t xml:space="preserve">  </w:t>
      </w:r>
      <w:r>
        <w:rPr>
          <w:rFonts w:ascii="Times New Roman" w:hAnsi="Times New Roman"/>
          <w:lang w:val="pt-PT"/>
        </w:rPr>
        <w:t>pelo</w:t>
      </w:r>
      <w:r>
        <w:rPr>
          <w:rFonts w:ascii="Times New Roman" w:hAnsi="Times New Roman"/>
          <w:lang w:val="pt-PT"/>
        </w:rPr>
        <w:t xml:space="preserve"> PAIF. </w:t>
      </w:r>
      <w:r>
        <w:rPr>
          <w:rFonts w:ascii="Times New Roman" w:hAnsi="Times New Roman"/>
          <w:b/>
          <w:bCs/>
          <w:lang w:val="pt-PT"/>
        </w:rPr>
        <w:t>Resultados</w:t>
      </w:r>
      <w:r>
        <w:rPr>
          <w:rFonts w:ascii="Times New Roman" w:hAnsi="Times New Roman"/>
          <w:lang w:val="pt-PT"/>
        </w:rPr>
        <w:t xml:space="preserve">: O </w:t>
      </w:r>
      <w:r>
        <w:rPr>
          <w:rFonts w:ascii="Times New Roman" w:hAnsi="Times New Roman"/>
          <w:lang w:val="pt-PT"/>
        </w:rPr>
        <w:t>temo do ligação</w:t>
      </w:r>
      <w:r>
        <w:rPr>
          <w:rFonts w:ascii="Times New Roman" w:hAnsi="Times New Roman"/>
          <w:lang w:val="pt-PT"/>
        </w:rPr>
        <w:t xml:space="preserve"> dos participantes </w:t>
      </w:r>
      <w:r>
        <w:rPr>
          <w:rFonts w:ascii="Times New Roman" w:hAnsi="Times New Roman"/>
          <w:lang w:val="pt-PT"/>
        </w:rPr>
        <w:t>com o</w:t>
      </w:r>
      <w:r>
        <w:rPr>
          <w:rFonts w:ascii="Times New Roman" w:hAnsi="Times New Roman"/>
          <w:lang w:val="pt-PT"/>
        </w:rPr>
        <w:t xml:space="preserve"> PAIF mostrou uma correlação positiva com integração comuni</w:t>
      </w:r>
      <w:r>
        <w:rPr>
          <w:rFonts w:ascii="Times New Roman" w:hAnsi="Times New Roman"/>
          <w:lang w:val="pt-PT"/>
        </w:rPr>
        <w:t>tária</w:t>
      </w:r>
      <w:r>
        <w:rPr>
          <w:rFonts w:ascii="Times New Roman" w:hAnsi="Times New Roman"/>
          <w:lang w:val="pt-PT"/>
        </w:rPr>
        <w:t xml:space="preserve"> (r = .145, p &lt;.05). Os graus explicativos mais elevados para a integraç</w:t>
      </w:r>
      <w:r>
        <w:rPr>
          <w:rFonts w:ascii="Times New Roman" w:hAnsi="Times New Roman"/>
          <w:lang w:val="pt-PT"/>
        </w:rPr>
        <w:t xml:space="preserve">ão comunitária </w:t>
      </w:r>
      <w:r>
        <w:rPr>
          <w:rFonts w:ascii="Times New Roman" w:hAnsi="Times New Roman"/>
          <w:lang w:val="pt-PT"/>
        </w:rPr>
        <w:t xml:space="preserve">e foram idade (β = 0,323, p &lt;0,001) e benefício financeiro social (β = 0,224, p = 0,002). </w:t>
      </w:r>
      <w:r>
        <w:rPr>
          <w:rFonts w:ascii="Times New Roman" w:hAnsi="Times New Roman"/>
          <w:b/>
          <w:bCs/>
          <w:lang w:val="pt-PT"/>
        </w:rPr>
        <w:t>Conclusões:</w:t>
      </w:r>
      <w:r>
        <w:rPr>
          <w:rFonts w:ascii="Times New Roman" w:hAnsi="Times New Roman"/>
          <w:lang w:val="pt-PT"/>
        </w:rPr>
        <w:t xml:space="preserve"> O PAIF tem um impacto na integração </w:t>
      </w:r>
      <w:r>
        <w:rPr>
          <w:rFonts w:ascii="Times New Roman" w:hAnsi="Times New Roman"/>
          <w:lang w:val="pt-PT"/>
        </w:rPr>
        <w:t>comunitária</w:t>
      </w:r>
      <w:r>
        <w:rPr>
          <w:rFonts w:ascii="Times New Roman" w:hAnsi="Times New Roman"/>
          <w:lang w:val="pt-PT"/>
        </w:rPr>
        <w:t xml:space="preserve"> de seus usuários, efetuando um dos seus objetivos.</w:t>
      </w:r>
      <w:r>
        <w:rPr>
          <w:rFonts w:ascii="Times New Roman" w:hAnsi="Times New Roman"/>
        </w:rPr>
        <w:t xml:space="preserve"> </w:t>
      </w:r>
    </w:p>
    <w:p>
      <w:pPr>
        <w:pStyle w:val="Normal"/>
        <w:ind w:firstLine="708"/>
        <w:jc w:val="both"/>
        <w:rPr>
          <w:rFonts w:ascii="Times New Roman" w:hAnsi="Times New Roman"/>
        </w:rPr>
      </w:pPr>
      <w:r>
        <w:rPr>
          <w:rFonts w:ascii="Times New Roman" w:hAnsi="Times New Roman"/>
        </w:rPr>
      </w:r>
    </w:p>
    <w:p>
      <w:pPr>
        <w:pStyle w:val="Normal"/>
        <w:ind w:firstLine="708"/>
        <w:jc w:val="both"/>
        <w:rPr>
          <w:rFonts w:ascii="Times New Roman" w:hAnsi="Times New Roman"/>
        </w:rPr>
      </w:pPr>
      <w:r>
        <w:rPr>
          <w:rFonts w:ascii="Times New Roman" w:hAnsi="Times New Roman"/>
          <w:b/>
          <w:bCs/>
        </w:rPr>
        <w:t xml:space="preserve">Palavras-chave: </w:t>
      </w:r>
      <w:r>
        <w:rPr>
          <w:rFonts w:ascii="Times New Roman" w:hAnsi="Times New Roman"/>
        </w:rPr>
        <w:t>apoio social; integração comunitária; políticas de assistência social; Brasil.</w:t>
      </w:r>
    </w:p>
    <w:p>
      <w:pPr>
        <w:pStyle w:val="Normal"/>
        <w:ind w:firstLine="708"/>
        <w:jc w:val="center"/>
        <w:rPr/>
      </w:pPr>
      <w:r>
        <w:rPr/>
      </w:r>
    </w:p>
    <w:p>
      <w:pPr>
        <w:pStyle w:val="Normal"/>
        <w:ind w:firstLine="708"/>
        <w:jc w:val="both"/>
        <w:rPr>
          <w:rFonts w:ascii="Times New Roman" w:hAnsi="Times New Roman"/>
          <w:lang w:val="en-GB"/>
        </w:rPr>
      </w:pPr>
      <w:r>
        <w:rPr>
          <w:rFonts w:ascii="Times New Roman" w:hAnsi="Times New Roman"/>
          <w:lang w:val="en-GB"/>
        </w:rPr>
      </w:r>
    </w:p>
    <w:p>
      <w:pPr>
        <w:pStyle w:val="Normal"/>
        <w:ind w:firstLine="708"/>
        <w:jc w:val="both"/>
        <w:rPr>
          <w:rFonts w:ascii="Times New Roman" w:hAnsi="Times New Roman"/>
          <w:lang w:val="en-GB"/>
        </w:rPr>
      </w:pPr>
      <w:r>
        <w:rPr>
          <w:rFonts w:ascii="Times New Roman" w:hAnsi="Times New Roman"/>
          <w:lang w:val="en-GB"/>
        </w:rPr>
      </w:r>
    </w:p>
    <w:p>
      <w:pPr>
        <w:pStyle w:val="Normal"/>
        <w:spacing w:lineRule="auto" w:line="259" w:before="0" w:after="160"/>
        <w:rPr/>
      </w:pPr>
      <w:r>
        <w:rPr/>
      </w:r>
    </w:p>
    <w:p>
      <w:pPr>
        <w:pStyle w:val="Normal"/>
        <w:rPr>
          <w:rFonts w:ascii="Times New Roman" w:hAnsi="Times New Roman"/>
          <w:b/>
          <w:b/>
          <w:lang w:val="en-GB"/>
        </w:rPr>
      </w:pPr>
      <w:r>
        <w:rPr>
          <w:rFonts w:ascii="Times New Roman" w:hAnsi="Times New Roman"/>
          <w:b/>
          <w:lang w:val="en-GB"/>
        </w:rPr>
      </w:r>
      <w:r>
        <w:br w:type="page"/>
      </w:r>
    </w:p>
    <w:p>
      <w:pPr>
        <w:pStyle w:val="Normal"/>
        <w:spacing w:before="0" w:after="160"/>
        <w:rPr>
          <w:rFonts w:ascii="Times New Roman" w:hAnsi="Times New Roman"/>
          <w:b/>
          <w:b/>
          <w:lang w:val="en-GB"/>
        </w:rPr>
      </w:pPr>
      <w:r>
        <w:rPr>
          <w:rFonts w:ascii="Times New Roman" w:hAnsi="Times New Roman"/>
          <w:b/>
          <w:lang w:val="en-GB"/>
        </w:rPr>
        <w:t>INTRODUCTION</w:t>
      </w:r>
    </w:p>
    <w:p>
      <w:pPr>
        <w:pStyle w:val="Normal"/>
        <w:ind w:firstLine="708"/>
        <w:jc w:val="both"/>
        <w:rPr>
          <w:rFonts w:ascii="Times New Roman" w:hAnsi="Times New Roman"/>
          <w:i/>
          <w:i/>
          <w:lang w:val="en-GB"/>
        </w:rPr>
      </w:pPr>
      <w:r>
        <w:rPr>
          <w:rFonts w:ascii="Times New Roman" w:hAnsi="Times New Roman"/>
          <w:i/>
          <w:lang w:val="en-GB"/>
        </w:rPr>
      </w:r>
    </w:p>
    <w:p>
      <w:pPr>
        <w:pStyle w:val="Normal"/>
        <w:jc w:val="both"/>
        <w:rPr>
          <w:rFonts w:ascii="Times New Roman" w:hAnsi="Times New Roman"/>
          <w:b/>
          <w:b/>
          <w:lang w:val="en-GB"/>
        </w:rPr>
      </w:pPr>
      <w:r>
        <w:rPr>
          <w:rFonts w:ascii="Times New Roman" w:hAnsi="Times New Roman"/>
          <w:b/>
          <w:lang w:val="en-GB"/>
        </w:rPr>
        <w:t>Brazilian social care policy</w:t>
      </w:r>
    </w:p>
    <w:p>
      <w:pPr>
        <w:pStyle w:val="Normal"/>
        <w:ind w:firstLine="708"/>
        <w:jc w:val="both"/>
        <w:rPr>
          <w:rFonts w:ascii="Times New Roman" w:hAnsi="Times New Roman"/>
          <w:lang w:val="en-GB"/>
        </w:rPr>
      </w:pPr>
      <w:r>
        <w:rPr>
          <w:rFonts w:ascii="Times New Roman" w:hAnsi="Times New Roman"/>
          <w:lang w:val="en-GB"/>
        </w:rPr>
      </w:r>
    </w:p>
    <w:p>
      <w:pPr>
        <w:pStyle w:val="Normal"/>
        <w:ind w:firstLine="708"/>
        <w:jc w:val="both"/>
        <w:rPr/>
      </w:pPr>
      <w:r>
        <w:rPr>
          <w:rFonts w:ascii="Times New Roman" w:hAnsi="Times New Roman"/>
          <w:lang w:val="en-GB"/>
        </w:rPr>
        <w:t xml:space="preserve">Brazilian society has experimented with the construction of public policy models oriented towards a state of social welfare. The concept of social security, present in the Brazilian constitution of 1988, marks the departure from a model based on politics of stratified social protection of formal workers to a model of equity and universality in the spheres of social security, health, and social care </w:t>
      </w:r>
      <w:r>
        <w:fldChar w:fldCharType="begin"/>
      </w:r>
      <w:r>
        <w:instrText>ADDIN CSL_CITATION { "citationItems" : [ { "id" : "ITEM-1", "itemData" : { "author" : [ { "dropping-particle" : "", "family" : "Jaccoud", "given" : "Luciana", "non-dropping-particle" : "", "parse-names" : false, "suffix" : "" }, { "dropping-particle" : "", "family" : "Hadjab", "given" : "Patricia", "non-dropping-particle" : "", "parse-names" : false, "suffix" : "" }, { "dropping-particle" : "", "family" : "Chaibub", "given" : "Juliana", "non-dropping-particle" : "", "parse-names" : false, "suffix" : "" } ], "container-title" : "International Policy Centre for Inclusive Growth", "id" : "ITEM-1", "issue" : "76", "issued" : { "date-parts" : [ [ "2010" ] ] }, "number-of-pages" : "1-37", "title" : "The consolidation of social assistance in Brazil and its challenges, 1988-2008", "type" : "report" }, "uris" : [ "http://www.mendeley.com/documents/?uuid=54106791-9cdb-4fb8-a9e7-254afc401550", "http://www.mendeley.com/documents/?uuid=961bef05-5a59-43f5-bd08-b452f311fcb3" ] } ], "mendeley" : { "formattedCitation" : "(Jaccoud, Hadjab, &amp; Chaibub, 2010)", "plainTextFormattedCitation" : "(Jaccoud, Hadjab, &amp; Chaibub, 2010)", "previouslyFormattedCitation" : "(Jaccoud, Hadjab, &amp; Chaibub, 2010)" }, "properties" : { "noteIndex" : 0 }, "schema" : "https://github.com/citation-style-language/schema/raw/master/csl-citation.json" }</w:instrText>
      </w:r>
      <w:r>
        <w:fldChar w:fldCharType="separate"/>
      </w:r>
      <w:bookmarkStart w:id="1" w:name="__Fieldmark__33_673705230"/>
      <w:r>
        <w:rPr>
          <w:rFonts w:ascii="Times New Roman" w:hAnsi="Times New Roman"/>
          <w:lang w:val="en-GB"/>
        </w:rPr>
        <w:t>(</w:t>
      </w:r>
      <w:bookmarkStart w:id="2" w:name="__Fieldmark__1528_312630394"/>
      <w:r>
        <w:rPr>
          <w:rFonts w:ascii="Times New Roman" w:hAnsi="Times New Roman"/>
          <w:lang w:val="en-GB"/>
        </w:rPr>
        <w:t>Jaccoud, Hadjab, &amp; Chaibub, 2010)</w:t>
      </w:r>
      <w:r>
        <w:rPr>
          <w:rFonts w:ascii="Times New Roman" w:hAnsi="Times New Roman"/>
          <w:lang w:val="en-GB"/>
        </w:rPr>
      </w:r>
      <w:r>
        <w:fldChar w:fldCharType="end"/>
      </w:r>
      <w:bookmarkEnd w:id="1"/>
      <w:bookmarkEnd w:id="2"/>
      <w:r>
        <w:rPr>
          <w:rFonts w:ascii="Times New Roman" w:hAnsi="Times New Roman"/>
          <w:lang w:val="en-GB"/>
        </w:rPr>
        <w:t xml:space="preserve">. However, only after the year 2004, through the approval of the National Social Care Policy (PNAS), was the Unified System of Social Assistance (SUAS) implemented and regulated, with the goal of rupturing the assistentialist, clientist, and charitable logic historically associated with social assistance in Brazil </w:t>
      </w:r>
      <w:r>
        <w:fldChar w:fldCharType="begin"/>
      </w:r>
      <w:r>
        <w:instrText>ADDIN CSL_CITATION { "citationItems" : [ { "id" : "ITEM-1", "itemData" : { "author" : [ { "dropping-particle" : "", "family" : "Minist\u00e9rio do Desenvolvimento Social e Combate \u00e0 Fome - Brasil", "given" : "", "non-dropping-particle" : "", "parse-names" : false, "suffix" : "" } ], "id" : "ITEM-1", "issued" : { "date-parts" : [ [ "2005" ] ] }, "page" : "175", "publisher-place" : "Bras\u00edlia", "title" : "Pol\u00edtica Nacional de Assist\u00eancia Social - PNAS/2004. Normal Operacional B\u00e1sica - NOB/SUAS", "type" : "legislation" }, "uris" : [ "http://www.mendeley.com/documents/?uuid=228c7e75-7a95-4e8f-abf9-277cdca5d49d" ] } ], "mendeley" : { "formattedCitation" : "(Minist\u00e9rio do Desenvolvimento Social e Combate \u00e0 Fome - Brasil, 2005)", "plainTextFormattedCitation" : "(Minist\u00e9rio do Desenvolvimento Social e Combate \u00e0 Fome - Brasil, 2005)", "previouslyFormattedCitation" : "(Minist\u00e9rio do Desenvolvimento Social e Combate \u00e0 Fome - Brasil, 2005)" }, "properties" : { "noteIndex" : 0 }, "schema" : "https://github.com/citation-style-language/schema/raw/master/csl-citation.json" }</w:instrText>
      </w:r>
      <w:r>
        <w:fldChar w:fldCharType="separate"/>
      </w:r>
      <w:bookmarkStart w:id="3" w:name="__Fieldmark__44_673705230"/>
      <w:r>
        <w:rPr>
          <w:rFonts w:ascii="Times New Roman" w:hAnsi="Times New Roman"/>
          <w:lang w:val="en-GB"/>
        </w:rPr>
        <w:t>(</w:t>
      </w:r>
      <w:bookmarkStart w:id="4" w:name="__Fieldmark__1560_312630394"/>
      <w:r>
        <w:rPr>
          <w:rFonts w:ascii="Times New Roman" w:hAnsi="Times New Roman"/>
          <w:lang w:val="en-GB"/>
        </w:rPr>
        <w:t>Ministério do Desenvolvimento Social e Combate à Fome - Brasil, 2005)</w:t>
      </w:r>
      <w:r>
        <w:rPr>
          <w:rFonts w:ascii="Times New Roman" w:hAnsi="Times New Roman"/>
          <w:lang w:val="en-GB"/>
        </w:rPr>
      </w:r>
      <w:r>
        <w:fldChar w:fldCharType="end"/>
      </w:r>
      <w:bookmarkEnd w:id="3"/>
      <w:bookmarkEnd w:id="4"/>
      <w:r>
        <w:rPr>
          <w:rFonts w:ascii="Times New Roman" w:hAnsi="Times New Roman"/>
          <w:lang w:val="en-GB"/>
        </w:rPr>
        <w:t xml:space="preserve">. </w:t>
      </w:r>
    </w:p>
    <w:p>
      <w:pPr>
        <w:pStyle w:val="Normal"/>
        <w:ind w:firstLine="708"/>
        <w:jc w:val="both"/>
        <w:rPr/>
      </w:pPr>
      <w:r>
        <w:rPr>
          <w:rFonts w:ascii="Times New Roman" w:hAnsi="Times New Roman"/>
          <w:lang w:val="en-GB"/>
        </w:rPr>
        <w:t xml:space="preserve">SUAS’s hierarchy is divided into the following two levels: The Special Social Protection, whose goal is to monitor at-risk populations when their rights are infringed upon (e.g., abandonment, sexual abuse, destitution, homelessness), and the Basic Social Protection, whose function is to prevent the occurrence of aggravation in situations of social vulnerability </w:t>
      </w:r>
      <w:r>
        <w:fldChar w:fldCharType="begin"/>
      </w:r>
      <w:r>
        <w:instrText>ADDIN CSL_CITATION { "citationItems" : [ { "id" : "ITEM-1", "itemData" : { "author" : [ { "dropping-particle" : "", "family" : "Minist\u00e9rio do Desenvolvimento Social e Combate \u00e0 Fome - Brasil", "given" : "", "non-dropping-particle" : "", "parse-names" : false, "suffix" : "" } ], "id" : "ITEM-1", "issued" : { "date-parts" : [ [ "2005" ] ] }, "page" : "175", "publisher-place" : "Bras\u00edlia", "title" : "Pol\u00edtica Nacional de Assist\u00eancia Social - PNAS/2004. Normal Operacional B\u00e1sica - NOB/SUAS", "type" : "legislation" }, "uris" : [ "http://www.mendeley.com/documents/?uuid=228c7e75-7a95-4e8f-abf9-277cdca5d49d" ] } ], "mendeley" : { "formattedCitation" : "(Minist\u00e9rio do Desenvolvimento Social e Combate \u00e0 Fome - Brasil, 2005)", "plainTextFormattedCitation" : "(Minist\u00e9rio do Desenvolvimento Social e Combate \u00e0 Fome - Brasil, 2005)", "previouslyFormattedCitation" : "(Minist\u00e9rio do Desenvolvimento Social e Combate \u00e0 Fome - Brasil, 2005)" }, "properties" : { "noteIndex" : 0 }, "schema" : "https://github.com/citation-style-language/schema/raw/master/csl-citation.json" }</w:instrText>
      </w:r>
      <w:r>
        <w:fldChar w:fldCharType="separate"/>
      </w:r>
      <w:bookmarkStart w:id="5" w:name="__Fieldmark__53_673705230"/>
      <w:r>
        <w:rPr>
          <w:rFonts w:ascii="Times New Roman" w:hAnsi="Times New Roman"/>
          <w:lang w:val="en-GB"/>
        </w:rPr>
        <w:t>(</w:t>
      </w:r>
      <w:bookmarkStart w:id="6" w:name="__Fieldmark__1599_312630394"/>
      <w:r>
        <w:rPr>
          <w:rFonts w:ascii="Times New Roman" w:hAnsi="Times New Roman"/>
          <w:lang w:val="en-GB"/>
        </w:rPr>
        <w:t>Ministério do Desenvolvimento Social e Combate à Fome - Brasil, 2005)</w:t>
      </w:r>
      <w:r>
        <w:rPr>
          <w:rFonts w:ascii="Times New Roman" w:hAnsi="Times New Roman"/>
          <w:lang w:val="en-GB"/>
        </w:rPr>
      </w:r>
      <w:r>
        <w:fldChar w:fldCharType="end"/>
      </w:r>
      <w:bookmarkEnd w:id="5"/>
      <w:bookmarkEnd w:id="6"/>
      <w:r>
        <w:rPr>
          <w:rFonts w:ascii="Times New Roman" w:hAnsi="Times New Roman"/>
          <w:lang w:val="en-GB"/>
        </w:rPr>
        <w:t xml:space="preserve">. People are categorized as socially vulnerable when they lack material or psychological resources to formulate strategies that enable them to reach acceptable levels of social security </w:t>
      </w:r>
      <w:r>
        <w:fldChar w:fldCharType="begin"/>
      </w:r>
      <w:r>
        <w:instrText>ADDIN CSL_CITATION { "citationItems" : [ { "id" : "ITEM-1", "itemData" : { "ISSN" : "1677-9509", "abstract" : "Resumo: Constata-se uma discuss\u00e3o em torno da g\u00eanese do conceito de risco e vulnerabilidade social e seus usos. Por isso, abordam-se, em primeiro lugar, as defini\u00e7\u00f5es de risco e vulnerabilidade que s\u00f3 podem ser entendidos como um processo associado a diferentes contextos hist\u00f3rico-sociais e a diferentes \u00e1reas cient\u00edficas que os desenvolveram para tratar dos seus objetos. Em segundo lugar, \u00e9 defendida a ideia de que, por um lado, tem havido uma confus\u00e3o no uso dos conceitos de risco e vulnerabilidade e, por outro, alguns autores concentram-se mais no conceito de risco, enquanto outros, no de vulnerabilidade.", "author" : [ { "dropping-particle" : "", "family" : "Janczura", "given" : "Rosane", "non-dropping-particle" : "", "parse-names" : false, "suffix" : "" } ], "container-title" : "Textos &amp; Contextos", "id" : "ITEM-1", "issue" : "2", "issued" : { "date-parts" : [ [ "2012" ] ] }, "page" : "301-308", "title" : "Risco ou vulnerabilidade social?", "type" : "article-journal", "volume" : "II" }, "uris" : [ "http://www.mendeley.com/documents/?uuid=7b258af3-9f3f-40a2-93c7-69379d190001" ] } ], "mendeley" : { "formattedCitation" : "(Janczura, 2012)", "plainTextFormattedCitation" : "(Janczura, 2012)", "previouslyFormattedCitation" : "(Janczura, 2012)" }, "properties" : { "noteIndex" : 0 }, "schema" : "https://github.com/citation-style-language/schema/raw/master/csl-citation.json" }</w:instrText>
      </w:r>
      <w:r>
        <w:fldChar w:fldCharType="separate"/>
      </w:r>
      <w:bookmarkStart w:id="7" w:name="__Fieldmark__60_673705230"/>
      <w:r>
        <w:rPr>
          <w:rFonts w:ascii="Times New Roman" w:hAnsi="Times New Roman"/>
          <w:lang w:val="en-GB"/>
        </w:rPr>
        <w:t>(</w:t>
      </w:r>
      <w:bookmarkStart w:id="8" w:name="__Fieldmark__1628_312630394"/>
      <w:r>
        <w:rPr>
          <w:rFonts w:ascii="Times New Roman" w:hAnsi="Times New Roman"/>
          <w:lang w:val="en-GB"/>
        </w:rPr>
        <w:t>Janczura, 2012)</w:t>
      </w:r>
      <w:r>
        <w:rPr>
          <w:rFonts w:ascii="Times New Roman" w:hAnsi="Times New Roman"/>
          <w:lang w:val="en-GB"/>
        </w:rPr>
      </w:r>
      <w:r>
        <w:fldChar w:fldCharType="end"/>
      </w:r>
      <w:bookmarkEnd w:id="7"/>
      <w:bookmarkEnd w:id="8"/>
      <w:r>
        <w:rPr>
          <w:rFonts w:ascii="Times New Roman" w:hAnsi="Times New Roman"/>
          <w:lang w:val="en-GB"/>
        </w:rPr>
        <w:t>.</w:t>
      </w:r>
    </w:p>
    <w:p>
      <w:pPr>
        <w:pStyle w:val="Normal"/>
        <w:ind w:firstLine="708"/>
        <w:jc w:val="both"/>
        <w:rPr>
          <w:rFonts w:ascii="Times New Roman" w:hAnsi="Times New Roman"/>
          <w:lang w:val="en-GB"/>
        </w:rPr>
      </w:pPr>
      <w:r>
        <w:rPr>
          <w:rFonts w:ascii="Times New Roman" w:hAnsi="Times New Roman"/>
          <w:lang w:val="en-GB"/>
        </w:rPr>
        <w:t>PNAS (Ministry of Social Development and Hunger Combat – Brazil, 2005) states that, in the Brazilian context, the main circumstances that expose certain groups to social vulnerability are conditions of poverty, difficulty in accessing basic services and property, violence amidst families, poor or non-existent insertion in the job market and the weakening of family and community networks. From this context, PAIF (Integral Family Assistance Program), the main service within Basic Social Protection, was formed.</w:t>
      </w:r>
    </w:p>
    <w:p>
      <w:pPr>
        <w:pStyle w:val="Normal"/>
        <w:ind w:firstLine="708"/>
        <w:jc w:val="both"/>
        <w:rPr/>
      </w:pPr>
      <w:r>
        <w:rPr>
          <w:rFonts w:ascii="Times New Roman" w:hAnsi="Times New Roman"/>
          <w:lang w:val="en-GB"/>
        </w:rPr>
        <w:t xml:space="preserve">PAIF operates through the monitoring of families in a situation of social vulnerability, aiming to prevent the rupture of, and strengthen, ties among family, community, and institutional networks (e.g., education, health and social assistance) and to support community integration, promote autonomy, create income, and provide social vigilance. This service is offered in Centers of Reference for Social Assistance (CRAS), state public units with a territorial basis found in areas of social vulnerability </w:t>
      </w:r>
      <w:r>
        <w:fldChar w:fldCharType="begin"/>
      </w:r>
      <w:r>
        <w:instrText>ADDIN CSL_CITATION { "citationItems" : [ { "id" : "ITEM-1", "itemData" : { "author" : [ { "dropping-particle" : "", "family" : "Minist\u00e9rio do Desenvolvimento Social e Combate \u00e0 Fome - Brasil", "given" : "", "non-dropping-particle" : "", "parse-names" : false, "suffix" : "" } ], "id" : "ITEM-1", "issued" : { "date-parts" : [ [ "2005" ] ] }, "page" : "175", "publisher-place" : "Bras\u00edlia", "title" : "Pol\u00edtica Nacional de Assist\u00eancia Social - PNAS/2004. Normal Operacional B\u00e1sica - NOB/SUAS", "type" : "legislation" }, "uris" : [ "http://www.mendeley.com/documents/?uuid=228c7e75-7a95-4e8f-abf9-277cdca5d49d" ] } ], "mendeley" : { "formattedCitation" : "(Minist\u00e9rio do Desenvolvimento Social e Combate \u00e0 Fome - Brasil, 2005)", "plainTextFormattedCitation" : "(Minist\u00e9rio do Desenvolvimento Social e Combate \u00e0 Fome - Brasil, 2005)", "previouslyFormattedCitation" : "(Minist\u00e9rio do Desenvolvimento Social e Combate \u00e0 Fome - Brasil, 2005)" }, "properties" : { "noteIndex" : 0 }, "schema" : "https://github.com/citation-style-language/schema/raw/master/csl-citation.json" }</w:instrText>
      </w:r>
      <w:r>
        <w:fldChar w:fldCharType="separate"/>
      </w:r>
      <w:bookmarkStart w:id="9" w:name="__Fieldmark__74_673705230"/>
      <w:r>
        <w:rPr>
          <w:rFonts w:ascii="Times New Roman" w:hAnsi="Times New Roman"/>
          <w:lang w:val="en-GB"/>
        </w:rPr>
        <w:t>(</w:t>
      </w:r>
      <w:bookmarkStart w:id="10" w:name="__Fieldmark__1677_312630394"/>
      <w:r>
        <w:rPr>
          <w:rFonts w:ascii="Times New Roman" w:hAnsi="Times New Roman"/>
          <w:lang w:val="en-GB"/>
        </w:rPr>
        <w:t>Ministério do Desenvolvimento Social e Combate à Fome - Brasil, 2005)</w:t>
      </w:r>
      <w:r>
        <w:rPr>
          <w:rFonts w:ascii="Times New Roman" w:hAnsi="Times New Roman"/>
          <w:lang w:val="en-GB"/>
        </w:rPr>
      </w:r>
      <w:r>
        <w:fldChar w:fldCharType="end"/>
      </w:r>
      <w:bookmarkEnd w:id="9"/>
      <w:bookmarkEnd w:id="10"/>
      <w:r>
        <w:rPr>
          <w:rFonts w:ascii="Times New Roman" w:hAnsi="Times New Roman"/>
          <w:lang w:val="en-GB"/>
        </w:rPr>
        <w:t xml:space="preserve">. </w:t>
      </w:r>
    </w:p>
    <w:p>
      <w:pPr>
        <w:pStyle w:val="Normal"/>
        <w:ind w:firstLine="708"/>
        <w:jc w:val="both"/>
        <w:rPr/>
      </w:pPr>
      <w:r>
        <w:rPr>
          <w:rFonts w:ascii="Times New Roman" w:hAnsi="Times New Roman"/>
          <w:lang w:val="en-GB"/>
        </w:rPr>
        <w:t xml:space="preserve">There are currently 8,155 CRAS in Brazil that reach 1.654.210 families through the PAIF service (Ministry of Social Development and Hunger Combat – Brazil, 2016). CRAS also monitors families in the </w:t>
      </w:r>
      <w:r>
        <w:rPr>
          <w:rFonts w:ascii="Times New Roman" w:hAnsi="Times New Roman"/>
          <w:i/>
          <w:lang w:val="en-GB"/>
        </w:rPr>
        <w:t>Bolsa Família</w:t>
      </w:r>
      <w:r>
        <w:rPr>
          <w:rFonts w:ascii="Times New Roman" w:hAnsi="Times New Roman"/>
          <w:lang w:val="en-GB"/>
        </w:rPr>
        <w:t xml:space="preserve"> Program, a programme of conditional transfer of income to families in poverty (monthly income per person of R$ 85.01 to R$ 170.00, or US$ 26.11</w:t>
      </w:r>
      <w:r>
        <w:rPr>
          <w:rStyle w:val="Ncoradanotadefim"/>
          <w:rFonts w:ascii="Times New Roman" w:hAnsi="Times New Roman"/>
          <w:lang w:val="en-GB"/>
        </w:rPr>
        <w:endnoteReference w:id="2"/>
      </w:r>
      <w:r>
        <w:rPr>
          <w:rFonts w:ascii="Times New Roman" w:hAnsi="Times New Roman"/>
          <w:lang w:val="en-GB"/>
        </w:rPr>
        <w:t xml:space="preserve"> to US$ 52.21</w:t>
      </w:r>
      <w:r>
        <w:rPr>
          <w:rStyle w:val="Ncoradanotadefim"/>
          <w:rFonts w:ascii="Times New Roman" w:hAnsi="Times New Roman"/>
          <w:lang w:val="en-GB"/>
        </w:rPr>
        <w:endnoteReference w:id="3"/>
      </w:r>
      <w:r>
        <w:rPr>
          <w:rFonts w:ascii="Times New Roman" w:hAnsi="Times New Roman"/>
          <w:lang w:val="en-GB"/>
        </w:rPr>
        <w:t>) or extreme poverty (monthly income per person of up to R$ 85.00 or US$ 26.10</w:t>
      </w:r>
      <w:r>
        <w:rPr>
          <w:rStyle w:val="Ncoradanotadefim"/>
          <w:rFonts w:ascii="Times New Roman" w:hAnsi="Times New Roman"/>
          <w:lang w:val="en-GB"/>
        </w:rPr>
        <w:endnoteReference w:id="4"/>
      </w:r>
      <w:r>
        <w:rPr>
          <w:rFonts w:ascii="Times New Roman" w:hAnsi="Times New Roman"/>
          <w:lang w:val="en-GB"/>
        </w:rPr>
        <w:t>) that include pregnant women, mothers currently breastfeeding, and children or teenagers from 0 to 17 years old</w:t>
      </w:r>
      <w:r>
        <w:rPr>
          <w:rStyle w:val="Ncoradanotadefim"/>
          <w:rFonts w:ascii="Times New Roman" w:hAnsi="Times New Roman"/>
          <w:lang w:val="en-GB"/>
        </w:rPr>
        <w:endnoteReference w:id="5"/>
      </w:r>
      <w:r>
        <w:rPr>
          <w:rFonts w:ascii="Times New Roman" w:hAnsi="Times New Roman"/>
          <w:lang w:val="en-GB"/>
        </w:rPr>
        <w:t xml:space="preserve">. This benefit involves monitoring of families by public health and education services. Monitoring consists of vaccination in accordance with the Brazilian immunization program, periodical health and growth evaluations, a school attendance rate of at least 85% or 7%, depending on the age of the child, and pre-natal, post-natal, and nutritional education for pregnant and lactating women </w:t>
      </w:r>
      <w:r>
        <w:fldChar w:fldCharType="begin"/>
      </w:r>
      <w:r>
        <w:instrText>ADDIN CSL_CITATION { "citationItems" : [ { "id" : "ITEM-1", "itemData" : { "DOI" : "10.1016/S0140-6736(13)60715-1", "ISSN" : "01406736", "abstract" : "BACKGROUND\nIn the past 15 years, Brazil has undergone notable social and public health changes, including a large reduction in child mortality. The Bolsa Familia Programme (BFP) is a widespread conditional cash transfer programme, launched in 2003, which transfers cash to poor households (maximum income US$70 per person a month) when they comply with conditions related to health and education. Transfers range from $18 to $175 per month, depending on the income and composition of the family. We aimed to assess the effect of the BFP on deaths of children younger than 5 years (under-5), overall and resulting from specific causes associated with poverty: malnutrition, diarrhoea, and lower respiratory infections. \n\nMETHODS\nThe study had a mixed ecological design. It covered the period from 2004\u201309 and included 2853 (of 5565) municipalities with death and livebirth statistics of adequate quality. We used government sources to calculate all-cause under-5 mortality rates and under-5 mortality rates for selected causes. BFP coverage was classified as low (0\u00b70\u201317\u00b71%), intermediate (17\u00b72\u201332\u00b70%), high (&gt;32\u00b70%), or consolidated (&gt;32\u00b70% and target population coverage \u2265100% for at least 4 years). We did multivariable regression analyses of panel data with fixed-effects negative binomial models, adjusted for relevant social and economic covariates, and for the effect of the largest primary health-care scheme in the country (Family Health Programme). \n\nFINDINGS\nUnder-5 mortality rate, overall and resulting from poverty-related causes, decreased as BFP coverage increased. The rate ratios (RR) for the effect of the BFP on overall under-5 mortality rate were 0\u00b794 (95% CI 0\u00b792\u20130\u00b796) for intermediate coverage, 0\u00b788 (0\u00b785\u20130\u00b791) for high coverage, and 0\u00b783 (0\u00b779\u20130\u00b788) for consolidated coverage. The effect of consolidated BFP coverage was highest on under-5 mortality resulting from malnutrition (RR 0\u00b735; 95% CI 0\u00b724\u20130\u00b750) and diarrhoea (0\u00b747; 0\u00b737\u20130\u00b761). \n\nINTERPRETATION\nA conditional cash transfer programme can greatly contribute to a decrease in childhood mortality overall, and in particular for deaths attributable to poverty-related causes such as malnutrition and diarrhoea, in a large middle-income country such as Brazil. \n\nFUNDING\nNational Institutes of Science and Technology Programme, Ministry of Science and Technology, and Council for Scientific and Technological Development Programme (CNPq), Brazil.", "author" : [ { "dropping-particle" : "", "family" : "Rasella", "given" : "Davide", "non-dropping-particle" : "", "parse-names" : false, "suffix" : "" }, { "dropping-particle" : "", "family" : "Aquino", "given" : "Rosana", "non-dropping-particle" : "", "parse-names" : false, "suffix" : "" }, { "dropping-particle" : "", "family" : "Santos", "given" : "Carlos AT", "non-dropping-particle" : "", "parse-names" : false, "suffix" : "" }, { "dropping-particle" : "", "family" : "Paes-Sousa", "given" : "R\u00f4mulo", "non-dropping-particle" : "", "parse-names" : false, "suffix" : "" }, { "dropping-particle" : "", "family" : "Barreto", "given" : "Mauricio L", "non-dropping-particle" : "", "parse-names" : false, "suffix" : "" } ], "container-title" : "The Lancet", "id" : "ITEM-1", "issue" : "9886", "issued" : { "date-parts" : [ [ "2013" ] ] }, "page" : "57-64", "title" : "Effect of a conditional cash transfer programme on childhood mortality: a nationwide analysis of Brazilian municipalities", "type" : "article-journal", "volume" : "382" }, "uris" : [ "http://www.mendeley.com/documents/?uuid=9b7640c1-59de-3137-ab91-6886f31b135a" ] } ], "mendeley" : { "formattedCitation" : "(Rasella, Aquino, Santos, Paes-Sousa, &amp; Barreto, 2013)", "manualFormatting" : "(Rasella, Aquino, Santos, Paes-Sousa, &amp; Barreto, 2013", "plainTextFormattedCitation" : "(Rasella, Aquino, Santos, Paes-Sousa, &amp; Barreto, 2013)", "previouslyFormattedCitation" : "(Rasella, Aquino, Santos, Paes-Sousa, &amp; Barreto, 2013)" }, "properties" : { "noteIndex" : 0 }, "schema" : "https://github.com/citation-style-language/schema/raw/master/csl-citation.json" }</w:instrText>
      </w:r>
      <w:r>
        <w:fldChar w:fldCharType="separate"/>
      </w:r>
      <w:bookmarkStart w:id="11" w:name="__Fieldmark__125_673705230"/>
      <w:r>
        <w:rPr>
          <w:rFonts w:ascii="Times New Roman" w:hAnsi="Times New Roman"/>
          <w:lang w:val="en-GB"/>
        </w:rPr>
      </w:r>
      <w:r>
        <w:rPr>
          <w:rFonts w:ascii="Times New Roman" w:hAnsi="Times New Roman"/>
          <w:lang w:val="pt-BR"/>
        </w:rPr>
        <w:t>(Rasella, Aquino, Santos, Paes-Sousa, &amp; Barreto, 2013</w:t>
      </w:r>
      <w:bookmarkStart w:id="12" w:name="__Fieldmark__1832_312630394"/>
      <w:bookmarkEnd w:id="12"/>
      <w:r>
        <w:rPr>
          <w:rFonts w:ascii="Times New Roman" w:hAnsi="Times New Roman"/>
          <w:lang w:val="en-GB"/>
        </w:rPr>
      </w:r>
      <w:r>
        <w:fldChar w:fldCharType="end"/>
      </w:r>
      <w:bookmarkEnd w:id="11"/>
      <w:r>
        <w:rPr>
          <w:rFonts w:ascii="Times New Roman" w:hAnsi="Times New Roman"/>
          <w:lang w:val="pt-BR"/>
        </w:rPr>
        <w:t xml:space="preserve">; </w:t>
      </w:r>
      <w:r>
        <w:fldChar w:fldCharType="begin"/>
      </w:r>
      <w:r>
        <w:instrText>ADDIN CSL_CITATION { "citationItems" : [ { "id" : "ITEM-1", "itemData" : { "ISSN" : "1867139X (ISSN)", "abstract" : "Income transfer programmes are common in various countries and play an important role in combating poverty. This article presents a review of the results of the Bolsa Fam\u00edlia (Family Grant) Programme, implemented in Brazil by the government of Lula da Silva in 2004. Over the last seven years many evaluations of the programme have been conducted, allowing an overview of its results and its strong and weak points to be mapped. Five central aspects relating to the programme are discussed in article five: (1) programme access, (2) hunger fighting results, (3) programme financial impacts, (4) conditioning factors of education and health, (5) supplementary programs and social mobility. The results of scientific research were presented for each of these aspects, and any of these believed to be convergent or divergent were discussed. As a general result it was concluded that the programme has generated significant results for the country, but there are still some issues that need to be reviewed, such as conditioning factors and the integrated management of the programme. \u00a9 Author(s) 2012.", "author" : [ { "dropping-particle" : "", "family" : "Mour\u00e3o", "given" : "Luciana", "non-dropping-particle" : "", "parse-names" : false, "suffix" : "" }, { "dropping-particle" : "", "family" : "Jesus", "given" : "a M", "non-dropping-particle" : "de", "parse-names" : false, "suffix" : "" } ], "container-title" : "Field Actions Science Report", "id" : "ITEM-1", "issue" : "SPL", "issued" : { "date-parts" : [ [ "2012" ] ] }, "page" : "43-49", "publisher" : "Institut Veolia", "title" : "Bolsa fam\u00edlia (Family Grant) programme: An analysis of Brazilian income transfer programme", "type" : "article-journal", "volume" : "4" }, "uris" : [ "http://www.mendeley.com/documents/?uuid=04d4429f-305a-38fe-b4b8-c1b2777cd367" ] } ], "mendeley" : { "formattedCitation" : "(Mour\u00e3o &amp; de Jesus, 2012)", "manualFormatting" : "Mour\u00e3o &amp; de Jesus, 2012)", "plainTextFormattedCitation" : "(Mour\u00e3o &amp; de Jesus, 2012)", "previouslyFormattedCitation" : "(Mour\u00e3o &amp; de Jesus, 2012)" }, "properties" : { "noteIndex" : 0 }, "schema" : "https://github.com/citation-style-language/schema/raw/master/csl-citation.json" }</w:instrText>
      </w:r>
      <w:r>
        <w:fldChar w:fldCharType="separate"/>
      </w:r>
      <w:bookmarkStart w:id="13" w:name="__Fieldmark__133_673705230"/>
      <w:r>
        <w:rPr>
          <w:rFonts w:ascii="Times New Roman" w:hAnsi="Times New Roman"/>
          <w:lang w:val="pt-BR"/>
        </w:rPr>
        <w:t>Mourão &amp; de Jesus, 2012)</w:t>
      </w:r>
      <w:bookmarkStart w:id="14" w:name="__Fieldmark__1841_312630394"/>
      <w:bookmarkEnd w:id="14"/>
      <w:r>
        <w:rPr>
          <w:rFonts w:ascii="Times New Roman" w:hAnsi="Times New Roman"/>
          <w:lang w:val="pt-BR"/>
        </w:rPr>
      </w:r>
      <w:r>
        <w:fldChar w:fldCharType="end"/>
      </w:r>
      <w:bookmarkEnd w:id="13"/>
      <w:r>
        <w:rPr>
          <w:rFonts w:ascii="Times New Roman" w:hAnsi="Times New Roman"/>
          <w:lang w:val="pt-BR"/>
        </w:rPr>
        <w:t>.</w:t>
      </w:r>
    </w:p>
    <w:p>
      <w:pPr>
        <w:pStyle w:val="Normal"/>
        <w:jc w:val="both"/>
        <w:rPr>
          <w:rFonts w:ascii="Times New Roman" w:hAnsi="Times New Roman"/>
          <w:lang w:val="pt-BR"/>
        </w:rPr>
      </w:pPr>
      <w:r>
        <w:rPr>
          <w:rFonts w:ascii="Times New Roman" w:hAnsi="Times New Roman"/>
          <w:lang w:val="pt-BR"/>
        </w:rPr>
      </w:r>
    </w:p>
    <w:p>
      <w:pPr>
        <w:pStyle w:val="Normal"/>
        <w:jc w:val="both"/>
        <w:rPr>
          <w:rFonts w:ascii="Times New Roman" w:hAnsi="Times New Roman"/>
          <w:lang w:val="pt-BR"/>
        </w:rPr>
      </w:pPr>
      <w:r>
        <w:rPr>
          <w:rFonts w:ascii="Times New Roman" w:hAnsi="Times New Roman"/>
          <w:lang w:val="pt-BR"/>
        </w:rPr>
      </w:r>
    </w:p>
    <w:p>
      <w:pPr>
        <w:pStyle w:val="Normal"/>
        <w:jc w:val="both"/>
        <w:rPr>
          <w:rFonts w:ascii="Times New Roman" w:hAnsi="Times New Roman"/>
          <w:b/>
          <w:b/>
          <w:lang w:val="pt-BR"/>
        </w:rPr>
      </w:pPr>
      <w:r>
        <w:rPr>
          <w:rFonts w:ascii="Times New Roman" w:hAnsi="Times New Roman"/>
          <w:b/>
          <w:lang w:val="pt-BR"/>
        </w:rPr>
        <w:t>Social Support and Community Integration</w:t>
      </w:r>
    </w:p>
    <w:p>
      <w:pPr>
        <w:pStyle w:val="Normal"/>
        <w:ind w:firstLine="708"/>
        <w:jc w:val="both"/>
        <w:rPr>
          <w:rFonts w:ascii="Times New Roman" w:hAnsi="Times New Roman" w:eastAsia="Times New Roman"/>
          <w:lang w:val="pt-BR"/>
        </w:rPr>
      </w:pPr>
      <w:r>
        <w:rPr>
          <w:rFonts w:eastAsia="Times New Roman" w:ascii="Times New Roman" w:hAnsi="Times New Roman"/>
          <w:lang w:val="pt-BR"/>
        </w:rPr>
      </w:r>
    </w:p>
    <w:p>
      <w:pPr>
        <w:pStyle w:val="Normal"/>
        <w:ind w:firstLine="708"/>
        <w:jc w:val="both"/>
        <w:rPr/>
      </w:pPr>
      <w:r>
        <w:rPr>
          <w:rFonts w:eastAsia="Times New Roman" w:ascii="Times New Roman" w:hAnsi="Times New Roman"/>
          <w:lang w:val="en-GB"/>
        </w:rPr>
        <w:t xml:space="preserve">A community, the smallest unit in which CRAS is inserted, may be defined by geographic and institutional delimitations, as well as the traditions of a defined group of people (Stumbo et al., 2015). A community network, along with a family network, is part of an individual’s social network. The community network comprises informal systems (e.g., churches, sport associations, clubs, neighbours, Non-governamental Organizations, and others) and formal systems (e.g., health units, social and mental health assistance, schools, and others) </w:t>
      </w:r>
      <w:r>
        <w:fldChar w:fldCharType="begin"/>
      </w:r>
      <w:r>
        <w:instrText>ADDIN CSL_CITATION { "citationItems" : [ { "id" : "ITEM-1", "itemData" : { "ISBN" : "84-9756-021-3", "author" : [ { "dropping-particle" : "", "family" : "Gracia", "given" : "Enrique Fuster", "non-dropping-particle" : "", "parse-names" : false, "suffix" : "" }, { "dropping-particle" : "", "family" : "Herrero", "given" : "Juan Olaizola", "non-dropping-particle" : "", "parse-names" : false, "suffix" : "" }, { "dropping-particle" : "", "family" : "Musitu", "given" : "Gonzalo Ochoa", "non-dropping-particle" : "", "parse-names" : false, "suffix" : "" } ], "id" : "ITEM-1", "issued" : { "date-parts" : [ [ "2002" ] ] }, "number-of-pages" : "156", "publisher" : "Editorial S\u00edntesis", "publisher-place" : "Madrid", "title" : "Evaluaci\u00f3n de Recursos y Estressores Psicosociales en la Comunidad", "type" : "book" }, "uris" : [ "http://www.mendeley.com/documents/?uuid=a13d4598-c599-4827-9d36-db522cf41204" ] } ], "mendeley" : { "formattedCitation" : "(Gracia, Herrero, &amp; Musitu, 2002)", "plainTextFormattedCitation" : "(Gracia, Herrero, &amp; Musitu, 2002)", "previouslyFormattedCitation" : "(Gracia, Herrero, &amp; Musitu, 2002)" }, "properties" : { "noteIndex" : 0 }, "schema" : "https://github.com/citation-style-language/schema/raw/master/csl-citation.json" }</w:instrText>
      </w:r>
      <w:r>
        <w:fldChar w:fldCharType="separate"/>
      </w:r>
      <w:bookmarkStart w:id="15" w:name="__Fieldmark__155_673705230"/>
      <w:r>
        <w:rPr>
          <w:rFonts w:eastAsia="Times New Roman" w:ascii="Times New Roman" w:hAnsi="Times New Roman"/>
          <w:lang w:val="en-GB"/>
        </w:rPr>
        <w:t>(</w:t>
      </w:r>
      <w:bookmarkStart w:id="16" w:name="__Fieldmark__1877_312630394"/>
      <w:r>
        <w:rPr>
          <w:rFonts w:eastAsia="Times New Roman" w:ascii="Times New Roman" w:hAnsi="Times New Roman"/>
          <w:lang w:val="en-GB"/>
        </w:rPr>
        <w:t>Gracia, Herrero, &amp; Musitu, 2002)</w:t>
      </w:r>
      <w:r>
        <w:rPr>
          <w:rFonts w:eastAsia="Times New Roman" w:ascii="Times New Roman" w:hAnsi="Times New Roman"/>
          <w:lang w:val="en-GB"/>
        </w:rPr>
      </w:r>
      <w:r>
        <w:fldChar w:fldCharType="end"/>
      </w:r>
      <w:bookmarkEnd w:id="15"/>
      <w:bookmarkEnd w:id="16"/>
      <w:r>
        <w:rPr>
          <w:rFonts w:eastAsia="Times New Roman" w:ascii="Times New Roman" w:hAnsi="Times New Roman"/>
          <w:lang w:val="en-GB"/>
        </w:rPr>
        <w:t xml:space="preserve">. Social support may be understood as a number of resources that stem from social networks in which the individual is inserted. These resources may be related to affection by means of intimacy and esteem, instrumental through financial aid or service, or cognitive by means of counselling or information guides (Gracia et al., 2002). According to classic authors, social support protects against or reduces the negative effects of psychosocial stressors and generally benefits the welfare of people </w:t>
      </w:r>
      <w:r>
        <w:fldChar w:fldCharType="begin"/>
      </w:r>
      <w:r>
        <w:instrText>ADDIN CSL_CITATION { "citationItems" : [ { "id" : "ITEM-1", "itemData" : { "DOI" : "10.1037/0033-2909.98.2.310", "ISBN" : "1939-1455", "ISSN" : "1939-1455", "PMID" : "3901065", "author" : [ { "dropping-particle" : "", "family" : "Cohen", "given" : "Sheldon", "non-dropping-particle" : "", "parse-names" : false, "suffix" : "" }, { "dropping-particle" : "", "family" : "Wills", "given" : "Thomas Ashby", "non-dropping-particle" : "", "parse-names" : false, "suffix" : "" } ], "id" : "ITEM-1", "issue" : "2", "issued" : { "date-parts" : [ [ "1985" ] ] }, "title" : "Stress, Social Support, and the Buffering Hypothesis", "type" : "article-journal", "volume" : "98" }, "uris" : [ "http://www.mendeley.com/documents/?uuid=4971f76b-036a-4eab-b55e-165f9fd2b235" ] }, { "id" : "ITEM-2", "itemData" : { "DOI" : "10.1177/0956797614559284", "ISSN" : "1467-9280", "PMID" : "25526910", "abstract" : "Perceived social support has been hypothesized to protect against the pathogenic effects of stress. How such protection might be conferred, however, is not well understood. Using a sample of 404 healthy adults, we examined the roles of perceived social support and received hugs in buffering against interpersonal stress-induced susceptibility to infectious disease. Perceived support was assessed by questionnaire, and daily interpersonal conflict and receipt of hugs were assessed by telephone interviews on 14 consecutive evenings. Subsequently, participants were exposed to a virus that causes a common cold and were monitored in quarantine to assess infection and illness signs. Perceived support protected against the rise in infection risk associated with increasing frequency of conflict. A similar stress-buffering effect emerged for hugging, which explained 32% of the attenuating effect of support. Among infected participants, greater perceived support and more-frequent hugs each predicted less-severe illness signs. These data suggest that hugging may effectively convey social support.", "author" : [ { "dropping-particle" : "", "family" : "Cohen", "given" : "Sheldon", "non-dropping-particle" : "", "parse-names" : false, "suffix" : "" }, { "dropping-particle" : "", "family" : "Janicki-Deverts", "given" : "Denise", "non-dropping-particle" : "", "parse-names" : false, "suffix" : "" }, { "dropping-particle" : "", "family" : "Turner", "given" : "Ronald B", "non-dropping-particle" : "", "parse-names" : false, "suffix" : "" }, { "dropping-particle" : "", "family" : "Doyle", "given" : "William J", "non-dropping-particle" : "", "parse-names" : false, "suffix" : "" } ], "container-title" : "Psychological science", "id" : "ITEM-2", "issue" : "2", "issued" : { "date-parts" : [ [ "2015" ] ] }, "page" : "135-47", "title" : "Does hugging provide stress-buffering social support? A study of susceptibility to upper respiratory infection and illness.", "type" : "article-journal", "volume" : "26" }, "uris" : [ "http://www.mendeley.com/documents/?uuid=68e7f749-202e-4a87-8a3a-42bed07cf4c7" ] }, { "id" : "ITEM-3", "itemData" : { "DOI" : "10.1097/00006842-197609000-00003", "ISBN" : "0880487275", "ISSN" : "0033-3174", "PMID" : "981490", "abstract" : "Social support is defined as information leading the subject to believe that he is cared for and loved, esteemed, and a member of a network of mutual obligations. The evidence that supportive interactions among people are protective against the health consequences of life stress is reviewed. It appears that social support can protect people in crisis from a wide variety of pathological states: from low birth weight to death, from arthritis through tuberculosis to depression, alcoholism, and the social breakdown syndrome. Furthermore, social support may reduce the amount of medication required, accelerate recovery, and facilitate compliance with prescribed medical regimens.", "author" : [ { "dropping-particle" : "", "family" : "Cobb", "given" : "S", "non-dropping-particle" : "", "parse-names" : false, "suffix" : "" } ], "container-title" : "Psychosomatic medicine", "id" : "ITEM-3", "issue" : "5", "issued" : { "date-parts" : [ [ "1976" ] ] }, "page" : "300-314", "title" : "Social support as a moderator of life stress", "type" : "article-journal", "volume" : "38" }, "uris" : [ "http://www.mendeley.com/documents/?uuid=783a468c-a292-41f1-ad9c-a954ad532b76" ] } ], "mendeley" : { "formattedCitation" : "(Cobb, 1976; Cohen, Janicki-Deverts, Turner, &amp; Doyle, 2015; Cohen &amp; Wills, 1985)", "plainTextFormattedCitation" : "(Cobb, 1976; Cohen, Janicki-Deverts, Turner, &amp; Doyle, 2015; Cohen &amp; Wills, 1985)", "previouslyFormattedCitation" : "(Cobb, 1976; Cohen, Janicki-Deverts, Turner, &amp; Doyle, 2015; Cohen &amp; Wills, 1985)" }, "properties" : { "noteIndex" : 0 }, "schema" : "https://github.com/citation-style-language/schema/raw/master/csl-citation.json" }</w:instrText>
      </w:r>
      <w:r>
        <w:fldChar w:fldCharType="separate"/>
      </w:r>
      <w:bookmarkStart w:id="17" w:name="__Fieldmark__166_673705230"/>
      <w:r>
        <w:rPr>
          <w:rFonts w:eastAsia="Times New Roman" w:ascii="Times New Roman" w:hAnsi="Times New Roman"/>
          <w:lang w:val="en-GB"/>
        </w:rPr>
        <w:t>(</w:t>
      </w:r>
      <w:bookmarkStart w:id="18" w:name="__Fieldmark__1925_312630394"/>
      <w:r>
        <w:rPr>
          <w:rFonts w:eastAsia="Times New Roman" w:ascii="Times New Roman" w:hAnsi="Times New Roman"/>
          <w:lang w:val="en-GB"/>
        </w:rPr>
        <w:t>Cobb, 1976; Cohen, Janicki-Deverts, Turner, &amp; Doyle, 2015; Cohen &amp; Wills, 1985)</w:t>
      </w:r>
      <w:r>
        <w:rPr>
          <w:rFonts w:eastAsia="Times New Roman" w:ascii="Times New Roman" w:hAnsi="Times New Roman"/>
          <w:lang w:val="en-GB"/>
        </w:rPr>
      </w:r>
      <w:r>
        <w:fldChar w:fldCharType="end"/>
      </w:r>
      <w:bookmarkEnd w:id="17"/>
      <w:bookmarkEnd w:id="18"/>
      <w:r>
        <w:rPr>
          <w:rFonts w:eastAsia="Times New Roman" w:ascii="Times New Roman" w:hAnsi="Times New Roman"/>
          <w:lang w:val="en-GB"/>
        </w:rPr>
        <w:t>.</w:t>
      </w:r>
    </w:p>
    <w:p>
      <w:pPr>
        <w:pStyle w:val="Normal"/>
        <w:ind w:firstLine="708"/>
        <w:jc w:val="both"/>
        <w:rPr/>
      </w:pPr>
      <w:r>
        <w:rPr>
          <w:rFonts w:eastAsia="Times New Roman" w:ascii="Times New Roman" w:hAnsi="Times New Roman"/>
          <w:lang w:val="en-GB"/>
        </w:rPr>
        <w:t xml:space="preserve">Community integration and participation are two dimensions of social support and comprise great value as study variables. Integration refers to the positive reception of the community and the feeling of belonging, while participation is the degree to which one feels engaged in social life and matters pertaining to the community network </w:t>
      </w:r>
      <w:r>
        <w:fldChar w:fldCharType="begin"/>
      </w:r>
      <w:r>
        <w:instrText>ADDIN CSL_CITATION { "citationItems" : [ { "id" : "ITEM-1", "itemData" : { "ISBN" : "84-9756-021-3", "author" : [ { "dropping-particle" : "", "family" : "Gracia", "given" : "Enrique Fuster", "non-dropping-particle" : "", "parse-names" : false, "suffix" : "" }, { "dropping-particle" : "", "family" : "Herrero", "given" : "Juan Olaizola", "non-dropping-particle" : "", "parse-names" : false, "suffix" : "" }, { "dropping-particle" : "", "family" : "Musitu", "given" : "Gonzalo Ochoa", "non-dropping-particle" : "", "parse-names" : false, "suffix" : "" } ], "id" : "ITEM-1", "issued" : { "date-parts" : [ [ "2002" ] ] }, "number-of-pages" : "156", "publisher" : "Editorial S\u00edntesis", "publisher-place" : "Madrid", "title" : "Evaluaci\u00f3n de Recursos y Estressores Psicosociales en la Comunidad", "type" : "book" }, "uris" : [ "http://www.mendeley.com/documents/?uuid=a13d4598-c599-4827-9d36-db522cf41204" ] } ], "mendeley" : { "formattedCitation" : "(Gracia et al., 2002)", "plainTextFormattedCitation" : "(Gracia et al., 2002)", "previouslyFormattedCitation" : "(Gracia et al., 2002)" }, "properties" : { "noteIndex" : 0 }, "schema" : "https://github.com/citation-style-language/schema/raw/master/csl-citation.json" }</w:instrText>
      </w:r>
      <w:r>
        <w:fldChar w:fldCharType="separate"/>
      </w:r>
      <w:bookmarkStart w:id="19" w:name="__Fieldmark__175_673705230"/>
      <w:r>
        <w:rPr>
          <w:rFonts w:eastAsia="Times New Roman" w:ascii="Times New Roman" w:hAnsi="Times New Roman"/>
          <w:lang w:val="en-GB"/>
        </w:rPr>
        <w:t>(</w:t>
      </w:r>
      <w:bookmarkStart w:id="20" w:name="__Fieldmark__1942_312630394"/>
      <w:r>
        <w:rPr>
          <w:rFonts w:eastAsia="Times New Roman" w:ascii="Times New Roman" w:hAnsi="Times New Roman"/>
          <w:lang w:val="en-GB"/>
        </w:rPr>
        <w:t>Gracia et al., 2002)</w:t>
      </w:r>
      <w:r>
        <w:rPr>
          <w:rFonts w:eastAsia="Times New Roman" w:ascii="Times New Roman" w:hAnsi="Times New Roman"/>
          <w:lang w:val="en-GB"/>
        </w:rPr>
      </w:r>
      <w:r>
        <w:fldChar w:fldCharType="end"/>
      </w:r>
      <w:bookmarkEnd w:id="19"/>
      <w:bookmarkEnd w:id="20"/>
      <w:r>
        <w:rPr>
          <w:rFonts w:eastAsia="Times New Roman" w:ascii="Times New Roman" w:hAnsi="Times New Roman"/>
          <w:lang w:val="en-GB"/>
        </w:rPr>
        <w:t>. Community integration enables a sense of belonging to part of a larger collective, an important phenomenon in regards to the capacity to face challenges and social pressures. This feeling of capacity can strengthen individuals’ autonomy once it stimulates a sense of control and motivation over the changes in his life (Stumbo et al., 2015).</w:t>
      </w:r>
    </w:p>
    <w:p>
      <w:pPr>
        <w:pStyle w:val="Normal"/>
        <w:ind w:firstLine="708"/>
        <w:jc w:val="both"/>
        <w:rPr/>
      </w:pPr>
      <w:r>
        <w:rPr>
          <w:rFonts w:eastAsia="Times New Roman" w:ascii="Times New Roman" w:hAnsi="Times New Roman"/>
          <w:lang w:val="en-GB"/>
        </w:rPr>
        <w:t xml:space="preserve">From a psychosocial perspective, autonomy must not be understood as an absolute independence but as the capacity of an individual to address various dependencies. Thus, autonomy is the ability to comprehend and act by oneself and in one’s social networks </w:t>
      </w:r>
      <w:r>
        <w:fldChar w:fldCharType="begin"/>
      </w:r>
      <w:r>
        <w:instrText>ADDIN CSL_CITATION { "citationItems" : [ { "id" : "ITEM-1", "itemData" : { "ISBN" : "9788564806566", "abstract" : "Este tratado exp\u00f5e um panorama dos principais assuntos de que se ocupa a Sa\u00fade Coletiva para estabelecer di\u00e1logo com docentes e discentes de gradua\u00e7\u00e3o e p\u00f3s-gradua\u00e7\u00e3o das profiss\u00f5es de sa\u00fade. Este Tratado comp\u00f5e-se de quatro partes com seus respectivos subtemas - Parte I - Abrindo o Campo - Hist\u00f3ria da Sa\u00fade Coletiva; Produ\u00e7\u00e3o da sa\u00fade-doen\u00e7a e os modos de interven\u00e7\u00e3o; Sa\u00fade e Ambiente; Sa\u00fade e Desenvolvimento; Forma\u00e7\u00e3o e Educa\u00e7\u00e3o em Sa\u00fade; O Campo de Tratamento em Sa\u00fade Coletiva; ParteII - Ci\u00eancias Sociais e Sa\u00fade - Contribui\u00e7\u00e3o da Antropologia; Pol\u00edticas de Sa\u00fade; Economia da Sa\u00fade; Sociologia da Sa\u00fade; ParteIII - Epidemiologia e Sa\u00fade Coletiva - Contribui\u00e7\u00e3o da Epidemiologia; Risco e Vulnerabidade em Sa\u00fade; Epidemiolgia e Servi\u00e7os de Sa\u00fade; Desigualdades em Sa\u00fade; Vigil\u00e2ncia em Sa\u00fade; Parte IV - Pol\u00edtica, Gest\u00e3o e Aten\u00e7\u00e3o em Sa\u00fade; Sistema \u00danico de Sa\u00fade; Gest\u00e3o e Organiza\u00e7\u00e3o da Aten\u00e7\u00e3o \u00e0 Sa\u00fade; Sistemas Comparados de Sa\u00fade; Sa\u00fade Mental; estrat\u00e9gias, dispositivos e cl\u00ednicas; Promo\u00e7\u00e3o da Sa\u00fade e Preven\u00e7\u00e3o de Doen\u00e7as; Constru\u00e7\u00e3o de autonomia; Vigil\u00e2ncia Sanit\u00e1ria; Avalia\u00e7\u00e3o de Programas de Servi\u00e7os de Sa\u00fade; Participa\u00e7\u00e3o e Comunica\u00e7\u00e3o em Sa\u00fade.", "author" : [ { "dropping-particle" : "", "family" : "Onocko Campos", "given" : "Rosana T.", "non-dropping-particle" : "", "parse-names" : false, "suffix" : "" }, { "dropping-particle" : "", "family" : "Campos", "given" : "Gast\u00e3o Wagner de Souza", "non-dropping-particle" : "", "parse-names" : false, "suffix" : "" } ], "container-title" : "Tratado de Sa\u00fade Coletiva", "edition" : "2", "id" : "ITEM-1", "issued" : { "date-parts" : [ [ "2012" ] ] }, "page" : "669-687", "publisher" : "HUCITEC Editora", "publisher-place" : "S\u00e3o Paulo", "title" : "Co-constru\u00e7\u00e3o de autonomia: o sujeito em quest\u00e3o", "type" : "chapter" }, "uris" : [ "http://www.mendeley.com/documents/?uuid=9bfcc7a3-0b50-45e2-b1a2-7f076d17f9ea", "http://www.mendeley.com/documents/?uuid=3552b3f0-6b3b-4aaa-831c-13909bfd88e9" ] } ], "mendeley" : { "formattedCitation" : "(Onocko Campos &amp; Campos, 2012)", "plainTextFormattedCitation" : "(Onocko Campos &amp; Campos, 2012)", "previouslyFormattedCitation" : "(Onocko Campos &amp; Campos, 2012)" }, "properties" : { "noteIndex" : 0 }, "schema" : "https://github.com/citation-style-language/schema/raw/master/csl-citation.json" }</w:instrText>
      </w:r>
      <w:r>
        <w:fldChar w:fldCharType="separate"/>
      </w:r>
      <w:bookmarkStart w:id="21" w:name="__Fieldmark__186_673705230"/>
      <w:r>
        <w:rPr>
          <w:rFonts w:eastAsia="Times New Roman" w:ascii="Times New Roman" w:hAnsi="Times New Roman"/>
          <w:lang w:val="en-GB"/>
        </w:rPr>
        <w:t>(</w:t>
      </w:r>
      <w:bookmarkStart w:id="22" w:name="__Fieldmark__1967_312630394"/>
      <w:r>
        <w:rPr>
          <w:rFonts w:eastAsia="Times New Roman" w:ascii="Times New Roman" w:hAnsi="Times New Roman"/>
          <w:lang w:val="en-GB"/>
        </w:rPr>
        <w:t>Onocko Campos &amp; Campos, 2012)</w:t>
      </w:r>
      <w:r>
        <w:rPr>
          <w:rFonts w:eastAsia="Times New Roman" w:ascii="Times New Roman" w:hAnsi="Times New Roman"/>
          <w:lang w:val="en-GB"/>
        </w:rPr>
      </w:r>
      <w:r>
        <w:fldChar w:fldCharType="end"/>
      </w:r>
      <w:bookmarkEnd w:id="21"/>
      <w:bookmarkEnd w:id="22"/>
      <w:r>
        <w:rPr>
          <w:rFonts w:eastAsia="Times New Roman" w:ascii="Times New Roman" w:hAnsi="Times New Roman"/>
          <w:lang w:val="en-GB"/>
        </w:rPr>
        <w:t xml:space="preserve">. These networks include family networks, which occupy dimensions such as analysis and affection and autonomy and mutual adaptation among members (Baptista, 2009). </w:t>
      </w:r>
    </w:p>
    <w:p>
      <w:pPr>
        <w:pStyle w:val="Normal"/>
        <w:ind w:firstLine="708"/>
        <w:jc w:val="both"/>
        <w:rPr>
          <w:rFonts w:ascii="Times New Roman" w:hAnsi="Times New Roman"/>
          <w:lang w:val="en-GB"/>
        </w:rPr>
      </w:pPr>
      <w:r>
        <w:rPr>
          <w:rFonts w:ascii="Times New Roman" w:hAnsi="Times New Roman"/>
          <w:lang w:val="en-GB"/>
        </w:rPr>
        <w:t>Social support has been studied as a key factor of intervention in psychology, medicine, and social assistance. In a study on the relationship between social support and health based on 286 scientific articles published between 1980 and 2005 (Canesqui &amp; Barsaglini, 2012), approaches were ascertained in relationships between social support and the following factors: a) reduction in stress as well as mental health, self-esteem, and psychological welfare issues (18% of articles approached this subject); b) in the promotion and protection of health, quality of life and disease prevention (15,7%); c) adjustment to chronic illnesses and loss and adherence to treatment and use of health services (13,3%); d) social integration, empowerment, a decrease of social isolation, and an increase in feelings of control (6,5%); and e) reduction of morbidity and mortality (2%). Furthermore, 13% of articles considered negative effects due to a lack of social support, such as an increase in stress and psychological issues, deterioration in health and proneness to illness, and behavioural risks and factors in the use of services and adherence to treatment. The remaining articles covered the theories and methods of evaluation of social support (22,5%) and its variations in accordance to social and individual factors (9%).</w:t>
      </w:r>
    </w:p>
    <w:p>
      <w:pPr>
        <w:pStyle w:val="Normal"/>
        <w:ind w:firstLine="708"/>
        <w:jc w:val="both"/>
        <w:rPr/>
      </w:pPr>
      <w:r>
        <w:rPr>
          <w:rFonts w:ascii="Times New Roman" w:hAnsi="Times New Roman"/>
          <w:lang w:val="en-GB"/>
        </w:rPr>
        <w:t xml:space="preserve">According to the literature, the development and strengthening of social networks, social assistance, and community integration has been noted as one of the factors to be considered in public health and social assistance policies </w:t>
      </w:r>
      <w:r>
        <w:fldChar w:fldCharType="begin"/>
      </w:r>
      <w:r>
        <w:instrText>ADDIN CSL_CITATION { "citationItems" : [ { "id" : "ITEM-1", "itemData" : { "DOI" : "10.1007/s10488-011-0386-4", "ISBN" : "1048801103864", "ISSN" : "1573-3289", "PMID" : "22080144", "abstract" : "While the majority of women with mental health problems (MHPs) are mothers, little is known about the community integration (CI) of these women and their children. Given that poorer mental health status has been linked with lower CI, CI has become a long standing goal of mental health policy. Data from a national survey examined the association of maternal mental health status with the physical, social, and psychological integration of families. After adjusting for sociodemographics, mothers with MHPs reported similar physical integration but less social and psychological integration. Interventions focused on improving social networks, scarce resources, and neighborhood safety are needed for families impacted by maternal MHPs.", "author" : [ { "dropping-particle" : "", "family" : "Cullen", "given" : "Sara Wiesel", "non-dropping-particle" : "", "parse-names" : false, "suffix" : "" }, { "dropping-particle" : "", "family" : "Solomon", "given" : "Phyllis L", "non-dropping-particle" : "", "parse-names" : false, "suffix" : "" } ], "container-title" : "Administration and policy in mental health", "id" : "ITEM-1", "issue" : "2", "issued" : { "date-parts" : [ [ "2013" ] ] }, "page" : "133-44", "title" : "Family community integration and maternal mental health.", "type" : "article-journal", "volume" : "40" }, "uris" : [ "http://www.mendeley.com/documents/?uuid=e25ec8f8-fe6d-47fe-a1d4-18252d905c28" ] }, { "id" : "ITEM-2", "itemData" : { "DOI" : "10.1177/0022146510383501", "ISBN" : "0022-1465", "ISSN" : "0022-1465", "PMID" : "20943583", "abstract" : "Social relationships--both quantity and quality--affect mental health, health behavior, physical health, and mortality risk. Sociologists have played a central role in establishing the link between social relationships and health outcomes, identifying explanations for this link, and discovering social variation (e.g., by gender and race) at the population level. Studies show that social relationships have short- and long-term effects on health, for better and for worse, and that these effects emerge in childhood and cascade throughout life to foster cumulative advantage or disadvantage in health. This article describes key research themes in the study of social relationships and health, and it highlights policy implications suggested by this research.", "author" : [ { "dropping-particle" : "", "family" : "Umberson", "given" : "Debra", "non-dropping-particle" : "", "parse-names" : false, "suffix" : "" }, { "dropping-particle" : "", "family" : "Montez", "given" : "Jennifer Karas", "non-dropping-particle" : "", "parse-names" : false, "suffix" : "" } ], "container-title" : "Journal of Health and Social Behavior", "id" : "ITEM-2", "issued" : { "date-parts" : [ [ "2010" ] ] }, "page" : "54-66", "title" : "Social relationships and health: A flashpoint for health policy", "type" : "article-journal", "volume" : "51" }, "uris" : [ "http://www.mendeley.com/documents/?uuid=9c077fbd-2195-4fa2-b8e1-15ddef1cd945" ] }, { "id" : "ITEM-3", "itemData" : { "DOI" : "10.1177/0022146510383499", "ISBN" : "0022-1465; 0022-1465", "ISSN" : "0022-1465", "PMID" : "20943582", "abstract" : "Forty decades of sociological stress research offer five major findings. First, when stressors (negative events, chronic strains, and traumas) are measured comprehensively, their damaging impacts on physical and mental health are substantial. Second, differential exposure to stressful experiences is a primary way that gender, racial-ethnic, marital status, and social class inequalities in physical and mental health are produced. Third, minority group members are additionally harmed by discrimination stress. Fourth, stressors proliferate over the life course and across generations, widening health gaps between advantaged and disadvantaged group members. Fifth, the impacts of stressors on health and well-being are reduced when persons have high levels of mastery, self-esteem, and/or social support. With respect to policy, to help individuals cope with adversity, tried and true coping and support interventions should be more widely disseminated and employed. To address health inequalities, the structural conditions that put people at risk of stressors should be a focus of programs and policies at macro and meso levels of intervention. Programs and policies also should target children who are at lifetime risk of ill health and distress due to exposure to poverty and stressful family circumstances.", "author" : [ { "dropping-particle" : "", "family" : "Thoits", "given" : "P. A.", "non-dropping-particle" : "", "parse-names" : false, "suffix" : "" } ], "container-title" : "Journal of Health and Social Behavior", "id" : "ITEM-3", "issue" : "1 Suppl", "issued" : { "date-parts" : [ [ "2010" ] ] }, "page" : "S41-S53", "title" : "Stress and Health: Major Findings and Policy Implications", "type" : "article-journal", "volume" : "51" }, "uris" : [ "http://www.mendeley.com/documents/?uuid=04278000-7404-495b-b7f6-d025e1ce6b82" ] } ], "mendeley" : { "formattedCitation" : "(Cullen &amp; Solomon, 2013; Thoits, 2010; Umberson &amp; Montez, 2010)", "plainTextFormattedCitation" : "(Cullen &amp; Solomon, 2013; Thoits, 2010; Umberson &amp; Montez, 2010)", "previouslyFormattedCitation" : "(Cullen &amp; Solomon, 2013; Thoits, 2010; Umberson &amp; Montez, 2010)" }, "properties" : { "noteIndex" : 0 }, "schema" : "https://github.com/citation-style-language/schema/raw/master/csl-citation.json" }</w:instrText>
      </w:r>
      <w:r>
        <w:fldChar w:fldCharType="separate"/>
      </w:r>
      <w:bookmarkStart w:id="23" w:name="__Fieldmark__205_673705230"/>
      <w:r>
        <w:rPr>
          <w:rFonts w:ascii="Times New Roman" w:hAnsi="Times New Roman"/>
          <w:lang w:val="en-GB"/>
        </w:rPr>
      </w:r>
      <w:r>
        <w:rPr>
          <w:rFonts w:eastAsia="Times New Roman" w:ascii="Times New Roman" w:hAnsi="Times New Roman"/>
          <w:lang w:val="en-GB"/>
        </w:rPr>
        <w:t>(</w:t>
      </w:r>
      <w:bookmarkStart w:id="24" w:name="__Fieldmark__2050_312630394"/>
      <w:r>
        <w:rPr>
          <w:rFonts w:eastAsia="Times New Roman" w:ascii="Times New Roman" w:hAnsi="Times New Roman"/>
          <w:lang w:val="en-GB"/>
        </w:rPr>
        <w:t>Cullen &amp; Solomon, 2013; Thoits, 2010; Umberson &amp; Montez, 2010)</w:t>
      </w:r>
      <w:r>
        <w:rPr>
          <w:rFonts w:ascii="Times New Roman" w:hAnsi="Times New Roman"/>
          <w:lang w:val="en-GB"/>
        </w:rPr>
      </w:r>
      <w:r>
        <w:fldChar w:fldCharType="end"/>
      </w:r>
      <w:bookmarkEnd w:id="23"/>
      <w:bookmarkEnd w:id="24"/>
      <w:r>
        <w:rPr>
          <w:rFonts w:eastAsia="Times New Roman" w:ascii="Times New Roman" w:hAnsi="Times New Roman"/>
          <w:lang w:val="en-GB"/>
        </w:rPr>
        <w:t>. However, few studies investigate the impact of Brazilian Social Assistance programmes in the Social Support and Community Integration for the benefited population. This study develops a sociodemographic profile of the benefited population, explores the Social Support and the Community Integration of individuals monitored by PAIF (</w:t>
      </w:r>
      <w:r>
        <w:rPr>
          <w:rFonts w:ascii="Times New Roman" w:hAnsi="Times New Roman"/>
          <w:lang w:val="en-GB"/>
        </w:rPr>
        <w:t>Integral Family Assistance Program) and which factors are associated with these constructs.</w:t>
      </w:r>
    </w:p>
    <w:p>
      <w:pPr>
        <w:pStyle w:val="Normal"/>
        <w:spacing w:before="0" w:after="160"/>
        <w:rPr>
          <w:rFonts w:ascii="Times New Roman" w:hAnsi="Times New Roman"/>
          <w:lang w:val="en-GB"/>
        </w:rPr>
      </w:pPr>
      <w:r>
        <w:rPr>
          <w:rFonts w:ascii="Times New Roman" w:hAnsi="Times New Roman"/>
          <w:lang w:val="en-GB"/>
        </w:rPr>
      </w:r>
    </w:p>
    <w:p>
      <w:pPr>
        <w:pStyle w:val="Normal"/>
        <w:spacing w:before="0" w:after="160"/>
        <w:rPr>
          <w:rFonts w:ascii="Times New Roman" w:hAnsi="Times New Roman"/>
          <w:lang w:val="en-GB"/>
        </w:rPr>
      </w:pPr>
      <w:r>
        <w:rPr>
          <w:rFonts w:ascii="Times New Roman" w:hAnsi="Times New Roman"/>
          <w:b/>
          <w:lang w:val="en-GB"/>
        </w:rPr>
        <w:t>METHOD</w:t>
      </w:r>
    </w:p>
    <w:p>
      <w:pPr>
        <w:pStyle w:val="Normal"/>
        <w:jc w:val="both"/>
        <w:rPr>
          <w:rFonts w:ascii="Times New Roman" w:hAnsi="Times New Roman"/>
          <w:lang w:val="en-GB"/>
        </w:rPr>
      </w:pPr>
      <w:r>
        <w:rPr>
          <w:rFonts w:ascii="Times New Roman" w:hAnsi="Times New Roman"/>
          <w:lang w:val="en-GB"/>
        </w:rPr>
      </w:r>
    </w:p>
    <w:p>
      <w:pPr>
        <w:pStyle w:val="Normal"/>
        <w:jc w:val="both"/>
        <w:rPr>
          <w:rFonts w:ascii="Times New Roman" w:hAnsi="Times New Roman"/>
          <w:b/>
          <w:b/>
          <w:lang w:val="en-GB"/>
        </w:rPr>
      </w:pPr>
      <w:r>
        <w:rPr>
          <w:rFonts w:ascii="Times New Roman" w:hAnsi="Times New Roman"/>
          <w:b/>
          <w:lang w:val="en-GB"/>
        </w:rPr>
        <w:t>Participants</w:t>
      </w:r>
    </w:p>
    <w:p>
      <w:pPr>
        <w:pStyle w:val="Normal"/>
        <w:jc w:val="both"/>
        <w:rPr>
          <w:rFonts w:ascii="Times New Roman" w:hAnsi="Times New Roman"/>
          <w:b/>
          <w:b/>
          <w:lang w:val="en-GB"/>
        </w:rPr>
      </w:pPr>
      <w:r>
        <w:rPr>
          <w:rFonts w:ascii="Times New Roman" w:hAnsi="Times New Roman"/>
          <w:b/>
          <w:lang w:val="en-GB"/>
        </w:rPr>
      </w:r>
    </w:p>
    <w:p>
      <w:pPr>
        <w:pStyle w:val="Normal"/>
        <w:ind w:firstLine="708"/>
        <w:jc w:val="both"/>
        <w:rPr>
          <w:rFonts w:ascii="Times New Roman" w:hAnsi="Times New Roman"/>
          <w:color w:val="000000"/>
          <w:lang w:val="en-GB" w:eastAsia="pt-BR"/>
        </w:rPr>
      </w:pPr>
      <w:r>
        <w:rPr>
          <w:rFonts w:ascii="Times New Roman" w:hAnsi="Times New Roman"/>
          <w:color w:val="000000"/>
          <w:lang w:val="en-GB" w:eastAsia="pt-BR"/>
        </w:rPr>
        <w:t xml:space="preserve">In total, 201 respondents participated in this study (one representative from each family and titular registered in CRAS) from 20 different CRAS in Porto Alegre and 2 from Esteio, capital and metropolitan regional cities in the Rio Grande do Sul state in southern Brazil, respectively. Data collection was carried out in 2015. Participation of said respondents occurred voluntarily and included individuals of both sexes aged upwards of 18 years old randomly selected from the listing of families monitored by the staff of PAIF, thus following a method of simple random sampling. </w:t>
      </w:r>
    </w:p>
    <w:p>
      <w:pPr>
        <w:pStyle w:val="Normal"/>
        <w:jc w:val="both"/>
        <w:rPr>
          <w:rFonts w:ascii="Times New Roman" w:hAnsi="Times New Roman"/>
          <w:i/>
          <w:i/>
          <w:lang w:val="en-GB"/>
        </w:rPr>
      </w:pPr>
      <w:r>
        <w:rPr>
          <w:rFonts w:ascii="Times New Roman" w:hAnsi="Times New Roman"/>
          <w:i/>
          <w:lang w:val="en-GB"/>
        </w:rPr>
      </w:r>
    </w:p>
    <w:p>
      <w:pPr>
        <w:pStyle w:val="Normal"/>
        <w:jc w:val="both"/>
        <w:rPr>
          <w:rFonts w:ascii="Times New Roman" w:hAnsi="Times New Roman"/>
          <w:b/>
          <w:b/>
          <w:lang w:val="en-GB"/>
        </w:rPr>
      </w:pPr>
      <w:r>
        <w:rPr>
          <w:rFonts w:ascii="Times New Roman" w:hAnsi="Times New Roman"/>
          <w:b/>
          <w:lang w:val="en-GB"/>
        </w:rPr>
        <w:t>Instruments</w:t>
        <w:tab/>
      </w:r>
    </w:p>
    <w:p>
      <w:pPr>
        <w:pStyle w:val="Normal"/>
        <w:ind w:firstLine="720"/>
        <w:jc w:val="both"/>
        <w:rPr>
          <w:rFonts w:ascii="Times New Roman" w:hAnsi="Times New Roman"/>
          <w:lang w:val="en-GB"/>
        </w:rPr>
      </w:pPr>
      <w:r>
        <w:rPr>
          <w:rFonts w:ascii="Times New Roman" w:hAnsi="Times New Roman"/>
          <w:lang w:val="en-GB"/>
        </w:rPr>
      </w:r>
    </w:p>
    <w:p>
      <w:pPr>
        <w:pStyle w:val="Normal"/>
        <w:ind w:firstLine="720"/>
        <w:jc w:val="both"/>
        <w:rPr>
          <w:rFonts w:ascii="Times New Roman" w:hAnsi="Times New Roman"/>
          <w:lang w:val="en-GB"/>
        </w:rPr>
      </w:pPr>
      <w:r>
        <w:rPr>
          <w:rFonts w:ascii="Times New Roman" w:hAnsi="Times New Roman"/>
          <w:lang w:val="en-GB"/>
        </w:rPr>
        <w:t>Standardized questionnaires were individually applied by psychologists or other members of the research team. Data were directly collected at CRAS. The instruments used were as follows:</w:t>
      </w:r>
    </w:p>
    <w:p>
      <w:pPr>
        <w:pStyle w:val="Normal"/>
        <w:ind w:firstLine="720"/>
        <w:jc w:val="both"/>
        <w:rPr>
          <w:rFonts w:ascii="Times New Roman" w:hAnsi="Times New Roman"/>
          <w:lang w:val="en-GB"/>
        </w:rPr>
      </w:pPr>
      <w:r>
        <w:rPr>
          <w:rFonts w:ascii="Times New Roman" w:hAnsi="Times New Roman"/>
          <w:lang w:val="en-GB"/>
        </w:rPr>
      </w:r>
    </w:p>
    <w:p>
      <w:pPr>
        <w:pStyle w:val="Normal"/>
        <w:ind w:firstLine="720"/>
        <w:jc w:val="both"/>
        <w:rPr>
          <w:rFonts w:ascii="Times New Roman" w:hAnsi="Times New Roman"/>
          <w:lang w:val="en-GB"/>
        </w:rPr>
      </w:pPr>
      <w:r>
        <w:rPr>
          <w:rFonts w:ascii="Times New Roman" w:hAnsi="Times New Roman"/>
          <w:lang w:val="en-GB"/>
        </w:rPr>
        <w:t xml:space="preserve">a) </w:t>
      </w:r>
      <w:r>
        <w:rPr>
          <w:rFonts w:ascii="Times New Roman" w:hAnsi="Times New Roman"/>
          <w:i/>
          <w:lang w:val="en-GB"/>
        </w:rPr>
        <w:t>Questionnaire of Sociodemographic Characteristics</w:t>
      </w:r>
      <w:r>
        <w:rPr>
          <w:rFonts w:ascii="Times New Roman" w:hAnsi="Times New Roman"/>
          <w:lang w:val="en-GB"/>
        </w:rPr>
        <w:t>: This questionnaire contained questions relative to sex, age, marital status, degree of education, profession/occupation, family income, living and co-habitation conditions, and history of participation in PAIF.</w:t>
      </w:r>
    </w:p>
    <w:p>
      <w:pPr>
        <w:pStyle w:val="Normal"/>
        <w:ind w:firstLine="720"/>
        <w:jc w:val="both"/>
        <w:rPr>
          <w:rFonts w:ascii="Times New Roman" w:hAnsi="Times New Roman"/>
          <w:lang w:val="en-GB"/>
        </w:rPr>
      </w:pPr>
      <w:r>
        <w:rPr>
          <w:rFonts w:ascii="Times New Roman" w:hAnsi="Times New Roman"/>
          <w:lang w:val="en-GB"/>
        </w:rPr>
      </w:r>
    </w:p>
    <w:p>
      <w:pPr>
        <w:pStyle w:val="Normal"/>
        <w:ind w:firstLine="708"/>
        <w:jc w:val="both"/>
        <w:rPr>
          <w:rFonts w:ascii="Times New Roman" w:hAnsi="Times New Roman"/>
          <w:lang w:val="en-GB"/>
        </w:rPr>
      </w:pPr>
      <w:r>
        <w:rPr>
          <w:rFonts w:ascii="Times New Roman" w:hAnsi="Times New Roman"/>
          <w:lang w:val="en-GB"/>
        </w:rPr>
        <w:t xml:space="preserve">b) </w:t>
      </w:r>
      <w:r>
        <w:rPr>
          <w:rFonts w:ascii="Times New Roman" w:hAnsi="Times New Roman"/>
          <w:i/>
          <w:lang w:val="en-GB"/>
        </w:rPr>
        <w:t xml:space="preserve">Questionnaire of Community Social Support </w:t>
      </w:r>
      <w:r>
        <w:rPr>
          <w:rFonts w:ascii="Times New Roman" w:hAnsi="Times New Roman"/>
          <w:lang w:val="en-GB"/>
        </w:rPr>
        <w:t xml:space="preserve">(Gracia et al., 2002): This instrument measured the following scales: Community Integration and Participation (Scale 1), which evaluated satisfaction with social relations and engagement in community activities; Informal Social Support (Scale 2), which evaluated perceptions of community networks in informal systems; and Formal Social Support (Scale 3), which evaluated perceptions of community networks in formal systems. This questionnaire contained 25 items in which the participant was asked to answer questions using a five-point </w:t>
      </w:r>
      <w:r>
        <w:rPr>
          <w:rFonts w:ascii="Times New Roman" w:hAnsi="Times New Roman"/>
          <w:i/>
          <w:lang w:val="en-GB"/>
        </w:rPr>
        <w:t xml:space="preserve">Likert </w:t>
      </w:r>
      <w:r>
        <w:rPr>
          <w:rFonts w:ascii="Times New Roman" w:hAnsi="Times New Roman"/>
          <w:lang w:val="en-GB"/>
        </w:rPr>
        <w:t xml:space="preserve">scale. The original instrument as written in Castilian showed a Scale 1 reliability of 0,879, a Scale 2 reliability of 0,856 and a Scale 3 reliability of 0,845 using </w:t>
      </w:r>
      <w:r>
        <w:rPr>
          <w:rFonts w:ascii="Times New Roman" w:hAnsi="Times New Roman"/>
          <w:i/>
          <w:lang w:val="en-GB"/>
        </w:rPr>
        <w:t xml:space="preserve">Cronbach’s </w:t>
      </w:r>
      <w:r>
        <w:rPr>
          <w:rFonts w:ascii="Times New Roman" w:hAnsi="Times New Roman"/>
          <w:lang w:val="en-GB"/>
        </w:rPr>
        <w:t>alpha coefficient. We further stress that this instrument has not yet been validated in Brazil and is currently part of a cultural adaptation project led by our research team. The instrument used was translated from Castilian to Brazilian Portuguese for the means of this study.</w:t>
      </w:r>
    </w:p>
    <w:p>
      <w:pPr>
        <w:pStyle w:val="Normal"/>
        <w:ind w:firstLine="720"/>
        <w:jc w:val="both"/>
        <w:rPr>
          <w:rFonts w:ascii="Times New Roman" w:hAnsi="Times New Roman"/>
          <w:lang w:val="en-GB"/>
        </w:rPr>
      </w:pPr>
      <w:r>
        <w:rPr>
          <w:rFonts w:ascii="Times New Roman" w:hAnsi="Times New Roman"/>
          <w:lang w:val="en-GB"/>
        </w:rPr>
      </w:r>
    </w:p>
    <w:p>
      <w:pPr>
        <w:pStyle w:val="Normal"/>
        <w:ind w:firstLine="720"/>
        <w:jc w:val="both"/>
        <w:rPr>
          <w:rFonts w:ascii="Times New Roman" w:hAnsi="Times New Roman"/>
          <w:lang w:val="en-GB"/>
        </w:rPr>
      </w:pPr>
      <w:r>
        <w:rPr>
          <w:rFonts w:ascii="Times New Roman" w:hAnsi="Times New Roman"/>
          <w:lang w:val="en-GB"/>
        </w:rPr>
        <w:t>c)</w:t>
      </w:r>
      <w:r>
        <w:rPr>
          <w:rFonts w:ascii="Times New Roman" w:hAnsi="Times New Roman"/>
          <w:i/>
          <w:lang w:val="en-GB"/>
        </w:rPr>
        <w:t xml:space="preserve"> Inventory of Family Support Perception – IPSF </w:t>
      </w:r>
      <w:r>
        <w:rPr>
          <w:rFonts w:ascii="Times New Roman" w:hAnsi="Times New Roman"/>
          <w:lang w:val="en-GB"/>
        </w:rPr>
        <w:t>(Baptista, 2009): This instrument comprises 42 affirmations and built on a</w:t>
      </w:r>
      <w:r>
        <w:rPr>
          <w:rFonts w:ascii="Times New Roman" w:hAnsi="Times New Roman"/>
          <w:i/>
          <w:lang w:val="en-GB"/>
        </w:rPr>
        <w:t xml:space="preserve"> </w:t>
      </w:r>
      <w:r>
        <w:rPr>
          <w:rFonts w:ascii="Times New Roman" w:hAnsi="Times New Roman"/>
          <w:lang w:val="en-GB"/>
        </w:rPr>
        <w:t xml:space="preserve">three-point </w:t>
      </w:r>
      <w:r>
        <w:rPr>
          <w:rFonts w:ascii="Times New Roman" w:hAnsi="Times New Roman"/>
          <w:i/>
          <w:lang w:val="en-GB"/>
        </w:rPr>
        <w:t xml:space="preserve">Likert </w:t>
      </w:r>
      <w:r>
        <w:rPr>
          <w:rFonts w:ascii="Times New Roman" w:hAnsi="Times New Roman"/>
          <w:lang w:val="en-GB"/>
        </w:rPr>
        <w:t>scale. It evaluates individuals’ perceptions of family relations in terms of affection, autonomy, and adaptation amongst members divided into the following three factors: Affectionate-Consistent, Family Adaptation, and Family Autonomy. This inventory was validated for a population ranging from 11 to 57 years of age. The results were calculated based on the sum of these factors. The instrument showed a reliability coefficient of 0,93 (</w:t>
      </w:r>
      <w:r>
        <w:rPr>
          <w:rFonts w:ascii="Times New Roman" w:hAnsi="Times New Roman"/>
          <w:i/>
          <w:lang w:val="en-GB"/>
        </w:rPr>
        <w:t xml:space="preserve">Cronbach’s </w:t>
      </w:r>
      <w:r>
        <w:rPr>
          <w:rFonts w:ascii="Times New Roman" w:hAnsi="Times New Roman"/>
          <w:lang w:val="en-GB"/>
        </w:rPr>
        <w:t>alpha).</w:t>
      </w:r>
    </w:p>
    <w:p>
      <w:pPr>
        <w:pStyle w:val="Normal"/>
        <w:jc w:val="both"/>
        <w:rPr>
          <w:rFonts w:ascii="Times New Roman" w:hAnsi="Times New Roman"/>
          <w:lang w:val="en-GB"/>
        </w:rPr>
      </w:pPr>
      <w:r>
        <w:rPr>
          <w:rFonts w:ascii="Times New Roman" w:hAnsi="Times New Roman"/>
          <w:lang w:val="en-GB"/>
        </w:rPr>
      </w:r>
    </w:p>
    <w:p>
      <w:pPr>
        <w:pStyle w:val="Normal"/>
        <w:jc w:val="both"/>
        <w:rPr>
          <w:rFonts w:ascii="Times New Roman" w:hAnsi="Times New Roman"/>
          <w:b/>
          <w:b/>
          <w:color w:val="000000"/>
          <w:lang w:val="en-GB" w:eastAsia="pt-BR"/>
        </w:rPr>
      </w:pPr>
      <w:r>
        <w:rPr>
          <w:rFonts w:ascii="Times New Roman" w:hAnsi="Times New Roman"/>
          <w:b/>
          <w:color w:val="000000"/>
          <w:lang w:val="en-GB" w:eastAsia="pt-BR"/>
        </w:rPr>
        <w:t>Data analysis</w:t>
      </w:r>
    </w:p>
    <w:p>
      <w:pPr>
        <w:pStyle w:val="Normal"/>
        <w:ind w:firstLine="720"/>
        <w:jc w:val="both"/>
        <w:rPr>
          <w:rFonts w:ascii="Times New Roman" w:hAnsi="Times New Roman"/>
          <w:color w:val="000000"/>
          <w:lang w:val="en-GB" w:eastAsia="pt-BR"/>
        </w:rPr>
      </w:pPr>
      <w:r>
        <w:rPr>
          <w:rFonts w:ascii="Times New Roman" w:hAnsi="Times New Roman"/>
          <w:color w:val="000000"/>
          <w:lang w:val="en-GB" w:eastAsia="pt-BR"/>
        </w:rPr>
      </w:r>
    </w:p>
    <w:p>
      <w:pPr>
        <w:pStyle w:val="Normal"/>
        <w:ind w:firstLine="720"/>
        <w:jc w:val="both"/>
        <w:rPr>
          <w:rFonts w:ascii="Times New Roman" w:hAnsi="Times New Roman"/>
          <w:color w:val="000000"/>
          <w:lang w:val="en-GB" w:eastAsia="pt-BR"/>
        </w:rPr>
      </w:pPr>
      <w:r>
        <w:rPr>
          <w:rFonts w:ascii="Times New Roman" w:hAnsi="Times New Roman"/>
          <w:color w:val="000000"/>
          <w:lang w:val="en-GB" w:eastAsia="pt-BR"/>
        </w:rPr>
        <w:t xml:space="preserve">The collected data were coded, digitized, stored, and analysed with </w:t>
      </w:r>
      <w:r>
        <w:rPr>
          <w:rFonts w:ascii="Times New Roman" w:hAnsi="Times New Roman"/>
          <w:i/>
          <w:color w:val="000000"/>
          <w:lang w:val="en-GB" w:eastAsia="pt-BR"/>
        </w:rPr>
        <w:t xml:space="preserve">Statistical Package for the Social Sciences </w:t>
      </w:r>
      <w:r>
        <w:rPr>
          <w:rFonts w:ascii="Times New Roman" w:hAnsi="Times New Roman"/>
          <w:color w:val="000000"/>
          <w:lang w:val="en-GB" w:eastAsia="pt-BR"/>
        </w:rPr>
        <w:t xml:space="preserve">(SPSS) version 21 for Windows. Initially, descriptive analyses of an exploratory nature were completed. Afterwards, </w:t>
      </w:r>
      <w:r>
        <w:rPr>
          <w:rFonts w:ascii="Times New Roman" w:hAnsi="Times New Roman"/>
          <w:i/>
          <w:color w:val="000000"/>
          <w:lang w:val="en-GB" w:eastAsia="pt-BR"/>
        </w:rPr>
        <w:t xml:space="preserve">Pearson </w:t>
      </w:r>
      <w:r>
        <w:rPr>
          <w:rFonts w:ascii="Times New Roman" w:hAnsi="Times New Roman"/>
          <w:color w:val="000000"/>
          <w:lang w:val="en-GB" w:eastAsia="pt-BR"/>
        </w:rPr>
        <w:t xml:space="preserve">or </w:t>
      </w:r>
      <w:r>
        <w:rPr>
          <w:rFonts w:ascii="Times New Roman" w:hAnsi="Times New Roman"/>
          <w:i/>
          <w:color w:val="000000"/>
          <w:lang w:val="en-GB" w:eastAsia="pt-BR"/>
        </w:rPr>
        <w:t>Spearman</w:t>
      </w:r>
      <w:r>
        <w:rPr>
          <w:rFonts w:ascii="Times New Roman" w:hAnsi="Times New Roman"/>
          <w:color w:val="000000"/>
          <w:lang w:val="en-GB" w:eastAsia="pt-BR"/>
        </w:rPr>
        <w:t xml:space="preserve"> tests were conducted to measure the association between the dependent variable (community integration) and independent variables. Variables that showed a positive association with community integration were included in a linear regression model through the </w:t>
      </w:r>
      <w:r>
        <w:rPr>
          <w:rFonts w:ascii="Times New Roman" w:hAnsi="Times New Roman"/>
          <w:i/>
          <w:color w:val="000000"/>
          <w:lang w:val="en-GB" w:eastAsia="pt-BR"/>
        </w:rPr>
        <w:t>Stepwise</w:t>
      </w:r>
      <w:r>
        <w:rPr>
          <w:rFonts w:ascii="Times New Roman" w:hAnsi="Times New Roman"/>
          <w:color w:val="000000"/>
          <w:lang w:val="en-GB" w:eastAsia="pt-BR"/>
        </w:rPr>
        <w:t xml:space="preserve"> method.</w:t>
      </w:r>
    </w:p>
    <w:p>
      <w:pPr>
        <w:pStyle w:val="Normal"/>
        <w:ind w:firstLine="720"/>
        <w:jc w:val="both"/>
        <w:rPr>
          <w:rFonts w:ascii="Times New Roman" w:hAnsi="Times New Roman"/>
          <w:i/>
          <w:i/>
          <w:color w:val="000000"/>
          <w:lang w:val="en-GB" w:eastAsia="pt-BR"/>
        </w:rPr>
      </w:pPr>
      <w:r>
        <w:rPr>
          <w:rFonts w:ascii="Times New Roman" w:hAnsi="Times New Roman"/>
          <w:i/>
          <w:color w:val="000000"/>
          <w:lang w:val="en-GB" w:eastAsia="pt-BR"/>
        </w:rPr>
      </w:r>
    </w:p>
    <w:p>
      <w:pPr>
        <w:pStyle w:val="Normal"/>
        <w:jc w:val="both"/>
        <w:rPr>
          <w:rFonts w:ascii="Times New Roman" w:hAnsi="Times New Roman"/>
          <w:b/>
          <w:b/>
          <w:color w:val="000000"/>
          <w:lang w:val="en-GB" w:eastAsia="pt-BR"/>
        </w:rPr>
      </w:pPr>
      <w:r>
        <w:rPr>
          <w:rFonts w:ascii="Times New Roman" w:hAnsi="Times New Roman"/>
          <w:b/>
          <w:color w:val="000000"/>
          <w:lang w:val="en-GB" w:eastAsia="pt-BR"/>
        </w:rPr>
        <w:t>Ethical Procedures</w:t>
      </w:r>
    </w:p>
    <w:p>
      <w:pPr>
        <w:pStyle w:val="Normal"/>
        <w:ind w:firstLine="720"/>
        <w:jc w:val="both"/>
        <w:rPr>
          <w:rFonts w:ascii="Times New Roman" w:hAnsi="Times New Roman"/>
          <w:color w:val="000000"/>
          <w:lang w:val="en-GB" w:eastAsia="pt-BR"/>
        </w:rPr>
      </w:pPr>
      <w:r>
        <w:rPr>
          <w:rFonts w:ascii="Times New Roman" w:hAnsi="Times New Roman"/>
          <w:color w:val="000000"/>
          <w:lang w:val="en-GB" w:eastAsia="pt-BR"/>
        </w:rPr>
      </w:r>
    </w:p>
    <w:p>
      <w:pPr>
        <w:pStyle w:val="Normal"/>
        <w:ind w:firstLine="720"/>
        <w:jc w:val="both"/>
        <w:rPr>
          <w:rFonts w:ascii="Times New Roman" w:hAnsi="Times New Roman"/>
          <w:color w:val="000000"/>
          <w:lang w:val="en-GB" w:eastAsia="pt-BR"/>
        </w:rPr>
      </w:pPr>
      <w:r>
        <w:rPr>
          <w:rFonts w:ascii="Times New Roman" w:hAnsi="Times New Roman"/>
          <w:color w:val="000000"/>
          <w:lang w:val="en-GB" w:eastAsia="pt-BR"/>
        </w:rPr>
        <w:t xml:space="preserve">The project was approved by the Ethic Committees of Research of the Pontifícia Universidade Católica do Rio Grande do Sul (PUCRS) and by the Municipal City Hall of Porto Alegre. All principles of ethics were observed and respected with the aim to protect the rights of participants, per Resolution 196/96 of the Brazilian Ministry of Health’s National Health Counsel. </w:t>
      </w:r>
    </w:p>
    <w:p>
      <w:pPr>
        <w:pStyle w:val="Normal"/>
        <w:jc w:val="both"/>
        <w:rPr>
          <w:rFonts w:ascii="Times New Roman" w:hAnsi="Times New Roman"/>
          <w:lang w:val="en-GB"/>
        </w:rPr>
      </w:pPr>
      <w:r>
        <w:rPr>
          <w:rFonts w:ascii="Times New Roman" w:hAnsi="Times New Roman"/>
          <w:lang w:val="en-GB"/>
        </w:rPr>
      </w:r>
    </w:p>
    <w:p>
      <w:pPr>
        <w:pStyle w:val="Normal"/>
        <w:spacing w:before="0" w:after="160"/>
        <w:rPr>
          <w:rFonts w:ascii="Times New Roman" w:hAnsi="Times New Roman"/>
          <w:lang w:val="en-GB"/>
        </w:rPr>
      </w:pPr>
      <w:r>
        <w:rPr>
          <w:rFonts w:ascii="Times New Roman" w:hAnsi="Times New Roman"/>
          <w:b/>
          <w:lang w:val="en-GB"/>
        </w:rPr>
        <w:t>RESULTS AND DISCUSSION</w:t>
      </w:r>
    </w:p>
    <w:p>
      <w:pPr>
        <w:pStyle w:val="Normal"/>
        <w:ind w:firstLine="709"/>
        <w:jc w:val="both"/>
        <w:rPr>
          <w:rFonts w:ascii="Times New Roman" w:hAnsi="Times New Roman"/>
          <w:lang w:val="en-GB"/>
        </w:rPr>
      </w:pPr>
      <w:r>
        <w:rPr>
          <w:rFonts w:ascii="Times New Roman" w:hAnsi="Times New Roman"/>
          <w:lang w:val="en-GB"/>
        </w:rPr>
        <w:t>Initially, a descriptive analysis was completed from participants’ sociodemographic profiles, shown in table 1.</w:t>
      </w:r>
    </w:p>
    <w:p>
      <w:pPr>
        <w:pStyle w:val="Normal"/>
        <w:jc w:val="both"/>
        <w:rPr>
          <w:rFonts w:ascii="Times New Roman" w:hAnsi="Times New Roman"/>
          <w:lang w:val="en-GB"/>
        </w:rPr>
      </w:pPr>
      <w:r>
        <w:rPr>
          <w:rFonts w:ascii="Times New Roman" w:hAnsi="Times New Roman"/>
          <w:lang w:val="en-GB"/>
        </w:rPr>
      </w:r>
    </w:p>
    <w:p>
      <w:pPr>
        <w:pStyle w:val="Normal"/>
        <w:jc w:val="both"/>
        <w:rPr>
          <w:rFonts w:ascii="Times New Roman" w:hAnsi="Times New Roman"/>
          <w:lang w:val="en-GB"/>
        </w:rPr>
      </w:pPr>
      <w:r>
        <w:rPr>
          <w:rFonts w:ascii="Times New Roman" w:hAnsi="Times New Roman"/>
          <w:lang w:val="en-GB"/>
        </w:rPr>
      </w:r>
      <w:r>
        <w:br w:type="page"/>
      </w:r>
    </w:p>
    <w:tbl>
      <w:tblPr>
        <w:tblpPr w:bottomFromText="0" w:horzAnchor="margin" w:leftFromText="141" w:rightFromText="141" w:tblpX="0" w:tblpY="2432" w:topFromText="0" w:vertAnchor="page"/>
        <w:tblW w:w="5000" w:type="pct"/>
        <w:jc w:val="left"/>
        <w:tblInd w:w="0"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val="04a0"/>
      </w:tblPr>
      <w:tblGrid>
        <w:gridCol w:w="2870"/>
        <w:gridCol w:w="1937"/>
        <w:gridCol w:w="829"/>
        <w:gridCol w:w="1520"/>
        <w:gridCol w:w="1348"/>
      </w:tblGrid>
      <w:tr>
        <w:trPr>
          <w:trHeight w:val="510" w:hRule="atLeast"/>
        </w:trPr>
        <w:tc>
          <w:tcPr>
            <w:tcW w:w="5636" w:type="dxa"/>
            <w:gridSpan w:val="3"/>
            <w:tcBorders>
              <w:top w:val="single" w:sz="4" w:space="0" w:color="00000A"/>
              <w:bottom w:val="single" w:sz="4" w:space="0" w:color="00000A"/>
              <w:insideH w:val="single" w:sz="4" w:space="0" w:color="00000A"/>
            </w:tcBorders>
            <w:shd w:color="auto" w:fill="auto" w:val="clear"/>
            <w:vAlign w:val="center"/>
          </w:tcPr>
          <w:p>
            <w:pPr>
              <w:pStyle w:val="Normal"/>
              <w:pageBreakBefore/>
              <w:rPr>
                <w:rFonts w:ascii="Times New Roman" w:hAnsi="Times New Roman"/>
                <w:b/>
                <w:b/>
                <w:sz w:val="18"/>
                <w:szCs w:val="18"/>
                <w:lang w:val="en-GB"/>
              </w:rPr>
            </w:pPr>
            <w:r>
              <w:rPr>
                <w:rFonts w:ascii="Times New Roman" w:hAnsi="Times New Roman"/>
                <w:b/>
                <w:sz w:val="18"/>
                <w:szCs w:val="18"/>
                <w:lang w:val="en-GB"/>
              </w:rPr>
              <w:t>SOCIODEMOGRAPHIC CHARACTERISTICS</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F (N=201)</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M</w:t>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DP</w:t>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SEX</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Men</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25</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12,4</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Women</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176</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87,6</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69"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AGE (YEARS)</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46</w:t>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16,37</w:t>
            </w:r>
          </w:p>
        </w:tc>
      </w:tr>
      <w:tr>
        <w:trPr>
          <w:trHeight w:val="269"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MARITAL STATUS</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Single</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107</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53,2</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Married</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50</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24,9</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Divorced</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14</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7</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Widowed</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30</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14,9</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YEARS OF EDUCATION</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5,47</w:t>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3,17</w:t>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RELIGIOUS</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Yes</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161</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80,1</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No</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40</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19,9</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 xml:space="preserve">NUMBER OF RESIDENTS </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4,13</w:t>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2,23</w:t>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FAMILY INCOME</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R$ 822,65</w:t>
            </w:r>
          </w:p>
          <w:p>
            <w:pPr>
              <w:pStyle w:val="Normal"/>
              <w:rPr>
                <w:rFonts w:ascii="Times New Roman" w:hAnsi="Times New Roman"/>
                <w:sz w:val="18"/>
                <w:szCs w:val="18"/>
                <w:lang w:val="en-GB"/>
              </w:rPr>
            </w:pPr>
            <w:r>
              <w:rPr>
                <w:rFonts w:ascii="Times New Roman" w:hAnsi="Times New Roman"/>
                <w:sz w:val="18"/>
                <w:szCs w:val="18"/>
                <w:lang w:val="en-GB"/>
              </w:rPr>
              <w:t>US$ 246,97*</w:t>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R$ 590,89</w:t>
            </w:r>
          </w:p>
          <w:p>
            <w:pPr>
              <w:pStyle w:val="Normal"/>
              <w:rPr>
                <w:rFonts w:ascii="Times New Roman" w:hAnsi="Times New Roman"/>
                <w:sz w:val="18"/>
                <w:szCs w:val="18"/>
                <w:lang w:val="en-GB"/>
              </w:rPr>
            </w:pPr>
            <w:r>
              <w:rPr>
                <w:rFonts w:ascii="Times New Roman" w:hAnsi="Times New Roman"/>
                <w:sz w:val="18"/>
                <w:szCs w:val="18"/>
                <w:lang w:val="en-GB"/>
              </w:rPr>
              <w:t>US$ 117,39*</w:t>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LENGTH OF INVOLVMENT</w:t>
            </w:r>
          </w:p>
          <w:p>
            <w:pPr>
              <w:pStyle w:val="Normal"/>
              <w:rPr>
                <w:rFonts w:ascii="Times New Roman" w:hAnsi="Times New Roman"/>
                <w:b/>
                <w:b/>
                <w:sz w:val="18"/>
                <w:szCs w:val="18"/>
                <w:lang w:val="en-GB"/>
              </w:rPr>
            </w:pPr>
            <w:r>
              <w:rPr>
                <w:rFonts w:ascii="Times New Roman" w:hAnsi="Times New Roman"/>
                <w:b/>
                <w:sz w:val="18"/>
                <w:szCs w:val="18"/>
                <w:lang w:val="en-GB"/>
              </w:rPr>
              <w:t xml:space="preserve">WITH PAES (MONTHS) </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61,85</w:t>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63,36</w:t>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RECEIVES SOCIAL FINANCIAL BENEFIT</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Yes</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149</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74,1</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 xml:space="preserve">    </w:t>
            </w:r>
            <w:r>
              <w:rPr>
                <w:rFonts w:ascii="Times New Roman" w:hAnsi="Times New Roman"/>
                <w:sz w:val="18"/>
                <w:szCs w:val="18"/>
                <w:lang w:val="en-GB"/>
              </w:rPr>
              <w:t>No</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52</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25,9</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TYPE OF BENEFIT**</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ind w:firstLine="142"/>
              <w:rPr>
                <w:rFonts w:ascii="Times New Roman" w:hAnsi="Times New Roman"/>
                <w:sz w:val="18"/>
                <w:szCs w:val="18"/>
                <w:lang w:val="en-GB"/>
              </w:rPr>
            </w:pPr>
            <w:r>
              <w:rPr>
                <w:rFonts w:ascii="Times New Roman" w:hAnsi="Times New Roman"/>
                <w:sz w:val="18"/>
                <w:szCs w:val="18"/>
                <w:lang w:val="en-GB"/>
              </w:rPr>
              <w:t>Programa Bolsa Família (PBF)</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133</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89,3</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ind w:firstLine="142"/>
              <w:rPr>
                <w:rFonts w:ascii="Times New Roman" w:hAnsi="Times New Roman"/>
                <w:sz w:val="18"/>
                <w:szCs w:val="18"/>
                <w:lang w:val="en-GB"/>
              </w:rPr>
            </w:pPr>
            <w:r>
              <w:rPr>
                <w:rFonts w:ascii="Times New Roman" w:hAnsi="Times New Roman"/>
                <w:sz w:val="18"/>
                <w:szCs w:val="18"/>
                <w:lang w:val="en-GB"/>
              </w:rPr>
              <w:t>Others</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16</w:t>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10,7</w:t>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r>
      <w:tr>
        <w:trPr>
          <w:trHeight w:val="283" w:hRule="atLeast"/>
        </w:trPr>
        <w:tc>
          <w:tcPr>
            <w:tcW w:w="287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t>BENEFIT VALUE**</w:t>
            </w:r>
          </w:p>
        </w:tc>
        <w:tc>
          <w:tcPr>
            <w:tcW w:w="1937"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b/>
                <w:b/>
                <w:sz w:val="18"/>
                <w:szCs w:val="18"/>
                <w:lang w:val="en-GB"/>
              </w:rPr>
            </w:pPr>
            <w:r>
              <w:rPr>
                <w:rFonts w:ascii="Times New Roman" w:hAnsi="Times New Roman"/>
                <w:b/>
                <w:sz w:val="18"/>
                <w:szCs w:val="18"/>
                <w:lang w:val="en-GB"/>
              </w:rPr>
            </w:r>
          </w:p>
        </w:tc>
        <w:tc>
          <w:tcPr>
            <w:tcW w:w="829"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r>
          </w:p>
        </w:tc>
        <w:tc>
          <w:tcPr>
            <w:tcW w:w="1520"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R$ 274,93</w:t>
            </w:r>
          </w:p>
          <w:p>
            <w:pPr>
              <w:pStyle w:val="Normal"/>
              <w:rPr>
                <w:rFonts w:ascii="Times New Roman" w:hAnsi="Times New Roman"/>
                <w:sz w:val="18"/>
                <w:szCs w:val="18"/>
                <w:lang w:val="en-GB"/>
              </w:rPr>
            </w:pPr>
            <w:r>
              <w:rPr>
                <w:rFonts w:ascii="Times New Roman" w:hAnsi="Times New Roman"/>
                <w:sz w:val="18"/>
                <w:szCs w:val="18"/>
                <w:lang w:val="en-GB"/>
              </w:rPr>
              <w:t>US$ 82,54*</w:t>
            </w:r>
          </w:p>
        </w:tc>
        <w:tc>
          <w:tcPr>
            <w:tcW w:w="1348" w:type="dxa"/>
            <w:tcBorders>
              <w:top w:val="single" w:sz="4" w:space="0" w:color="00000A"/>
              <w:bottom w:val="single" w:sz="4" w:space="0" w:color="00000A"/>
              <w:insideH w:val="single" w:sz="4" w:space="0" w:color="00000A"/>
            </w:tcBorders>
            <w:shd w:color="auto" w:fill="auto" w:val="clear"/>
            <w:vAlign w:val="center"/>
          </w:tcPr>
          <w:p>
            <w:pPr>
              <w:pStyle w:val="Normal"/>
              <w:rPr>
                <w:rFonts w:ascii="Times New Roman" w:hAnsi="Times New Roman"/>
                <w:sz w:val="18"/>
                <w:szCs w:val="18"/>
                <w:lang w:val="en-GB"/>
              </w:rPr>
            </w:pPr>
            <w:r>
              <w:rPr>
                <w:rFonts w:ascii="Times New Roman" w:hAnsi="Times New Roman"/>
                <w:sz w:val="18"/>
                <w:szCs w:val="18"/>
                <w:lang w:val="en-GB"/>
              </w:rPr>
              <w:t>R$ 218,42</w:t>
            </w:r>
          </w:p>
          <w:p>
            <w:pPr>
              <w:pStyle w:val="Normal"/>
              <w:rPr>
                <w:rFonts w:ascii="Times New Roman" w:hAnsi="Times New Roman"/>
                <w:sz w:val="18"/>
                <w:szCs w:val="18"/>
                <w:lang w:val="en-GB"/>
              </w:rPr>
            </w:pPr>
            <w:r>
              <w:rPr>
                <w:rFonts w:ascii="Times New Roman" w:hAnsi="Times New Roman"/>
                <w:sz w:val="18"/>
                <w:szCs w:val="18"/>
                <w:lang w:val="en-GB"/>
              </w:rPr>
              <w:t>US$ 65,57*</w:t>
            </w:r>
          </w:p>
        </w:tc>
      </w:tr>
    </w:tbl>
    <w:p>
      <w:pPr>
        <w:pStyle w:val="Normal"/>
        <w:jc w:val="both"/>
        <w:rPr>
          <w:rFonts w:ascii="Times New Roman" w:hAnsi="Times New Roman"/>
          <w:lang w:val="en-GB"/>
        </w:rPr>
      </w:pPr>
      <w:r>
        <w:rPr>
          <w:rFonts w:ascii="Times New Roman" w:hAnsi="Times New Roman"/>
          <w:lang w:val="en-GB"/>
        </w:rPr>
        <w:t>Table 1: Sample sociodemographic profile</w:t>
      </w:r>
      <w:r>
        <w:br w:type="page"/>
      </w:r>
    </w:p>
    <w:p>
      <w:pPr>
        <w:pStyle w:val="Normal"/>
        <w:ind w:firstLine="720"/>
        <w:jc w:val="both"/>
        <w:rPr>
          <w:rFonts w:ascii="Times New Roman" w:hAnsi="Times New Roman"/>
          <w:lang w:val="en-GB"/>
        </w:rPr>
      </w:pPr>
      <w:r>
        <w:rPr>
          <w:rFonts w:ascii="Times New Roman" w:hAnsi="Times New Roman"/>
          <w:lang w:val="en-GB"/>
        </w:rPr>
        <w:t xml:space="preserve">The majority of PAIF users benefitted from some type of social financial benefit (74,1%), with </w:t>
      </w:r>
      <w:r>
        <w:rPr>
          <w:rFonts w:ascii="Times New Roman" w:hAnsi="Times New Roman"/>
          <w:i/>
          <w:lang w:val="en-GB"/>
        </w:rPr>
        <w:t>Programa Bolsa Família</w:t>
      </w:r>
      <w:r>
        <w:rPr>
          <w:rFonts w:ascii="Times New Roman" w:hAnsi="Times New Roman"/>
          <w:lang w:val="en-GB"/>
        </w:rPr>
        <w:t xml:space="preserve"> being the most common benefit (89,3%). Other benefits (10,7%) included the Child Labor Eradication Program (PETI), which aims to eliminate labour among children and teenagers under 16 years of age; </w:t>
      </w:r>
      <w:r>
        <w:rPr>
          <w:rFonts w:ascii="Times New Roman" w:hAnsi="Times New Roman"/>
          <w:i/>
          <w:lang w:val="en-GB"/>
        </w:rPr>
        <w:t>Auxílio Brasil Carinhoso</w:t>
      </w:r>
      <w:r>
        <w:rPr>
          <w:rFonts w:ascii="Times New Roman" w:hAnsi="Times New Roman"/>
          <w:lang w:val="en-GB"/>
        </w:rPr>
        <w:t xml:space="preserve">, which aims to strengthen the care of children up to 6 years of age; and, </w:t>
      </w:r>
      <w:r>
        <w:rPr>
          <w:rFonts w:ascii="Times New Roman" w:hAnsi="Times New Roman"/>
          <w:i/>
          <w:lang w:val="en-GB"/>
        </w:rPr>
        <w:t>Benefício de Prestação Continuada</w:t>
      </w:r>
      <w:r>
        <w:rPr>
          <w:rFonts w:ascii="Times New Roman" w:hAnsi="Times New Roman"/>
          <w:lang w:val="en-GB"/>
        </w:rPr>
        <w:t xml:space="preserve"> (BPC), which aims to offer income to people with disabilities or the elderly with no means of sustaining themselves, among others. The benefit’s value equates to 33,4% of the total family income, thus comprising considerable importance in families’ subsistence.</w:t>
      </w:r>
    </w:p>
    <w:p>
      <w:pPr>
        <w:pStyle w:val="Normal"/>
        <w:ind w:firstLine="720"/>
        <w:jc w:val="both"/>
        <w:rPr>
          <w:rFonts w:ascii="Times New Roman" w:hAnsi="Times New Roman"/>
          <w:lang w:val="en-GB"/>
        </w:rPr>
      </w:pPr>
      <w:r>
        <w:rPr>
          <w:rFonts w:ascii="Times New Roman" w:hAnsi="Times New Roman"/>
          <w:lang w:val="en-GB"/>
        </w:rPr>
        <w:t xml:space="preserve">The average monthly family income </w:t>
      </w:r>
      <w:r>
        <w:rPr>
          <w:rFonts w:ascii="Times New Roman" w:hAnsi="Times New Roman"/>
          <w:i/>
          <w:lang w:val="en-GB"/>
        </w:rPr>
        <w:t xml:space="preserve">per capita </w:t>
      </w:r>
      <w:r>
        <w:rPr>
          <w:rFonts w:ascii="Times New Roman" w:hAnsi="Times New Roman"/>
          <w:lang w:val="en-GB"/>
        </w:rPr>
        <w:t>of the sample was R$ 199,19 (US$ 59,80</w:t>
      </w:r>
      <w:r>
        <w:rPr>
          <w:rStyle w:val="Ncoradanotadefim"/>
          <w:rFonts w:ascii="Times New Roman" w:hAnsi="Times New Roman"/>
          <w:lang w:val="en-GB"/>
        </w:rPr>
        <w:endnoteReference w:id="6"/>
      </w:r>
      <w:r>
        <w:rPr>
          <w:rFonts w:ascii="Times New Roman" w:hAnsi="Times New Roman"/>
          <w:lang w:val="en-GB"/>
        </w:rPr>
        <w:t xml:space="preserve">), placing these families in the low socioeconomic class or stratum 3, “Vulnerable”. Stratum 3 comprises a family income </w:t>
      </w:r>
      <w:r>
        <w:rPr>
          <w:rFonts w:ascii="Times New Roman" w:hAnsi="Times New Roman"/>
          <w:i/>
          <w:lang w:val="en-GB"/>
        </w:rPr>
        <w:t xml:space="preserve">per capita </w:t>
      </w:r>
      <w:r>
        <w:rPr>
          <w:rFonts w:ascii="Times New Roman" w:hAnsi="Times New Roman"/>
          <w:lang w:val="en-GB"/>
        </w:rPr>
        <w:t>of up to R$ 291, according to criteria adopted by the Brazilian government (Secretaria de Assuntos Estratégicos - Brasil, 2012). This stratum corresponds to 19% of the Brazilian population, placing it above the following two stratums: “Poor, though not extremely poor” and “Extremely poor”. However, according to the criteria adopted by Mazzon and Kamakura (2013), termed “Brazilian Criteria”, the sample classifies as stratum 1, “Extremely poor” that corresponds to families who earn an average income of R$ 854, in contrast to the criteria adopted by the Brazilian government.</w:t>
      </w:r>
    </w:p>
    <w:p>
      <w:pPr>
        <w:pStyle w:val="Normal"/>
        <w:ind w:firstLine="720"/>
        <w:jc w:val="both"/>
        <w:rPr/>
      </w:pPr>
      <w:r>
        <w:rPr>
          <w:rFonts w:ascii="Times New Roman" w:hAnsi="Times New Roman"/>
          <w:lang w:val="en-GB"/>
        </w:rPr>
        <w:t xml:space="preserve">There is a clear predominance of women being monitored by PAIF (87,6%). These data are similar to those found in other studies with families participating in basic social assistance. A predominance of women beneficiaries may be associated with Programa Bolsa Família. Although this policy does not formally predict a preference towards women when transferring income, in practice, women are prioritized due to an understanding that women often manage family needs and use this benefit to provide food for their children </w:t>
      </w:r>
      <w:r>
        <w:fldChar w:fldCharType="begin"/>
      </w:r>
      <w:r>
        <w:instrText>ADDIN CSL_CITATION { "citationItems" : [ { "id" : "ITEM-1", "itemData" : { "abstract" : "Este documento1 , apresenta uma s\u00edntese dos resultados da pesquisa, que tem como prin- cipais objetivos conhecer melhor o perfi l das fam\u00edlias benefi ciadas pelo Programa Bolsa Fa- m\u00edlia, as formas pelas quais acessam a alimenta\u00e7\u00e3o e as repercuss\u00f5es do Programa na seguran\u00e7a alimentar e nutricional. Foram, ainda, abordados aspectos do funcionamento do Programa e das rela\u00e7\u00f5es sociais de g\u00eanero, uma vez que a maioria dos(as) titulares s\u00e3o mulheres. A partir deste trabalho, o Ibase espera fornecer subs\u00eddios importantes para uma refl ex\u00e3o mais aprofunda sobre o Programa Bolsa Fam\u00edlia e para a proposi\u00e7\u00e3o de pol\u00edticas p\u00fablicas voltadas para a garantia do direito humano \u00e0 alimenta\u00e7\u00e3o adequada das fam\u00edlias brasileiras mais vulner\u00e1veis \u00e0 fome.", "author" : [ { "dropping-particle" : "", "family" : "Instituto Brasileiro de An\u00e1lises Sociais e Econ\u00f4micas - IBASE", "given" : "", "non-dropping-particle" : "", "parse-names" : false, "suffix" : "" } ], "id" : "ITEM-1", "issued" : { "date-parts" : [ [ "2008" ] ] }, "number-of-pages" : "1 - 21", "publisher-place" : "Rio de Janeiro", "title" : "Repercuss\u00f5es do Programa Bolsa Fam\u00edlia na seguran\u00e7a alimentar e nutricional das fam\u00edlias beneficiadas (documento s\u00edntese)", "type" : "report" }, "uris" : [ "http://www.mendeley.com/documents/?uuid=78d085ef-13f2-43bd-b64c-3cb06981553b" ] } ], "mendeley" : { "formattedCitation" : "(Instituto Brasileiro de An\u00e1lises Sociais e Econ\u00f4micas - IBASE, 2008)", "manualFormatting" : "(Instituto Brasileiro de An\u00e1lises Sociais e Econ\u00f4micas - IBASE, 2008", "plainTextFormattedCitation" : "(Instituto Brasileiro de An\u00e1lises Sociais e Econ\u00f4micas - IBASE, 2008)", "previouslyFormattedCitation" : "(Instituto Brasileiro de An\u00e1lises Sociais e Econ\u00f4micas - IBASE, 2008)" }, "properties" : { "noteIndex" : 0 }, "schema" : "https://github.com/citation-style-language/schema/raw/master/csl-citation.json" }</w:instrText>
      </w:r>
      <w:r>
        <w:fldChar w:fldCharType="separate"/>
      </w:r>
      <w:bookmarkStart w:id="25" w:name="__Fieldmark__753_673705230"/>
      <w:r>
        <w:rPr>
          <w:rFonts w:ascii="Times New Roman" w:hAnsi="Times New Roman"/>
          <w:lang w:val="en-GB"/>
        </w:rPr>
        <w:t>(</w:t>
      </w:r>
      <w:bookmarkStart w:id="26" w:name="__Fieldmark__2472_312630394"/>
      <w:r>
        <w:rPr>
          <w:rFonts w:ascii="Times New Roman" w:hAnsi="Times New Roman"/>
          <w:lang w:val="en-GB"/>
        </w:rPr>
        <w:t>Instituto Brasileiro de Análises Sociais e Econômicas - IBASE, 2008</w:t>
      </w:r>
      <w:r>
        <w:rPr>
          <w:rFonts w:ascii="Times New Roman" w:hAnsi="Times New Roman"/>
          <w:lang w:val="en-GB"/>
        </w:rPr>
      </w:r>
      <w:r>
        <w:fldChar w:fldCharType="end"/>
      </w:r>
      <w:bookmarkEnd w:id="25"/>
      <w:bookmarkEnd w:id="26"/>
      <w:r>
        <w:rPr>
          <w:rFonts w:ascii="Times New Roman" w:hAnsi="Times New Roman"/>
          <w:lang w:val="en-GB"/>
        </w:rPr>
        <w:t xml:space="preserve">; </w:t>
      </w:r>
      <w:r>
        <w:fldChar w:fldCharType="begin"/>
      </w:r>
      <w:r>
        <w:instrText>ADDIN CSL_CITATION { "citationItems" : [ { "id" : "ITEM-1", "itemData" : { "abstract" : "This paper analyses Brazilian, Chilean and Colombian experiences with conditional cash transfer programmes and how they have helped tackle gendered economic and social vulnerabilities. It is argued that Bolsa Fam\u00edlia, Chile Solidario and Familias en Acci\u00f3n should be analysed within the broader social protection strategies in which they are meant to be components. Such an approach can help generate thinking on ways to improve the impacts of the programmes in terms of gender equality. A detailed description of the programmes? design and implementation features is provided in order to understand both their rationale and their impacts. We conclude that the programmes do tackle a number of gendered vulnerabilities but also have clear limits with regard to a more decisive role in tackling gender inequities.", "author" : [ { "dropping-particle" : "", "family" : "Soares", "given" : "Fabio Veras", "non-dropping-particle" : "", "parse-names" : false, "suffix" : "" }, { "dropping-particle" : "", "family" : "Silva", "given" : "Elydia", "non-dropping-particle" : "", "parse-names" : false, "suffix" : "" } ], "container-title" : "Overseas Development Institute", "id" : "ITEM-1", "issued" : { "date-parts" : [ [ "2010" ] ] }, "number-of-pages" : "1-38", "publisher-place" : "London", "title" : "Conditional cash transfer programmes and gender vulnerabilities in Latin: Case stsudies from Brazil, Chile and Colombia", "type" : "report" }, "uris" : [ "http://www.mendeley.com/documents/?uuid=570f5896-fa70-4a86-a3fe-c4c77c351f98" ] } ], "mendeley" : { "formattedCitation" : "(Soares &amp; Silva, 2010)", "manualFormatting" : "Soares &amp; Silva, 2010)", "plainTextFormattedCitation" : "(Soares &amp; Silva, 2010)", "previouslyFormattedCitation" : "(Soares &amp; Silva, 2010)" }, "properties" : { "noteIndex" : 0 }, "schema" : "https://github.com/citation-style-language/schema/raw/master/csl-citation.json" }</w:instrText>
      </w:r>
      <w:r>
        <w:fldChar w:fldCharType="separate"/>
      </w:r>
      <w:bookmarkStart w:id="27" w:name="__Fieldmark__760_673705230"/>
      <w:r>
        <w:rPr>
          <w:rFonts w:ascii="Times New Roman" w:hAnsi="Times New Roman"/>
          <w:lang w:val="en-GB"/>
        </w:rPr>
        <w:t>S</w:t>
      </w:r>
      <w:bookmarkStart w:id="28" w:name="__Fieldmark__2497_312630394"/>
      <w:r>
        <w:rPr>
          <w:rFonts w:ascii="Times New Roman" w:hAnsi="Times New Roman"/>
          <w:lang w:val="en-GB"/>
        </w:rPr>
        <w:t>oares &amp; Silva, 2010)</w:t>
      </w:r>
      <w:r>
        <w:rPr>
          <w:rFonts w:ascii="Times New Roman" w:hAnsi="Times New Roman"/>
          <w:lang w:val="en-GB"/>
        </w:rPr>
      </w:r>
      <w:r>
        <w:fldChar w:fldCharType="end"/>
      </w:r>
      <w:bookmarkEnd w:id="27"/>
      <w:bookmarkEnd w:id="28"/>
      <w:r>
        <w:rPr>
          <w:rFonts w:ascii="Times New Roman" w:hAnsi="Times New Roman"/>
          <w:lang w:val="en-GB"/>
        </w:rPr>
        <w:t>.</w:t>
      </w:r>
    </w:p>
    <w:p>
      <w:pPr>
        <w:pStyle w:val="Normal"/>
        <w:ind w:firstLine="720"/>
        <w:jc w:val="both"/>
        <w:rPr>
          <w:rFonts w:ascii="Times New Roman" w:hAnsi="Times New Roman"/>
          <w:lang w:val="en-GB"/>
        </w:rPr>
      </w:pPr>
      <w:r>
        <w:rPr>
          <w:rFonts w:ascii="Times New Roman" w:hAnsi="Times New Roman"/>
          <w:lang w:val="en-GB"/>
        </w:rPr>
        <w:t>Considering that 75,5% of the sampled women were single, widowed, or divorced, this phenomenon may produce traditional gender roles and help explain the predominance of women beneficiaries in PAIF. We also draw attention to time spent in using this service, 5,15 years, which demonstrates a continuity of the service provided as well as a link to CRAS. The average years of schooling of 5,47 years, however, was below the national average of 7,7 years (UNPD, 2015).</w:t>
      </w:r>
    </w:p>
    <w:p>
      <w:pPr>
        <w:pStyle w:val="Normal"/>
        <w:ind w:firstLine="720"/>
        <w:jc w:val="both"/>
        <w:rPr>
          <w:rFonts w:ascii="Times New Roman" w:hAnsi="Times New Roman"/>
          <w:lang w:val="en-GB"/>
        </w:rPr>
      </w:pPr>
      <w:r>
        <w:rPr>
          <w:rFonts w:ascii="Times New Roman" w:hAnsi="Times New Roman"/>
          <w:lang w:val="en-GB"/>
        </w:rPr>
        <w:t>The following table shows the results of the constructs evaluated by the three instruments used in this study.</w:t>
      </w:r>
    </w:p>
    <w:p>
      <w:pPr>
        <w:pStyle w:val="Normal"/>
        <w:ind w:firstLine="720"/>
        <w:jc w:val="both"/>
        <w:rPr>
          <w:rFonts w:ascii="Times New Roman" w:hAnsi="Times New Roman"/>
          <w:lang w:val="en-GB"/>
        </w:rPr>
      </w:pPr>
      <w:r>
        <w:rPr>
          <w:rFonts w:ascii="Times New Roman" w:hAnsi="Times New Roman"/>
          <w:lang w:val="en-GB"/>
        </w:rPr>
      </w:r>
    </w:p>
    <w:p>
      <w:pPr>
        <w:pStyle w:val="Normal"/>
        <w:jc w:val="both"/>
        <w:rPr>
          <w:rFonts w:ascii="Times New Roman" w:hAnsi="Times New Roman"/>
          <w:lang w:val="en-GB"/>
        </w:rPr>
      </w:pPr>
      <w:r>
        <w:rPr>
          <w:rFonts w:ascii="Times New Roman" w:hAnsi="Times New Roman"/>
          <w:lang w:val="en-GB"/>
        </w:rPr>
        <w:t>Table 2: Brute score of the constructs evaluated in the study</w:t>
      </w:r>
    </w:p>
    <w:tbl>
      <w:tblPr>
        <w:tblStyle w:val="Tabelacomgrade"/>
        <w:tblW w:w="8504" w:type="dxa"/>
        <w:jc w:val="left"/>
        <w:tblInd w:w="109" w:type="dxa"/>
        <w:tblCellMar>
          <w:top w:w="0" w:type="dxa"/>
          <w:left w:w="113" w:type="dxa"/>
          <w:bottom w:w="0" w:type="dxa"/>
          <w:right w:w="108" w:type="dxa"/>
        </w:tblCellMar>
        <w:tblLook w:val="04a0"/>
      </w:tblPr>
      <w:tblGrid>
        <w:gridCol w:w="1842"/>
        <w:gridCol w:w="1701"/>
        <w:gridCol w:w="1701"/>
        <w:gridCol w:w="1701"/>
        <w:gridCol w:w="1559"/>
      </w:tblGrid>
      <w:tr>
        <w:trPr/>
        <w:tc>
          <w:tcPr>
            <w:tcW w:w="1842" w:type="dxa"/>
            <w:tcBorders>
              <w:left w:val="nil"/>
              <w:right w:val="nil"/>
              <w:insideV w:val="nil"/>
            </w:tcBorders>
            <w:shd w:color="auto" w:fill="auto" w:val="clear"/>
            <w:vAlign w:val="center"/>
          </w:tcPr>
          <w:p>
            <w:pPr>
              <w:pStyle w:val="Normal"/>
              <w:jc w:val="center"/>
              <w:rPr>
                <w:szCs w:val="20"/>
                <w:lang w:val="en-GB" w:eastAsia="pt-BR"/>
              </w:rPr>
            </w:pPr>
            <w:r>
              <w:rPr>
                <w:szCs w:val="20"/>
                <w:lang w:val="en-GB" w:eastAsia="pt-BR"/>
              </w:rPr>
            </w:r>
          </w:p>
        </w:tc>
        <w:tc>
          <w:tcPr>
            <w:tcW w:w="1701" w:type="dxa"/>
            <w:tcBorders>
              <w:left w:val="nil"/>
              <w:right w:val="nil"/>
              <w:insideV w:val="nil"/>
            </w:tcBorders>
            <w:shd w:color="auto" w:fill="auto" w:val="clear"/>
            <w:vAlign w:val="center"/>
          </w:tcPr>
          <w:p>
            <w:pPr>
              <w:pStyle w:val="Normal"/>
              <w:jc w:val="center"/>
              <w:rPr>
                <w:rFonts w:ascii="Times New Roman" w:hAnsi="Times New Roman"/>
                <w:sz w:val="22"/>
                <w:szCs w:val="22"/>
                <w:lang w:val="en-GB"/>
              </w:rPr>
            </w:pPr>
            <w:r>
              <w:rPr>
                <w:rFonts w:ascii="Times New Roman" w:hAnsi="Times New Roman"/>
                <w:sz w:val="22"/>
                <w:szCs w:val="22"/>
                <w:lang w:val="en-GB" w:eastAsia="pt-BR"/>
              </w:rPr>
              <w:t>Avg.</w:t>
            </w:r>
          </w:p>
        </w:tc>
        <w:tc>
          <w:tcPr>
            <w:tcW w:w="1701" w:type="dxa"/>
            <w:tcBorders>
              <w:left w:val="nil"/>
              <w:right w:val="nil"/>
              <w:insideV w:val="nil"/>
            </w:tcBorders>
            <w:shd w:color="auto" w:fill="auto" w:val="clear"/>
            <w:vAlign w:val="center"/>
          </w:tcPr>
          <w:p>
            <w:pPr>
              <w:pStyle w:val="Normal"/>
              <w:jc w:val="center"/>
              <w:rPr>
                <w:rFonts w:ascii="Times New Roman" w:hAnsi="Times New Roman" w:eastAsia="Calibri" w:eastAsiaTheme="minorHAnsi"/>
                <w:sz w:val="22"/>
                <w:szCs w:val="22"/>
                <w:lang w:val="en-GB"/>
              </w:rPr>
            </w:pPr>
            <w:r>
              <w:rPr>
                <w:rFonts w:eastAsia="Calibri" w:ascii="Times New Roman" w:hAnsi="Times New Roman" w:eastAsiaTheme="minorHAnsi"/>
                <w:sz w:val="22"/>
                <w:szCs w:val="22"/>
                <w:lang w:val="en-GB" w:eastAsia="pt-BR"/>
              </w:rPr>
              <w:t>Standard deviation</w:t>
            </w:r>
          </w:p>
        </w:tc>
        <w:tc>
          <w:tcPr>
            <w:tcW w:w="1701" w:type="dxa"/>
            <w:tcBorders>
              <w:left w:val="nil"/>
              <w:right w:val="nil"/>
              <w:insideV w:val="nil"/>
            </w:tcBorders>
            <w:shd w:color="auto" w:fill="auto" w:val="clear"/>
            <w:vAlign w:val="center"/>
          </w:tcPr>
          <w:p>
            <w:pPr>
              <w:pStyle w:val="Normal"/>
              <w:jc w:val="center"/>
              <w:rPr>
                <w:rFonts w:ascii="Times New Roman" w:hAnsi="Times New Roman" w:eastAsia="Calibri" w:eastAsiaTheme="minorHAnsi"/>
                <w:sz w:val="22"/>
                <w:szCs w:val="22"/>
                <w:lang w:val="en-GB"/>
              </w:rPr>
            </w:pPr>
            <w:r>
              <w:rPr>
                <w:rFonts w:eastAsia="Calibri" w:ascii="Times New Roman" w:hAnsi="Times New Roman" w:eastAsiaTheme="minorHAnsi"/>
                <w:sz w:val="22"/>
                <w:szCs w:val="22"/>
                <w:lang w:val="en-GB" w:eastAsia="pt-BR"/>
              </w:rPr>
              <w:t>Min. value</w:t>
            </w:r>
          </w:p>
        </w:tc>
        <w:tc>
          <w:tcPr>
            <w:tcW w:w="1559" w:type="dxa"/>
            <w:tcBorders>
              <w:left w:val="nil"/>
              <w:right w:val="nil"/>
              <w:insideV w:val="nil"/>
            </w:tcBorders>
            <w:shd w:color="auto" w:fill="auto" w:val="clear"/>
            <w:vAlign w:val="center"/>
          </w:tcPr>
          <w:p>
            <w:pPr>
              <w:pStyle w:val="Normal"/>
              <w:jc w:val="center"/>
              <w:rPr>
                <w:rFonts w:ascii="Times New Roman" w:hAnsi="Times New Roman" w:eastAsia="Calibri" w:eastAsiaTheme="minorHAnsi"/>
                <w:sz w:val="22"/>
                <w:szCs w:val="22"/>
                <w:lang w:val="en-GB"/>
              </w:rPr>
            </w:pPr>
            <w:r>
              <w:rPr>
                <w:rFonts w:eastAsia="Calibri" w:ascii="Times New Roman" w:hAnsi="Times New Roman" w:eastAsiaTheme="minorHAnsi"/>
                <w:sz w:val="22"/>
                <w:szCs w:val="22"/>
                <w:lang w:val="en-GB" w:eastAsia="pt-BR"/>
              </w:rPr>
              <w:t>Max. value</w:t>
            </w:r>
          </w:p>
        </w:tc>
      </w:tr>
      <w:tr>
        <w:trPr/>
        <w:tc>
          <w:tcPr>
            <w:tcW w:w="1842" w:type="dxa"/>
            <w:tcBorders>
              <w:left w:val="nil"/>
              <w:bottom w:val="nil"/>
              <w:right w:val="nil"/>
              <w:insideH w:val="nil"/>
              <w:insideV w:val="nil"/>
            </w:tcBorders>
            <w:shd w:color="auto" w:fill="auto" w:val="clear"/>
            <w:vAlign w:val="center"/>
          </w:tcPr>
          <w:p>
            <w:pPr>
              <w:pStyle w:val="Normal"/>
              <w:spacing w:before="40" w:after="0"/>
              <w:rPr>
                <w:rFonts w:ascii="Times New Roman" w:hAnsi="Times New Roman"/>
                <w:sz w:val="22"/>
                <w:szCs w:val="22"/>
                <w:lang w:val="en-GB"/>
              </w:rPr>
            </w:pPr>
            <w:r>
              <w:rPr>
                <w:rFonts w:ascii="Times New Roman" w:hAnsi="Times New Roman"/>
                <w:sz w:val="22"/>
                <w:szCs w:val="22"/>
                <w:lang w:val="en-GB" w:eastAsia="pt-BR"/>
              </w:rPr>
              <w:t>Family Support</w:t>
            </w:r>
          </w:p>
        </w:tc>
        <w:tc>
          <w:tcPr>
            <w:tcW w:w="1701" w:type="dxa"/>
            <w:tcBorders>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54,99</w:t>
            </w:r>
          </w:p>
        </w:tc>
        <w:tc>
          <w:tcPr>
            <w:tcW w:w="1701" w:type="dxa"/>
            <w:tcBorders>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15,97</w:t>
            </w:r>
          </w:p>
        </w:tc>
        <w:tc>
          <w:tcPr>
            <w:tcW w:w="1701" w:type="dxa"/>
            <w:tcBorders>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16</w:t>
            </w:r>
          </w:p>
        </w:tc>
        <w:tc>
          <w:tcPr>
            <w:tcW w:w="1559" w:type="dxa"/>
            <w:tcBorders>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83</w:t>
            </w:r>
          </w:p>
        </w:tc>
      </w:tr>
      <w:tr>
        <w:trPr/>
        <w:tc>
          <w:tcPr>
            <w:tcW w:w="1842" w:type="dxa"/>
            <w:tcBorders>
              <w:top w:val="nil"/>
              <w:left w:val="nil"/>
              <w:bottom w:val="nil"/>
              <w:right w:val="nil"/>
              <w:insideH w:val="nil"/>
              <w:insideV w:val="nil"/>
            </w:tcBorders>
            <w:shd w:color="auto" w:fill="auto" w:val="clear"/>
            <w:vAlign w:val="center"/>
          </w:tcPr>
          <w:p>
            <w:pPr>
              <w:pStyle w:val="Normal"/>
              <w:spacing w:before="40" w:after="0"/>
              <w:rPr>
                <w:rFonts w:ascii="Times New Roman" w:hAnsi="Times New Roman"/>
                <w:sz w:val="22"/>
                <w:szCs w:val="22"/>
                <w:lang w:val="en-GB"/>
              </w:rPr>
            </w:pPr>
            <w:r>
              <w:rPr>
                <w:rFonts w:ascii="Times New Roman" w:hAnsi="Times New Roman"/>
                <w:sz w:val="22"/>
                <w:szCs w:val="22"/>
                <w:lang w:val="en-GB" w:eastAsia="pt-BR"/>
              </w:rPr>
              <w:t>Community Integration</w:t>
            </w:r>
          </w:p>
        </w:tc>
        <w:tc>
          <w:tcPr>
            <w:tcW w:w="1701"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16,50</w:t>
            </w:r>
          </w:p>
        </w:tc>
        <w:tc>
          <w:tcPr>
            <w:tcW w:w="1701"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5,42</w:t>
            </w:r>
          </w:p>
        </w:tc>
        <w:tc>
          <w:tcPr>
            <w:tcW w:w="1701"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5</w:t>
            </w:r>
          </w:p>
        </w:tc>
        <w:tc>
          <w:tcPr>
            <w:tcW w:w="1559"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25</w:t>
            </w:r>
          </w:p>
        </w:tc>
      </w:tr>
      <w:tr>
        <w:trPr/>
        <w:tc>
          <w:tcPr>
            <w:tcW w:w="1842" w:type="dxa"/>
            <w:tcBorders>
              <w:top w:val="nil"/>
              <w:left w:val="nil"/>
              <w:bottom w:val="nil"/>
              <w:right w:val="nil"/>
              <w:insideH w:val="nil"/>
              <w:insideV w:val="nil"/>
            </w:tcBorders>
            <w:shd w:color="auto" w:fill="auto" w:val="clear"/>
            <w:vAlign w:val="center"/>
          </w:tcPr>
          <w:p>
            <w:pPr>
              <w:pStyle w:val="Normal"/>
              <w:spacing w:before="40" w:after="0"/>
              <w:rPr>
                <w:rFonts w:ascii="Times New Roman" w:hAnsi="Times New Roman"/>
                <w:sz w:val="22"/>
                <w:szCs w:val="22"/>
                <w:lang w:val="en-GB"/>
              </w:rPr>
            </w:pPr>
            <w:r>
              <w:rPr>
                <w:rFonts w:ascii="Times New Roman" w:hAnsi="Times New Roman"/>
                <w:sz w:val="22"/>
                <w:szCs w:val="22"/>
                <w:lang w:val="en-GB" w:eastAsia="pt-BR"/>
              </w:rPr>
              <w:t>Community Participation</w:t>
            </w:r>
          </w:p>
        </w:tc>
        <w:tc>
          <w:tcPr>
            <w:tcW w:w="1701"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15,39</w:t>
            </w:r>
          </w:p>
        </w:tc>
        <w:tc>
          <w:tcPr>
            <w:tcW w:w="1701"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5,84</w:t>
            </w:r>
          </w:p>
        </w:tc>
        <w:tc>
          <w:tcPr>
            <w:tcW w:w="1701"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6</w:t>
            </w:r>
          </w:p>
        </w:tc>
        <w:tc>
          <w:tcPr>
            <w:tcW w:w="1559"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30</w:t>
            </w:r>
          </w:p>
        </w:tc>
      </w:tr>
      <w:tr>
        <w:trPr/>
        <w:tc>
          <w:tcPr>
            <w:tcW w:w="1842" w:type="dxa"/>
            <w:tcBorders>
              <w:top w:val="nil"/>
              <w:left w:val="nil"/>
              <w:bottom w:val="nil"/>
              <w:right w:val="nil"/>
              <w:insideH w:val="nil"/>
              <w:insideV w:val="nil"/>
            </w:tcBorders>
            <w:shd w:color="auto" w:fill="auto" w:val="clear"/>
            <w:vAlign w:val="center"/>
          </w:tcPr>
          <w:p>
            <w:pPr>
              <w:pStyle w:val="Normal"/>
              <w:spacing w:before="40" w:after="0"/>
              <w:rPr>
                <w:rFonts w:ascii="Times New Roman" w:hAnsi="Times New Roman"/>
                <w:sz w:val="22"/>
                <w:szCs w:val="22"/>
                <w:lang w:val="en-GB"/>
              </w:rPr>
            </w:pPr>
            <w:r>
              <w:rPr>
                <w:rFonts w:ascii="Times New Roman" w:hAnsi="Times New Roman"/>
                <w:sz w:val="22"/>
                <w:szCs w:val="22"/>
                <w:lang w:val="en-GB" w:eastAsia="pt-BR"/>
              </w:rPr>
              <w:t>Formal Social Support</w:t>
            </w:r>
          </w:p>
        </w:tc>
        <w:tc>
          <w:tcPr>
            <w:tcW w:w="1701"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16,84</w:t>
            </w:r>
          </w:p>
        </w:tc>
        <w:tc>
          <w:tcPr>
            <w:tcW w:w="1701"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3,34</w:t>
            </w:r>
          </w:p>
        </w:tc>
        <w:tc>
          <w:tcPr>
            <w:tcW w:w="1701"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4</w:t>
            </w:r>
          </w:p>
        </w:tc>
        <w:tc>
          <w:tcPr>
            <w:tcW w:w="1559" w:type="dxa"/>
            <w:tcBorders>
              <w:top w:val="nil"/>
              <w:left w:val="nil"/>
              <w:bottom w:val="nil"/>
              <w:right w:val="nil"/>
              <w:insideH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20</w:t>
            </w:r>
          </w:p>
        </w:tc>
      </w:tr>
      <w:tr>
        <w:trPr/>
        <w:tc>
          <w:tcPr>
            <w:tcW w:w="1842" w:type="dxa"/>
            <w:tcBorders>
              <w:top w:val="nil"/>
              <w:left w:val="nil"/>
              <w:right w:val="nil"/>
              <w:insideV w:val="nil"/>
            </w:tcBorders>
            <w:shd w:color="auto" w:fill="auto" w:val="clear"/>
            <w:vAlign w:val="center"/>
          </w:tcPr>
          <w:p>
            <w:pPr>
              <w:pStyle w:val="Normal"/>
              <w:spacing w:before="40" w:after="0"/>
              <w:rPr>
                <w:rFonts w:ascii="Times New Roman" w:hAnsi="Times New Roman"/>
                <w:sz w:val="22"/>
                <w:szCs w:val="22"/>
                <w:lang w:val="en-GB"/>
              </w:rPr>
            </w:pPr>
            <w:r>
              <w:rPr>
                <w:rFonts w:ascii="Times New Roman" w:hAnsi="Times New Roman"/>
                <w:sz w:val="22"/>
                <w:szCs w:val="22"/>
                <w:lang w:val="en-GB" w:eastAsia="pt-BR"/>
              </w:rPr>
              <w:t>Informal Social Support</w:t>
            </w:r>
          </w:p>
        </w:tc>
        <w:tc>
          <w:tcPr>
            <w:tcW w:w="1701" w:type="dxa"/>
            <w:tcBorders>
              <w:top w:val="nil"/>
              <w:left w:val="nil"/>
              <w:right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34,40</w:t>
            </w:r>
          </w:p>
        </w:tc>
        <w:tc>
          <w:tcPr>
            <w:tcW w:w="1701" w:type="dxa"/>
            <w:tcBorders>
              <w:top w:val="nil"/>
              <w:left w:val="nil"/>
              <w:right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10,24</w:t>
            </w:r>
          </w:p>
        </w:tc>
        <w:tc>
          <w:tcPr>
            <w:tcW w:w="1701" w:type="dxa"/>
            <w:tcBorders>
              <w:top w:val="nil"/>
              <w:left w:val="nil"/>
              <w:right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10</w:t>
            </w:r>
          </w:p>
        </w:tc>
        <w:tc>
          <w:tcPr>
            <w:tcW w:w="1559" w:type="dxa"/>
            <w:tcBorders>
              <w:top w:val="nil"/>
              <w:left w:val="nil"/>
              <w:right w:val="nil"/>
              <w:insideV w:val="nil"/>
            </w:tcBorders>
            <w:shd w:color="auto" w:fill="auto" w:val="clear"/>
            <w:vAlign w:val="center"/>
          </w:tcPr>
          <w:p>
            <w:pPr>
              <w:pStyle w:val="Normal"/>
              <w:jc w:val="center"/>
              <w:rPr>
                <w:rFonts w:ascii="Times New Roman" w:hAnsi="Times New Roman"/>
                <w:lang w:val="en-GB"/>
              </w:rPr>
            </w:pPr>
            <w:r>
              <w:rPr>
                <w:rFonts w:ascii="Times New Roman" w:hAnsi="Times New Roman"/>
                <w:szCs w:val="20"/>
                <w:lang w:val="en-GB" w:eastAsia="pt-BR"/>
              </w:rPr>
              <w:t>50</w:t>
            </w:r>
          </w:p>
        </w:tc>
      </w:tr>
    </w:tbl>
    <w:p>
      <w:pPr>
        <w:pStyle w:val="Normal"/>
        <w:ind w:firstLine="720"/>
        <w:jc w:val="both"/>
        <w:rPr>
          <w:rFonts w:ascii="Times New Roman" w:hAnsi="Times New Roman"/>
          <w:lang w:val="en-GB"/>
        </w:rPr>
      </w:pPr>
      <w:r>
        <w:rPr>
          <w:rFonts w:ascii="Times New Roman" w:hAnsi="Times New Roman"/>
          <w:lang w:val="en-GB"/>
        </w:rPr>
      </w:r>
    </w:p>
    <w:p>
      <w:pPr>
        <w:pStyle w:val="Normal"/>
        <w:ind w:firstLine="720"/>
        <w:jc w:val="both"/>
        <w:rPr>
          <w:rFonts w:ascii="Times New Roman" w:hAnsi="Times New Roman"/>
          <w:lang w:val="en-GB"/>
        </w:rPr>
      </w:pPr>
      <w:r>
        <w:rPr>
          <w:rFonts w:ascii="Times New Roman" w:hAnsi="Times New Roman"/>
          <w:lang w:val="en-GB"/>
        </w:rPr>
      </w:r>
    </w:p>
    <w:p>
      <w:pPr>
        <w:pStyle w:val="Normal"/>
        <w:jc w:val="both"/>
        <w:rPr>
          <w:rFonts w:ascii="Times New Roman" w:hAnsi="Times New Roman"/>
          <w:b/>
          <w:b/>
          <w:lang w:val="en-GB"/>
        </w:rPr>
      </w:pPr>
      <w:r>
        <w:rPr>
          <w:rFonts w:ascii="Times New Roman" w:hAnsi="Times New Roman"/>
          <w:b/>
          <w:lang w:val="en-GB"/>
        </w:rPr>
      </w:r>
    </w:p>
    <w:p>
      <w:pPr>
        <w:pStyle w:val="Normal"/>
        <w:jc w:val="both"/>
        <w:rPr>
          <w:rFonts w:ascii="Times New Roman" w:hAnsi="Times New Roman"/>
          <w:lang w:val="en-GB"/>
        </w:rPr>
      </w:pPr>
      <w:r>
        <w:rPr>
          <w:rFonts w:ascii="Times New Roman" w:hAnsi="Times New Roman"/>
          <w:lang w:val="en-GB"/>
        </w:rPr>
        <w:tab/>
        <w:t>According to the criteria of evaluation from the Inventory of Family Support Perception (IPSF) (Baptista, 2009), the sample scored 54,99, below the expected average (61,17), thus classifying the sample in the medium-low category (54 to 63 points). In relation to the remaining constructs evaluated by the Questionnaire of Community Social Support (Gracia et al., 2002), there is no validation with Brazilian populations as of yet; therefore, the parameters used in the original Spanish study will be used. The average scores are as follows: Community Integration (16,50), Community Participation (15,30), Formal Social Support (16,84), and Informal Social Support (34,40). In comparison to our sample, these averages were shown to be quite similar, without any significant variations: Community Integration (16,14), Community Participation (16,52), Formal Social Support (14,57) and Informal Social Support (32,20).</w:t>
      </w:r>
    </w:p>
    <w:p>
      <w:pPr>
        <w:pStyle w:val="Normal"/>
        <w:ind w:firstLine="708"/>
        <w:jc w:val="both"/>
        <w:rPr/>
      </w:pPr>
      <w:r>
        <w:rPr>
          <w:rFonts w:ascii="Times New Roman" w:hAnsi="Times New Roman"/>
          <w:lang w:val="en-GB"/>
        </w:rPr>
        <w:t xml:space="preserve">The results show that, while social support provided by the community network is within average, social support provided by the family network is below average. Family support is within the lower limit category “medium-low”, one point away from being placed in the “low” category. A study on social support among PAIF users from the qualitative perception of psychologists working in this service might help explain these results </w:t>
      </w:r>
      <w:r>
        <w:fldChar w:fldCharType="begin"/>
      </w:r>
      <w:r>
        <w:instrText>ADDIN CSL_CITATION { "citationItems" : [ { "id" : "ITEM-1", "itemData" : { "author" : [ { "dropping-particle" : "dos", "family" : "Santos-Lobo", "given" : "Nath\u00e1lia", "non-dropping-particle" : "", "parse-names" : false, "suffix" : "" }, { "dropping-particle" : "", "family" : "Motta", "given" : "Roberta Fin", "non-dropping-particle" : "", "parse-names" : false, "suffix" : "" }, { "dropping-particle" : "", "family" : "Cargnelutti", "given" : "Ezequiel Simonetti", "non-dropping-particle" : "", "parse-names" : false, "suffix" : "" }, { "dropping-particle" : "", "family" : "Pizzinato", "given" : "Adolfo", "non-dropping-particle" : "", "parse-names" : false, "suffix" : "" } ], "container-title" : "I COLOQUIO REGIONAL \u00bfFAMILIAS CONTEMPOR\u00c1NEAS - INTERVENCIONES CONTEMPOR\u00c1NEAS? Familias y Nueva Matriz de Protecci\u00f3n Social", "id" : "ITEM-1", "issued" : { "date-parts" : [ [ "2015" ] ] }, "page" : "520-532", "publisher-place" : "Montevideo", "title" : "A percep\u00e7\u00e3o dos(as) trabalhadores(as) sobre o apoio s\u00f3cio-familiar no contexto da Assist\u00eancia Social Brasileira", "type" : "paper-conference" }, "uris" : [ "http://www.mendeley.com/documents/?uuid=94461b70-24d9-4673-b553-1e64965540ca" ] } ], "mendeley" : { "formattedCitation" : "(Santos-Lobo, Motta, Cargnelutti, &amp; Pizzinato, 2015)", "plainTextFormattedCitation" : "(Santos-Lobo, Motta, Cargnelutti, &amp; Pizzinato, 2015)", "previouslyFormattedCitation" : "(Santos-Lobo, Motta, Cargnelutti, &amp; Pizzinato, 2015)" }, "properties" : { "noteIndex" : 0 }, "schema" : "https://github.com/citation-style-language/schema/raw/master/csl-citation.json" }</w:instrText>
      </w:r>
      <w:r>
        <w:fldChar w:fldCharType="separate"/>
      </w:r>
      <w:bookmarkStart w:id="29" w:name="__Fieldmark__880_673705230"/>
      <w:r>
        <w:rPr>
          <w:rFonts w:ascii="Times New Roman" w:hAnsi="Times New Roman"/>
          <w:lang w:val="en-GB"/>
        </w:rPr>
        <w:t>(</w:t>
      </w:r>
      <w:bookmarkStart w:id="30" w:name="__Fieldmark__2605_312630394"/>
      <w:r>
        <w:rPr>
          <w:rFonts w:ascii="Times New Roman" w:hAnsi="Times New Roman"/>
          <w:lang w:val="en-GB"/>
        </w:rPr>
        <w:t>Santos-Lobo, Motta, Cargnelutti, &amp; Pizzinato, 2015)</w:t>
      </w:r>
      <w:r>
        <w:rPr>
          <w:rFonts w:ascii="Times New Roman" w:hAnsi="Times New Roman"/>
          <w:lang w:val="en-GB"/>
        </w:rPr>
      </w:r>
      <w:r>
        <w:fldChar w:fldCharType="end"/>
      </w:r>
      <w:bookmarkEnd w:id="29"/>
      <w:bookmarkEnd w:id="30"/>
      <w:r>
        <w:rPr>
          <w:rFonts w:ascii="Times New Roman" w:hAnsi="Times New Roman"/>
          <w:lang w:val="en-GB"/>
        </w:rPr>
        <w:t>. Professionals have observed that the family network, in most cases, is fragile and marked by a rupture of bonds. As a coping strategy, the subject turns to the community in search of the social support not sufficiently secured through family. In the community, informal support networks via neighbours and formal support networks via professionals working in CRAS are equally important.</w:t>
      </w:r>
    </w:p>
    <w:p>
      <w:pPr>
        <w:pStyle w:val="Normal"/>
        <w:ind w:firstLine="708"/>
        <w:jc w:val="both"/>
        <w:rPr>
          <w:rFonts w:ascii="Times New Roman" w:hAnsi="Times New Roman"/>
          <w:lang w:val="en-GB"/>
        </w:rPr>
      </w:pPr>
      <w:r>
        <w:rPr>
          <w:rFonts w:ascii="Times New Roman" w:hAnsi="Times New Roman"/>
          <w:lang w:val="en-GB"/>
        </w:rPr>
        <w:t xml:space="preserve"> </w:t>
      </w:r>
      <w:r>
        <w:rPr>
          <w:rFonts w:ascii="Times New Roman" w:hAnsi="Times New Roman"/>
          <w:lang w:val="en-GB"/>
        </w:rPr>
        <w:t xml:space="preserve">To evaluate which factors were associated with community integration, correlations were made with other variables contained in the instruments used. Correlations were found between community integration and family support (r=.146, p&lt;.05), family autonomy (r=.140, p&lt;.05), age (r=.374, p&lt;.01), informal social support (r=.162, p&lt;.05), value of the benefit received (r=.235, p&lt;.01), and the length of use of PAIF (r=.145, p&lt;.05). The variables that presented correlation were then included in the regression model via the </w:t>
      </w:r>
      <w:r>
        <w:rPr>
          <w:rFonts w:ascii="Times New Roman" w:hAnsi="Times New Roman"/>
          <w:i/>
          <w:lang w:val="en-GB"/>
        </w:rPr>
        <w:t xml:space="preserve">Stepwise </w:t>
      </w:r>
      <w:r>
        <w:rPr>
          <w:rFonts w:ascii="Times New Roman" w:hAnsi="Times New Roman"/>
          <w:lang w:val="en-GB"/>
        </w:rPr>
        <w:t>method shown in table 3. In applying this method, which eliminates variables that do not show consistent association, the following variables were excluded: total social support, informal social support, family support, length of use of PAIF, and family autonomy.</w:t>
      </w:r>
    </w:p>
    <w:p>
      <w:pPr>
        <w:pStyle w:val="Normal"/>
        <w:ind w:firstLine="708"/>
        <w:jc w:val="both"/>
        <w:rPr>
          <w:rFonts w:ascii="Times New Roman" w:hAnsi="Times New Roman"/>
          <w:lang w:val="en-GB"/>
        </w:rPr>
      </w:pPr>
      <w:r>
        <w:rPr>
          <w:rFonts w:ascii="Times New Roman" w:hAnsi="Times New Roman"/>
          <w:lang w:val="en-GB"/>
        </w:rPr>
      </w:r>
    </w:p>
    <w:p>
      <w:pPr>
        <w:pStyle w:val="Normal"/>
        <w:jc w:val="both"/>
        <w:rPr>
          <w:rFonts w:ascii="Times New Roman" w:hAnsi="Times New Roman"/>
          <w:lang w:val="en-GB"/>
        </w:rPr>
      </w:pPr>
      <w:r>
        <w:rPr>
          <w:rFonts w:ascii="Times New Roman" w:hAnsi="Times New Roman"/>
          <w:lang w:val="en-GB"/>
        </w:rPr>
        <w:t>Table 3: Linear Regression Model for Community Integration</w:t>
      </w:r>
    </w:p>
    <w:tbl>
      <w:tblPr>
        <w:tblStyle w:val="Tabelacomgrade"/>
        <w:tblW w:w="8505" w:type="dxa"/>
        <w:jc w:val="left"/>
        <w:tblInd w:w="108" w:type="dxa"/>
        <w:tblCellMar>
          <w:top w:w="0" w:type="dxa"/>
          <w:left w:w="113" w:type="dxa"/>
          <w:bottom w:w="0" w:type="dxa"/>
          <w:right w:w="108" w:type="dxa"/>
        </w:tblCellMar>
        <w:tblLook w:val="04a0"/>
      </w:tblPr>
      <w:tblGrid>
        <w:gridCol w:w="2551"/>
        <w:gridCol w:w="1277"/>
        <w:gridCol w:w="1275"/>
        <w:gridCol w:w="1132"/>
        <w:gridCol w:w="1418"/>
        <w:gridCol w:w="851"/>
      </w:tblGrid>
      <w:tr>
        <w:trPr/>
        <w:tc>
          <w:tcPr>
            <w:tcW w:w="2551" w:type="dxa"/>
            <w:tcBorders>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Model</w:t>
            </w:r>
          </w:p>
        </w:tc>
        <w:tc>
          <w:tcPr>
            <w:tcW w:w="1277" w:type="dxa"/>
            <w:tcBorders>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B</w:t>
            </w:r>
          </w:p>
        </w:tc>
        <w:tc>
          <w:tcPr>
            <w:tcW w:w="1275" w:type="dxa"/>
            <w:tcBorders>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SEB</w:t>
            </w:r>
          </w:p>
        </w:tc>
        <w:tc>
          <w:tcPr>
            <w:tcW w:w="1132" w:type="dxa"/>
            <w:tcBorders>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i/>
                <w:iCs/>
                <w:color w:val="000000"/>
                <w:szCs w:val="20"/>
                <w:shd w:fill="FFFFFF" w:val="clear"/>
                <w:lang w:val="en-GB" w:eastAsia="pt-BR"/>
              </w:rPr>
              <w:t>β</w:t>
            </w:r>
          </w:p>
        </w:tc>
        <w:tc>
          <w:tcPr>
            <w:tcW w:w="1418" w:type="dxa"/>
            <w:tcBorders>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i/>
                <w:iCs/>
                <w:color w:val="000000"/>
                <w:szCs w:val="20"/>
                <w:shd w:fill="FFFFFF" w:val="clear"/>
                <w:lang w:val="en-GB" w:eastAsia="pt-BR"/>
              </w:rPr>
              <w:t xml:space="preserve">t </w:t>
            </w:r>
          </w:p>
        </w:tc>
        <w:tc>
          <w:tcPr>
            <w:tcW w:w="851" w:type="dxa"/>
            <w:tcBorders>
              <w:left w:val="nil"/>
              <w:right w:val="nil"/>
              <w:insideV w:val="nil"/>
            </w:tcBorders>
            <w:shd w:color="auto" w:fill="auto" w:val="clear"/>
            <w:vAlign w:val="center"/>
          </w:tcPr>
          <w:p>
            <w:pPr>
              <w:pStyle w:val="Normal"/>
              <w:rPr>
                <w:rFonts w:ascii="Times New Roman" w:hAnsi="Times New Roman"/>
                <w:i/>
                <w:i/>
                <w:lang w:val="en-GB"/>
              </w:rPr>
            </w:pPr>
            <w:r>
              <w:rPr>
                <w:rFonts w:ascii="Times New Roman" w:hAnsi="Times New Roman"/>
                <w:i/>
                <w:szCs w:val="20"/>
                <w:lang w:val="en-GB" w:eastAsia="pt-BR"/>
              </w:rPr>
              <w:t>p</w:t>
            </w:r>
          </w:p>
        </w:tc>
      </w:tr>
      <w:tr>
        <w:trPr/>
        <w:tc>
          <w:tcPr>
            <w:tcW w:w="2551" w:type="dxa"/>
            <w:tcBorders>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Community Integration    (constant)</w:t>
            </w:r>
          </w:p>
        </w:tc>
        <w:tc>
          <w:tcPr>
            <w:tcW w:w="1277" w:type="dxa"/>
            <w:tcBorders>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2,232</w:t>
            </w:r>
          </w:p>
        </w:tc>
        <w:tc>
          <w:tcPr>
            <w:tcW w:w="1275" w:type="dxa"/>
            <w:tcBorders>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1,922</w:t>
            </w:r>
          </w:p>
        </w:tc>
        <w:tc>
          <w:tcPr>
            <w:tcW w:w="1132" w:type="dxa"/>
            <w:tcBorders>
              <w:left w:val="nil"/>
              <w:bottom w:val="nil"/>
              <w:right w:val="nil"/>
              <w:insideH w:val="nil"/>
              <w:insideV w:val="nil"/>
            </w:tcBorders>
            <w:shd w:color="auto" w:fill="auto" w:val="clear"/>
            <w:vAlign w:val="center"/>
          </w:tcPr>
          <w:p>
            <w:pPr>
              <w:pStyle w:val="Normal"/>
              <w:rPr>
                <w:szCs w:val="20"/>
                <w:lang w:val="en-GB" w:eastAsia="pt-BR"/>
              </w:rPr>
            </w:pPr>
            <w:r>
              <w:rPr>
                <w:szCs w:val="20"/>
                <w:lang w:val="en-GB" w:eastAsia="pt-BR"/>
              </w:rPr>
            </w:r>
          </w:p>
        </w:tc>
        <w:tc>
          <w:tcPr>
            <w:tcW w:w="1418" w:type="dxa"/>
            <w:tcBorders>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1,161</w:t>
            </w:r>
          </w:p>
        </w:tc>
        <w:tc>
          <w:tcPr>
            <w:tcW w:w="851" w:type="dxa"/>
            <w:tcBorders>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.247</w:t>
            </w:r>
          </w:p>
        </w:tc>
      </w:tr>
      <w:tr>
        <w:trPr/>
        <w:tc>
          <w:tcPr>
            <w:tcW w:w="2551"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Age</w:t>
            </w:r>
          </w:p>
        </w:tc>
        <w:tc>
          <w:tcPr>
            <w:tcW w:w="1277"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.125</w:t>
            </w:r>
          </w:p>
        </w:tc>
        <w:tc>
          <w:tcPr>
            <w:tcW w:w="1275"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.028</w:t>
            </w:r>
          </w:p>
        </w:tc>
        <w:tc>
          <w:tcPr>
            <w:tcW w:w="1132"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.323</w:t>
            </w:r>
          </w:p>
        </w:tc>
        <w:tc>
          <w:tcPr>
            <w:tcW w:w="1418"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4,474</w:t>
            </w:r>
          </w:p>
        </w:tc>
        <w:tc>
          <w:tcPr>
            <w:tcW w:w="851"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&lt;.001</w:t>
            </w:r>
          </w:p>
        </w:tc>
      </w:tr>
      <w:tr>
        <w:trPr/>
        <w:tc>
          <w:tcPr>
            <w:tcW w:w="2551"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Community Participation</w:t>
            </w:r>
          </w:p>
        </w:tc>
        <w:tc>
          <w:tcPr>
            <w:tcW w:w="1277"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.219</w:t>
            </w:r>
          </w:p>
        </w:tc>
        <w:tc>
          <w:tcPr>
            <w:tcW w:w="1275"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.068</w:t>
            </w:r>
          </w:p>
        </w:tc>
        <w:tc>
          <w:tcPr>
            <w:tcW w:w="1132"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.234</w:t>
            </w:r>
          </w:p>
        </w:tc>
        <w:tc>
          <w:tcPr>
            <w:tcW w:w="1418"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3,224</w:t>
            </w:r>
          </w:p>
        </w:tc>
        <w:tc>
          <w:tcPr>
            <w:tcW w:w="851" w:type="dxa"/>
            <w:tcBorders>
              <w:top w:val="nil"/>
              <w:left w:val="nil"/>
              <w:bottom w:val="nil"/>
              <w:right w:val="nil"/>
              <w:insideH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.002</w:t>
            </w:r>
          </w:p>
        </w:tc>
      </w:tr>
      <w:tr>
        <w:trPr/>
        <w:tc>
          <w:tcPr>
            <w:tcW w:w="2551" w:type="dxa"/>
            <w:tcBorders>
              <w:top w:val="nil"/>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Benefit value (R$)</w:t>
            </w:r>
          </w:p>
        </w:tc>
        <w:tc>
          <w:tcPr>
            <w:tcW w:w="1277" w:type="dxa"/>
            <w:tcBorders>
              <w:top w:val="nil"/>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.006</w:t>
            </w:r>
          </w:p>
        </w:tc>
        <w:tc>
          <w:tcPr>
            <w:tcW w:w="1275" w:type="dxa"/>
            <w:tcBorders>
              <w:top w:val="nil"/>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.002</w:t>
            </w:r>
          </w:p>
        </w:tc>
        <w:tc>
          <w:tcPr>
            <w:tcW w:w="1132" w:type="dxa"/>
            <w:tcBorders>
              <w:top w:val="nil"/>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.224</w:t>
            </w:r>
          </w:p>
        </w:tc>
        <w:tc>
          <w:tcPr>
            <w:tcW w:w="1418" w:type="dxa"/>
            <w:tcBorders>
              <w:top w:val="nil"/>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3,200</w:t>
            </w:r>
          </w:p>
        </w:tc>
        <w:tc>
          <w:tcPr>
            <w:tcW w:w="851" w:type="dxa"/>
            <w:tcBorders>
              <w:top w:val="nil"/>
              <w:left w:val="nil"/>
              <w:right w:val="nil"/>
              <w:insideV w:val="nil"/>
            </w:tcBorders>
            <w:shd w:color="auto" w:fill="auto" w:val="clear"/>
            <w:vAlign w:val="center"/>
          </w:tcPr>
          <w:p>
            <w:pPr>
              <w:pStyle w:val="Normal"/>
              <w:rPr>
                <w:rFonts w:ascii="Times New Roman" w:hAnsi="Times New Roman"/>
                <w:lang w:val="en-GB"/>
              </w:rPr>
            </w:pPr>
            <w:r>
              <w:rPr>
                <w:rFonts w:ascii="Times New Roman" w:hAnsi="Times New Roman"/>
                <w:szCs w:val="20"/>
                <w:lang w:val="en-GB" w:eastAsia="pt-BR"/>
              </w:rPr>
              <w:t>.002</w:t>
            </w:r>
          </w:p>
        </w:tc>
      </w:tr>
    </w:tbl>
    <w:p>
      <w:pPr>
        <w:pStyle w:val="Normal"/>
        <w:jc w:val="both"/>
        <w:rPr>
          <w:rFonts w:ascii="Times New Roman" w:hAnsi="Times New Roman"/>
          <w:lang w:val="en-GB"/>
        </w:rPr>
      </w:pPr>
      <w:r>
        <w:rPr>
          <w:rFonts w:ascii="Times New Roman" w:hAnsi="Times New Roman"/>
          <w:lang w:val="en-GB"/>
        </w:rPr>
      </w:r>
    </w:p>
    <w:p>
      <w:pPr>
        <w:pStyle w:val="ListParagraph"/>
        <w:spacing w:lineRule="auto" w:line="240" w:before="0" w:after="0"/>
        <w:ind w:left="0" w:hanging="0"/>
        <w:contextualSpacing/>
        <w:jc w:val="both"/>
        <w:rPr>
          <w:rFonts w:ascii="Times New Roman" w:hAnsi="Times New Roman"/>
          <w:sz w:val="24"/>
          <w:szCs w:val="24"/>
          <w:lang w:val="en-GB"/>
        </w:rPr>
      </w:pPr>
      <w:r>
        <w:rPr>
          <w:rFonts w:cs="Times New Roman" w:ascii="Times New Roman" w:hAnsi="Times New Roman"/>
          <w:sz w:val="24"/>
          <w:szCs w:val="24"/>
          <w:lang w:val="en-GB"/>
        </w:rPr>
        <w:tab/>
        <w:t xml:space="preserve">The model investigated explained 30,5% of the variance and was proved significant [F(4,144)=15,775, R²=.305, p&lt;.001]. The coefficients of standardized regression </w:t>
      </w:r>
      <w:r>
        <w:rPr>
          <w:rFonts w:cs="Times New Roman" w:ascii="Times New Roman" w:hAnsi="Times New Roman"/>
          <w:color w:val="000000"/>
          <w:sz w:val="24"/>
          <w:szCs w:val="24"/>
          <w:shd w:fill="FFFFFF" w:val="clear"/>
          <w:lang w:val="en-GB"/>
        </w:rPr>
        <w:t>(</w:t>
      </w:r>
      <w:r>
        <w:rPr>
          <w:rFonts w:cs="Times New Roman" w:ascii="Times New Roman" w:hAnsi="Times New Roman"/>
          <w:i/>
          <w:iCs/>
          <w:color w:val="000000"/>
          <w:sz w:val="24"/>
          <w:szCs w:val="24"/>
          <w:shd w:fill="FFFFFF" w:val="clear"/>
          <w:lang w:val="en-GB"/>
        </w:rPr>
        <w:t>β</w:t>
      </w:r>
      <w:r>
        <w:rPr>
          <w:rFonts w:cs="Times New Roman" w:ascii="Times New Roman" w:hAnsi="Times New Roman"/>
          <w:color w:val="000000"/>
          <w:sz w:val="24"/>
          <w:szCs w:val="24"/>
          <w:shd w:fill="FFFFFF" w:val="clear"/>
          <w:lang w:val="en-GB"/>
        </w:rPr>
        <w:t>) indicated that age had the largest impact in community integration scoring (</w:t>
      </w:r>
      <w:r>
        <w:rPr>
          <w:rFonts w:cs="Times New Roman" w:ascii="Times New Roman" w:hAnsi="Times New Roman"/>
          <w:i/>
          <w:iCs/>
          <w:color w:val="000000"/>
          <w:sz w:val="24"/>
          <w:szCs w:val="24"/>
          <w:shd w:fill="FFFFFF" w:val="clear"/>
          <w:lang w:val="en-GB"/>
        </w:rPr>
        <w:t>β</w:t>
      </w:r>
      <w:r>
        <w:rPr>
          <w:rFonts w:cs="Times New Roman" w:ascii="Times New Roman" w:hAnsi="Times New Roman"/>
          <w:color w:val="000000"/>
          <w:sz w:val="24"/>
          <w:szCs w:val="24"/>
          <w:shd w:fill="FFFFFF" w:val="clear"/>
          <w:lang w:val="en-GB"/>
        </w:rPr>
        <w:t>=.323, p</w:t>
      </w:r>
      <w:r>
        <w:rPr>
          <w:rFonts w:ascii="Times New Roman" w:hAnsi="Times New Roman"/>
          <w:lang w:val="en-GB"/>
        </w:rPr>
        <w:t>&lt;.001</w:t>
      </w:r>
      <w:r>
        <w:rPr>
          <w:rFonts w:cs="Times New Roman" w:ascii="Times New Roman" w:hAnsi="Times New Roman"/>
          <w:color w:val="000000"/>
          <w:sz w:val="24"/>
          <w:szCs w:val="24"/>
          <w:shd w:fill="FFFFFF" w:val="clear"/>
          <w:lang w:val="en-GB"/>
        </w:rPr>
        <w:t xml:space="preserve">). The analysis of residue and </w:t>
      </w:r>
      <w:r>
        <w:rPr>
          <w:rFonts w:cs="Times New Roman" w:ascii="Times New Roman" w:hAnsi="Times New Roman"/>
          <w:i/>
          <w:color w:val="000000"/>
          <w:sz w:val="24"/>
          <w:szCs w:val="24"/>
          <w:shd w:fill="FFFFFF" w:val="clear"/>
          <w:lang w:val="en-GB"/>
        </w:rPr>
        <w:t xml:space="preserve">ScatterPlots </w:t>
      </w:r>
      <w:r>
        <w:rPr>
          <w:rFonts w:cs="Times New Roman" w:ascii="Times New Roman" w:hAnsi="Times New Roman"/>
          <w:color w:val="000000"/>
          <w:sz w:val="24"/>
          <w:szCs w:val="24"/>
          <w:shd w:fill="FFFFFF" w:val="clear"/>
          <w:lang w:val="en-GB"/>
        </w:rPr>
        <w:t>did not show the existence of inadequacy conditions in the results obtained. This result indicates that, as time goes on, individuals tend to establish more relationships and feel more welcome in the community network, which further strengthens a sense of belonging. It is important to highlight that the time in which each individual resided in the community was not evaluated. However, the age of participants allows one to infer that older people were more disposed or prone to engage with the community.</w:t>
      </w:r>
    </w:p>
    <w:p>
      <w:pPr>
        <w:pStyle w:val="Normal"/>
        <w:ind w:firstLine="720"/>
        <w:jc w:val="both"/>
        <w:rPr>
          <w:rFonts w:ascii="Times New Roman" w:hAnsi="Times New Roman"/>
          <w:lang w:val="en-GB"/>
        </w:rPr>
      </w:pPr>
      <w:r>
        <w:rPr>
          <w:rFonts w:ascii="Times New Roman" w:hAnsi="Times New Roman"/>
          <w:lang w:val="en-GB"/>
        </w:rPr>
        <w:t xml:space="preserve">A high explanatory degree is also observed in the relation between community integration and the value of the benefit received by the family </w:t>
      </w:r>
      <w:r>
        <w:rPr>
          <w:rFonts w:ascii="Times New Roman" w:hAnsi="Times New Roman"/>
          <w:color w:val="000000"/>
          <w:shd w:fill="FFFFFF" w:val="clear"/>
          <w:lang w:val="en-GB"/>
        </w:rPr>
        <w:t>(</w:t>
      </w:r>
      <w:r>
        <w:rPr>
          <w:rFonts w:ascii="Times New Roman" w:hAnsi="Times New Roman"/>
          <w:i/>
          <w:iCs/>
          <w:color w:val="000000"/>
          <w:shd w:fill="FFFFFF" w:val="clear"/>
          <w:lang w:val="en-GB"/>
        </w:rPr>
        <w:t>β</w:t>
      </w:r>
      <w:r>
        <w:rPr>
          <w:rStyle w:val="Appleconvertedspace"/>
          <w:rFonts w:ascii="Times New Roman" w:hAnsi="Times New Roman"/>
          <w:color w:val="000000"/>
          <w:shd w:fill="FFFFFF" w:val="clear"/>
          <w:lang w:val="en-GB"/>
        </w:rPr>
        <w:t> </w:t>
      </w:r>
      <w:r>
        <w:rPr>
          <w:rFonts w:ascii="Times New Roman" w:hAnsi="Times New Roman"/>
          <w:color w:val="000000"/>
          <w:shd w:fill="FFFFFF" w:val="clear"/>
          <w:lang w:val="en-GB"/>
        </w:rPr>
        <w:t>=.224, p=.002)</w:t>
      </w:r>
      <w:r>
        <w:rPr>
          <w:rFonts w:eastAsia="Calibri" w:ascii="Times New Roman" w:hAnsi="Times New Roman" w:eastAsiaTheme="minorHAnsi"/>
          <w:lang w:val="en-GB"/>
        </w:rPr>
        <w:t>, as the Programa Bolsa Família (PBF) corresponds to the larger part of users receiving a benefit of some type (89,3%). This result may be linked to the goals of the PAIF service, which, through the monitoring of PBF beneficiaries, seeks to strengthen community bonds (Brasil, 2012). Although we did not find specific studies concerning the relation between social support or community integration and the PBF, a vast amount of literature addresses the impact of PBF on different social spheres. In a study carried out by Mourão and de Jesus (2012) that considered 63 different articles and reports on the subject, authors note the impact of PBF on access to public services through several conditions.</w:t>
      </w:r>
    </w:p>
    <w:p>
      <w:pPr>
        <w:pStyle w:val="Normal"/>
        <w:ind w:firstLine="720"/>
        <w:jc w:val="both"/>
        <w:rPr/>
      </w:pPr>
      <w:r>
        <w:rPr>
          <w:rFonts w:ascii="Times New Roman" w:hAnsi="Times New Roman"/>
          <w:lang w:val="en-GB"/>
        </w:rPr>
        <w:t xml:space="preserve">The conditions, which, if not followed, result in the loss of the right to this benefit, have an impact on the monitoring of the family by public health and education services (Mourão &amp; de Jesus, 2012) and on social assistance, which monitors families and foresees group activities in CRAS </w:t>
      </w:r>
      <w:r>
        <w:fldChar w:fldCharType="begin"/>
      </w:r>
      <w:r>
        <w:instrText>ADDIN CSL_CITATION { "citationItems" : [ { "id" : "ITEM-1", "itemData" : { "author" : [ { "dropping-particle" : "", "family" : "Minist\u00e9rio do Desenvolvimento Social e Combate \u00e0 Fome - Brasil", "given" : "", "non-dropping-particle" : "", "parse-names" : false, "suffix" : "" } ], "id" : "ITEM-1", "issued" : { "date-parts" : [ [ "2005" ] ] }, "page" : "175", "publisher-place" : "Bras\u00edlia", "title" : "Pol\u00edtica Nacional de Assist\u00eancia Social - PNAS/2004. Normal Operacional B\u00e1sica - NOB/SUAS", "type" : "legislation" }, "uris" : [ "http://www.mendeley.com/documents/?uuid=228c7e75-7a95-4e8f-abf9-277cdca5d49d" ] } ], "mendeley" : { "formattedCitation" : "(Minist\u00e9rio do Desenvolvimento Social e Combate \u00e0 Fome - Brasil, 2005)", "plainTextFormattedCitation" : "(Minist\u00e9rio do Desenvolvimento Social e Combate \u00e0 Fome - Brasil, 2005)", "previouslyFormattedCitation" : "(Minist\u00e9rio do Desenvolvimento Social e Combate \u00e0 Fome - Brasil, 2005)" }, "properties" : { "noteIndex" : 0 }, "schema" : "https://github.com/citation-style-language/schema/raw/master/csl-citation.json" }</w:instrText>
      </w:r>
      <w:r>
        <w:fldChar w:fldCharType="separate"/>
      </w:r>
      <w:bookmarkStart w:id="31" w:name="__Fieldmark__1018_673705230"/>
      <w:r>
        <w:rPr>
          <w:rFonts w:ascii="Times New Roman" w:hAnsi="Times New Roman"/>
          <w:lang w:val="en-GB"/>
        </w:rPr>
        <w:t>(</w:t>
      </w:r>
      <w:bookmarkStart w:id="32" w:name="__Fieldmark__2766_312630394"/>
      <w:r>
        <w:rPr>
          <w:rFonts w:ascii="Times New Roman" w:hAnsi="Times New Roman"/>
          <w:lang w:val="en-GB"/>
        </w:rPr>
        <w:t>Ministério do Desenvolvimento Social e Combate à Fome - Brasil, 2005)</w:t>
      </w:r>
      <w:r>
        <w:rPr>
          <w:rFonts w:ascii="Times New Roman" w:hAnsi="Times New Roman"/>
          <w:lang w:val="en-GB"/>
        </w:rPr>
      </w:r>
      <w:r>
        <w:fldChar w:fldCharType="end"/>
      </w:r>
      <w:bookmarkEnd w:id="31"/>
      <w:bookmarkEnd w:id="32"/>
      <w:r>
        <w:rPr>
          <w:rFonts w:ascii="Times New Roman" w:hAnsi="Times New Roman"/>
          <w:lang w:val="en-GB"/>
        </w:rPr>
        <w:t xml:space="preserve">. In this way, there is both a creation and expansion of links among the community through relationships with public service professionals and group activities offered by CRAS. This point is clearer when considering the correlation between community integration and the length of participation in PAIF (r=.145, p&lt;.05), although this variable was not taken into account in the linear regression model. Lastly, the explanatory degree of community participation on community integration </w:t>
      </w:r>
      <w:r>
        <w:rPr>
          <w:rFonts w:ascii="Times New Roman" w:hAnsi="Times New Roman"/>
          <w:color w:val="000000"/>
          <w:shd w:fill="FFFFFF" w:val="clear"/>
          <w:lang w:val="en-GB"/>
        </w:rPr>
        <w:t>(</w:t>
      </w:r>
      <w:r>
        <w:rPr>
          <w:rFonts w:ascii="Times New Roman" w:hAnsi="Times New Roman"/>
          <w:i/>
          <w:iCs/>
          <w:color w:val="000000"/>
          <w:shd w:fill="FFFFFF" w:val="clear"/>
          <w:lang w:val="en-GB"/>
        </w:rPr>
        <w:t>β</w:t>
      </w:r>
      <w:r>
        <w:rPr>
          <w:rFonts w:ascii="Times New Roman" w:hAnsi="Times New Roman"/>
          <w:color w:val="000000"/>
          <w:shd w:fill="FFFFFF" w:val="clear"/>
          <w:lang w:val="en-GB"/>
        </w:rPr>
        <w:t>=.234, p</w:t>
      </w:r>
      <w:r>
        <w:rPr>
          <w:rFonts w:ascii="Times New Roman" w:hAnsi="Times New Roman"/>
          <w:lang w:val="en-GB"/>
        </w:rPr>
        <w:t>=.002</w:t>
      </w:r>
      <w:r>
        <w:rPr>
          <w:rFonts w:ascii="Times New Roman" w:hAnsi="Times New Roman"/>
          <w:color w:val="000000"/>
          <w:shd w:fill="FFFFFF" w:val="clear"/>
          <w:lang w:val="en-GB"/>
        </w:rPr>
        <w:t>) may be understood as follows: the more engaged the individual is in social activities, the more welcome that person will feel in the community and the larger her sense of belonging towards the community.</w:t>
      </w:r>
    </w:p>
    <w:p>
      <w:pPr>
        <w:pStyle w:val="Normal"/>
        <w:spacing w:before="0" w:after="160"/>
        <w:rPr>
          <w:rFonts w:ascii="Times New Roman" w:hAnsi="Times New Roman"/>
          <w:lang w:val="en-GB"/>
        </w:rPr>
      </w:pPr>
      <w:r>
        <w:rPr>
          <w:rFonts w:ascii="Times New Roman" w:hAnsi="Times New Roman"/>
          <w:lang w:val="en-GB"/>
        </w:rPr>
      </w:r>
    </w:p>
    <w:p>
      <w:pPr>
        <w:pStyle w:val="Normal"/>
        <w:spacing w:before="0" w:after="160"/>
        <w:rPr>
          <w:rFonts w:ascii="Times New Roman" w:hAnsi="Times New Roman"/>
          <w:lang w:val="en-GB"/>
        </w:rPr>
      </w:pPr>
      <w:r>
        <w:rPr>
          <w:rFonts w:ascii="Times New Roman" w:hAnsi="Times New Roman"/>
          <w:b/>
          <w:lang w:val="en-GB"/>
        </w:rPr>
        <w:t>CONCLUSIONS</w:t>
      </w:r>
    </w:p>
    <w:p>
      <w:pPr>
        <w:pStyle w:val="Normal"/>
        <w:ind w:firstLine="708"/>
        <w:jc w:val="both"/>
        <w:rPr>
          <w:rFonts w:ascii="Times New Roman" w:hAnsi="Times New Roman"/>
          <w:lang w:val="en-GB"/>
        </w:rPr>
      </w:pPr>
      <w:r>
        <w:rPr>
          <w:rFonts w:ascii="Times New Roman" w:hAnsi="Times New Roman"/>
          <w:lang w:val="en-GB"/>
        </w:rPr>
      </w:r>
    </w:p>
    <w:p>
      <w:pPr>
        <w:pStyle w:val="Normal"/>
        <w:ind w:firstLine="708"/>
        <w:jc w:val="both"/>
        <w:rPr>
          <w:rFonts w:ascii="Times New Roman" w:hAnsi="Times New Roman"/>
          <w:lang w:val="en-GB"/>
        </w:rPr>
      </w:pPr>
      <w:r>
        <w:rPr>
          <w:rFonts w:ascii="Times New Roman" w:hAnsi="Times New Roman"/>
          <w:lang w:val="en-GB"/>
        </w:rPr>
        <w:t>The present study explored social support and community integration of families monitored by PAIF and developed a sociodemographic profile of this population. The sample mostly comprised women from a low socioeconomic class with a low degree of schooling and beneficiaries of some type of social financial benefit, most often the Programa Bolsa Família (PBF).</w:t>
      </w:r>
    </w:p>
    <w:p>
      <w:pPr>
        <w:pStyle w:val="Normal"/>
        <w:ind w:firstLine="708"/>
        <w:jc w:val="both"/>
        <w:rPr>
          <w:rFonts w:ascii="Times New Roman" w:hAnsi="Times New Roman"/>
          <w:lang w:val="en-GB"/>
        </w:rPr>
      </w:pPr>
      <w:r>
        <w:rPr>
          <w:rFonts w:ascii="Times New Roman" w:hAnsi="Times New Roman"/>
          <w:lang w:val="en-GB"/>
        </w:rPr>
        <w:t xml:space="preserve">Social support in the community network is within the average, although social support among family networks was shown to be below average, classified as the lower limit of the “medium-low” category. These results may be understood with further studies regarding the frailty of PAIF users’ family networks and investments in community bonds, mainly via neighbours and PAIF professionals as a coping strategy. </w:t>
      </w:r>
    </w:p>
    <w:p>
      <w:pPr>
        <w:pStyle w:val="Normal"/>
        <w:ind w:firstLine="708"/>
        <w:jc w:val="both"/>
        <w:rPr>
          <w:rFonts w:ascii="Times New Roman" w:hAnsi="Times New Roman"/>
          <w:lang w:val="en-GB"/>
        </w:rPr>
      </w:pPr>
      <w:r>
        <w:rPr>
          <w:rFonts w:ascii="Times New Roman" w:hAnsi="Times New Roman"/>
          <w:lang w:val="en-GB"/>
        </w:rPr>
        <w:t>For the linear regression model fitted for community integration, variables with a high explanatory degree included social support, age, and value of benefit. These results indicate that individuals tended to establish more relationships and feel more welcome in the community network over time, further forming a feeling of belonging. In regards to the value of benefits received, we hypothesize that the conditions of family monitoring by public services—requirements for receiving PBF benefits—explain such an impact on community integration. This explanation is further strengthened when we consider that there was also a correlation between the length of use of PAIF and community integration.</w:t>
      </w:r>
    </w:p>
    <w:p>
      <w:pPr>
        <w:pStyle w:val="Normal"/>
        <w:ind w:firstLine="708"/>
        <w:jc w:val="both"/>
        <w:rPr>
          <w:rFonts w:ascii="Times New Roman" w:hAnsi="Times New Roman"/>
          <w:lang w:val="en-GB"/>
        </w:rPr>
      </w:pPr>
      <w:r>
        <w:rPr>
          <w:rFonts w:ascii="Times New Roman" w:hAnsi="Times New Roman"/>
          <w:lang w:val="en-GB"/>
        </w:rPr>
        <w:t>As final considerations, we note the limitations and perspectives of future studies. The Questionnaire of Community Social Support, as of this study, has not yet been validated or adapted to the Brazilian context. This study pioneered the application of this instrument to the country’s population. Our research team is validating this instrument, and the scores obtained may serve as a comparison in studies of similar populations. With the aim to better establish a relationship between social support and community integration among users of PAIF, more studies with larger sample sizes and populations in other regions of Brazil could be carried out.</w:t>
      </w:r>
    </w:p>
    <w:p>
      <w:pPr>
        <w:pStyle w:val="Normal"/>
        <w:spacing w:lineRule="auto" w:line="360"/>
        <w:jc w:val="both"/>
        <w:rPr>
          <w:rFonts w:ascii="Times New Roman" w:hAnsi="Times New Roman"/>
          <w:lang w:val="en-GB"/>
        </w:rPr>
      </w:pPr>
      <w:r>
        <w:rPr>
          <w:rFonts w:ascii="Times New Roman" w:hAnsi="Times New Roman"/>
          <w:lang w:val="en-GB"/>
        </w:rPr>
      </w:r>
    </w:p>
    <w:p>
      <w:pPr>
        <w:pStyle w:val="Normal"/>
        <w:spacing w:lineRule="auto" w:line="259" w:before="0" w:after="160"/>
        <w:rPr>
          <w:rFonts w:ascii="Times New Roman" w:hAnsi="Times New Roman"/>
          <w:lang w:val="en-GB"/>
        </w:rPr>
      </w:pPr>
      <w:r>
        <w:rPr>
          <w:rFonts w:ascii="Times New Roman" w:hAnsi="Times New Roman"/>
          <w:lang w:val="en-GB"/>
        </w:rPr>
      </w:r>
      <w:r>
        <w:br w:type="page"/>
      </w:r>
    </w:p>
    <w:p>
      <w:pPr>
        <w:pStyle w:val="Normal"/>
        <w:jc w:val="center"/>
        <w:rPr>
          <w:rFonts w:ascii="Times New Roman" w:hAnsi="Times New Roman"/>
          <w:b/>
          <w:b/>
          <w:lang w:val="pt-BR"/>
        </w:rPr>
      </w:pPr>
      <w:r>
        <w:rPr>
          <w:rFonts w:ascii="Times New Roman" w:hAnsi="Times New Roman"/>
          <w:b/>
          <w:lang w:val="pt-BR"/>
        </w:rPr>
        <w:t>REFERENCES</w:t>
      </w:r>
    </w:p>
    <w:p>
      <w:pPr>
        <w:pStyle w:val="Normal"/>
        <w:ind w:firstLine="708"/>
        <w:jc w:val="both"/>
        <w:rPr>
          <w:rFonts w:ascii="Times New Roman" w:hAnsi="Times New Roman"/>
          <w:lang w:val="pt-BR"/>
        </w:rPr>
      </w:pPr>
      <w:r>
        <w:rPr>
          <w:rFonts w:ascii="Times New Roman" w:hAnsi="Times New Roman"/>
          <w:lang w:val="pt-BR"/>
        </w:rPr>
      </w:r>
    </w:p>
    <w:p>
      <w:pPr>
        <w:pStyle w:val="Normal"/>
        <w:widowControl w:val="false"/>
        <w:ind w:left="480" w:hanging="480"/>
        <w:rPr/>
      </w:pPr>
      <w:r>
        <w:fldChar w:fldCharType="begin"/>
      </w:r>
      <w:r>
        <w:instrText>ADDIN Mendeley Bibliography CSL_BIBLIOGRAPHY</w:instrText>
      </w:r>
      <w:r>
        <w:fldChar w:fldCharType="separate"/>
      </w:r>
      <w:bookmarkStart w:id="33" w:name="__Fieldmark__1046_673705230"/>
      <w:r>
        <w:rPr/>
      </w:r>
      <w:r>
        <w:rPr>
          <w:rFonts w:ascii="Times New Roman" w:hAnsi="Times New Roman"/>
          <w:lang w:val="pt-BR"/>
        </w:rPr>
        <w:t>B</w:t>
      </w:r>
      <w:bookmarkStart w:id="34" w:name="__Fieldmark__2940_312630394"/>
      <w:r>
        <w:rPr>
          <w:rFonts w:ascii="Times New Roman" w:hAnsi="Times New Roman"/>
          <w:lang w:val="pt-BR"/>
        </w:rPr>
        <w:t xml:space="preserve">aptista, M. N. (2009). </w:t>
      </w:r>
      <w:r>
        <w:rPr>
          <w:rFonts w:ascii="Times New Roman" w:hAnsi="Times New Roman"/>
          <w:i/>
          <w:iCs/>
          <w:lang w:val="pt-BR"/>
        </w:rPr>
        <w:t>Inventário de Percepção de Suporte Familiar - IPSF</w:t>
      </w:r>
      <w:r>
        <w:rPr>
          <w:rFonts w:ascii="Times New Roman" w:hAnsi="Times New Roman"/>
          <w:lang w:val="pt-BR"/>
        </w:rPr>
        <w:t>. São Paulo: Vetor Editora.</w:t>
      </w:r>
      <w:bookmarkEnd w:id="33"/>
      <w:bookmarkEnd w:id="34"/>
      <w:r>
        <w:rPr/>
      </w:r>
      <w:r>
        <w:fldChar w:fldCharType="end"/>
      </w:r>
    </w:p>
    <w:p>
      <w:pPr>
        <w:pStyle w:val="Normal"/>
        <w:widowControl w:val="false"/>
        <w:ind w:left="480" w:hanging="480"/>
        <w:rPr>
          <w:rFonts w:ascii="Times New Roman" w:hAnsi="Times New Roman"/>
          <w:lang w:val="pt-BR"/>
        </w:rPr>
      </w:pPr>
      <w:r>
        <w:rPr>
          <w:rFonts w:ascii="Times New Roman" w:hAnsi="Times New Roman"/>
          <w:lang w:val="pt-BR"/>
        </w:rPr>
        <w:t xml:space="preserve">Canesqui, A. M., &amp; Barsaglini, R. A. (2012). Apoio social e saúde: pontos de vista das ciências sociais e humanas. </w:t>
      </w:r>
      <w:r>
        <w:rPr>
          <w:rFonts w:ascii="Times New Roman" w:hAnsi="Times New Roman"/>
          <w:i/>
          <w:iCs/>
          <w:lang w:val="pt-BR"/>
        </w:rPr>
        <w:t>Ciência &amp; Saúde Coletiva</w:t>
      </w:r>
      <w:r>
        <w:rPr>
          <w:rFonts w:ascii="Times New Roman" w:hAnsi="Times New Roman"/>
          <w:lang w:val="pt-BR"/>
        </w:rPr>
        <w:t xml:space="preserve">, </w:t>
      </w:r>
      <w:r>
        <w:rPr>
          <w:rFonts w:ascii="Times New Roman" w:hAnsi="Times New Roman"/>
          <w:i/>
          <w:iCs/>
          <w:lang w:val="pt-BR"/>
        </w:rPr>
        <w:t>17</w:t>
      </w:r>
      <w:r>
        <w:rPr>
          <w:rFonts w:ascii="Times New Roman" w:hAnsi="Times New Roman"/>
          <w:lang w:val="pt-BR"/>
        </w:rPr>
        <w:t>(5), 1103–1114. http://doi.org/10.1590/S1413-81232012000500002</w:t>
      </w:r>
    </w:p>
    <w:p>
      <w:pPr>
        <w:pStyle w:val="Normal"/>
        <w:widowControl w:val="false"/>
        <w:ind w:left="480" w:hanging="480"/>
        <w:rPr>
          <w:rFonts w:ascii="Times New Roman" w:hAnsi="Times New Roman"/>
          <w:lang w:val="pt-BR"/>
        </w:rPr>
      </w:pPr>
      <w:r>
        <w:rPr>
          <w:rFonts w:ascii="Times New Roman" w:hAnsi="Times New Roman"/>
          <w:lang w:val="pt-BR"/>
        </w:rPr>
        <w:t xml:space="preserve">Cobb, S. (1976). Social support as a moderator of life stress. </w:t>
      </w:r>
      <w:r>
        <w:rPr>
          <w:rFonts w:ascii="Times New Roman" w:hAnsi="Times New Roman"/>
          <w:i/>
          <w:iCs/>
          <w:lang w:val="pt-BR"/>
        </w:rPr>
        <w:t>Psychosomatic Medicine</w:t>
      </w:r>
      <w:r>
        <w:rPr>
          <w:rFonts w:ascii="Times New Roman" w:hAnsi="Times New Roman"/>
          <w:lang w:val="pt-BR"/>
        </w:rPr>
        <w:t xml:space="preserve">, </w:t>
      </w:r>
      <w:r>
        <w:rPr>
          <w:rFonts w:ascii="Times New Roman" w:hAnsi="Times New Roman"/>
          <w:i/>
          <w:iCs/>
          <w:lang w:val="pt-BR"/>
        </w:rPr>
        <w:t>38</w:t>
      </w:r>
      <w:r>
        <w:rPr>
          <w:rFonts w:ascii="Times New Roman" w:hAnsi="Times New Roman"/>
          <w:lang w:val="pt-BR"/>
        </w:rPr>
        <w:t>(5), 300–314. http://doi.org/10.1097/00006842-197609000-00003</w:t>
      </w:r>
    </w:p>
    <w:p>
      <w:pPr>
        <w:pStyle w:val="Normal"/>
        <w:widowControl w:val="false"/>
        <w:ind w:left="480" w:hanging="480"/>
        <w:rPr>
          <w:rFonts w:ascii="Times New Roman" w:hAnsi="Times New Roman"/>
          <w:lang w:val="en-GB"/>
        </w:rPr>
      </w:pPr>
      <w:r>
        <w:rPr>
          <w:rFonts w:ascii="Times New Roman" w:hAnsi="Times New Roman"/>
          <w:lang w:val="en-GB"/>
        </w:rPr>
        <w:t xml:space="preserve">Cohen, S., Janicki-Deverts, D., Turner, R. B., &amp; Doyle, W. J. (2015). Does hugging provide stress-buffering social support? A study of susceptibility to upper respiratory infection and illness. </w:t>
      </w:r>
      <w:r>
        <w:rPr>
          <w:rFonts w:ascii="Times New Roman" w:hAnsi="Times New Roman"/>
          <w:i/>
          <w:iCs/>
          <w:lang w:val="en-GB"/>
        </w:rPr>
        <w:t>Psychological Science</w:t>
      </w:r>
      <w:r>
        <w:rPr>
          <w:rFonts w:ascii="Times New Roman" w:hAnsi="Times New Roman"/>
          <w:lang w:val="en-GB"/>
        </w:rPr>
        <w:t xml:space="preserve">, </w:t>
      </w:r>
      <w:r>
        <w:rPr>
          <w:rFonts w:ascii="Times New Roman" w:hAnsi="Times New Roman"/>
          <w:i/>
          <w:iCs/>
          <w:lang w:val="en-GB"/>
        </w:rPr>
        <w:t>26</w:t>
      </w:r>
      <w:r>
        <w:rPr>
          <w:rFonts w:ascii="Times New Roman" w:hAnsi="Times New Roman"/>
          <w:lang w:val="en-GB"/>
        </w:rPr>
        <w:t>(2), 135–47. http://doi.org/10.1177/0956797614559284</w:t>
      </w:r>
    </w:p>
    <w:p>
      <w:pPr>
        <w:pStyle w:val="Normal"/>
        <w:widowControl w:val="false"/>
        <w:ind w:left="480" w:hanging="480"/>
        <w:rPr>
          <w:rFonts w:ascii="Times New Roman" w:hAnsi="Times New Roman"/>
          <w:lang w:val="en-GB"/>
        </w:rPr>
      </w:pPr>
      <w:r>
        <w:rPr>
          <w:rFonts w:ascii="Times New Roman" w:hAnsi="Times New Roman"/>
          <w:lang w:val="en-GB"/>
        </w:rPr>
        <w:t xml:space="preserve">Cohen, S., &amp; Wills, T. A. (1985). Stress, Social Support, and the Buffering Hypothesis, </w:t>
      </w:r>
      <w:r>
        <w:rPr>
          <w:rFonts w:ascii="Times New Roman" w:hAnsi="Times New Roman"/>
          <w:i/>
          <w:iCs/>
          <w:lang w:val="en-GB"/>
        </w:rPr>
        <w:t>98</w:t>
      </w:r>
      <w:r>
        <w:rPr>
          <w:rFonts w:ascii="Times New Roman" w:hAnsi="Times New Roman"/>
          <w:lang w:val="en-GB"/>
        </w:rPr>
        <w:t>(2). http://doi.org/10.1037/0033-2909.98.2.310</w:t>
      </w:r>
    </w:p>
    <w:p>
      <w:pPr>
        <w:pStyle w:val="Normal"/>
        <w:widowControl w:val="false"/>
        <w:ind w:left="480" w:hanging="480"/>
        <w:rPr>
          <w:rFonts w:ascii="Times New Roman" w:hAnsi="Times New Roman"/>
          <w:lang w:val="en-GB"/>
        </w:rPr>
      </w:pPr>
      <w:r>
        <w:rPr>
          <w:rFonts w:ascii="Times New Roman" w:hAnsi="Times New Roman"/>
          <w:lang w:val="en-US"/>
        </w:rPr>
        <w:t xml:space="preserve">Cullen, S. W., &amp; Solomon, P. L. (2013). </w:t>
      </w:r>
      <w:r>
        <w:rPr>
          <w:rFonts w:ascii="Times New Roman" w:hAnsi="Times New Roman"/>
          <w:lang w:val="en-GB"/>
        </w:rPr>
        <w:t xml:space="preserve">Family community integration and maternal mental health. </w:t>
      </w:r>
      <w:r>
        <w:rPr>
          <w:rFonts w:ascii="Times New Roman" w:hAnsi="Times New Roman"/>
          <w:i/>
          <w:iCs/>
          <w:lang w:val="en-GB"/>
        </w:rPr>
        <w:t>Administration and Policy in Mental Health</w:t>
      </w:r>
      <w:r>
        <w:rPr>
          <w:rFonts w:ascii="Times New Roman" w:hAnsi="Times New Roman"/>
          <w:lang w:val="en-GB"/>
        </w:rPr>
        <w:t xml:space="preserve">, </w:t>
      </w:r>
      <w:r>
        <w:rPr>
          <w:rFonts w:ascii="Times New Roman" w:hAnsi="Times New Roman"/>
          <w:i/>
          <w:iCs/>
          <w:lang w:val="en-GB"/>
        </w:rPr>
        <w:t>40</w:t>
      </w:r>
      <w:r>
        <w:rPr>
          <w:rFonts w:ascii="Times New Roman" w:hAnsi="Times New Roman"/>
          <w:lang w:val="en-GB"/>
        </w:rPr>
        <w:t>(2), 133–44. http://doi.org/10.1007/s10488-011-0386-4</w:t>
      </w:r>
    </w:p>
    <w:p>
      <w:pPr>
        <w:pStyle w:val="Normal"/>
        <w:widowControl w:val="false"/>
        <w:ind w:left="480" w:hanging="480"/>
        <w:rPr>
          <w:rFonts w:ascii="Times New Roman" w:hAnsi="Times New Roman"/>
          <w:lang w:val="pt-BR"/>
        </w:rPr>
      </w:pPr>
      <w:r>
        <w:rPr>
          <w:rFonts w:ascii="Times New Roman" w:hAnsi="Times New Roman"/>
          <w:lang w:val="en-US"/>
        </w:rPr>
        <w:t xml:space="preserve">Gracia, E. F., Herrero, J. O., &amp; Musitu, G. O. (2002). </w:t>
      </w:r>
      <w:r>
        <w:rPr>
          <w:rFonts w:ascii="Times New Roman" w:hAnsi="Times New Roman"/>
          <w:i/>
          <w:iCs/>
          <w:lang w:val="en-US"/>
        </w:rPr>
        <w:t>Evaluación de Recursos y Estressores Psicosociales en la Comunidad</w:t>
      </w:r>
      <w:r>
        <w:rPr>
          <w:rFonts w:ascii="Times New Roman" w:hAnsi="Times New Roman"/>
          <w:lang w:val="en-US"/>
        </w:rPr>
        <w:t xml:space="preserve">. </w:t>
      </w:r>
      <w:r>
        <w:rPr>
          <w:rFonts w:ascii="Times New Roman" w:hAnsi="Times New Roman"/>
          <w:lang w:val="pt-BR"/>
        </w:rPr>
        <w:t>Madrid: Editorial Síntesis.</w:t>
      </w:r>
    </w:p>
    <w:p>
      <w:pPr>
        <w:pStyle w:val="Normal"/>
        <w:widowControl w:val="false"/>
        <w:ind w:left="480" w:hanging="480"/>
        <w:rPr>
          <w:rFonts w:ascii="Times New Roman" w:hAnsi="Times New Roman"/>
          <w:lang w:val="pt-BR"/>
        </w:rPr>
      </w:pPr>
      <w:r>
        <w:rPr>
          <w:rFonts w:ascii="Times New Roman" w:hAnsi="Times New Roman"/>
          <w:lang w:val="pt-BR"/>
        </w:rPr>
        <w:t xml:space="preserve">Instituto Brasileiro de Análises Sociais e Econômicas - IBASE. (2008). </w:t>
      </w:r>
      <w:r>
        <w:rPr>
          <w:rFonts w:ascii="Times New Roman" w:hAnsi="Times New Roman"/>
          <w:i/>
          <w:iCs/>
          <w:lang w:val="pt-BR"/>
        </w:rPr>
        <w:t>Repercussões do Programa Bolsa Família na segurança alimentar e nutricional das famílias beneficiadas (documento síntese)</w:t>
      </w:r>
      <w:r>
        <w:rPr>
          <w:rFonts w:ascii="Times New Roman" w:hAnsi="Times New Roman"/>
          <w:lang w:val="pt-BR"/>
        </w:rPr>
        <w:t>. Rio de Janeiro. Retrieved from http://www.ibase.br/userimages/ibase_bf_sintese_site.pdf</w:t>
      </w:r>
    </w:p>
    <w:p>
      <w:pPr>
        <w:pStyle w:val="Normal"/>
        <w:widowControl w:val="false"/>
        <w:ind w:left="480" w:hanging="480"/>
        <w:rPr>
          <w:rFonts w:ascii="Times New Roman" w:hAnsi="Times New Roman"/>
          <w:lang w:val="pt-BR"/>
        </w:rPr>
      </w:pPr>
      <w:r>
        <w:rPr>
          <w:rFonts w:ascii="Times New Roman" w:hAnsi="Times New Roman"/>
          <w:lang w:val="en-GB"/>
        </w:rPr>
        <w:t xml:space="preserve">Jaccoud, L., Hadjab, P., &amp; Chaibub, J. (2010). </w:t>
      </w:r>
      <w:r>
        <w:rPr>
          <w:rFonts w:ascii="Times New Roman" w:hAnsi="Times New Roman"/>
          <w:i/>
          <w:iCs/>
          <w:lang w:val="en-GB"/>
        </w:rPr>
        <w:t>The consolidation of social assistance in Brazil and its challenges, 1988-2008</w:t>
      </w:r>
      <w:r>
        <w:rPr>
          <w:rFonts w:ascii="Times New Roman" w:hAnsi="Times New Roman"/>
          <w:lang w:val="en-GB"/>
        </w:rPr>
        <w:t xml:space="preserve">. </w:t>
      </w:r>
      <w:r>
        <w:rPr>
          <w:rFonts w:ascii="Times New Roman" w:hAnsi="Times New Roman"/>
          <w:i/>
          <w:iCs/>
          <w:lang w:val="pt-BR"/>
        </w:rPr>
        <w:t>International Policy Centre for Inclusive Growth</w:t>
      </w:r>
      <w:r>
        <w:rPr>
          <w:rFonts w:ascii="Times New Roman" w:hAnsi="Times New Roman"/>
          <w:lang w:val="pt-BR"/>
        </w:rPr>
        <w:t>.</w:t>
      </w:r>
    </w:p>
    <w:p>
      <w:pPr>
        <w:pStyle w:val="Normal"/>
        <w:widowControl w:val="false"/>
        <w:ind w:left="480" w:hanging="480"/>
        <w:rPr>
          <w:rFonts w:ascii="Times New Roman" w:hAnsi="Times New Roman"/>
          <w:lang w:val="pt-BR"/>
        </w:rPr>
      </w:pPr>
      <w:r>
        <w:rPr>
          <w:rFonts w:ascii="Times New Roman" w:hAnsi="Times New Roman"/>
          <w:lang w:val="pt-BR"/>
        </w:rPr>
        <w:t xml:space="preserve">Janczura, R. (2012). Risco ou vulnerabilidade social? </w:t>
      </w:r>
      <w:r>
        <w:rPr>
          <w:rFonts w:ascii="Times New Roman" w:hAnsi="Times New Roman"/>
          <w:i/>
          <w:iCs/>
          <w:lang w:val="pt-BR"/>
        </w:rPr>
        <w:t>Textos &amp; Contextos</w:t>
      </w:r>
      <w:r>
        <w:rPr>
          <w:rFonts w:ascii="Times New Roman" w:hAnsi="Times New Roman"/>
          <w:lang w:val="pt-BR"/>
        </w:rPr>
        <w:t xml:space="preserve">, </w:t>
      </w:r>
      <w:r>
        <w:rPr>
          <w:rFonts w:ascii="Times New Roman" w:hAnsi="Times New Roman"/>
          <w:i/>
          <w:iCs/>
          <w:lang w:val="pt-BR"/>
        </w:rPr>
        <w:t>II</w:t>
      </w:r>
      <w:r>
        <w:rPr>
          <w:rFonts w:ascii="Times New Roman" w:hAnsi="Times New Roman"/>
          <w:lang w:val="pt-BR"/>
        </w:rPr>
        <w:t>(2), 301–308.</w:t>
      </w:r>
    </w:p>
    <w:p>
      <w:pPr>
        <w:pStyle w:val="Normal"/>
        <w:widowControl w:val="false"/>
        <w:ind w:left="480" w:hanging="480"/>
        <w:rPr>
          <w:rFonts w:ascii="Times New Roman" w:hAnsi="Times New Roman"/>
          <w:lang w:val="pt-BR"/>
        </w:rPr>
      </w:pPr>
      <w:r>
        <w:rPr>
          <w:rFonts w:ascii="Times New Roman" w:hAnsi="Times New Roman"/>
          <w:lang w:val="en-GB"/>
        </w:rPr>
        <w:t xml:space="preserve">Mazzon, J. A., &amp; Kamakura, W. (2013). </w:t>
      </w:r>
      <w:r>
        <w:rPr>
          <w:rFonts w:ascii="Times New Roman" w:hAnsi="Times New Roman"/>
          <w:i/>
          <w:iCs/>
          <w:lang w:val="pt-BR"/>
        </w:rPr>
        <w:t>Estratificação Socioeconômica e Consumo no Brasil</w:t>
      </w:r>
      <w:r>
        <w:rPr>
          <w:rFonts w:ascii="Times New Roman" w:hAnsi="Times New Roman"/>
          <w:lang w:val="pt-BR"/>
        </w:rPr>
        <w:t xml:space="preserve"> (1st ed.). São Paulo: Blucher Editora.</w:t>
      </w:r>
    </w:p>
    <w:p>
      <w:pPr>
        <w:pStyle w:val="Normal"/>
        <w:widowControl w:val="false"/>
        <w:ind w:left="480" w:hanging="480"/>
        <w:rPr>
          <w:rFonts w:ascii="Times New Roman" w:hAnsi="Times New Roman"/>
          <w:lang w:val="pt-BR"/>
        </w:rPr>
      </w:pPr>
      <w:r>
        <w:rPr>
          <w:rFonts w:ascii="Times New Roman" w:hAnsi="Times New Roman"/>
          <w:lang w:val="pt-BR"/>
        </w:rPr>
        <w:t>Ministério do Desenvolvimento Social e Combate à Fome - Brasil. Política Nacional de Assistência Social - PNAS/2004. Normal Operacional Básica - NOB/SUAS (2005). Brasília. Retrieved from http://www.mds.gov.br/cnas/politica-e-nobs/pnas-2004-e-nobsuas_08-08-2011.pdf/download</w:t>
      </w:r>
    </w:p>
    <w:p>
      <w:pPr>
        <w:pStyle w:val="Normal"/>
        <w:widowControl w:val="false"/>
        <w:ind w:left="480" w:hanging="480"/>
        <w:rPr>
          <w:rFonts w:ascii="Times New Roman" w:hAnsi="Times New Roman"/>
          <w:lang w:val="pt-BR"/>
        </w:rPr>
      </w:pPr>
      <w:r>
        <w:rPr>
          <w:rFonts w:ascii="Times New Roman" w:hAnsi="Times New Roman"/>
          <w:lang w:val="pt-BR"/>
        </w:rPr>
        <w:t xml:space="preserve">Ministério do Desenvolvimento Social e Combate à Fome - Brasil. (2016). </w:t>
      </w:r>
      <w:r>
        <w:rPr>
          <w:rFonts w:ascii="Times New Roman" w:hAnsi="Times New Roman"/>
          <w:i/>
          <w:iCs/>
          <w:lang w:val="pt-BR"/>
        </w:rPr>
        <w:t>Censo SUAS 2015 – Resultados Nacionais, Centros de Referência da Assistência Social, CRAS</w:t>
      </w:r>
      <w:r>
        <w:rPr>
          <w:rFonts w:ascii="Times New Roman" w:hAnsi="Times New Roman"/>
          <w:lang w:val="pt-BR"/>
        </w:rPr>
        <w:t>. Brasília. Retrieved from http://aplicacoes.mds.gov.br/snas/vigilancia/index2.php</w:t>
      </w:r>
    </w:p>
    <w:p>
      <w:pPr>
        <w:pStyle w:val="Normal"/>
        <w:widowControl w:val="false"/>
        <w:ind w:left="480" w:hanging="480"/>
        <w:rPr>
          <w:rFonts w:ascii="Times New Roman" w:hAnsi="Times New Roman"/>
          <w:lang w:val="en-GB"/>
        </w:rPr>
      </w:pPr>
      <w:r>
        <w:rPr>
          <w:rFonts w:ascii="Times New Roman" w:hAnsi="Times New Roman"/>
          <w:lang w:val="pt-BR"/>
        </w:rPr>
        <w:t xml:space="preserve">Mourão, L., &amp; de Jesus,  a M. (2012). </w:t>
      </w:r>
      <w:r>
        <w:rPr>
          <w:rFonts w:ascii="Times New Roman" w:hAnsi="Times New Roman"/>
          <w:lang w:val="en-GB"/>
        </w:rPr>
        <w:t xml:space="preserve">Bolsa família (Family Grant) programme: An analysis of Brazilian income transfer programme. </w:t>
      </w:r>
      <w:r>
        <w:rPr>
          <w:rFonts w:ascii="Times New Roman" w:hAnsi="Times New Roman"/>
          <w:i/>
          <w:iCs/>
          <w:lang w:val="en-GB"/>
        </w:rPr>
        <w:t>Field Actions Science Report</w:t>
      </w:r>
      <w:r>
        <w:rPr>
          <w:rFonts w:ascii="Times New Roman" w:hAnsi="Times New Roman"/>
          <w:lang w:val="en-GB"/>
        </w:rPr>
        <w:t xml:space="preserve">, </w:t>
      </w:r>
      <w:r>
        <w:rPr>
          <w:rFonts w:ascii="Times New Roman" w:hAnsi="Times New Roman"/>
          <w:i/>
          <w:iCs/>
          <w:lang w:val="en-GB"/>
        </w:rPr>
        <w:t>4</w:t>
      </w:r>
      <w:r>
        <w:rPr>
          <w:rFonts w:ascii="Times New Roman" w:hAnsi="Times New Roman"/>
          <w:lang w:val="en-GB"/>
        </w:rPr>
        <w:t>(SPL), 43–49. Retrieved from http://www.scopus.com/inward/record.url?eid=2-s2.0-84880579510&amp;partnerID=40&amp;md5=a4d4baf608facdb6285a0631827c9a04</w:t>
      </w:r>
    </w:p>
    <w:p>
      <w:pPr>
        <w:pStyle w:val="Normal"/>
        <w:widowControl w:val="false"/>
        <w:ind w:left="480" w:hanging="480"/>
        <w:rPr>
          <w:rFonts w:ascii="Times New Roman" w:hAnsi="Times New Roman"/>
          <w:lang w:val="pt-BR"/>
        </w:rPr>
      </w:pPr>
      <w:r>
        <w:rPr>
          <w:rFonts w:ascii="Times New Roman" w:hAnsi="Times New Roman"/>
          <w:lang w:val="pt-BR"/>
        </w:rPr>
        <w:t xml:space="preserve">Onocko Campos, R. T., &amp; Campos, G. W. de S. (2012). Co-construção de autonomia: o sujeito em questão. In </w:t>
      </w:r>
      <w:r>
        <w:rPr>
          <w:rFonts w:ascii="Times New Roman" w:hAnsi="Times New Roman"/>
          <w:i/>
          <w:iCs/>
          <w:lang w:val="pt-BR"/>
        </w:rPr>
        <w:t>Tratado de Saúde Coletiva</w:t>
      </w:r>
      <w:r>
        <w:rPr>
          <w:rFonts w:ascii="Times New Roman" w:hAnsi="Times New Roman"/>
          <w:lang w:val="pt-BR"/>
        </w:rPr>
        <w:t xml:space="preserve"> (2nd ed., pp. 669–687). São Paulo: HUCITEC Editora.</w:t>
      </w:r>
    </w:p>
    <w:p>
      <w:pPr>
        <w:pStyle w:val="Normal"/>
        <w:widowControl w:val="false"/>
        <w:ind w:left="480" w:hanging="480"/>
        <w:rPr>
          <w:rFonts w:ascii="Times New Roman" w:hAnsi="Times New Roman"/>
          <w:lang w:val="en-GB"/>
        </w:rPr>
      </w:pPr>
      <w:r>
        <w:rPr>
          <w:rFonts w:ascii="Times New Roman" w:hAnsi="Times New Roman"/>
          <w:lang w:val="pt-BR"/>
        </w:rPr>
        <w:t xml:space="preserve">Rasella, D., Aquino, R., Santos, C. A., Paes-Sousa, R., &amp; Barreto, M. L. (2013). </w:t>
      </w:r>
      <w:r>
        <w:rPr>
          <w:rFonts w:ascii="Times New Roman" w:hAnsi="Times New Roman"/>
          <w:lang w:val="en-GB"/>
        </w:rPr>
        <w:t xml:space="preserve">Effect of a conditional cash transfer programme on childhood mortality: a nationwide analysis of Brazilian municipalities. </w:t>
      </w:r>
      <w:r>
        <w:rPr>
          <w:rFonts w:ascii="Times New Roman" w:hAnsi="Times New Roman"/>
          <w:i/>
          <w:iCs/>
          <w:lang w:val="en-GB"/>
        </w:rPr>
        <w:t>The Lancet</w:t>
      </w:r>
      <w:r>
        <w:rPr>
          <w:rFonts w:ascii="Times New Roman" w:hAnsi="Times New Roman"/>
          <w:lang w:val="en-GB"/>
        </w:rPr>
        <w:t xml:space="preserve">, </w:t>
      </w:r>
      <w:r>
        <w:rPr>
          <w:rFonts w:ascii="Times New Roman" w:hAnsi="Times New Roman"/>
          <w:i/>
          <w:iCs/>
          <w:lang w:val="en-GB"/>
        </w:rPr>
        <w:t>382</w:t>
      </w:r>
      <w:r>
        <w:rPr>
          <w:rFonts w:ascii="Times New Roman" w:hAnsi="Times New Roman"/>
          <w:lang w:val="en-GB"/>
        </w:rPr>
        <w:t>(9886), 57–64. http://doi.org/10.1016/S0140-6736(13)60715-1</w:t>
      </w:r>
    </w:p>
    <w:p>
      <w:pPr>
        <w:pStyle w:val="Normal"/>
        <w:widowControl w:val="false"/>
        <w:ind w:left="480" w:hanging="480"/>
        <w:rPr>
          <w:rFonts w:ascii="Times New Roman" w:hAnsi="Times New Roman"/>
          <w:lang w:val="pt-BR"/>
        </w:rPr>
      </w:pPr>
      <w:r>
        <w:rPr>
          <w:rFonts w:ascii="Times New Roman" w:hAnsi="Times New Roman"/>
          <w:lang w:val="en-GB"/>
        </w:rPr>
        <w:t xml:space="preserve">Santos-Lobo, N. dos, Motta, R. F., Cargnelutti, E. S., &amp; Pizzinato, A. (2015). </w:t>
      </w:r>
      <w:r>
        <w:rPr>
          <w:rFonts w:ascii="Times New Roman" w:hAnsi="Times New Roman"/>
          <w:lang w:val="pt-BR"/>
        </w:rPr>
        <w:t xml:space="preserve">A percepção dos(as) trabalhadores(as) sobre o apoio sócio-familiar no contexto da Assistência Social Brasileira. In </w:t>
      </w:r>
      <w:r>
        <w:rPr>
          <w:rFonts w:ascii="Times New Roman" w:hAnsi="Times New Roman"/>
          <w:i/>
          <w:iCs/>
          <w:lang w:val="pt-BR"/>
        </w:rPr>
        <w:t>I COLOQUIO REGIONAL ¿FAMILIAS CONTEMPORÁNEAS - INTERVENCIONES CONTEMPORÁNEAS? Familias y Nueva Matriz de Protección Social</w:t>
      </w:r>
      <w:r>
        <w:rPr>
          <w:rFonts w:ascii="Times New Roman" w:hAnsi="Times New Roman"/>
          <w:lang w:val="pt-BR"/>
        </w:rPr>
        <w:t xml:space="preserve"> (pp. 520–532). Montevideo. Retrieved from http://cienciassociales.edu.uy/departamentodetrabajosocial/wp-content/uploads/sites/5/2015/10/Coloquio-Familia-documento-1.pdf</w:t>
      </w:r>
    </w:p>
    <w:p>
      <w:pPr>
        <w:pStyle w:val="Normal"/>
        <w:widowControl w:val="false"/>
        <w:ind w:left="480" w:hanging="480"/>
        <w:rPr>
          <w:rFonts w:ascii="Times New Roman" w:hAnsi="Times New Roman"/>
        </w:rPr>
      </w:pPr>
      <w:r>
        <w:rPr>
          <w:rFonts w:ascii="Times New Roman" w:hAnsi="Times New Roman"/>
          <w:lang w:val="pt-BR"/>
        </w:rPr>
        <w:t xml:space="preserve">Secretaria de Assuntos Estratégicos - Brasil. (2012). </w:t>
      </w:r>
      <w:r>
        <w:rPr>
          <w:rFonts w:ascii="Times New Roman" w:hAnsi="Times New Roman"/>
          <w:i/>
          <w:iCs/>
          <w:lang w:val="pt-BR"/>
        </w:rPr>
        <w:t>Relatório de definição da classe média no Brasil</w:t>
      </w:r>
      <w:r>
        <w:rPr>
          <w:rFonts w:ascii="Times New Roman" w:hAnsi="Times New Roman"/>
          <w:lang w:val="pt-BR"/>
        </w:rPr>
        <w:t xml:space="preserve">. Brasília. </w:t>
      </w:r>
      <w:r>
        <w:rPr>
          <w:rFonts w:ascii="Times New Roman" w:hAnsi="Times New Roman"/>
        </w:rPr>
        <w:t>Retrieved from http://www.sae.gov.br/documentos/publicacoes/relatorio-dedefinicao-da-classe-media-no-brasil/</w:t>
      </w:r>
    </w:p>
    <w:p>
      <w:pPr>
        <w:pStyle w:val="Normal"/>
        <w:widowControl w:val="false"/>
        <w:ind w:left="480" w:hanging="480"/>
        <w:rPr>
          <w:rFonts w:ascii="Times New Roman" w:hAnsi="Times New Roman"/>
          <w:lang w:val="en-GB"/>
        </w:rPr>
      </w:pPr>
      <w:r>
        <w:rPr>
          <w:rFonts w:ascii="Times New Roman" w:hAnsi="Times New Roman"/>
          <w:lang w:val="pt-BR"/>
        </w:rPr>
        <w:t xml:space="preserve">Soares, F. V., &amp; Silva, E. (2010). </w:t>
      </w:r>
      <w:r>
        <w:rPr>
          <w:rFonts w:ascii="Times New Roman" w:hAnsi="Times New Roman"/>
          <w:i/>
          <w:iCs/>
          <w:lang w:val="en-GB"/>
        </w:rPr>
        <w:t>Conditional cash transfer programmes and gender vulnerabilities in Latin: Case stsudies from Brazil, Chile and Colombia</w:t>
      </w:r>
      <w:r>
        <w:rPr>
          <w:rFonts w:ascii="Times New Roman" w:hAnsi="Times New Roman"/>
          <w:lang w:val="en-GB"/>
        </w:rPr>
        <w:t xml:space="preserve">. </w:t>
      </w:r>
      <w:r>
        <w:rPr>
          <w:rFonts w:ascii="Times New Roman" w:hAnsi="Times New Roman"/>
          <w:i/>
          <w:iCs/>
          <w:lang w:val="en-GB"/>
        </w:rPr>
        <w:t>Overseas Development Institute</w:t>
      </w:r>
      <w:r>
        <w:rPr>
          <w:rFonts w:ascii="Times New Roman" w:hAnsi="Times New Roman"/>
          <w:lang w:val="en-GB"/>
        </w:rPr>
        <w:t>. London.</w:t>
      </w:r>
    </w:p>
    <w:p>
      <w:pPr>
        <w:pStyle w:val="Normal"/>
        <w:widowControl w:val="false"/>
        <w:ind w:left="480" w:hanging="480"/>
        <w:rPr>
          <w:rFonts w:ascii="Times New Roman" w:hAnsi="Times New Roman"/>
          <w:lang w:val="en-GB"/>
        </w:rPr>
      </w:pPr>
      <w:r>
        <w:rPr>
          <w:rFonts w:ascii="Times New Roman" w:hAnsi="Times New Roman"/>
          <w:lang w:val="en-GB"/>
        </w:rPr>
        <w:t xml:space="preserve">Stumbo, N. J., Wilder, A., Zahl, M., DeVries, D., Pegg, S., Greenwood, J., &amp; Jo-Ellen, R. (2015). Community Integration: Showcasing the Evidence for Therapeutic Recreation Services. </w:t>
      </w:r>
      <w:r>
        <w:rPr>
          <w:rFonts w:ascii="Times New Roman" w:hAnsi="Times New Roman"/>
          <w:i/>
          <w:iCs/>
          <w:lang w:val="en-GB"/>
        </w:rPr>
        <w:t>Therapeutic Recreation Journal</w:t>
      </w:r>
      <w:r>
        <w:rPr>
          <w:rFonts w:ascii="Times New Roman" w:hAnsi="Times New Roman"/>
          <w:lang w:val="en-GB"/>
        </w:rPr>
        <w:t xml:space="preserve">, </w:t>
      </w:r>
      <w:r>
        <w:rPr>
          <w:rFonts w:ascii="Times New Roman" w:hAnsi="Times New Roman"/>
          <w:i/>
          <w:iCs/>
          <w:lang w:val="en-GB"/>
        </w:rPr>
        <w:t>XlIX</w:t>
      </w:r>
      <w:r>
        <w:rPr>
          <w:rFonts w:ascii="Times New Roman" w:hAnsi="Times New Roman"/>
          <w:lang w:val="en-GB"/>
        </w:rPr>
        <w:t>(1), 35–60.</w:t>
      </w:r>
    </w:p>
    <w:p>
      <w:pPr>
        <w:pStyle w:val="Normal"/>
        <w:widowControl w:val="false"/>
        <w:ind w:left="480" w:hanging="480"/>
        <w:rPr>
          <w:rFonts w:ascii="Times New Roman" w:hAnsi="Times New Roman"/>
          <w:lang w:val="en-GB"/>
        </w:rPr>
      </w:pPr>
      <w:r>
        <w:rPr>
          <w:rFonts w:ascii="Times New Roman" w:hAnsi="Times New Roman"/>
          <w:lang w:val="en-GB"/>
        </w:rPr>
        <w:t xml:space="preserve">Thoits, P. A. (2010). Stress and Health: Major Findings and Policy Implications. </w:t>
      </w:r>
      <w:r>
        <w:rPr>
          <w:rFonts w:ascii="Times New Roman" w:hAnsi="Times New Roman"/>
          <w:i/>
          <w:iCs/>
          <w:lang w:val="en-GB"/>
        </w:rPr>
        <w:t>Journal of Health and Social Behavior</w:t>
      </w:r>
      <w:r>
        <w:rPr>
          <w:rFonts w:ascii="Times New Roman" w:hAnsi="Times New Roman"/>
          <w:lang w:val="en-GB"/>
        </w:rPr>
        <w:t xml:space="preserve">, </w:t>
      </w:r>
      <w:r>
        <w:rPr>
          <w:rFonts w:ascii="Times New Roman" w:hAnsi="Times New Roman"/>
          <w:i/>
          <w:iCs/>
          <w:lang w:val="en-GB"/>
        </w:rPr>
        <w:t>51</w:t>
      </w:r>
      <w:r>
        <w:rPr>
          <w:rFonts w:ascii="Times New Roman" w:hAnsi="Times New Roman"/>
          <w:lang w:val="en-GB"/>
        </w:rPr>
        <w:t>(1 Suppl), S41–S53. http://doi.org/10.1177/0022146510383499</w:t>
      </w:r>
    </w:p>
    <w:p>
      <w:pPr>
        <w:pStyle w:val="Normal"/>
        <w:widowControl w:val="false"/>
        <w:ind w:left="480" w:hanging="480"/>
        <w:rPr>
          <w:rFonts w:ascii="Times New Roman" w:hAnsi="Times New Roman"/>
          <w:lang w:val="en-GB"/>
        </w:rPr>
      </w:pPr>
      <w:r>
        <w:rPr>
          <w:rFonts w:ascii="Times New Roman" w:hAnsi="Times New Roman"/>
          <w:lang w:val="en-GB"/>
        </w:rPr>
        <w:t xml:space="preserve">Umberson, D., &amp; Montez, J. K. (2010). Social relationships and health: A flashpoint for health policy. </w:t>
      </w:r>
      <w:r>
        <w:rPr>
          <w:rFonts w:ascii="Times New Roman" w:hAnsi="Times New Roman"/>
          <w:i/>
          <w:iCs/>
          <w:lang w:val="en-GB"/>
        </w:rPr>
        <w:t>Journal of Health and Social Behavior</w:t>
      </w:r>
      <w:r>
        <w:rPr>
          <w:rFonts w:ascii="Times New Roman" w:hAnsi="Times New Roman"/>
          <w:lang w:val="en-GB"/>
        </w:rPr>
        <w:t xml:space="preserve">, </w:t>
      </w:r>
      <w:r>
        <w:rPr>
          <w:rFonts w:ascii="Times New Roman" w:hAnsi="Times New Roman"/>
          <w:i/>
          <w:iCs/>
          <w:lang w:val="en-GB"/>
        </w:rPr>
        <w:t>51</w:t>
      </w:r>
      <w:r>
        <w:rPr>
          <w:rFonts w:ascii="Times New Roman" w:hAnsi="Times New Roman"/>
          <w:lang w:val="en-GB"/>
        </w:rPr>
        <w:t>, 54–66. http://doi.org/10.1177/0022146510383501</w:t>
      </w:r>
    </w:p>
    <w:p>
      <w:pPr>
        <w:pStyle w:val="Normal"/>
        <w:widowControl w:val="false"/>
        <w:ind w:left="480" w:hanging="480"/>
        <w:rPr>
          <w:rFonts w:ascii="Times New Roman" w:hAnsi="Times New Roman"/>
          <w:lang w:val="en-GB"/>
        </w:rPr>
      </w:pPr>
      <w:r>
        <w:rPr>
          <w:rFonts w:ascii="Times New Roman" w:hAnsi="Times New Roman"/>
          <w:lang w:val="en-GB"/>
        </w:rPr>
        <w:t xml:space="preserve">UNPD. (2015). </w:t>
      </w:r>
      <w:r>
        <w:rPr>
          <w:rFonts w:ascii="Times New Roman" w:hAnsi="Times New Roman"/>
          <w:i/>
          <w:iCs/>
          <w:lang w:val="en-GB"/>
        </w:rPr>
        <w:t>Human Development Report 2015 - Brazil</w:t>
      </w:r>
      <w:r>
        <w:rPr>
          <w:rFonts w:ascii="Times New Roman" w:hAnsi="Times New Roman"/>
          <w:lang w:val="en-GB"/>
        </w:rPr>
        <w:t>. Retrieved from http://hdr.undp.org/sites/all/themes/hdr_theme/country-notes/MEX.pdf</w:t>
      </w:r>
    </w:p>
    <w:p>
      <w:pPr>
        <w:pStyle w:val="Normal"/>
        <w:widowControl w:val="false"/>
        <w:spacing w:lineRule="auto" w:line="360"/>
        <w:ind w:left="480" w:hanging="480"/>
        <w:rPr>
          <w:rFonts w:ascii="Times New Roman" w:hAnsi="Times New Roman"/>
          <w:lang w:val="en-GB"/>
        </w:rPr>
      </w:pPr>
      <w:r>
        <w:rPr>
          <w:rFonts w:ascii="Times New Roman" w:hAnsi="Times New Roman"/>
          <w:lang w:val="en-GB"/>
        </w:rPr>
      </w:r>
    </w:p>
    <w:p>
      <w:pPr>
        <w:pStyle w:val="Normal"/>
        <w:spacing w:lineRule="auto" w:line="360"/>
        <w:ind w:firstLine="708"/>
        <w:jc w:val="both"/>
        <w:rPr>
          <w:rFonts w:ascii="Times New Roman" w:hAnsi="Times New Roman"/>
          <w:lang w:val="en-GB"/>
        </w:rPr>
      </w:pPr>
      <w:r>
        <w:rPr>
          <w:rFonts w:ascii="Times New Roman" w:hAnsi="Times New Roman"/>
          <w:lang w:val="en-GB"/>
        </w:rPr>
      </w:r>
    </w:p>
    <w:p>
      <w:pPr>
        <w:pStyle w:val="Normal"/>
        <w:spacing w:lineRule="auto" w:line="360"/>
        <w:rPr>
          <w:lang w:val="en-GB"/>
        </w:rPr>
      </w:pPr>
      <w:r>
        <w:rPr>
          <w:lang w:val="en-GB"/>
        </w:rPr>
      </w:r>
    </w:p>
    <w:p>
      <w:pPr>
        <w:pStyle w:val="Normal"/>
        <w:spacing w:lineRule="auto" w:line="259" w:before="0" w:after="160"/>
        <w:rPr>
          <w:lang w:val="en-GB"/>
        </w:rPr>
      </w:pPr>
      <w:r>
        <w:rPr>
          <w:lang w:val="en-GB"/>
        </w:rPr>
      </w:r>
    </w:p>
    <w:p>
      <w:pPr>
        <w:pStyle w:val="Normal"/>
        <w:spacing w:lineRule="auto" w:line="259" w:before="0" w:after="160"/>
        <w:rPr>
          <w:lang w:val="en-GB"/>
        </w:rPr>
      </w:pPr>
      <w:r>
        <w:rPr>
          <w:lang w:val="en-GB"/>
        </w:rPr>
      </w:r>
    </w:p>
    <w:p>
      <w:pPr>
        <w:pStyle w:val="Normal"/>
        <w:spacing w:lineRule="auto" w:line="259" w:before="0" w:after="160"/>
        <w:rPr>
          <w:lang w:val="en-GB"/>
        </w:rPr>
      </w:pPr>
      <w:r>
        <w:rPr>
          <w:lang w:val="en-GB"/>
        </w:rPr>
      </w:r>
    </w:p>
    <w:p>
      <w:pPr>
        <w:pStyle w:val="Normal"/>
        <w:spacing w:lineRule="auto" w:line="259" w:before="0" w:after="160"/>
        <w:rPr>
          <w:lang w:val="en-GB"/>
        </w:rPr>
      </w:pPr>
      <w:r>
        <w:rPr>
          <w:lang w:val="en-GB"/>
        </w:rPr>
      </w:r>
    </w:p>
    <w:p>
      <w:pPr>
        <w:pStyle w:val="Normal"/>
        <w:spacing w:lineRule="auto" w:line="259" w:before="0" w:after="160"/>
        <w:rPr>
          <w:lang w:val="en-GB"/>
        </w:rPr>
      </w:pPr>
      <w:r>
        <w:rPr>
          <w:lang w:val="en-GB"/>
        </w:rPr>
      </w:r>
    </w:p>
    <w:p>
      <w:pPr>
        <w:pStyle w:val="Normal"/>
        <w:spacing w:lineRule="auto" w:line="259" w:before="0" w:after="160"/>
        <w:rPr>
          <w:lang w:val="en-GB"/>
        </w:rPr>
      </w:pPr>
      <w:r>
        <w:rPr>
          <w:lang w:val="en-GB"/>
        </w:rPr>
      </w:r>
    </w:p>
    <w:p>
      <w:pPr>
        <w:pStyle w:val="Normal"/>
        <w:spacing w:lineRule="auto" w:line="259" w:before="0" w:after="160"/>
        <w:rPr>
          <w:lang w:val="en-GB"/>
        </w:rPr>
      </w:pPr>
      <w:r>
        <w:rPr>
          <w:lang w:val="en-GB"/>
        </w:rPr>
      </w:r>
    </w:p>
    <w:p>
      <w:pPr>
        <w:pStyle w:val="Normal"/>
        <w:spacing w:lineRule="auto" w:line="259" w:before="0" w:after="160"/>
        <w:rPr>
          <w:lang w:val="en-GB"/>
        </w:rPr>
      </w:pPr>
      <w:r>
        <w:rPr>
          <w:lang w:val="en-GB"/>
        </w:rPr>
      </w:r>
    </w:p>
    <w:p>
      <w:pPr>
        <w:pStyle w:val="Normal"/>
        <w:spacing w:lineRule="auto" w:line="259" w:before="0" w:after="160"/>
        <w:rPr/>
      </w:pPr>
      <w:r>
        <w:rPr/>
      </w:r>
    </w:p>
    <w:sectPr>
      <w:endnotePr>
        <w:numFmt w:val="lowerRoman"/>
      </w:endnotePr>
      <w:type w:val="nextPage"/>
      <w:pgSz w:w="11906" w:h="16838"/>
      <w:pgMar w:left="1701" w:right="1701" w:header="0" w:top="1417" w:footer="0" w:bottom="1417" w:gutter="0"/>
      <w:pgNumType w:fmt="decimal"/>
      <w:formProt w:val="false"/>
      <w:textDirection w:val="lrTb"/>
      <w:docGrid w:type="default" w:linePitch="360" w:charSpace="4294961151"/>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text"/>
        <w:rPr/>
      </w:pPr>
      <w:r>
        <w:rPr>
          <w:rStyle w:val="Endnotereference"/>
          <w:rFonts w:ascii="Times New Roman" w:hAnsi="Times New Roman"/>
        </w:rPr>
        <w:endnoteRef/>
        <w:tab/>
      </w:r>
      <w:r>
        <w:rPr>
          <w:rFonts w:ascii="Times New Roman" w:hAnsi="Times New Roman"/>
        </w:rPr>
        <w:t>Converted from the average Dollar exchange rate in September 2016 (US$ 3,256).</w:t>
      </w:r>
    </w:p>
  </w:endnote>
  <w:endnote w:id="3">
    <w:p>
      <w:pPr>
        <w:pStyle w:val="Endnotetext"/>
        <w:rPr/>
      </w:pPr>
      <w:r>
        <w:rPr>
          <w:rStyle w:val="Endnotereference"/>
          <w:rFonts w:ascii="Times New Roman" w:hAnsi="Times New Roman"/>
        </w:rPr>
        <w:endnoteRef/>
        <w:tab/>
      </w:r>
      <w:r>
        <w:rPr>
          <w:rFonts w:ascii="Times New Roman" w:hAnsi="Times New Roman"/>
        </w:rPr>
        <w:t xml:space="preserve"> </w:t>
      </w:r>
      <w:r>
        <w:rPr>
          <w:rFonts w:ascii="Times New Roman" w:hAnsi="Times New Roman"/>
        </w:rPr>
        <w:t>Converted from the average Dollar exchange rate in September 2016 (US$ 3,256).</w:t>
      </w:r>
    </w:p>
  </w:endnote>
  <w:endnote w:id="4">
    <w:p>
      <w:pPr>
        <w:pStyle w:val="Endnotetext"/>
        <w:rPr/>
      </w:pPr>
      <w:r>
        <w:rPr>
          <w:rStyle w:val="Endnotereference"/>
          <w:rFonts w:ascii="Times New Roman" w:hAnsi="Times New Roman"/>
        </w:rPr>
        <w:endnoteRef/>
        <w:tab/>
      </w:r>
      <w:r>
        <w:rPr>
          <w:rFonts w:ascii="Times New Roman" w:hAnsi="Times New Roman"/>
        </w:rPr>
        <w:t xml:space="preserve"> </w:t>
      </w:r>
      <w:r>
        <w:rPr>
          <w:rFonts w:ascii="Times New Roman" w:hAnsi="Times New Roman"/>
        </w:rPr>
        <w:t>Converted from the average Dollar exchange rate in September 2016 (US$ 3,256).</w:t>
      </w:r>
    </w:p>
  </w:endnote>
  <w:endnote w:id="5">
    <w:p>
      <w:pPr>
        <w:pStyle w:val="Endnotetext"/>
        <w:rPr/>
      </w:pPr>
      <w:r>
        <w:rPr>
          <w:rStyle w:val="Endnotereference"/>
          <w:rFonts w:ascii="Times New Roman" w:hAnsi="Times New Roman"/>
        </w:rPr>
        <w:endnoteRef/>
        <w:tab/>
      </w:r>
      <w:r>
        <w:rPr>
          <w:rFonts w:ascii="Times New Roman" w:hAnsi="Times New Roman"/>
        </w:rPr>
        <w:t xml:space="preserve"> </w:t>
      </w:r>
      <w:r>
        <w:rPr>
          <w:rFonts w:ascii="Times New Roman" w:hAnsi="Times New Roman"/>
        </w:rPr>
        <w:t>Recovered from: &lt;http://www.caixa.gov.br/programas-sociais/bolsa-familia/perguntas-frequentes/Paginas/default.aspx&gt;. Accessed on September 29th, 2016.</w:t>
      </w:r>
    </w:p>
  </w:endnote>
  <w:endnote w:id="6">
    <w:p>
      <w:pPr>
        <w:pStyle w:val="Endnotetext"/>
        <w:rPr/>
      </w:pPr>
      <w:r>
        <w:rPr>
          <w:rStyle w:val="Endnotereference"/>
          <w:rFonts w:ascii="Times New Roman" w:hAnsi="Times New Roman"/>
        </w:rPr>
        <w:endnoteRef/>
        <w:tab/>
      </w:r>
      <w:r>
        <w:rPr>
          <w:rFonts w:ascii="Times New Roman" w:hAnsi="Times New Roman"/>
        </w:rPr>
        <w:t xml:space="preserve"> </w:t>
      </w:r>
      <w:r>
        <w:rPr>
          <w:rFonts w:ascii="Times New Roman" w:hAnsi="Times New Roman"/>
        </w:rPr>
        <w:t>Converted from the average Dollar exchange rate in 2015 (US$ 3,331).</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8"/>
  <w:endnotePr>
    <w:numFmt w:val="lowerRoman"/>
    <w:endnote w:id="0"/>
    <w:endnote w:id="1"/>
  </w:endnotePr>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2b03"/>
    <w:pPr>
      <w:widowControl/>
      <w:bidi w:val="0"/>
      <w:jc w:val="left"/>
    </w:pPr>
    <w:rPr>
      <w:rFonts w:ascii="Cambria" w:hAnsi="Cambria" w:eastAsia="MS Mincho" w:cs="Times New Roman"/>
      <w:color w:val="auto"/>
      <w:sz w:val="24"/>
      <w:szCs w:val="24"/>
      <w:lang w:val="en-US" w:eastAsia="en-US" w:bidi="ar-SA"/>
    </w:rPr>
  </w:style>
  <w:style w:type="paragraph" w:styleId="Ttulo1" w:customStyle="1">
    <w:name w:val="Heading 1"/>
    <w:basedOn w:val="Normal"/>
    <w:next w:val="Normal"/>
    <w:link w:val="Ttulo1Char"/>
    <w:uiPriority w:val="9"/>
    <w:qFormat/>
    <w:rsid w:val="006f68e3"/>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Heading1"/>
    <w:uiPriority w:val="9"/>
    <w:qFormat/>
    <w:rsid w:val="006f68e3"/>
    <w:rPr>
      <w:rFonts w:ascii="Calibri Light" w:hAnsi="Calibri Light" w:eastAsia="" w:cs="" w:asciiTheme="majorHAnsi" w:cstheme="majorBidi" w:eastAsiaTheme="majorEastAsia" w:hAnsiTheme="majorHAnsi"/>
      <w:color w:val="2E74B5" w:themeColor="accent1" w:themeShade="bf"/>
      <w:sz w:val="32"/>
      <w:szCs w:val="32"/>
    </w:rPr>
  </w:style>
  <w:style w:type="character" w:styleId="Ttulo2Char" w:customStyle="1">
    <w:name w:val="título 2 Char"/>
    <w:basedOn w:val="DefaultParagraphFont"/>
    <w:qFormat/>
    <w:rsid w:val="006f68e3"/>
    <w:rPr>
      <w:rFonts w:ascii="Times New Roman" w:hAnsi="Times New Roman" w:cs="Times New Roman"/>
      <w:sz w:val="24"/>
      <w:szCs w:val="24"/>
    </w:rPr>
  </w:style>
  <w:style w:type="character" w:styleId="Ttulo1negritoChar" w:customStyle="1">
    <w:name w:val="Título 1 negrito Char"/>
    <w:basedOn w:val="Ttulo1Char"/>
    <w:link w:val="Ttulo1negrito"/>
    <w:qFormat/>
    <w:rsid w:val="006f68e3"/>
    <w:rPr>
      <w:rFonts w:ascii="Times New Roman" w:hAnsi="Times New Roman" w:eastAsia="" w:cs="" w:cstheme="majorBidi" w:eastAsiaTheme="majorEastAsia"/>
      <w:b/>
      <w:color w:val="2E74B5" w:themeColor="accent1" w:themeShade="bf"/>
      <w:sz w:val="24"/>
      <w:szCs w:val="24"/>
    </w:rPr>
  </w:style>
  <w:style w:type="character" w:styleId="Appleconvertedspace" w:customStyle="1">
    <w:name w:val="apple-converted-space"/>
    <w:basedOn w:val="DefaultParagraphFont"/>
    <w:qFormat/>
    <w:rsid w:val="00b62b03"/>
    <w:rPr/>
  </w:style>
  <w:style w:type="character" w:styleId="LinkdaInternet" w:customStyle="1">
    <w:name w:val="Link da Internet"/>
    <w:basedOn w:val="DefaultParagraphFont"/>
    <w:uiPriority w:val="99"/>
    <w:unhideWhenUsed/>
    <w:rsid w:val="00b62b03"/>
    <w:rPr>
      <w:color w:val="0000FF"/>
      <w:u w:val="single"/>
    </w:rPr>
  </w:style>
  <w:style w:type="character" w:styleId="TextodecomentrioChar" w:customStyle="1">
    <w:name w:val="Texto de comentário Char"/>
    <w:basedOn w:val="DefaultParagraphFont"/>
    <w:link w:val="Textodecomentrio"/>
    <w:uiPriority w:val="99"/>
    <w:semiHidden/>
    <w:qFormat/>
    <w:rsid w:val="00b62b03"/>
    <w:rPr>
      <w:rFonts w:ascii="Tahoma" w:hAnsi="Tahoma" w:eastAsia="MS Mincho" w:cs="Tahoma"/>
      <w:color w:val="000000"/>
      <w:sz w:val="16"/>
      <w:szCs w:val="20"/>
      <w:lang w:val="en-US"/>
    </w:rPr>
  </w:style>
  <w:style w:type="character" w:styleId="AssuntodocomentrioChar" w:customStyle="1">
    <w:name w:val="Assunto do comentário Char"/>
    <w:basedOn w:val="TextodecomentrioChar"/>
    <w:link w:val="Assuntodocomentrio"/>
    <w:uiPriority w:val="99"/>
    <w:semiHidden/>
    <w:qFormat/>
    <w:rsid w:val="00b62b03"/>
    <w:rPr>
      <w:rFonts w:ascii="Cambria" w:hAnsi="Cambria" w:eastAsia="MS Mincho" w:cs="Times New Roman"/>
      <w:b/>
      <w:bCs/>
      <w:color w:val="000000"/>
      <w:sz w:val="20"/>
      <w:szCs w:val="20"/>
      <w:lang w:val="en-US"/>
    </w:rPr>
  </w:style>
  <w:style w:type="character" w:styleId="TextodebaloChar" w:customStyle="1">
    <w:name w:val="Texto de balão Char"/>
    <w:basedOn w:val="DefaultParagraphFont"/>
    <w:link w:val="Textodebalo"/>
    <w:uiPriority w:val="99"/>
    <w:semiHidden/>
    <w:qFormat/>
    <w:rsid w:val="00b62b03"/>
    <w:rPr>
      <w:rFonts w:ascii="Tahoma" w:hAnsi="Tahoma" w:eastAsia="MS Mincho" w:cs="Tahoma"/>
      <w:sz w:val="16"/>
      <w:szCs w:val="16"/>
      <w:lang w:val="en-US"/>
    </w:rPr>
  </w:style>
  <w:style w:type="character" w:styleId="TextodenotaderodapChar" w:customStyle="1">
    <w:name w:val="Texto de nota de rodapé Char"/>
    <w:basedOn w:val="DefaultParagraphFont"/>
    <w:link w:val="Textodenotaderodap"/>
    <w:uiPriority w:val="99"/>
    <w:semiHidden/>
    <w:qFormat/>
    <w:rsid w:val="00b62b03"/>
    <w:rPr>
      <w:rFonts w:ascii="Cambria" w:hAnsi="Cambria" w:eastAsia="MS Mincho" w:cs="Times New Roman"/>
      <w:sz w:val="20"/>
      <w:szCs w:val="20"/>
    </w:rPr>
  </w:style>
  <w:style w:type="character" w:styleId="Footnotereference">
    <w:name w:val="footnote reference"/>
    <w:basedOn w:val="DefaultParagraphFont"/>
    <w:uiPriority w:val="99"/>
    <w:semiHidden/>
    <w:unhideWhenUsed/>
    <w:qFormat/>
    <w:rsid w:val="00b62b03"/>
    <w:rPr>
      <w:vertAlign w:val="superscript"/>
    </w:rPr>
  </w:style>
  <w:style w:type="character" w:styleId="TextodenotadefimChar" w:customStyle="1">
    <w:name w:val="Texto de nota de fim Char"/>
    <w:basedOn w:val="DefaultParagraphFont"/>
    <w:link w:val="Textodenotadefim"/>
    <w:uiPriority w:val="99"/>
    <w:semiHidden/>
    <w:qFormat/>
    <w:rsid w:val="00b62b03"/>
    <w:rPr>
      <w:rFonts w:ascii="Cambria" w:hAnsi="Cambria" w:eastAsia="MS Mincho" w:cs="Times New Roman"/>
      <w:sz w:val="20"/>
      <w:szCs w:val="20"/>
    </w:rPr>
  </w:style>
  <w:style w:type="character" w:styleId="Endnotereference">
    <w:name w:val="endnote reference"/>
    <w:basedOn w:val="DefaultParagraphFont"/>
    <w:uiPriority w:val="99"/>
    <w:semiHidden/>
    <w:unhideWhenUsed/>
    <w:qFormat/>
    <w:rsid w:val="00e80e0c"/>
    <w:rPr>
      <w:vertAlign w:val="superscript"/>
    </w:rPr>
  </w:style>
  <w:style w:type="character" w:styleId="Annotationreference">
    <w:name w:val="annotation reference"/>
    <w:basedOn w:val="DefaultParagraphFont"/>
    <w:uiPriority w:val="99"/>
    <w:semiHidden/>
    <w:unhideWhenUsed/>
    <w:qFormat/>
    <w:rsid w:val="00a249da"/>
    <w:rPr>
      <w:sz w:val="18"/>
      <w:szCs w:val="18"/>
    </w:rPr>
  </w:style>
  <w:style w:type="character" w:styleId="ListLabel1" w:customStyle="1">
    <w:name w:val="ListLabel 1"/>
    <w:qFormat/>
    <w:rsid w:val="00f34904"/>
    <w:rPr>
      <w:rFonts w:cs="Courier New"/>
    </w:rPr>
  </w:style>
  <w:style w:type="character" w:styleId="ListLabel2" w:customStyle="1">
    <w:name w:val="ListLabel 2"/>
    <w:qFormat/>
    <w:rsid w:val="00f34904"/>
    <w:rPr>
      <w:rFonts w:cs="Courier New"/>
    </w:rPr>
  </w:style>
  <w:style w:type="character" w:styleId="ListLabel3" w:customStyle="1">
    <w:name w:val="ListLabel 3"/>
    <w:qFormat/>
    <w:rsid w:val="00f34904"/>
    <w:rPr>
      <w:rFonts w:cs="Courier New"/>
    </w:rPr>
  </w:style>
  <w:style w:type="character" w:styleId="Caracteresdenotadefim" w:customStyle="1">
    <w:name w:val="Caracteres de nota de fim"/>
    <w:qFormat/>
    <w:rsid w:val="00f34904"/>
    <w:rPr/>
  </w:style>
  <w:style w:type="character" w:styleId="Ncoradanotadefim" w:customStyle="1">
    <w:name w:val="Âncora da nota de fim"/>
    <w:rsid w:val="00f34904"/>
    <w:rPr>
      <w:vertAlign w:val="superscript"/>
    </w:rPr>
  </w:style>
  <w:style w:type="character" w:styleId="Ncoradanotaderodap" w:customStyle="1">
    <w:name w:val="Âncora da nota de rodapé"/>
    <w:rsid w:val="00f34904"/>
    <w:rPr>
      <w:vertAlign w:val="superscript"/>
    </w:rPr>
  </w:style>
  <w:style w:type="character" w:styleId="Caracteresdenotaderodap" w:customStyle="1">
    <w:name w:val="Caracteres de nota de rodapé"/>
    <w:qFormat/>
    <w:rsid w:val="00f34904"/>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Body Text"/>
    <w:basedOn w:val="Normal"/>
    <w:rsid w:val="00f34904"/>
    <w:pPr>
      <w:spacing w:lineRule="auto" w:line="288" w:before="0" w:after="140"/>
    </w:pPr>
    <w:rPr/>
  </w:style>
  <w:style w:type="paragraph" w:styleId="Lista">
    <w:name w:val="List"/>
    <w:basedOn w:val="Corpodetexto"/>
    <w:rsid w:val="00f34904"/>
    <w:pPr/>
    <w:rPr>
      <w:rFonts w:cs="Lucida Sans"/>
    </w:rPr>
  </w:style>
  <w:style w:type="paragraph" w:styleId="Legenda" w:customStyle="1">
    <w:name w:val="Caption"/>
    <w:basedOn w:val="Normal"/>
    <w:qFormat/>
    <w:rsid w:val="00f34904"/>
    <w:pPr>
      <w:suppressLineNumbers/>
      <w:spacing w:before="120" w:after="120"/>
    </w:pPr>
    <w:rPr>
      <w:rFonts w:cs="Lucida Sans"/>
      <w:i/>
      <w:iCs/>
    </w:rPr>
  </w:style>
  <w:style w:type="paragraph" w:styleId="Ndice" w:customStyle="1">
    <w:name w:val="Índice"/>
    <w:basedOn w:val="Normal"/>
    <w:qFormat/>
    <w:rsid w:val="00f34904"/>
    <w:pPr>
      <w:suppressLineNumbers/>
    </w:pPr>
    <w:rPr>
      <w:rFonts w:cs="Lucida Sans"/>
    </w:rPr>
  </w:style>
  <w:style w:type="paragraph" w:styleId="Ttulododocumento">
    <w:name w:val="Title"/>
    <w:basedOn w:val="Normal"/>
    <w:qFormat/>
    <w:rsid w:val="00f34904"/>
    <w:pPr>
      <w:keepNext/>
      <w:spacing w:before="240" w:after="120"/>
    </w:pPr>
    <w:rPr>
      <w:rFonts w:ascii="Liberation Sans" w:hAnsi="Liberation Sans" w:eastAsia="Microsoft YaHei" w:cs="Lucida Sans"/>
      <w:sz w:val="28"/>
      <w:szCs w:val="28"/>
    </w:rPr>
  </w:style>
  <w:style w:type="paragraph" w:styleId="Ttulo2" w:customStyle="1">
    <w:name w:val="título 2"/>
    <w:basedOn w:val="Normal"/>
    <w:qFormat/>
    <w:rsid w:val="006f68e3"/>
    <w:pPr/>
    <w:rPr>
      <w:rFonts w:ascii="Times New Roman" w:hAnsi="Times New Roman"/>
    </w:rPr>
  </w:style>
  <w:style w:type="paragraph" w:styleId="Ttulo1negrito" w:customStyle="1">
    <w:name w:val="Título 1 negrito"/>
    <w:basedOn w:val="Ttulo1"/>
    <w:next w:val="Normal"/>
    <w:link w:val="Ttulo1negritoChar"/>
    <w:qFormat/>
    <w:rsid w:val="006f68e3"/>
    <w:pPr>
      <w:spacing w:lineRule="auto" w:line="360"/>
    </w:pPr>
    <w:rPr>
      <w:rFonts w:ascii="Times New Roman" w:hAnsi="Times New Roman"/>
      <w:b/>
      <w:sz w:val="24"/>
      <w:szCs w:val="24"/>
    </w:rPr>
  </w:style>
  <w:style w:type="paragraph" w:styleId="ListParagraph">
    <w:name w:val="List Paragraph"/>
    <w:basedOn w:val="Normal"/>
    <w:uiPriority w:val="34"/>
    <w:qFormat/>
    <w:rsid w:val="00b62b03"/>
    <w:pPr>
      <w:spacing w:lineRule="auto" w:line="276" w:before="0" w:after="200"/>
      <w:ind w:left="720" w:hanging="0"/>
      <w:contextualSpacing/>
    </w:pPr>
    <w:rPr>
      <w:rFonts w:ascii="Calibri" w:hAnsi="Calibri" w:eastAsia="Calibri" w:cs="" w:asciiTheme="minorHAnsi" w:cstheme="minorBidi" w:eastAsiaTheme="minorHAnsi" w:hAnsiTheme="minorHAnsi"/>
      <w:sz w:val="22"/>
      <w:szCs w:val="22"/>
    </w:rPr>
  </w:style>
  <w:style w:type="paragraph" w:styleId="Annotationtext">
    <w:name w:val="annotation text"/>
    <w:basedOn w:val="Normal"/>
    <w:link w:val="TextodecomentrioChar"/>
    <w:uiPriority w:val="99"/>
    <w:semiHidden/>
    <w:unhideWhenUsed/>
    <w:qFormat/>
    <w:rsid w:val="00b62b03"/>
    <w:pPr/>
    <w:rPr>
      <w:rFonts w:ascii="Tahoma" w:hAnsi="Tahoma" w:cs="Tahoma"/>
      <w:color w:val="000000"/>
      <w:sz w:val="16"/>
      <w:szCs w:val="20"/>
    </w:rPr>
  </w:style>
  <w:style w:type="paragraph" w:styleId="Annotationsubject">
    <w:name w:val="annotation subject"/>
    <w:basedOn w:val="Annotationtext"/>
    <w:link w:val="AssuntodocomentrioChar"/>
    <w:uiPriority w:val="99"/>
    <w:semiHidden/>
    <w:unhideWhenUsed/>
    <w:qFormat/>
    <w:rsid w:val="00b62b03"/>
    <w:pPr/>
    <w:rPr>
      <w:b/>
      <w:bCs/>
    </w:rPr>
  </w:style>
  <w:style w:type="paragraph" w:styleId="BalloonText">
    <w:name w:val="Balloon Text"/>
    <w:basedOn w:val="Normal"/>
    <w:link w:val="TextodebaloChar"/>
    <w:uiPriority w:val="99"/>
    <w:semiHidden/>
    <w:unhideWhenUsed/>
    <w:qFormat/>
    <w:rsid w:val="00b62b03"/>
    <w:pPr/>
    <w:rPr>
      <w:rFonts w:ascii="Tahoma" w:hAnsi="Tahoma" w:cs="Tahoma"/>
      <w:sz w:val="16"/>
      <w:szCs w:val="16"/>
    </w:rPr>
  </w:style>
  <w:style w:type="paragraph" w:styleId="Footnotetext">
    <w:name w:val="footnote text"/>
    <w:basedOn w:val="Normal"/>
    <w:link w:val="TextodenotaderodapChar"/>
    <w:uiPriority w:val="99"/>
    <w:semiHidden/>
    <w:unhideWhenUsed/>
    <w:qFormat/>
    <w:rsid w:val="00b62b03"/>
    <w:pPr/>
    <w:rPr>
      <w:sz w:val="20"/>
      <w:szCs w:val="20"/>
    </w:rPr>
  </w:style>
  <w:style w:type="paragraph" w:styleId="Endnotetext">
    <w:name w:val="endnote text"/>
    <w:basedOn w:val="Normal"/>
    <w:link w:val="TextodenotadefimChar"/>
    <w:uiPriority w:val="99"/>
    <w:semiHidden/>
    <w:unhideWhenUsed/>
    <w:qFormat/>
    <w:rsid w:val="00b62b03"/>
    <w:pPr/>
    <w:rPr>
      <w:sz w:val="20"/>
      <w:szCs w:val="20"/>
    </w:rPr>
  </w:style>
  <w:style w:type="paragraph" w:styleId="Revision">
    <w:name w:val="Revision"/>
    <w:uiPriority w:val="99"/>
    <w:semiHidden/>
    <w:qFormat/>
    <w:rsid w:val="000e2118"/>
    <w:pPr>
      <w:widowControl/>
      <w:bidi w:val="0"/>
      <w:jc w:val="left"/>
    </w:pPr>
    <w:rPr>
      <w:rFonts w:ascii="Cambria" w:hAnsi="Cambria" w:eastAsia="MS Mincho" w:cs="Times New Roman"/>
      <w:color w:val="auto"/>
      <w:sz w:val="24"/>
      <w:szCs w:val="24"/>
      <w:lang w:val="en-US" w:eastAsia="en-US" w:bidi="ar-SA"/>
    </w:rPr>
  </w:style>
  <w:style w:type="paragraph" w:styleId="EndnoteSymbol" w:customStyle="1">
    <w:name w:val="Endnote Symbol"/>
    <w:basedOn w:val="Normal"/>
    <w:qFormat/>
    <w:rsid w:val="00f34904"/>
    <w:pPr/>
    <w:rPr/>
  </w:style>
  <w:style w:type="paragraph" w:styleId="Notadefim">
    <w:name w:val="Endnote Text"/>
    <w:basedOn w:val="Normal"/>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uiPriority w:val="59"/>
    <w:rsid w:val="00b62b03"/>
    <w:rPr>
      <w:lang w:eastAsia="pt-BR"/>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2CF3-EAA4-435E-8746-CECA5BEE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LibreOffice/5.2.2.2$Windows_x86 LibreOffice_project/8f96e87c890bf8fa77463cd4b640a2312823f3ad</Application>
  <Pages>13</Pages>
  <Words>4445</Words>
  <Characters>25987</Characters>
  <CharactersWithSpaces>30221</CharactersWithSpaces>
  <Paragraphs>208</Paragraphs>
  <Company>PUCRS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2017-01-03T16:46:00Z</dcterms:created>
  <dc:creator>Lucas Funck</dc:creator>
  <dc:description/>
  <dc:language>pt-BR</dc:language>
  <cp:lastModifiedBy/>
  <cp:lastPrinted>2016-12-17T22:18:00Z</cp:lastPrinted>
  <dcterms:modified xsi:type="dcterms:W3CDTF">2017-09-15T15:22:37Z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PUCRS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