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0F64E" w14:textId="1EC39B66" w:rsidR="00F059D7" w:rsidRDefault="00F059D7" w:rsidP="00F059D7">
      <w:pPr>
        <w:pStyle w:val="Ttulo"/>
      </w:pPr>
      <w:r>
        <w:t>Edad y actitudes hacia la homosexualidad</w:t>
      </w:r>
      <w:r w:rsidR="007D492F">
        <w:t>: el futuro de los derechos de la comunidad LGBTI+ en Paraguay</w:t>
      </w:r>
    </w:p>
    <w:p w14:paraId="512D4FCD" w14:textId="5F347BEE" w:rsidR="005247FE" w:rsidRPr="002468FE" w:rsidRDefault="002468FE" w:rsidP="002468FE">
      <w:pPr>
        <w:ind w:firstLine="0"/>
        <w:jc w:val="center"/>
        <w:rPr>
          <w:lang w:val="en-US"/>
        </w:rPr>
      </w:pPr>
      <w:r w:rsidRPr="002468FE">
        <w:rPr>
          <w:lang w:val="en-US"/>
        </w:rPr>
        <w:t>Age and attitudes towards homosexua</w:t>
      </w:r>
      <w:r>
        <w:rPr>
          <w:lang w:val="en-US"/>
        </w:rPr>
        <w:t>lity: what does the future look</w:t>
      </w:r>
      <w:r w:rsidRPr="002468FE">
        <w:rPr>
          <w:lang w:val="en-US"/>
        </w:rPr>
        <w:t xml:space="preserve"> like for LGBTI+ rights in Paraguay?</w:t>
      </w:r>
    </w:p>
    <w:p w14:paraId="675611D0" w14:textId="39632E56" w:rsidR="00C06E52" w:rsidRDefault="00C06E52" w:rsidP="00C06E52">
      <w:pPr>
        <w:jc w:val="center"/>
      </w:pPr>
      <w:r>
        <w:t>Gerónimo Codas*</w:t>
      </w:r>
    </w:p>
    <w:p w14:paraId="00AC9528" w14:textId="7204BB1E" w:rsidR="00FE61BF" w:rsidRDefault="00C06E52" w:rsidP="00C06E52">
      <w:pPr>
        <w:jc w:val="center"/>
      </w:pPr>
      <w:r>
        <w:t>Universidad Católica “Nuestra Señora de la Asunción”</w:t>
      </w:r>
    </w:p>
    <w:p w14:paraId="3A8B50F4" w14:textId="77777777" w:rsidR="00FE61BF" w:rsidRDefault="00FE61BF">
      <w:pPr>
        <w:spacing w:after="160" w:line="259" w:lineRule="auto"/>
        <w:ind w:firstLine="0"/>
        <w:mirrorIndents w:val="0"/>
      </w:pPr>
      <w:r>
        <w:br w:type="page"/>
      </w:r>
    </w:p>
    <w:p w14:paraId="62A6DD02" w14:textId="77777777" w:rsidR="00FE61BF" w:rsidRDefault="00FE61BF" w:rsidP="00FE61BF">
      <w:pPr>
        <w:pStyle w:val="Ttulo"/>
      </w:pPr>
      <w:r>
        <w:lastRenderedPageBreak/>
        <w:t>Edad y actitudes hacia la homosexualidad: el futuro de los derechos de la comunidad LGBTI+ en Paraguay</w:t>
      </w:r>
    </w:p>
    <w:p w14:paraId="4CB1F8E9" w14:textId="40FA9B71" w:rsidR="00FE61BF" w:rsidRPr="00FE61BF" w:rsidRDefault="00FE61BF" w:rsidP="00FE61BF">
      <w:pPr>
        <w:ind w:firstLine="0"/>
        <w:jc w:val="center"/>
        <w:rPr>
          <w:lang w:val="en-US"/>
        </w:rPr>
      </w:pPr>
      <w:r w:rsidRPr="002468FE">
        <w:rPr>
          <w:lang w:val="en-US"/>
        </w:rPr>
        <w:t>Age and attitudes towards homosexua</w:t>
      </w:r>
      <w:r>
        <w:rPr>
          <w:lang w:val="en-US"/>
        </w:rPr>
        <w:t>lity: what does the future look</w:t>
      </w:r>
      <w:r w:rsidRPr="002468FE">
        <w:rPr>
          <w:lang w:val="en-US"/>
        </w:rPr>
        <w:t xml:space="preserve"> like for LGBTI+ rights in Paraguay?</w:t>
      </w:r>
    </w:p>
    <w:p w14:paraId="391355E8" w14:textId="22AC7284" w:rsidR="002562DD" w:rsidRDefault="002562DD" w:rsidP="002562DD">
      <w:pPr>
        <w:pStyle w:val="Ttulo1"/>
      </w:pPr>
      <w:r>
        <w:t>Resumen</w:t>
      </w:r>
    </w:p>
    <w:p w14:paraId="3E203FA6" w14:textId="4C34908A" w:rsidR="002562DD" w:rsidRPr="003979E5" w:rsidRDefault="00431A64" w:rsidP="002562DD">
      <w:r>
        <w:t>En los últimos años, distintos países han modificado partes de su legislación en favor de los derechos de la</w:t>
      </w:r>
      <w:r w:rsidR="003979E5">
        <w:t xml:space="preserve"> comunidad LGBTI+. Estas modificaciones se vieron influida</w:t>
      </w:r>
      <w:r>
        <w:t xml:space="preserve">s por cambios en las actitudes de la población hacia esta comunidad, que responden a un recambio generacional </w:t>
      </w:r>
      <w:r w:rsidRPr="003979E5">
        <w:t>donde los jóvenes muestran menos prejuicios hacia orientaciones no heterosexuales. El presente estudio pretende elucidar si en la situación actual en Paraguay se desarrolla un fenómeno similar.</w:t>
      </w:r>
      <w:r w:rsidR="00610C35">
        <w:t xml:space="preserve"> Participaron 801 habitantes de la capital y el interior de la República del Paraguay, de entre 13 y 77 años de edad </w:t>
      </w:r>
      <w:r w:rsidR="00610C35">
        <w:rPr>
          <w:lang w:val="es-PY"/>
        </w:rPr>
        <w:t>(</w:t>
      </w:r>
      <w:r w:rsidR="00610C35" w:rsidRPr="00233806">
        <w:rPr>
          <w:i/>
          <w:lang w:val="es-PY"/>
        </w:rPr>
        <w:t>M</w:t>
      </w:r>
      <w:r w:rsidR="00610C35">
        <w:rPr>
          <w:lang w:val="es-PY"/>
        </w:rPr>
        <w:t xml:space="preserve"> = 27.33; </w:t>
      </w:r>
      <w:r w:rsidR="00610C35" w:rsidRPr="00233806">
        <w:rPr>
          <w:i/>
          <w:lang w:val="es-PY"/>
        </w:rPr>
        <w:t>DE</w:t>
      </w:r>
      <w:r w:rsidR="00610C35">
        <w:rPr>
          <w:lang w:val="es-PY"/>
        </w:rPr>
        <w:t xml:space="preserve"> = </w:t>
      </w:r>
      <w:r w:rsidR="003F26F0">
        <w:rPr>
          <w:lang w:val="es-PY"/>
        </w:rPr>
        <w:t>10.03</w:t>
      </w:r>
      <w:r w:rsidR="00610C35">
        <w:rPr>
          <w:lang w:val="es-PY"/>
        </w:rPr>
        <w:t>)</w:t>
      </w:r>
      <w:r w:rsidR="00610C35">
        <w:t>.</w:t>
      </w:r>
      <w:r w:rsidR="00C074C9">
        <w:t xml:space="preserve"> Contestaron una encuesta acerca de su opinión sobre la legalización de la unión civil de parejas homosexuales</w:t>
      </w:r>
      <w:r w:rsidR="0068382F">
        <w:t>, la cual funcionaría como indicador de actitudes hacia la homosexualidad</w:t>
      </w:r>
      <w:r w:rsidR="00C074C9">
        <w:t>.</w:t>
      </w:r>
      <w:r w:rsidR="00610C35">
        <w:t xml:space="preserve"> </w:t>
      </w:r>
      <w:r w:rsidR="005C3483">
        <w:t xml:space="preserve">Se halló una relación </w:t>
      </w:r>
      <w:r w:rsidR="00D621D8">
        <w:t xml:space="preserve">baja </w:t>
      </w:r>
      <w:r w:rsidR="005C3483">
        <w:t xml:space="preserve">significativa </w:t>
      </w:r>
      <w:r w:rsidR="0068382F">
        <w:t>entre la edad y estas actitudes</w:t>
      </w:r>
      <w:r w:rsidR="005C3483">
        <w:t xml:space="preserve"> (rho = -.22; </w:t>
      </w:r>
      <w:r w:rsidR="005C3483" w:rsidRPr="005C3483">
        <w:rPr>
          <w:i/>
        </w:rPr>
        <w:t>p</w:t>
      </w:r>
      <w:r w:rsidR="005C3483">
        <w:t xml:space="preserve"> = .000), además de diferencias significativ</w:t>
      </w:r>
      <w:r w:rsidR="0068382F">
        <w:t xml:space="preserve">as </w:t>
      </w:r>
      <w:r w:rsidR="005C3483">
        <w:t>entre habitantes de la capital y del interior de Paraguay (</w:t>
      </w:r>
      <w:r w:rsidR="009A7AF3" w:rsidRPr="009A7AF3">
        <w:rPr>
          <w:i/>
        </w:rPr>
        <w:t>p</w:t>
      </w:r>
      <w:r w:rsidR="009A7AF3">
        <w:t xml:space="preserve"> = .04</w:t>
      </w:r>
      <w:r w:rsidR="005C3483">
        <w:t>)</w:t>
      </w:r>
      <w:r w:rsidR="0068382F">
        <w:t>, donde los últimos presentan actitudes más desfavorables</w:t>
      </w:r>
      <w:r w:rsidR="009A7AF3">
        <w:t>.</w:t>
      </w:r>
    </w:p>
    <w:p w14:paraId="275A7F0F" w14:textId="0B86E4EC" w:rsidR="00431A64" w:rsidRPr="00431A64" w:rsidRDefault="00431A64" w:rsidP="002562DD">
      <w:r w:rsidRPr="003979E5">
        <w:rPr>
          <w:b/>
        </w:rPr>
        <w:t>Palabras clave:</w:t>
      </w:r>
      <w:r w:rsidR="00DF04E5">
        <w:t xml:space="preserve"> Actitudes, Homosexualidad,</w:t>
      </w:r>
      <w:r w:rsidRPr="003979E5">
        <w:t xml:space="preserve"> Recambio Generacional</w:t>
      </w:r>
      <w:r>
        <w:t>.</w:t>
      </w:r>
    </w:p>
    <w:p w14:paraId="3BB10166" w14:textId="54025203" w:rsidR="00431A64" w:rsidRDefault="00431A64" w:rsidP="00431A64">
      <w:pPr>
        <w:pStyle w:val="Ttulo1"/>
        <w:rPr>
          <w:lang w:val="en-US"/>
        </w:rPr>
      </w:pPr>
      <w:r w:rsidRPr="00431A64">
        <w:rPr>
          <w:lang w:val="en-US"/>
        </w:rPr>
        <w:t>Abstract</w:t>
      </w:r>
    </w:p>
    <w:p w14:paraId="781117C0" w14:textId="1766A540" w:rsidR="007949FE" w:rsidRPr="007949FE" w:rsidRDefault="0067483C" w:rsidP="007949FE">
      <w:pPr>
        <w:rPr>
          <w:lang w:val="en-US"/>
        </w:rPr>
      </w:pPr>
      <w:r>
        <w:rPr>
          <w:lang w:val="en-US"/>
        </w:rPr>
        <w:t>In the l</w:t>
      </w:r>
      <w:r w:rsidR="00B41B87">
        <w:rPr>
          <w:lang w:val="en-US"/>
        </w:rPr>
        <w:t>ast years, several different countries have modi</w:t>
      </w:r>
      <w:r w:rsidR="00805797">
        <w:rPr>
          <w:lang w:val="en-US"/>
        </w:rPr>
        <w:t>fied parts of their legislation</w:t>
      </w:r>
      <w:r w:rsidR="00B41B87">
        <w:rPr>
          <w:lang w:val="en-US"/>
        </w:rPr>
        <w:t xml:space="preserve"> in order to protect the LGBTI+ community and to concede equal rights in comparison with heterosexual couples.</w:t>
      </w:r>
      <w:r w:rsidR="00D01C17">
        <w:rPr>
          <w:lang w:val="en-US"/>
        </w:rPr>
        <w:t xml:space="preserve"> The</w:t>
      </w:r>
      <w:r w:rsidR="00EB7AC9">
        <w:rPr>
          <w:lang w:val="en-US"/>
        </w:rPr>
        <w:t>s</w:t>
      </w:r>
      <w:r w:rsidR="00D01C17">
        <w:rPr>
          <w:lang w:val="en-US"/>
        </w:rPr>
        <w:t>e</w:t>
      </w:r>
      <w:r w:rsidR="00EB7AC9">
        <w:rPr>
          <w:lang w:val="en-US"/>
        </w:rPr>
        <w:t xml:space="preserve"> modifications </w:t>
      </w:r>
      <w:r w:rsidR="00805797">
        <w:rPr>
          <w:lang w:val="en-US"/>
        </w:rPr>
        <w:t>w</w:t>
      </w:r>
      <w:r w:rsidR="00D621D8">
        <w:rPr>
          <w:lang w:val="en-US"/>
        </w:rPr>
        <w:t xml:space="preserve">ere probably driven by </w:t>
      </w:r>
      <w:r w:rsidR="00D621D8">
        <w:rPr>
          <w:lang w:val="en-US"/>
        </w:rPr>
        <w:lastRenderedPageBreak/>
        <w:t>intergenerational changes in the attitudes of people towards homosexuality, given that younger people tend to show greater acceptance towards the LGBTI+ community. The current study aims to determine if such a modification of attitudes is taking place on Paraguayan population. The sample is composed by 801 inhabitants of both Asuncion (the capital</w:t>
      </w:r>
      <w:r w:rsidR="00404D3D">
        <w:rPr>
          <w:lang w:val="en-US"/>
        </w:rPr>
        <w:t xml:space="preserve"> and largest</w:t>
      </w:r>
      <w:r w:rsidR="00805797">
        <w:rPr>
          <w:lang w:val="en-US"/>
        </w:rPr>
        <w:t xml:space="preserve"> city in</w:t>
      </w:r>
      <w:r w:rsidR="00D621D8">
        <w:rPr>
          <w:lang w:val="en-US"/>
        </w:rPr>
        <w:t xml:space="preserve"> Paraguay) and the inner regions of the country, known as the “interior”. </w:t>
      </w:r>
      <w:r w:rsidR="00D621D8" w:rsidRPr="00D621D8">
        <w:rPr>
          <w:lang w:val="en-US"/>
        </w:rPr>
        <w:t>Participants are between 13 and 77 years old (</w:t>
      </w:r>
      <w:r w:rsidR="00D621D8" w:rsidRPr="00D621D8">
        <w:rPr>
          <w:i/>
          <w:lang w:val="en-US"/>
        </w:rPr>
        <w:t>M</w:t>
      </w:r>
      <w:r w:rsidR="00D621D8" w:rsidRPr="00D621D8">
        <w:rPr>
          <w:lang w:val="en-US"/>
        </w:rPr>
        <w:t xml:space="preserve"> = 27.33; S</w:t>
      </w:r>
      <w:r w:rsidR="00D621D8" w:rsidRPr="00D621D8">
        <w:rPr>
          <w:i/>
          <w:lang w:val="en-US"/>
        </w:rPr>
        <w:t>D</w:t>
      </w:r>
      <w:r w:rsidR="00D621D8" w:rsidRPr="00D621D8">
        <w:rPr>
          <w:lang w:val="en-US"/>
        </w:rPr>
        <w:t xml:space="preserve"> = 10.03). They answered</w:t>
      </w:r>
      <w:r w:rsidR="00D621D8">
        <w:rPr>
          <w:lang w:val="en-US"/>
        </w:rPr>
        <w:t xml:space="preserve"> a survey asking about their opinions on the legalization of civil unions of homosexual couples</w:t>
      </w:r>
      <w:r>
        <w:rPr>
          <w:lang w:val="en-US"/>
        </w:rPr>
        <w:t>, which is meant to reflect general attitudes towards homosexuality</w:t>
      </w:r>
      <w:r w:rsidR="00D621D8">
        <w:rPr>
          <w:lang w:val="en-US"/>
        </w:rPr>
        <w:t>. Results show a</w:t>
      </w:r>
      <w:r w:rsidR="002E2CB5">
        <w:rPr>
          <w:lang w:val="en-US"/>
        </w:rPr>
        <w:t xml:space="preserve"> weak but consistent correlat</w:t>
      </w:r>
      <w:r>
        <w:rPr>
          <w:lang w:val="en-US"/>
        </w:rPr>
        <w:t>ion between age and such attitudes</w:t>
      </w:r>
      <w:r w:rsidR="002E2CB5">
        <w:rPr>
          <w:lang w:val="en-US"/>
        </w:rPr>
        <w:t xml:space="preserve"> (rho = -.22; </w:t>
      </w:r>
      <w:r w:rsidR="002E2CB5" w:rsidRPr="002E2CB5">
        <w:rPr>
          <w:i/>
          <w:lang w:val="en-US"/>
        </w:rPr>
        <w:t>p</w:t>
      </w:r>
      <w:r w:rsidR="002E2CB5">
        <w:rPr>
          <w:lang w:val="en-US"/>
        </w:rPr>
        <w:t xml:space="preserve"> = .000). Moreover, there are significant</w:t>
      </w:r>
      <w:r>
        <w:rPr>
          <w:lang w:val="en-US"/>
        </w:rPr>
        <w:t xml:space="preserve"> differences </w:t>
      </w:r>
      <w:r w:rsidR="002E2CB5">
        <w:rPr>
          <w:lang w:val="en-US"/>
        </w:rPr>
        <w:t>when comparing inhabitants of Asuncion and the interior (</w:t>
      </w:r>
      <w:r w:rsidR="002E2CB5" w:rsidRPr="002E2CB5">
        <w:rPr>
          <w:i/>
          <w:lang w:val="en-US"/>
        </w:rPr>
        <w:t>p</w:t>
      </w:r>
      <w:r w:rsidR="002E2CB5">
        <w:rPr>
          <w:lang w:val="en-US"/>
        </w:rPr>
        <w:t xml:space="preserve"> = .04)</w:t>
      </w:r>
      <w:r>
        <w:rPr>
          <w:lang w:val="en-US"/>
        </w:rPr>
        <w:t>, being the later those who present more negative opinions</w:t>
      </w:r>
      <w:r w:rsidR="002E2CB5">
        <w:rPr>
          <w:lang w:val="en-US"/>
        </w:rPr>
        <w:t>.</w:t>
      </w:r>
    </w:p>
    <w:p w14:paraId="5CD19E64" w14:textId="5A9A0B72" w:rsidR="00431A64" w:rsidRDefault="00431A64" w:rsidP="00431A64">
      <w:pPr>
        <w:rPr>
          <w:lang w:val="en-US"/>
        </w:rPr>
      </w:pPr>
      <w:r w:rsidRPr="00431A64">
        <w:rPr>
          <w:b/>
          <w:lang w:val="en-US"/>
        </w:rPr>
        <w:t>Key words:</w:t>
      </w:r>
      <w:r w:rsidRPr="00431A64">
        <w:rPr>
          <w:lang w:val="en-US"/>
        </w:rPr>
        <w:t xml:space="preserve"> </w:t>
      </w:r>
      <w:r w:rsidR="00DF04E5">
        <w:rPr>
          <w:lang w:val="en-US"/>
        </w:rPr>
        <w:t xml:space="preserve">Attitudes, </w:t>
      </w:r>
      <w:r>
        <w:rPr>
          <w:lang w:val="en-US"/>
        </w:rPr>
        <w:t xml:space="preserve">Generational change, </w:t>
      </w:r>
      <w:r w:rsidR="00DF04E5">
        <w:rPr>
          <w:lang w:val="en-US"/>
        </w:rPr>
        <w:t>Homosexuality</w:t>
      </w:r>
      <w:r>
        <w:rPr>
          <w:lang w:val="en-US"/>
        </w:rPr>
        <w:t>.</w:t>
      </w:r>
    </w:p>
    <w:p w14:paraId="7E0937C8" w14:textId="77777777" w:rsidR="00271D47" w:rsidRPr="00431A64" w:rsidRDefault="00271D47" w:rsidP="00431A64">
      <w:pPr>
        <w:rPr>
          <w:b/>
          <w:lang w:val="en-US"/>
        </w:rPr>
      </w:pPr>
    </w:p>
    <w:p w14:paraId="74868E06" w14:textId="4AEC41EE" w:rsidR="008D3590" w:rsidRDefault="008B79FE" w:rsidP="00BB7E00">
      <w:r>
        <w:t>En Paraguay</w:t>
      </w:r>
      <w:r w:rsidR="00687A9C">
        <w:t xml:space="preserve"> distintos escenarios durante los últimos años han derivado en acalorados debates sobre los derechos de la comunidad LGBTI+. Esta</w:t>
      </w:r>
      <w:r w:rsidR="00F80A8E">
        <w:t xml:space="preserve">s discusiones han trascendido </w:t>
      </w:r>
      <w:r w:rsidR="00687A9C">
        <w:t>las esferas gubernamentales y legislativas para instalarse en el público en general, donde posturas dispares intentan prevalecer en redes sociales, medios de prensa y manifestaciones públicas.</w:t>
      </w:r>
    </w:p>
    <w:p w14:paraId="7AFD56DA" w14:textId="6DAF5B1B" w:rsidR="00687A9C" w:rsidRDefault="00687A9C" w:rsidP="00BB7E00">
      <w:r>
        <w:t>Discusiones similares a las planteadas en Paraguay han tenido lugar en otras regiones geográficas, en donde recientemente las mismas han tenido un impacto a nivel legislativo, con medidas tales como modificaciones en la</w:t>
      </w:r>
      <w:r w:rsidR="009A4F1A">
        <w:t>s</w:t>
      </w:r>
      <w:r w:rsidR="00396A37">
        <w:t xml:space="preserve"> políticas de educación sexual,</w:t>
      </w:r>
      <w:r>
        <w:t xml:space="preserve"> leyes orientada</w:t>
      </w:r>
      <w:r w:rsidR="009A4F1A">
        <w:t>s a prevenir la discriminación y la</w:t>
      </w:r>
      <w:r>
        <w:t xml:space="preserve"> instauración del matrimonio igualitario</w:t>
      </w:r>
      <w:r w:rsidR="005377BB">
        <w:t xml:space="preserve"> (</w:t>
      </w:r>
      <w:proofErr w:type="spellStart"/>
      <w:r w:rsidR="005377BB">
        <w:t>Pew</w:t>
      </w:r>
      <w:proofErr w:type="spellEnd"/>
      <w:r w:rsidR="005377BB">
        <w:t xml:space="preserve"> </w:t>
      </w:r>
      <w:proofErr w:type="spellStart"/>
      <w:r w:rsidR="005377BB">
        <w:t>Research</w:t>
      </w:r>
      <w:proofErr w:type="spellEnd"/>
      <w:r w:rsidR="005377BB">
        <w:t xml:space="preserve"> Center</w:t>
      </w:r>
      <w:r w:rsidR="003A3EBA">
        <w:t xml:space="preserve">, 2014; </w:t>
      </w:r>
      <w:proofErr w:type="spellStart"/>
      <w:r w:rsidR="004E2672">
        <w:t>Gerhards</w:t>
      </w:r>
      <w:proofErr w:type="spellEnd"/>
      <w:r w:rsidR="004E2672">
        <w:t>, 2010; Hart-</w:t>
      </w:r>
      <w:proofErr w:type="spellStart"/>
      <w:r w:rsidR="004E2672">
        <w:t>Brinson</w:t>
      </w:r>
      <w:proofErr w:type="spellEnd"/>
      <w:r w:rsidR="004E2672">
        <w:t>, 2016</w:t>
      </w:r>
      <w:r w:rsidR="003A3EBA">
        <w:t>)</w:t>
      </w:r>
      <w:r>
        <w:t xml:space="preserve">. Estos cambios se han dado en países distantes y disímiles del caso paraguayo, en Europa y </w:t>
      </w:r>
      <w:r>
        <w:lastRenderedPageBreak/>
        <w:t>América del Norte. Sin embargo, también se han dado notables casos en países de la región, tales como Argentina, Brasil y Uruguay. Ante estos hechos, surge l</w:t>
      </w:r>
      <w:r w:rsidR="001C5C88">
        <w:t>a duda de si un fenómeno semejante</w:t>
      </w:r>
      <w:r>
        <w:t xml:space="preserve"> podría darse en Paraguay en los próximos años. Para evaluar esa posibilidad</w:t>
      </w:r>
      <w:r w:rsidR="00710A72">
        <w:t>, es necesario analizar qué características comparten los países que recientemente presentaron esta tendencia.</w:t>
      </w:r>
    </w:p>
    <w:p w14:paraId="2BA09EBA" w14:textId="05089FC6" w:rsidR="00264829" w:rsidRDefault="00BB7E00" w:rsidP="00BB7E00">
      <w:r>
        <w:t xml:space="preserve">Como mencionan </w:t>
      </w:r>
      <w:proofErr w:type="spellStart"/>
      <w:r w:rsidR="00C33FC1">
        <w:t>Adamczyk</w:t>
      </w:r>
      <w:proofErr w:type="spellEnd"/>
      <w:r w:rsidR="00C33FC1">
        <w:t xml:space="preserve">, Kim y </w:t>
      </w:r>
      <w:proofErr w:type="spellStart"/>
      <w:r w:rsidR="00C33FC1">
        <w:t>Schmuhl</w:t>
      </w:r>
      <w:proofErr w:type="spellEnd"/>
      <w:r>
        <w:t xml:space="preserve"> (2017), existe</w:t>
      </w:r>
      <w:r w:rsidR="00C33FC1">
        <w:t xml:space="preserve"> evidencia de que ciertos factores sociales pueden predecir la postura de las naciones con respecto a la homosexualidad. En particular,</w:t>
      </w:r>
      <w:r>
        <w:t xml:space="preserve"> estos autores dividieron dichos</w:t>
      </w:r>
      <w:r w:rsidR="00C33FC1">
        <w:t xml:space="preserve"> factores en tres categorías: religiosos, económicos y </w:t>
      </w:r>
      <w:r>
        <w:t>estructurales. Primero</w:t>
      </w:r>
      <w:r w:rsidR="00C33FC1">
        <w:t>,</w:t>
      </w:r>
      <w:r>
        <w:t xml:space="preserve"> las sociedades fuertemente adheridas a creencias y prácticas religiosas tienden a manifestar actitudes generalizadas de rechazo hacia </w:t>
      </w:r>
      <w:proofErr w:type="spellStart"/>
      <w:r>
        <w:t>gays</w:t>
      </w:r>
      <w:proofErr w:type="spellEnd"/>
      <w:r>
        <w:t xml:space="preserve"> y lesbianas. Segundo, las</w:t>
      </w:r>
      <w:r w:rsidR="00C33FC1">
        <w:t xml:space="preserve"> sociedades de mayor desarrollo presentan un discurso social más liberal que los </w:t>
      </w:r>
      <w:r>
        <w:t>países en desarrollo. Tercero</w:t>
      </w:r>
      <w:r w:rsidR="00C33FC1">
        <w:t>, los países con democracias sólidas y bien establecidas son más tolerantes con los comportamientos homosexuales que aquellas con menores indicadores de democracia.</w:t>
      </w:r>
      <w:r w:rsidR="00C55125">
        <w:t xml:space="preserve"> Estos hallazgos se ven respaldados por </w:t>
      </w:r>
      <w:r w:rsidR="00C76880">
        <w:t>varios otros estudios</w:t>
      </w:r>
      <w:r w:rsidR="00C55125">
        <w:t xml:space="preserve"> (</w:t>
      </w:r>
      <w:proofErr w:type="spellStart"/>
      <w:r w:rsidR="00C55125">
        <w:t>Gerhards</w:t>
      </w:r>
      <w:proofErr w:type="spellEnd"/>
      <w:r w:rsidR="00C55125">
        <w:t>, 2010).</w:t>
      </w:r>
    </w:p>
    <w:p w14:paraId="2EC15858" w14:textId="1D3BEF3F" w:rsidR="0014448F" w:rsidRDefault="006A2AA0" w:rsidP="0014448F">
      <w:r>
        <w:t xml:space="preserve">Un estudio del </w:t>
      </w:r>
      <w:proofErr w:type="spellStart"/>
      <w:r>
        <w:t>Pew</w:t>
      </w:r>
      <w:proofErr w:type="spellEnd"/>
      <w:r>
        <w:t xml:space="preserve"> </w:t>
      </w:r>
      <w:proofErr w:type="spellStart"/>
      <w:r>
        <w:t>Research</w:t>
      </w:r>
      <w:proofErr w:type="spellEnd"/>
      <w:r>
        <w:t xml:space="preserve"> Center</w:t>
      </w:r>
      <w:r w:rsidR="0014448F">
        <w:t xml:space="preserve"> (2014)</w:t>
      </w:r>
      <w:r>
        <w:t xml:space="preserve"> se enfocó</w:t>
      </w:r>
      <w:r w:rsidR="00D30CA1">
        <w:t xml:space="preserve"> en el factor religioso en relación con las actitudes hacia el matrimonio igualitario. Siguiendo este estudio,</w:t>
      </w:r>
      <w:r w:rsidR="0014448F">
        <w:t xml:space="preserve"> en Paraguay, el 80% de la población se opone al matrimonio igualitario, en contraposición al 15% que lo apoya.</w:t>
      </w:r>
      <w:r w:rsidR="00D30CA1">
        <w:t xml:space="preserve"> Consistentemente con lo planteado por </w:t>
      </w:r>
      <w:proofErr w:type="spellStart"/>
      <w:r w:rsidR="00D30CA1">
        <w:t>Adamczyk</w:t>
      </w:r>
      <w:proofErr w:type="spellEnd"/>
      <w:r w:rsidR="00D30CA1">
        <w:t xml:space="preserve"> et al</w:t>
      </w:r>
      <w:r w:rsidR="00732C71">
        <w:t>.</w:t>
      </w:r>
      <w:r w:rsidR="00D30CA1">
        <w:t>, s</w:t>
      </w:r>
      <w:r w:rsidR="0014448F">
        <w:t>e reporta que las personas más apegadas a sus creencias y prácticas religiosas presentan opiniones conservadoras al respecto del tema, a diferencia de las personas sin creencia religiosa, que presentan visiones más favorables</w:t>
      </w:r>
      <w:r w:rsidR="00D30CA1">
        <w:t>.</w:t>
      </w:r>
      <w:r w:rsidR="00C55125">
        <w:t xml:space="preserve"> </w:t>
      </w:r>
      <w:proofErr w:type="spellStart"/>
      <w:r w:rsidR="00C55125">
        <w:t>Gerhards</w:t>
      </w:r>
      <w:proofErr w:type="spellEnd"/>
      <w:r w:rsidR="00C55125">
        <w:t xml:space="preserve"> (2010) añade que algunas religiones promueven visiones negativas de la homosexua</w:t>
      </w:r>
      <w:r w:rsidR="00AF5870">
        <w:t xml:space="preserve">lidad en mayor medida que </w:t>
      </w:r>
      <w:r w:rsidR="00AF5870" w:rsidRPr="008B79FE">
        <w:t>otras;</w:t>
      </w:r>
      <w:r w:rsidR="00C55125" w:rsidRPr="008B79FE">
        <w:t xml:space="preserve"> </w:t>
      </w:r>
      <w:r w:rsidR="00C55125">
        <w:t>sin embargo</w:t>
      </w:r>
      <w:r w:rsidR="00AF5870">
        <w:t>,</w:t>
      </w:r>
      <w:r w:rsidR="00C55125">
        <w:t xml:space="preserve"> sostiene </w:t>
      </w:r>
      <w:r w:rsidR="00C55125">
        <w:lastRenderedPageBreak/>
        <w:t xml:space="preserve">que la variable que mejor predice la actitud de los creyentes no es la </w:t>
      </w:r>
      <w:r w:rsidR="00C55125" w:rsidRPr="008B79FE">
        <w:t xml:space="preserve">religión a la </w:t>
      </w:r>
      <w:r w:rsidR="008B79FE" w:rsidRPr="008B79FE">
        <w:t>cua</w:t>
      </w:r>
      <w:r w:rsidR="00C55125" w:rsidRPr="008B79FE">
        <w:t xml:space="preserve">l estén </w:t>
      </w:r>
      <w:r w:rsidR="00C55125">
        <w:t>afiliados, sino su grado de involucramiento con la misma.</w:t>
      </w:r>
    </w:p>
    <w:p w14:paraId="4BF60EDA" w14:textId="097DCCB4" w:rsidR="00C33FC1" w:rsidRDefault="00D30CA1" w:rsidP="00A077B3">
      <w:r>
        <w:t>Poniendo en perspectiva estos datos desde los factores religiosos</w:t>
      </w:r>
      <w:r w:rsidR="00AD049B">
        <w:t>, económicos</w:t>
      </w:r>
      <w:r>
        <w:t xml:space="preserve"> y estructurales, Paraguay es un</w:t>
      </w:r>
      <w:r w:rsidR="009326A9">
        <w:t xml:space="preserve"> país de población</w:t>
      </w:r>
      <w:r w:rsidR="00C33FC1">
        <w:t xml:space="preserve"> predominantemente católica (</w:t>
      </w:r>
      <w:proofErr w:type="spellStart"/>
      <w:r w:rsidR="006A2AA0">
        <w:t>Pew</w:t>
      </w:r>
      <w:proofErr w:type="spellEnd"/>
      <w:r w:rsidR="006A2AA0">
        <w:t xml:space="preserve"> </w:t>
      </w:r>
      <w:proofErr w:type="spellStart"/>
      <w:r w:rsidR="006A2AA0">
        <w:t>Research</w:t>
      </w:r>
      <w:proofErr w:type="spellEnd"/>
      <w:r w:rsidR="006A2AA0">
        <w:t xml:space="preserve"> Center</w:t>
      </w:r>
      <w:r w:rsidR="00E000B5">
        <w:t>, 2014</w:t>
      </w:r>
      <w:r w:rsidR="00C33FC1">
        <w:t>)</w:t>
      </w:r>
      <w:r w:rsidR="007E45B3">
        <w:t xml:space="preserve">, </w:t>
      </w:r>
      <w:r>
        <w:t xml:space="preserve">donde </w:t>
      </w:r>
      <w:r w:rsidR="00F034B8">
        <w:t xml:space="preserve">existe injerencia frecuente de la religión en cuestiones de estado (por ejemplo, en </w:t>
      </w:r>
      <w:r w:rsidR="00AF5604">
        <w:t>octubre del 2017 se realizó</w:t>
      </w:r>
      <w:r w:rsidR="00B44EBA">
        <w:t xml:space="preserve"> una audiencia pública en la Sala Bicameral del Congreso, con presencia de autoridades eclesiásticas, sobre la supuesta </w:t>
      </w:r>
      <w:r w:rsidR="00E83C1E">
        <w:t>injerencia</w:t>
      </w:r>
      <w:r w:rsidR="00B44EBA">
        <w:t xml:space="preserve"> de la “ideología de género” en la educación pública</w:t>
      </w:r>
      <w:r w:rsidR="00F034B8">
        <w:t>). En cuanto a lo económico, el Paraguay es un país en vías de desarrollo</w:t>
      </w:r>
      <w:r w:rsidR="00E83C1E">
        <w:t>, c</w:t>
      </w:r>
      <w:r w:rsidR="003E2E05">
        <w:t>on un 22.2</w:t>
      </w:r>
      <w:r w:rsidR="00E83C1E">
        <w:t>% de la población viviendo bajo la línea de pobreza</w:t>
      </w:r>
      <w:r w:rsidR="003E2E05">
        <w:t xml:space="preserve"> según una estimación del año 2015 </w:t>
      </w:r>
      <w:r w:rsidR="00A077B3">
        <w:t>(</w:t>
      </w:r>
      <w:r w:rsidR="00E768A2" w:rsidRPr="00E768A2">
        <w:t>Dirección General de Estadística. Encuestas y Censos, 2015</w:t>
      </w:r>
      <w:r w:rsidR="00A077B3">
        <w:t>)</w:t>
      </w:r>
      <w:r w:rsidR="00F034B8">
        <w:t>. En lo que respecta a la estructura democrática del país, Paraguay lleva 28 años de gobierno democrático, con algunas situaciones aisladas de inestabilidad</w:t>
      </w:r>
      <w:r w:rsidR="000314AB">
        <w:t xml:space="preserve"> tales como el asesinato en el año 1999 del entonces vicepresidente de la República Luís María Argaña, o la destitución en el año 2012 del entonces presidente de la República Fernando Lugo</w:t>
      </w:r>
      <w:r>
        <w:t>.</w:t>
      </w:r>
      <w:r w:rsidR="00AD049B">
        <w:t xml:space="preserve"> La conjunción de estos hechos podría explicar la alta proporción de actitudes negativas haci</w:t>
      </w:r>
      <w:r w:rsidR="006A2AA0">
        <w:t xml:space="preserve">a la homosexualidad que reporta el </w:t>
      </w:r>
      <w:proofErr w:type="spellStart"/>
      <w:r w:rsidR="006A2AA0">
        <w:t>Pew</w:t>
      </w:r>
      <w:proofErr w:type="spellEnd"/>
      <w:r w:rsidR="006A2AA0">
        <w:t xml:space="preserve"> </w:t>
      </w:r>
      <w:proofErr w:type="spellStart"/>
      <w:r w:rsidR="006A2AA0">
        <w:t>Research</w:t>
      </w:r>
      <w:proofErr w:type="spellEnd"/>
      <w:r w:rsidR="006A2AA0">
        <w:t xml:space="preserve"> Center</w:t>
      </w:r>
      <w:r w:rsidR="00AD049B">
        <w:t>.</w:t>
      </w:r>
    </w:p>
    <w:p w14:paraId="42A59F6D" w14:textId="149858D2" w:rsidR="00AD049B" w:rsidRDefault="003608E0" w:rsidP="00ED2E4E">
      <w:r>
        <w:t>Hart-</w:t>
      </w:r>
      <w:proofErr w:type="spellStart"/>
      <w:r>
        <w:t>Brinson</w:t>
      </w:r>
      <w:proofErr w:type="spellEnd"/>
      <w:r>
        <w:t xml:space="preserve"> (2016) pone el énfasis de las actitudes hacia el matrimonio igualitario en variables generacionales y de cohorte</w:t>
      </w:r>
      <w:r w:rsidR="00234EA8">
        <w:t>.  En s</w:t>
      </w:r>
      <w:r w:rsidR="00812452">
        <w:t xml:space="preserve">u estudio, realizado en Wisconsin, Estados Unidos, las personas que cumplieron la mayoría de edad (18 años) a partir del año 1990 caracterizan a la homosexualidad en términos de </w:t>
      </w:r>
      <w:r w:rsidR="00812452" w:rsidRPr="00812452">
        <w:rPr>
          <w:i/>
        </w:rPr>
        <w:t>identidad</w:t>
      </w:r>
      <w:r w:rsidR="00812452">
        <w:t xml:space="preserve">, mientras que las personas mayores que esta cohorte hablan de la misma en términos de </w:t>
      </w:r>
      <w:r w:rsidR="00812452" w:rsidRPr="00812452">
        <w:rPr>
          <w:i/>
        </w:rPr>
        <w:t>comportamiento</w:t>
      </w:r>
      <w:r w:rsidR="00812452">
        <w:t>, reflejando esto un cambio discursivo orientado a la tolerancia y la aceptación hac</w:t>
      </w:r>
      <w:r w:rsidR="005311C5">
        <w:t>ia los homosexuales. Si bien se desconoce qué factores pudieron haber llevado al cambio mencionado, e</w:t>
      </w:r>
      <w:r w:rsidR="00272E23">
        <w:t>sta nueva tendencia</w:t>
      </w:r>
      <w:r w:rsidR="00812452">
        <w:t xml:space="preserve"> cultu</w:t>
      </w:r>
      <w:r w:rsidR="006A2AA0">
        <w:t>r</w:t>
      </w:r>
      <w:r w:rsidR="00812452">
        <w:t xml:space="preserve">al explicaría en cierta medida la legalización </w:t>
      </w:r>
      <w:r w:rsidR="00812452">
        <w:lastRenderedPageBreak/>
        <w:t>del matrimonio igualitario en los Estados Unidos a partir del año 2015.</w:t>
      </w:r>
      <w:r w:rsidR="00731752">
        <w:t xml:space="preserve"> El autor sostiene que el recambio generacional interactúa con ideologías políticas, religiosas y repertorios culturales para construir el discurso de los distintos sectores sociales.</w:t>
      </w:r>
      <w:r w:rsidR="009F6C60">
        <w:t xml:space="preserve"> Esto</w:t>
      </w:r>
      <w:r w:rsidR="00AD049B">
        <w:t xml:space="preserve"> último</w:t>
      </w:r>
      <w:r w:rsidR="009F6C60">
        <w:t xml:space="preserve"> es consistente con lo encontrado en </w:t>
      </w:r>
      <w:r w:rsidR="00AD049B">
        <w:t xml:space="preserve">países latinoamericanos. Cruz y </w:t>
      </w:r>
      <w:proofErr w:type="spellStart"/>
      <w:r w:rsidR="00AD049B">
        <w:t>Guibert</w:t>
      </w:r>
      <w:proofErr w:type="spellEnd"/>
      <w:r w:rsidR="00AD049B">
        <w:t xml:space="preserve"> (2015) realizan un análisis condensando datos de la Escala Mundial de Valores</w:t>
      </w:r>
      <w:r w:rsidR="00ED2E4E">
        <w:t xml:space="preserve"> e</w:t>
      </w:r>
      <w:r w:rsidR="00AD049B">
        <w:t xml:space="preserve"> indican </w:t>
      </w:r>
      <w:proofErr w:type="gramStart"/>
      <w:r w:rsidR="00AD049B">
        <w:t>que</w:t>
      </w:r>
      <w:proofErr w:type="gramEnd"/>
      <w:r w:rsidR="00AD049B">
        <w:t xml:space="preserve"> desde hace varias décadas, en distintos países de la región, la actitud de las personas hacia la homosexualidad se traslada progresivamente hacia una visión menos negativa. Las encuestas de las cuales se recabaron estos datos no contemplan el caso de Paraguay.</w:t>
      </w:r>
    </w:p>
    <w:p w14:paraId="6CEA6447" w14:textId="662DDC36" w:rsidR="00C55125" w:rsidRDefault="006A2AA0" w:rsidP="00C33FC1">
      <w:r>
        <w:t xml:space="preserve">El </w:t>
      </w:r>
      <w:proofErr w:type="spellStart"/>
      <w:r>
        <w:t>Pew</w:t>
      </w:r>
      <w:proofErr w:type="spellEnd"/>
      <w:r>
        <w:t xml:space="preserve"> </w:t>
      </w:r>
      <w:proofErr w:type="spellStart"/>
      <w:r>
        <w:t>Research</w:t>
      </w:r>
      <w:proofErr w:type="spellEnd"/>
      <w:r>
        <w:t xml:space="preserve"> Center</w:t>
      </w:r>
      <w:r w:rsidR="009F6C60">
        <w:t xml:space="preserve"> (2014),</w:t>
      </w:r>
      <w:r>
        <w:t xml:space="preserve"> por otro lado, sí analiza</w:t>
      </w:r>
      <w:r w:rsidR="00ED2E4E">
        <w:t xml:space="preserve"> </w:t>
      </w:r>
      <w:r>
        <w:t>el caso paraguayo. Este reporte sostiene</w:t>
      </w:r>
      <w:r w:rsidR="00ED2E4E">
        <w:t xml:space="preserve"> que</w:t>
      </w:r>
      <w:r w:rsidR="009F6C60">
        <w:t xml:space="preserve"> hombres y mujeres</w:t>
      </w:r>
      <w:r w:rsidR="00ED2E4E">
        <w:t xml:space="preserve"> paraguayos</w:t>
      </w:r>
      <w:r w:rsidR="009F6C60">
        <w:t xml:space="preserve"> presentan actitudes semejantes hacia el matrimonio igualitario, mientras que una mayor proporción (24%) de menores de 35 años está a favor del matrimonio igualitario que de mayores de 35 años (9%).</w:t>
      </w:r>
      <w:r w:rsidR="00436524">
        <w:t xml:space="preserve"> Este aparente cambio intergeneracional de actitudes podría verse influido por el crecimiento económico sostenido a nivel regional, tal como reportan Cruz y </w:t>
      </w:r>
      <w:proofErr w:type="spellStart"/>
      <w:r w:rsidR="00436524">
        <w:t>Guibert</w:t>
      </w:r>
      <w:proofErr w:type="spellEnd"/>
      <w:r w:rsidR="00436524">
        <w:t xml:space="preserve"> (2015). </w:t>
      </w:r>
      <w:r w:rsidR="00C67F72">
        <w:t xml:space="preserve"> </w:t>
      </w:r>
      <w:r w:rsidR="004162D2">
        <w:t>Esta explicación se ve</w:t>
      </w:r>
      <w:r w:rsidR="00436524">
        <w:t xml:space="preserve"> apoyada</w:t>
      </w:r>
      <w:r w:rsidR="00D46003">
        <w:t xml:space="preserve"> por </w:t>
      </w:r>
      <w:proofErr w:type="spellStart"/>
      <w:r w:rsidR="00D46003">
        <w:t>Gerhards</w:t>
      </w:r>
      <w:proofErr w:type="spellEnd"/>
      <w:r w:rsidR="00D46003">
        <w:t xml:space="preserve"> (2010), quien sostiene que factores culturales que predisponen hacia una actitud negativa hacia la homosexualidad, tales como la herencia religiosa, se ven atenuados por el efecto de la modernización lograda a través del desarrollo económico.</w:t>
      </w:r>
      <w:r w:rsidR="00AF5870">
        <w:t xml:space="preserve"> Además, hay evidencia (</w:t>
      </w:r>
      <w:proofErr w:type="spellStart"/>
      <w:r w:rsidR="005B188E">
        <w:t>Herek</w:t>
      </w:r>
      <w:proofErr w:type="spellEnd"/>
      <w:r w:rsidR="005B188E">
        <w:t xml:space="preserve"> &amp; McLemore, 2013) de que en algunos países</w:t>
      </w:r>
      <w:r w:rsidR="00AF5870">
        <w:t xml:space="preserve"> las personas que viven en áreas rurales presentan niveles mayores de prejuicio sexual que las que viven en ciudades; esto probablemente tenga relación con el desarrollo económico diferencial en ambos escenarios.</w:t>
      </w:r>
    </w:p>
    <w:p w14:paraId="65469EAB" w14:textId="493F9169" w:rsidR="00382076" w:rsidRDefault="00382076" w:rsidP="00382076">
      <w:r>
        <w:t xml:space="preserve">En lo que respecta a las diferencias por sexo, </w:t>
      </w:r>
      <w:proofErr w:type="spellStart"/>
      <w:r>
        <w:t>Roggemans</w:t>
      </w:r>
      <w:proofErr w:type="spellEnd"/>
      <w:r w:rsidR="000B6B10">
        <w:t>,</w:t>
      </w:r>
      <w:r>
        <w:t xml:space="preserve"> </w:t>
      </w:r>
      <w:proofErr w:type="spellStart"/>
      <w:r w:rsidR="000B6B10">
        <w:rPr>
          <w:rFonts w:cs="Times New Roman"/>
          <w:szCs w:val="24"/>
          <w:shd w:val="clear" w:color="auto" w:fill="FFFFFF"/>
        </w:rPr>
        <w:t>Spruyt</w:t>
      </w:r>
      <w:proofErr w:type="spellEnd"/>
      <w:r w:rsidR="000B6B10">
        <w:rPr>
          <w:rFonts w:cs="Times New Roman"/>
          <w:szCs w:val="24"/>
          <w:shd w:val="clear" w:color="auto" w:fill="FFFFFF"/>
        </w:rPr>
        <w:t xml:space="preserve">, </w:t>
      </w:r>
      <w:proofErr w:type="spellStart"/>
      <w:r w:rsidR="000B6B10">
        <w:rPr>
          <w:rFonts w:cs="Times New Roman"/>
          <w:szCs w:val="24"/>
          <w:shd w:val="clear" w:color="auto" w:fill="FFFFFF"/>
        </w:rPr>
        <w:t>Droogenbroeck</w:t>
      </w:r>
      <w:proofErr w:type="spellEnd"/>
      <w:r w:rsidR="000B6B10">
        <w:rPr>
          <w:rFonts w:cs="Times New Roman"/>
          <w:szCs w:val="24"/>
          <w:shd w:val="clear" w:color="auto" w:fill="FFFFFF"/>
        </w:rPr>
        <w:t xml:space="preserve"> y</w:t>
      </w:r>
      <w:r w:rsidR="000B6B10" w:rsidRPr="000B6B10">
        <w:rPr>
          <w:rFonts w:cs="Times New Roman"/>
          <w:szCs w:val="24"/>
          <w:shd w:val="clear" w:color="auto" w:fill="FFFFFF"/>
        </w:rPr>
        <w:t xml:space="preserve"> </w:t>
      </w:r>
      <w:proofErr w:type="spellStart"/>
      <w:r w:rsidR="000B6B10" w:rsidRPr="000B6B10">
        <w:rPr>
          <w:rFonts w:cs="Times New Roman"/>
          <w:szCs w:val="24"/>
          <w:shd w:val="clear" w:color="auto" w:fill="FFFFFF"/>
        </w:rPr>
        <w:t>Keppens</w:t>
      </w:r>
      <w:proofErr w:type="spellEnd"/>
      <w:r>
        <w:t xml:space="preserve"> (2015) reportan resultados diferentes a los enco</w:t>
      </w:r>
      <w:r w:rsidR="00ED2E4E">
        <w:t xml:space="preserve">ntrados por </w:t>
      </w:r>
      <w:r w:rsidR="006A2AA0">
        <w:t xml:space="preserve">el </w:t>
      </w:r>
      <w:proofErr w:type="spellStart"/>
      <w:r w:rsidR="006A2AA0">
        <w:t>Pew</w:t>
      </w:r>
      <w:proofErr w:type="spellEnd"/>
      <w:r w:rsidR="006A2AA0">
        <w:t xml:space="preserve"> </w:t>
      </w:r>
      <w:proofErr w:type="spellStart"/>
      <w:r w:rsidR="006A2AA0">
        <w:lastRenderedPageBreak/>
        <w:t>Research</w:t>
      </w:r>
      <w:proofErr w:type="spellEnd"/>
      <w:r w:rsidR="006A2AA0">
        <w:t xml:space="preserve"> Center</w:t>
      </w:r>
      <w:r w:rsidR="00800102">
        <w:t xml:space="preserve"> puesto que e</w:t>
      </w:r>
      <w:r w:rsidR="00ED2E4E">
        <w:t>l primer estudio presenta datos donde</w:t>
      </w:r>
      <w:r>
        <w:t xml:space="preserve"> adolescentes de sexo masculin</w:t>
      </w:r>
      <w:r w:rsidR="00ED2E4E">
        <w:t>o muestran</w:t>
      </w:r>
      <w:r>
        <w:t xml:space="preserve"> mayores prejuicios hacia </w:t>
      </w:r>
      <w:r w:rsidR="00ED2E4E">
        <w:t>los homosexuales que las de sexo femenino</w:t>
      </w:r>
      <w:r>
        <w:t xml:space="preserve">. Esto último tendría que ver con las expectativas sociales </w:t>
      </w:r>
      <w:r w:rsidR="00ED2E4E">
        <w:t>que se tienen sobre los</w:t>
      </w:r>
      <w:r>
        <w:t xml:space="preserve"> género</w:t>
      </w:r>
      <w:r w:rsidR="00ED2E4E">
        <w:t>s</w:t>
      </w:r>
      <w:r>
        <w:t xml:space="preserve">, donde los roles atribuidos a los hombres son menos flexibles que aquellos atribuidos a las mujeres; esta hipótesis se ve apoyada en el trabajo de </w:t>
      </w:r>
      <w:proofErr w:type="spellStart"/>
      <w:r>
        <w:t>Herek</w:t>
      </w:r>
      <w:proofErr w:type="spellEnd"/>
      <w:r>
        <w:t xml:space="preserve"> y </w:t>
      </w:r>
      <w:proofErr w:type="spellStart"/>
      <w:r>
        <w:t>McLemroe</w:t>
      </w:r>
      <w:proofErr w:type="spellEnd"/>
      <w:r>
        <w:t xml:space="preserve"> (2013).</w:t>
      </w:r>
    </w:p>
    <w:p w14:paraId="1821D720" w14:textId="11915064" w:rsidR="00382076" w:rsidRDefault="008B10ED" w:rsidP="00C33FC1">
      <w:r>
        <w:t>Teniendo en cuenta dicho estado de conocimiento, el presente estudio pretende determinar si existe relación entre la edad y las actitudes hacia la homosexualidad</w:t>
      </w:r>
      <w:r w:rsidR="00A338F3">
        <w:t xml:space="preserve"> en Paraguay</w:t>
      </w:r>
      <w:r>
        <w:t>, determinando diferencias por</w:t>
      </w:r>
      <w:r w:rsidR="0033074B">
        <w:t xml:space="preserve"> sexo y por </w:t>
      </w:r>
      <w:r w:rsidR="00417ACF">
        <w:t>lugar de residencia</w:t>
      </w:r>
      <w:r w:rsidR="0033074B">
        <w:t xml:space="preserve"> (Gran Asunción</w:t>
      </w:r>
      <w:r w:rsidR="001842A2">
        <w:t xml:space="preserve"> e</w:t>
      </w:r>
      <w:r>
        <w:t xml:space="preserve"> interior del país).</w:t>
      </w:r>
    </w:p>
    <w:p w14:paraId="28CB5247" w14:textId="3C529299" w:rsidR="00233806" w:rsidRPr="00233806" w:rsidRDefault="004F3375" w:rsidP="00233806">
      <w:pPr>
        <w:pStyle w:val="Ttulo"/>
        <w:rPr>
          <w:lang w:val="es-PY"/>
        </w:rPr>
      </w:pPr>
      <w:r w:rsidRPr="00B359FE">
        <w:rPr>
          <w:lang w:val="es-PY"/>
        </w:rPr>
        <w:t>Método</w:t>
      </w:r>
    </w:p>
    <w:p w14:paraId="1414E90A" w14:textId="46CED4DE" w:rsidR="00B359FE" w:rsidRDefault="00B359FE" w:rsidP="00B359FE">
      <w:pPr>
        <w:pStyle w:val="Ttulo1"/>
        <w:rPr>
          <w:lang w:val="es-PY"/>
        </w:rPr>
      </w:pPr>
      <w:r w:rsidRPr="00B359FE">
        <w:rPr>
          <w:lang w:val="es-PY"/>
        </w:rPr>
        <w:t>Participantes</w:t>
      </w:r>
    </w:p>
    <w:p w14:paraId="07C927F6" w14:textId="500B9B2B" w:rsidR="00233806" w:rsidRDefault="00233806" w:rsidP="00233806">
      <w:pPr>
        <w:rPr>
          <w:lang w:val="es-PY"/>
        </w:rPr>
      </w:pPr>
      <w:r>
        <w:rPr>
          <w:lang w:val="es-PY"/>
        </w:rPr>
        <w:t xml:space="preserve">Se recogieron datos de </w:t>
      </w:r>
      <w:r w:rsidR="008C0F5A">
        <w:rPr>
          <w:lang w:val="es-PY"/>
        </w:rPr>
        <w:t>801</w:t>
      </w:r>
      <w:r>
        <w:rPr>
          <w:lang w:val="es-PY"/>
        </w:rPr>
        <w:t xml:space="preserve"> participantes de entre </w:t>
      </w:r>
      <w:r w:rsidR="00DB18CD">
        <w:rPr>
          <w:lang w:val="es-PY"/>
        </w:rPr>
        <w:t>13</w:t>
      </w:r>
      <w:r>
        <w:rPr>
          <w:lang w:val="es-PY"/>
        </w:rPr>
        <w:t xml:space="preserve"> y </w:t>
      </w:r>
      <w:r w:rsidR="00DB18CD">
        <w:rPr>
          <w:lang w:val="es-PY"/>
        </w:rPr>
        <w:t>77</w:t>
      </w:r>
      <w:r>
        <w:rPr>
          <w:lang w:val="es-PY"/>
        </w:rPr>
        <w:t xml:space="preserve"> años de edad (</w:t>
      </w:r>
      <w:r w:rsidRPr="00233806">
        <w:rPr>
          <w:i/>
          <w:lang w:val="es-PY"/>
        </w:rPr>
        <w:t>M</w:t>
      </w:r>
      <w:r>
        <w:rPr>
          <w:lang w:val="es-PY"/>
        </w:rPr>
        <w:t xml:space="preserve"> = </w:t>
      </w:r>
      <w:r w:rsidR="00DB18CD">
        <w:rPr>
          <w:lang w:val="es-PY"/>
        </w:rPr>
        <w:t>27.33</w:t>
      </w:r>
      <w:r>
        <w:rPr>
          <w:lang w:val="es-PY"/>
        </w:rPr>
        <w:t xml:space="preserve">; </w:t>
      </w:r>
      <w:r w:rsidRPr="00233806">
        <w:rPr>
          <w:i/>
          <w:lang w:val="es-PY"/>
        </w:rPr>
        <w:t>DE</w:t>
      </w:r>
      <w:r>
        <w:rPr>
          <w:lang w:val="es-PY"/>
        </w:rPr>
        <w:t xml:space="preserve"> = </w:t>
      </w:r>
      <w:r w:rsidR="003F26F0">
        <w:rPr>
          <w:lang w:val="es-PY"/>
        </w:rPr>
        <w:t>10.03</w:t>
      </w:r>
      <w:r>
        <w:rPr>
          <w:lang w:val="es-PY"/>
        </w:rPr>
        <w:t xml:space="preserve">). En la Tabla 1, puede observarse la distribución de la muestra según sexo, </w:t>
      </w:r>
      <w:r w:rsidR="0033074B">
        <w:rPr>
          <w:lang w:val="es-PY"/>
        </w:rPr>
        <w:t xml:space="preserve">orientación sexual, </w:t>
      </w:r>
      <w:r w:rsidR="00417ACF">
        <w:rPr>
          <w:lang w:val="es-PY"/>
        </w:rPr>
        <w:t>lugar de residencia</w:t>
      </w:r>
      <w:r w:rsidR="008C0F5A">
        <w:rPr>
          <w:lang w:val="es-PY"/>
        </w:rPr>
        <w:t xml:space="preserve"> y nivel académico</w:t>
      </w:r>
      <w:r>
        <w:rPr>
          <w:lang w:val="es-PY"/>
        </w:rPr>
        <w:t>.</w:t>
      </w:r>
    </w:p>
    <w:p w14:paraId="2B70214E" w14:textId="64641AC4" w:rsidR="00F63697" w:rsidRDefault="00037339" w:rsidP="00233806">
      <w:pPr>
        <w:rPr>
          <w:lang w:val="es-PY"/>
        </w:rPr>
      </w:pPr>
      <w:r>
        <w:rPr>
          <w:lang w:val="es-PY"/>
        </w:rPr>
        <w:t>Tabla 1</w:t>
      </w:r>
    </w:p>
    <w:p w14:paraId="2C67460B" w14:textId="2A56205E" w:rsidR="00F63697" w:rsidRPr="00F63697" w:rsidRDefault="00F63697" w:rsidP="00233806">
      <w:pPr>
        <w:rPr>
          <w:i/>
          <w:lang w:val="es-PY"/>
        </w:rPr>
      </w:pPr>
      <w:r>
        <w:rPr>
          <w:i/>
          <w:lang w:val="es-PY"/>
        </w:rPr>
        <w:t>Distribución sociodemográfica de la muestra.</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693"/>
        <w:gridCol w:w="2687"/>
      </w:tblGrid>
      <w:tr w:rsidR="0033074B" w14:paraId="3B483A1E" w14:textId="77777777" w:rsidTr="00333A8F">
        <w:tc>
          <w:tcPr>
            <w:tcW w:w="3114" w:type="dxa"/>
            <w:tcBorders>
              <w:bottom w:val="single" w:sz="4" w:space="0" w:color="auto"/>
            </w:tcBorders>
          </w:tcPr>
          <w:p w14:paraId="5EF5BD84" w14:textId="77777777" w:rsidR="0033074B" w:rsidRDefault="0033074B" w:rsidP="0033074B">
            <w:pPr>
              <w:spacing w:line="240" w:lineRule="auto"/>
              <w:ind w:firstLine="0"/>
              <w:rPr>
                <w:lang w:val="es-PY"/>
              </w:rPr>
            </w:pPr>
          </w:p>
        </w:tc>
        <w:tc>
          <w:tcPr>
            <w:tcW w:w="2693" w:type="dxa"/>
            <w:tcBorders>
              <w:bottom w:val="single" w:sz="4" w:space="0" w:color="auto"/>
            </w:tcBorders>
          </w:tcPr>
          <w:p w14:paraId="1474659F" w14:textId="4F4401BD" w:rsidR="0033074B" w:rsidRPr="0033074B" w:rsidRDefault="00A96B15" w:rsidP="0033074B">
            <w:pPr>
              <w:spacing w:line="240" w:lineRule="auto"/>
              <w:ind w:firstLine="0"/>
              <w:jc w:val="center"/>
              <w:rPr>
                <w:i/>
                <w:lang w:val="es-PY"/>
              </w:rPr>
            </w:pPr>
            <w:r w:rsidRPr="0033074B">
              <w:rPr>
                <w:i/>
                <w:lang w:val="es-PY"/>
              </w:rPr>
              <w:t>F</w:t>
            </w:r>
          </w:p>
        </w:tc>
        <w:tc>
          <w:tcPr>
            <w:tcW w:w="2687" w:type="dxa"/>
            <w:tcBorders>
              <w:bottom w:val="single" w:sz="4" w:space="0" w:color="auto"/>
            </w:tcBorders>
          </w:tcPr>
          <w:p w14:paraId="506B311E" w14:textId="23B1F850" w:rsidR="0033074B" w:rsidRPr="0033074B" w:rsidRDefault="0033074B" w:rsidP="0033074B">
            <w:pPr>
              <w:spacing w:line="240" w:lineRule="auto"/>
              <w:ind w:firstLine="0"/>
              <w:jc w:val="center"/>
              <w:rPr>
                <w:i/>
                <w:lang w:val="es-PY"/>
              </w:rPr>
            </w:pPr>
            <w:r w:rsidRPr="0033074B">
              <w:rPr>
                <w:i/>
                <w:lang w:val="es-PY"/>
              </w:rPr>
              <w:t>%</w:t>
            </w:r>
          </w:p>
        </w:tc>
      </w:tr>
      <w:tr w:rsidR="0033074B" w14:paraId="666EFD5D" w14:textId="77777777" w:rsidTr="00333A8F">
        <w:tc>
          <w:tcPr>
            <w:tcW w:w="3114" w:type="dxa"/>
            <w:tcBorders>
              <w:top w:val="single" w:sz="4" w:space="0" w:color="auto"/>
              <w:bottom w:val="nil"/>
            </w:tcBorders>
          </w:tcPr>
          <w:p w14:paraId="5CEA7227" w14:textId="32399375" w:rsidR="0033074B" w:rsidRDefault="0033074B" w:rsidP="0033074B">
            <w:pPr>
              <w:spacing w:line="240" w:lineRule="auto"/>
              <w:ind w:firstLine="0"/>
              <w:rPr>
                <w:lang w:val="es-PY"/>
              </w:rPr>
            </w:pPr>
            <w:r>
              <w:rPr>
                <w:lang w:val="es-PY"/>
              </w:rPr>
              <w:t>Sexo</w:t>
            </w:r>
          </w:p>
        </w:tc>
        <w:tc>
          <w:tcPr>
            <w:tcW w:w="2693" w:type="dxa"/>
            <w:tcBorders>
              <w:top w:val="single" w:sz="4" w:space="0" w:color="auto"/>
              <w:bottom w:val="nil"/>
            </w:tcBorders>
          </w:tcPr>
          <w:p w14:paraId="292A3988" w14:textId="194CB22C" w:rsidR="0033074B" w:rsidRDefault="0033074B" w:rsidP="00BD16B9">
            <w:pPr>
              <w:spacing w:line="240" w:lineRule="auto"/>
              <w:ind w:firstLine="0"/>
              <w:jc w:val="center"/>
              <w:rPr>
                <w:lang w:val="es-PY"/>
              </w:rPr>
            </w:pPr>
          </w:p>
        </w:tc>
        <w:tc>
          <w:tcPr>
            <w:tcW w:w="2687" w:type="dxa"/>
            <w:tcBorders>
              <w:top w:val="single" w:sz="4" w:space="0" w:color="auto"/>
              <w:bottom w:val="nil"/>
            </w:tcBorders>
          </w:tcPr>
          <w:p w14:paraId="53EDD771" w14:textId="3B62A3B1" w:rsidR="0033074B" w:rsidRDefault="0033074B" w:rsidP="00BD16B9">
            <w:pPr>
              <w:spacing w:line="240" w:lineRule="auto"/>
              <w:ind w:firstLine="0"/>
              <w:jc w:val="center"/>
              <w:rPr>
                <w:lang w:val="es-PY"/>
              </w:rPr>
            </w:pPr>
          </w:p>
        </w:tc>
      </w:tr>
      <w:tr w:rsidR="008C0F5A" w14:paraId="7AAB214B" w14:textId="77777777" w:rsidTr="00333A8F">
        <w:tc>
          <w:tcPr>
            <w:tcW w:w="3114" w:type="dxa"/>
            <w:tcBorders>
              <w:top w:val="nil"/>
              <w:bottom w:val="nil"/>
            </w:tcBorders>
          </w:tcPr>
          <w:p w14:paraId="4AFAC787" w14:textId="21E4BE27" w:rsidR="008C0F5A" w:rsidRDefault="008C0F5A" w:rsidP="008C0F5A">
            <w:pPr>
              <w:spacing w:line="240" w:lineRule="auto"/>
              <w:ind w:firstLine="0"/>
              <w:rPr>
                <w:lang w:val="es-PY"/>
              </w:rPr>
            </w:pPr>
            <w:r>
              <w:rPr>
                <w:lang w:val="es-PY"/>
              </w:rPr>
              <w:t xml:space="preserve">   Masculino</w:t>
            </w:r>
          </w:p>
        </w:tc>
        <w:tc>
          <w:tcPr>
            <w:tcW w:w="2693" w:type="dxa"/>
            <w:tcBorders>
              <w:top w:val="nil"/>
              <w:bottom w:val="nil"/>
            </w:tcBorders>
          </w:tcPr>
          <w:p w14:paraId="11C571B8" w14:textId="1FDFA454" w:rsidR="008C0F5A" w:rsidRDefault="008C0F5A" w:rsidP="008C0F5A">
            <w:pPr>
              <w:spacing w:line="240" w:lineRule="auto"/>
              <w:ind w:firstLine="0"/>
              <w:jc w:val="center"/>
              <w:rPr>
                <w:lang w:val="es-PY"/>
              </w:rPr>
            </w:pPr>
            <w:r>
              <w:rPr>
                <w:lang w:val="es-PY"/>
              </w:rPr>
              <w:t>292</w:t>
            </w:r>
          </w:p>
        </w:tc>
        <w:tc>
          <w:tcPr>
            <w:tcW w:w="2687" w:type="dxa"/>
            <w:tcBorders>
              <w:top w:val="nil"/>
              <w:bottom w:val="nil"/>
            </w:tcBorders>
          </w:tcPr>
          <w:p w14:paraId="5EA853FE" w14:textId="3411FD5E" w:rsidR="008C0F5A" w:rsidRDefault="008C0F5A" w:rsidP="008C0F5A">
            <w:pPr>
              <w:spacing w:line="240" w:lineRule="auto"/>
              <w:ind w:firstLine="0"/>
              <w:jc w:val="center"/>
              <w:rPr>
                <w:lang w:val="es-PY"/>
              </w:rPr>
            </w:pPr>
            <w:r>
              <w:rPr>
                <w:lang w:val="es-PY"/>
              </w:rPr>
              <w:t>36.5</w:t>
            </w:r>
          </w:p>
        </w:tc>
      </w:tr>
      <w:tr w:rsidR="008C0F5A" w14:paraId="78427DDB" w14:textId="77777777" w:rsidTr="00333A8F">
        <w:tc>
          <w:tcPr>
            <w:tcW w:w="3114" w:type="dxa"/>
            <w:tcBorders>
              <w:top w:val="nil"/>
              <w:bottom w:val="single" w:sz="4" w:space="0" w:color="auto"/>
            </w:tcBorders>
          </w:tcPr>
          <w:p w14:paraId="12293B47" w14:textId="07025872" w:rsidR="008C0F5A" w:rsidRDefault="008C0F5A" w:rsidP="008C0F5A">
            <w:pPr>
              <w:spacing w:line="240" w:lineRule="auto"/>
              <w:ind w:firstLine="0"/>
              <w:rPr>
                <w:lang w:val="es-PY"/>
              </w:rPr>
            </w:pPr>
            <w:r>
              <w:rPr>
                <w:lang w:val="es-PY"/>
              </w:rPr>
              <w:t xml:space="preserve">   Femenino</w:t>
            </w:r>
          </w:p>
        </w:tc>
        <w:tc>
          <w:tcPr>
            <w:tcW w:w="2693" w:type="dxa"/>
            <w:tcBorders>
              <w:top w:val="nil"/>
              <w:bottom w:val="single" w:sz="4" w:space="0" w:color="auto"/>
            </w:tcBorders>
          </w:tcPr>
          <w:p w14:paraId="52D3BE2D" w14:textId="3131CDD3" w:rsidR="008C0F5A" w:rsidRDefault="008C0F5A" w:rsidP="008C0F5A">
            <w:pPr>
              <w:spacing w:line="240" w:lineRule="auto"/>
              <w:ind w:firstLine="0"/>
              <w:jc w:val="center"/>
              <w:rPr>
                <w:lang w:val="es-PY"/>
              </w:rPr>
            </w:pPr>
            <w:r>
              <w:rPr>
                <w:lang w:val="es-PY"/>
              </w:rPr>
              <w:t>509</w:t>
            </w:r>
          </w:p>
        </w:tc>
        <w:tc>
          <w:tcPr>
            <w:tcW w:w="2687" w:type="dxa"/>
            <w:tcBorders>
              <w:top w:val="nil"/>
              <w:bottom w:val="single" w:sz="4" w:space="0" w:color="auto"/>
            </w:tcBorders>
          </w:tcPr>
          <w:p w14:paraId="2033A4B5" w14:textId="5EB1E6DA" w:rsidR="008C0F5A" w:rsidRDefault="008C0F5A" w:rsidP="008C0F5A">
            <w:pPr>
              <w:spacing w:line="240" w:lineRule="auto"/>
              <w:ind w:firstLine="0"/>
              <w:jc w:val="center"/>
              <w:rPr>
                <w:lang w:val="es-PY"/>
              </w:rPr>
            </w:pPr>
            <w:r>
              <w:rPr>
                <w:lang w:val="es-PY"/>
              </w:rPr>
              <w:t>63.5</w:t>
            </w:r>
          </w:p>
        </w:tc>
      </w:tr>
      <w:tr w:rsidR="008C0F5A" w14:paraId="64B1644D" w14:textId="77777777" w:rsidTr="00333A8F">
        <w:tc>
          <w:tcPr>
            <w:tcW w:w="3114" w:type="dxa"/>
            <w:tcBorders>
              <w:top w:val="single" w:sz="4" w:space="0" w:color="auto"/>
              <w:bottom w:val="nil"/>
            </w:tcBorders>
          </w:tcPr>
          <w:p w14:paraId="29E32D0D" w14:textId="4CDBC9F0" w:rsidR="008C0F5A" w:rsidRDefault="008C0F5A" w:rsidP="008C0F5A">
            <w:pPr>
              <w:spacing w:line="240" w:lineRule="auto"/>
              <w:ind w:firstLine="0"/>
              <w:rPr>
                <w:lang w:val="es-PY"/>
              </w:rPr>
            </w:pPr>
            <w:r>
              <w:rPr>
                <w:lang w:val="es-PY"/>
              </w:rPr>
              <w:t>Orientación sexual</w:t>
            </w:r>
          </w:p>
        </w:tc>
        <w:tc>
          <w:tcPr>
            <w:tcW w:w="2693" w:type="dxa"/>
            <w:tcBorders>
              <w:top w:val="single" w:sz="4" w:space="0" w:color="auto"/>
              <w:bottom w:val="nil"/>
            </w:tcBorders>
          </w:tcPr>
          <w:p w14:paraId="0B44142F" w14:textId="77777777" w:rsidR="008C0F5A" w:rsidRDefault="008C0F5A" w:rsidP="008C0F5A">
            <w:pPr>
              <w:spacing w:line="240" w:lineRule="auto"/>
              <w:ind w:firstLine="0"/>
              <w:jc w:val="center"/>
              <w:rPr>
                <w:lang w:val="es-PY"/>
              </w:rPr>
            </w:pPr>
          </w:p>
        </w:tc>
        <w:tc>
          <w:tcPr>
            <w:tcW w:w="2687" w:type="dxa"/>
            <w:tcBorders>
              <w:top w:val="single" w:sz="4" w:space="0" w:color="auto"/>
              <w:bottom w:val="nil"/>
            </w:tcBorders>
          </w:tcPr>
          <w:p w14:paraId="4DC6F4FD" w14:textId="77777777" w:rsidR="008C0F5A" w:rsidRDefault="008C0F5A" w:rsidP="008C0F5A">
            <w:pPr>
              <w:spacing w:line="240" w:lineRule="auto"/>
              <w:ind w:firstLine="0"/>
              <w:jc w:val="center"/>
              <w:rPr>
                <w:lang w:val="es-PY"/>
              </w:rPr>
            </w:pPr>
          </w:p>
        </w:tc>
      </w:tr>
      <w:tr w:rsidR="008C0F5A" w14:paraId="5D018F79" w14:textId="77777777" w:rsidTr="00333A8F">
        <w:tc>
          <w:tcPr>
            <w:tcW w:w="3114" w:type="dxa"/>
            <w:tcBorders>
              <w:top w:val="nil"/>
              <w:bottom w:val="nil"/>
            </w:tcBorders>
          </w:tcPr>
          <w:p w14:paraId="0461C860" w14:textId="648785D7" w:rsidR="008C0F5A" w:rsidRDefault="008C0F5A" w:rsidP="008C0F5A">
            <w:pPr>
              <w:spacing w:line="240" w:lineRule="auto"/>
              <w:ind w:firstLine="0"/>
              <w:rPr>
                <w:lang w:val="es-PY"/>
              </w:rPr>
            </w:pPr>
            <w:r>
              <w:rPr>
                <w:lang w:val="es-PY"/>
              </w:rPr>
              <w:t xml:space="preserve">   Heterosexual</w:t>
            </w:r>
          </w:p>
        </w:tc>
        <w:tc>
          <w:tcPr>
            <w:tcW w:w="2693" w:type="dxa"/>
            <w:tcBorders>
              <w:top w:val="nil"/>
              <w:bottom w:val="nil"/>
            </w:tcBorders>
          </w:tcPr>
          <w:p w14:paraId="3650BBA7" w14:textId="6159FAB3" w:rsidR="008C0F5A" w:rsidRDefault="008C0F5A" w:rsidP="008C0F5A">
            <w:pPr>
              <w:spacing w:line="240" w:lineRule="auto"/>
              <w:ind w:firstLine="0"/>
              <w:jc w:val="center"/>
              <w:rPr>
                <w:lang w:val="es-PY"/>
              </w:rPr>
            </w:pPr>
            <w:r>
              <w:rPr>
                <w:lang w:val="es-PY"/>
              </w:rPr>
              <w:t>627</w:t>
            </w:r>
          </w:p>
        </w:tc>
        <w:tc>
          <w:tcPr>
            <w:tcW w:w="2687" w:type="dxa"/>
            <w:tcBorders>
              <w:top w:val="nil"/>
              <w:bottom w:val="nil"/>
            </w:tcBorders>
          </w:tcPr>
          <w:p w14:paraId="523BD906" w14:textId="6A04017E" w:rsidR="008C0F5A" w:rsidRDefault="008C0F5A" w:rsidP="008C0F5A">
            <w:pPr>
              <w:spacing w:line="240" w:lineRule="auto"/>
              <w:ind w:firstLine="0"/>
              <w:jc w:val="center"/>
              <w:rPr>
                <w:lang w:val="es-PY"/>
              </w:rPr>
            </w:pPr>
            <w:r>
              <w:rPr>
                <w:lang w:val="es-PY"/>
              </w:rPr>
              <w:t>78.3</w:t>
            </w:r>
          </w:p>
        </w:tc>
      </w:tr>
      <w:tr w:rsidR="008C0F5A" w14:paraId="6235B99F" w14:textId="77777777" w:rsidTr="00333A8F">
        <w:tc>
          <w:tcPr>
            <w:tcW w:w="3114" w:type="dxa"/>
            <w:tcBorders>
              <w:top w:val="nil"/>
            </w:tcBorders>
          </w:tcPr>
          <w:p w14:paraId="1FE9FC10" w14:textId="1A6E983C" w:rsidR="008C0F5A" w:rsidRDefault="008C0F5A" w:rsidP="008C0F5A">
            <w:pPr>
              <w:spacing w:line="240" w:lineRule="auto"/>
              <w:ind w:firstLine="0"/>
              <w:rPr>
                <w:lang w:val="es-PY"/>
              </w:rPr>
            </w:pPr>
            <w:r>
              <w:rPr>
                <w:lang w:val="es-PY"/>
              </w:rPr>
              <w:t xml:space="preserve">   Homosexual</w:t>
            </w:r>
          </w:p>
        </w:tc>
        <w:tc>
          <w:tcPr>
            <w:tcW w:w="2693" w:type="dxa"/>
            <w:tcBorders>
              <w:top w:val="nil"/>
            </w:tcBorders>
          </w:tcPr>
          <w:p w14:paraId="6E77A2E3" w14:textId="1E9C5633" w:rsidR="008C0F5A" w:rsidRDefault="008C0F5A" w:rsidP="008C0F5A">
            <w:pPr>
              <w:spacing w:line="240" w:lineRule="auto"/>
              <w:ind w:firstLine="0"/>
              <w:jc w:val="center"/>
              <w:rPr>
                <w:lang w:val="es-PY"/>
              </w:rPr>
            </w:pPr>
            <w:r>
              <w:rPr>
                <w:lang w:val="es-PY"/>
              </w:rPr>
              <w:t>99</w:t>
            </w:r>
          </w:p>
        </w:tc>
        <w:tc>
          <w:tcPr>
            <w:tcW w:w="2687" w:type="dxa"/>
            <w:tcBorders>
              <w:top w:val="nil"/>
            </w:tcBorders>
          </w:tcPr>
          <w:p w14:paraId="7EB0DDB1" w14:textId="43547E0B" w:rsidR="008C0F5A" w:rsidRDefault="008C0F5A" w:rsidP="008C0F5A">
            <w:pPr>
              <w:spacing w:line="240" w:lineRule="auto"/>
              <w:ind w:firstLine="0"/>
              <w:jc w:val="center"/>
              <w:rPr>
                <w:lang w:val="es-PY"/>
              </w:rPr>
            </w:pPr>
            <w:r>
              <w:rPr>
                <w:lang w:val="es-PY"/>
              </w:rPr>
              <w:t>12.4</w:t>
            </w:r>
          </w:p>
        </w:tc>
      </w:tr>
      <w:tr w:rsidR="008C0F5A" w14:paraId="31364679" w14:textId="77777777" w:rsidTr="00333A8F">
        <w:tc>
          <w:tcPr>
            <w:tcW w:w="3114" w:type="dxa"/>
          </w:tcPr>
          <w:p w14:paraId="421EFF60" w14:textId="7CCCCBC0" w:rsidR="008C0F5A" w:rsidRDefault="008C0F5A" w:rsidP="008C0F5A">
            <w:pPr>
              <w:spacing w:line="240" w:lineRule="auto"/>
              <w:ind w:firstLine="0"/>
              <w:rPr>
                <w:lang w:val="es-PY"/>
              </w:rPr>
            </w:pPr>
            <w:r>
              <w:rPr>
                <w:lang w:val="es-PY"/>
              </w:rPr>
              <w:t xml:space="preserve">   Bisexual</w:t>
            </w:r>
          </w:p>
        </w:tc>
        <w:tc>
          <w:tcPr>
            <w:tcW w:w="2693" w:type="dxa"/>
          </w:tcPr>
          <w:p w14:paraId="3A37CDF5" w14:textId="57266EB9" w:rsidR="008C0F5A" w:rsidRDefault="008C0F5A" w:rsidP="008C0F5A">
            <w:pPr>
              <w:spacing w:line="240" w:lineRule="auto"/>
              <w:ind w:firstLine="0"/>
              <w:jc w:val="center"/>
              <w:rPr>
                <w:lang w:val="es-PY"/>
              </w:rPr>
            </w:pPr>
            <w:r>
              <w:rPr>
                <w:lang w:val="es-PY"/>
              </w:rPr>
              <w:t>64</w:t>
            </w:r>
          </w:p>
        </w:tc>
        <w:tc>
          <w:tcPr>
            <w:tcW w:w="2687" w:type="dxa"/>
          </w:tcPr>
          <w:p w14:paraId="09E4FFCE" w14:textId="2BBF70A5" w:rsidR="008C0F5A" w:rsidRDefault="008C0F5A" w:rsidP="008C0F5A">
            <w:pPr>
              <w:spacing w:line="240" w:lineRule="auto"/>
              <w:ind w:firstLine="0"/>
              <w:jc w:val="center"/>
              <w:rPr>
                <w:lang w:val="es-PY"/>
              </w:rPr>
            </w:pPr>
            <w:r>
              <w:rPr>
                <w:lang w:val="es-PY"/>
              </w:rPr>
              <w:t>8.0</w:t>
            </w:r>
          </w:p>
        </w:tc>
      </w:tr>
      <w:tr w:rsidR="008C0F5A" w14:paraId="146BC2E6" w14:textId="77777777" w:rsidTr="00333A8F">
        <w:tc>
          <w:tcPr>
            <w:tcW w:w="3114" w:type="dxa"/>
          </w:tcPr>
          <w:p w14:paraId="28A832F6" w14:textId="57B170B8" w:rsidR="008C0F5A" w:rsidRDefault="008C0F5A" w:rsidP="008C0F5A">
            <w:pPr>
              <w:spacing w:line="240" w:lineRule="auto"/>
              <w:ind w:firstLine="0"/>
              <w:rPr>
                <w:lang w:val="es-PY"/>
              </w:rPr>
            </w:pPr>
            <w:r>
              <w:rPr>
                <w:lang w:val="es-PY"/>
              </w:rPr>
              <w:t xml:space="preserve">   Otro</w:t>
            </w:r>
          </w:p>
        </w:tc>
        <w:tc>
          <w:tcPr>
            <w:tcW w:w="2693" w:type="dxa"/>
          </w:tcPr>
          <w:p w14:paraId="57B7C841" w14:textId="6A514401" w:rsidR="008C0F5A" w:rsidRDefault="008C0F5A" w:rsidP="008C0F5A">
            <w:pPr>
              <w:spacing w:line="240" w:lineRule="auto"/>
              <w:ind w:firstLine="0"/>
              <w:jc w:val="center"/>
              <w:rPr>
                <w:lang w:val="es-PY"/>
              </w:rPr>
            </w:pPr>
            <w:r>
              <w:rPr>
                <w:lang w:val="es-PY"/>
              </w:rPr>
              <w:t>8</w:t>
            </w:r>
          </w:p>
        </w:tc>
        <w:tc>
          <w:tcPr>
            <w:tcW w:w="2687" w:type="dxa"/>
          </w:tcPr>
          <w:p w14:paraId="408A4AFE" w14:textId="2E74BF1E" w:rsidR="008C0F5A" w:rsidRDefault="008C0F5A" w:rsidP="008C0F5A">
            <w:pPr>
              <w:spacing w:line="240" w:lineRule="auto"/>
              <w:ind w:firstLine="0"/>
              <w:jc w:val="center"/>
              <w:rPr>
                <w:lang w:val="es-PY"/>
              </w:rPr>
            </w:pPr>
            <w:r>
              <w:rPr>
                <w:lang w:val="es-PY"/>
              </w:rPr>
              <w:t>1.0</w:t>
            </w:r>
          </w:p>
        </w:tc>
      </w:tr>
      <w:tr w:rsidR="008C0F5A" w14:paraId="47AEBAB4" w14:textId="77777777" w:rsidTr="00333A8F">
        <w:tc>
          <w:tcPr>
            <w:tcW w:w="3114" w:type="dxa"/>
            <w:tcBorders>
              <w:bottom w:val="single" w:sz="4" w:space="0" w:color="auto"/>
            </w:tcBorders>
          </w:tcPr>
          <w:p w14:paraId="73B47B94" w14:textId="6FA4CD89" w:rsidR="008C0F5A" w:rsidRDefault="008C0F5A" w:rsidP="008C0F5A">
            <w:pPr>
              <w:spacing w:line="240" w:lineRule="auto"/>
              <w:ind w:firstLine="0"/>
              <w:rPr>
                <w:lang w:val="es-PY"/>
              </w:rPr>
            </w:pPr>
            <w:r>
              <w:rPr>
                <w:lang w:val="es-PY"/>
              </w:rPr>
              <w:t xml:space="preserve">   No sabe/No responde</w:t>
            </w:r>
          </w:p>
        </w:tc>
        <w:tc>
          <w:tcPr>
            <w:tcW w:w="2693" w:type="dxa"/>
            <w:tcBorders>
              <w:bottom w:val="single" w:sz="4" w:space="0" w:color="auto"/>
            </w:tcBorders>
          </w:tcPr>
          <w:p w14:paraId="6DF5D699" w14:textId="206DF848" w:rsidR="008C0F5A" w:rsidRDefault="008C0F5A" w:rsidP="008C0F5A">
            <w:pPr>
              <w:spacing w:line="240" w:lineRule="auto"/>
              <w:ind w:firstLine="0"/>
              <w:jc w:val="center"/>
              <w:rPr>
                <w:lang w:val="es-PY"/>
              </w:rPr>
            </w:pPr>
            <w:r>
              <w:rPr>
                <w:lang w:val="es-PY"/>
              </w:rPr>
              <w:t>3</w:t>
            </w:r>
          </w:p>
        </w:tc>
        <w:tc>
          <w:tcPr>
            <w:tcW w:w="2687" w:type="dxa"/>
            <w:tcBorders>
              <w:bottom w:val="single" w:sz="4" w:space="0" w:color="auto"/>
            </w:tcBorders>
          </w:tcPr>
          <w:p w14:paraId="0B3692E9" w14:textId="21CD09EF" w:rsidR="008C0F5A" w:rsidRDefault="008C0F5A" w:rsidP="008C0F5A">
            <w:pPr>
              <w:spacing w:line="240" w:lineRule="auto"/>
              <w:ind w:firstLine="0"/>
              <w:jc w:val="center"/>
              <w:rPr>
                <w:lang w:val="es-PY"/>
              </w:rPr>
            </w:pPr>
            <w:r>
              <w:rPr>
                <w:lang w:val="es-PY"/>
              </w:rPr>
              <w:t>.4</w:t>
            </w:r>
          </w:p>
        </w:tc>
      </w:tr>
      <w:tr w:rsidR="008C0F5A" w14:paraId="464E22FD" w14:textId="77777777" w:rsidTr="00333A8F">
        <w:tc>
          <w:tcPr>
            <w:tcW w:w="3114" w:type="dxa"/>
            <w:tcBorders>
              <w:top w:val="single" w:sz="4" w:space="0" w:color="auto"/>
              <w:bottom w:val="nil"/>
            </w:tcBorders>
          </w:tcPr>
          <w:p w14:paraId="0520B61E" w14:textId="515472D0" w:rsidR="008C0F5A" w:rsidRDefault="008C0F5A" w:rsidP="008C0F5A">
            <w:pPr>
              <w:spacing w:line="240" w:lineRule="auto"/>
              <w:ind w:firstLine="0"/>
              <w:rPr>
                <w:lang w:val="es-PY"/>
              </w:rPr>
            </w:pPr>
            <w:r>
              <w:rPr>
                <w:lang w:val="es-PY"/>
              </w:rPr>
              <w:t>Lugar de residencia</w:t>
            </w:r>
          </w:p>
        </w:tc>
        <w:tc>
          <w:tcPr>
            <w:tcW w:w="2693" w:type="dxa"/>
            <w:tcBorders>
              <w:top w:val="single" w:sz="4" w:space="0" w:color="auto"/>
              <w:bottom w:val="nil"/>
            </w:tcBorders>
          </w:tcPr>
          <w:p w14:paraId="52F75817" w14:textId="77777777" w:rsidR="008C0F5A" w:rsidRDefault="008C0F5A" w:rsidP="008C0F5A">
            <w:pPr>
              <w:spacing w:line="240" w:lineRule="auto"/>
              <w:ind w:firstLine="0"/>
              <w:jc w:val="center"/>
              <w:rPr>
                <w:lang w:val="es-PY"/>
              </w:rPr>
            </w:pPr>
          </w:p>
        </w:tc>
        <w:tc>
          <w:tcPr>
            <w:tcW w:w="2687" w:type="dxa"/>
            <w:tcBorders>
              <w:top w:val="single" w:sz="4" w:space="0" w:color="auto"/>
              <w:bottom w:val="nil"/>
            </w:tcBorders>
          </w:tcPr>
          <w:p w14:paraId="75FB5739" w14:textId="77777777" w:rsidR="008C0F5A" w:rsidRDefault="008C0F5A" w:rsidP="008C0F5A">
            <w:pPr>
              <w:spacing w:line="240" w:lineRule="auto"/>
              <w:ind w:firstLine="0"/>
              <w:jc w:val="center"/>
              <w:rPr>
                <w:lang w:val="es-PY"/>
              </w:rPr>
            </w:pPr>
          </w:p>
        </w:tc>
      </w:tr>
      <w:tr w:rsidR="008C0F5A" w14:paraId="7E813187" w14:textId="77777777" w:rsidTr="00333A8F">
        <w:tc>
          <w:tcPr>
            <w:tcW w:w="3114" w:type="dxa"/>
            <w:tcBorders>
              <w:top w:val="nil"/>
              <w:bottom w:val="nil"/>
            </w:tcBorders>
          </w:tcPr>
          <w:p w14:paraId="3EA1125C" w14:textId="6DF369E4" w:rsidR="008C0F5A" w:rsidRDefault="008C0F5A" w:rsidP="008C0F5A">
            <w:pPr>
              <w:spacing w:line="240" w:lineRule="auto"/>
              <w:ind w:firstLine="0"/>
              <w:rPr>
                <w:lang w:val="es-PY"/>
              </w:rPr>
            </w:pPr>
            <w:r>
              <w:rPr>
                <w:lang w:val="es-PY"/>
              </w:rPr>
              <w:t xml:space="preserve">   Gran Asunción</w:t>
            </w:r>
          </w:p>
        </w:tc>
        <w:tc>
          <w:tcPr>
            <w:tcW w:w="2693" w:type="dxa"/>
            <w:tcBorders>
              <w:top w:val="nil"/>
              <w:bottom w:val="nil"/>
            </w:tcBorders>
          </w:tcPr>
          <w:p w14:paraId="444A3414" w14:textId="46723DBF" w:rsidR="008C0F5A" w:rsidRDefault="008C0F5A" w:rsidP="008C0F5A">
            <w:pPr>
              <w:spacing w:line="240" w:lineRule="auto"/>
              <w:ind w:firstLine="0"/>
              <w:jc w:val="center"/>
              <w:rPr>
                <w:lang w:val="es-PY"/>
              </w:rPr>
            </w:pPr>
            <w:r>
              <w:rPr>
                <w:lang w:val="es-PY"/>
              </w:rPr>
              <w:t>748</w:t>
            </w:r>
          </w:p>
        </w:tc>
        <w:tc>
          <w:tcPr>
            <w:tcW w:w="2687" w:type="dxa"/>
            <w:tcBorders>
              <w:top w:val="nil"/>
              <w:bottom w:val="nil"/>
            </w:tcBorders>
          </w:tcPr>
          <w:p w14:paraId="6DBCC93E" w14:textId="639FE4E8" w:rsidR="008C0F5A" w:rsidRDefault="008C0F5A" w:rsidP="008C0F5A">
            <w:pPr>
              <w:spacing w:line="240" w:lineRule="auto"/>
              <w:ind w:firstLine="0"/>
              <w:jc w:val="center"/>
              <w:rPr>
                <w:lang w:val="es-PY"/>
              </w:rPr>
            </w:pPr>
            <w:r>
              <w:rPr>
                <w:lang w:val="es-PY"/>
              </w:rPr>
              <w:t>93.4</w:t>
            </w:r>
          </w:p>
        </w:tc>
      </w:tr>
      <w:tr w:rsidR="008C0F5A" w14:paraId="324D9BBC" w14:textId="77777777" w:rsidTr="00333A8F">
        <w:tc>
          <w:tcPr>
            <w:tcW w:w="3114" w:type="dxa"/>
            <w:tcBorders>
              <w:top w:val="nil"/>
              <w:bottom w:val="single" w:sz="4" w:space="0" w:color="auto"/>
            </w:tcBorders>
          </w:tcPr>
          <w:p w14:paraId="3D55F85C" w14:textId="7FDB70D0" w:rsidR="008C0F5A" w:rsidRDefault="008C0F5A" w:rsidP="008C0F5A">
            <w:pPr>
              <w:spacing w:line="240" w:lineRule="auto"/>
              <w:ind w:firstLine="0"/>
              <w:rPr>
                <w:lang w:val="es-PY"/>
              </w:rPr>
            </w:pPr>
            <w:r>
              <w:rPr>
                <w:lang w:val="es-PY"/>
              </w:rPr>
              <w:t xml:space="preserve">   Interior</w:t>
            </w:r>
          </w:p>
        </w:tc>
        <w:tc>
          <w:tcPr>
            <w:tcW w:w="2693" w:type="dxa"/>
            <w:tcBorders>
              <w:top w:val="nil"/>
              <w:bottom w:val="single" w:sz="4" w:space="0" w:color="auto"/>
            </w:tcBorders>
          </w:tcPr>
          <w:p w14:paraId="2625C60D" w14:textId="6F53628A" w:rsidR="008C0F5A" w:rsidRDefault="008C0F5A" w:rsidP="008C0F5A">
            <w:pPr>
              <w:spacing w:line="240" w:lineRule="auto"/>
              <w:ind w:firstLine="0"/>
              <w:jc w:val="center"/>
              <w:rPr>
                <w:lang w:val="es-PY"/>
              </w:rPr>
            </w:pPr>
            <w:r>
              <w:rPr>
                <w:lang w:val="es-PY"/>
              </w:rPr>
              <w:t>53</w:t>
            </w:r>
          </w:p>
        </w:tc>
        <w:tc>
          <w:tcPr>
            <w:tcW w:w="2687" w:type="dxa"/>
            <w:tcBorders>
              <w:top w:val="nil"/>
              <w:bottom w:val="single" w:sz="4" w:space="0" w:color="auto"/>
            </w:tcBorders>
          </w:tcPr>
          <w:p w14:paraId="122BB864" w14:textId="6A4EA6CB" w:rsidR="008C0F5A" w:rsidRDefault="008C0F5A" w:rsidP="008C0F5A">
            <w:pPr>
              <w:spacing w:line="240" w:lineRule="auto"/>
              <w:ind w:firstLine="0"/>
              <w:jc w:val="center"/>
              <w:rPr>
                <w:lang w:val="es-PY"/>
              </w:rPr>
            </w:pPr>
            <w:r>
              <w:rPr>
                <w:lang w:val="es-PY"/>
              </w:rPr>
              <w:t>6.6</w:t>
            </w:r>
          </w:p>
        </w:tc>
      </w:tr>
      <w:tr w:rsidR="008C0F5A" w14:paraId="7723D82D" w14:textId="77777777" w:rsidTr="00333A8F">
        <w:tc>
          <w:tcPr>
            <w:tcW w:w="3114" w:type="dxa"/>
            <w:tcBorders>
              <w:top w:val="single" w:sz="4" w:space="0" w:color="auto"/>
              <w:bottom w:val="nil"/>
            </w:tcBorders>
          </w:tcPr>
          <w:p w14:paraId="665C591B" w14:textId="423446FE" w:rsidR="008C0F5A" w:rsidRDefault="008C0F5A" w:rsidP="008C0F5A">
            <w:pPr>
              <w:spacing w:line="240" w:lineRule="auto"/>
              <w:ind w:firstLine="0"/>
              <w:rPr>
                <w:lang w:val="es-PY"/>
              </w:rPr>
            </w:pPr>
            <w:r>
              <w:rPr>
                <w:lang w:val="es-PY"/>
              </w:rPr>
              <w:lastRenderedPageBreak/>
              <w:t>Nivel Académico</w:t>
            </w:r>
          </w:p>
        </w:tc>
        <w:tc>
          <w:tcPr>
            <w:tcW w:w="2693" w:type="dxa"/>
            <w:tcBorders>
              <w:top w:val="single" w:sz="4" w:space="0" w:color="auto"/>
              <w:bottom w:val="nil"/>
            </w:tcBorders>
          </w:tcPr>
          <w:p w14:paraId="7FD34A87" w14:textId="77777777" w:rsidR="008C0F5A" w:rsidRDefault="008C0F5A" w:rsidP="008C0F5A">
            <w:pPr>
              <w:spacing w:line="240" w:lineRule="auto"/>
              <w:ind w:firstLine="0"/>
              <w:jc w:val="center"/>
              <w:rPr>
                <w:lang w:val="es-PY"/>
              </w:rPr>
            </w:pPr>
          </w:p>
        </w:tc>
        <w:tc>
          <w:tcPr>
            <w:tcW w:w="2687" w:type="dxa"/>
            <w:tcBorders>
              <w:top w:val="single" w:sz="4" w:space="0" w:color="auto"/>
              <w:bottom w:val="nil"/>
            </w:tcBorders>
          </w:tcPr>
          <w:p w14:paraId="67DF288F" w14:textId="77777777" w:rsidR="008C0F5A" w:rsidRDefault="008C0F5A" w:rsidP="008C0F5A">
            <w:pPr>
              <w:spacing w:line="240" w:lineRule="auto"/>
              <w:ind w:firstLine="0"/>
              <w:jc w:val="center"/>
              <w:rPr>
                <w:lang w:val="es-PY"/>
              </w:rPr>
            </w:pPr>
          </w:p>
        </w:tc>
      </w:tr>
      <w:tr w:rsidR="008C0F5A" w14:paraId="5E5645B8" w14:textId="77777777" w:rsidTr="00333A8F">
        <w:tc>
          <w:tcPr>
            <w:tcW w:w="3114" w:type="dxa"/>
            <w:tcBorders>
              <w:top w:val="nil"/>
              <w:bottom w:val="nil"/>
            </w:tcBorders>
          </w:tcPr>
          <w:p w14:paraId="35293B92" w14:textId="27562671" w:rsidR="008C0F5A" w:rsidRDefault="008C0F5A" w:rsidP="008C0F5A">
            <w:pPr>
              <w:spacing w:line="240" w:lineRule="auto"/>
              <w:ind w:firstLine="0"/>
              <w:rPr>
                <w:lang w:val="es-PY"/>
              </w:rPr>
            </w:pPr>
            <w:r>
              <w:rPr>
                <w:lang w:val="es-PY"/>
              </w:rPr>
              <w:t xml:space="preserve">   Educación Escolar Básica</w:t>
            </w:r>
          </w:p>
        </w:tc>
        <w:tc>
          <w:tcPr>
            <w:tcW w:w="2693" w:type="dxa"/>
            <w:tcBorders>
              <w:top w:val="nil"/>
              <w:bottom w:val="nil"/>
            </w:tcBorders>
          </w:tcPr>
          <w:p w14:paraId="09DF2862" w14:textId="6661AA96" w:rsidR="008C0F5A" w:rsidRDefault="008C0F5A" w:rsidP="008C0F5A">
            <w:pPr>
              <w:spacing w:line="240" w:lineRule="auto"/>
              <w:ind w:firstLine="0"/>
              <w:jc w:val="center"/>
              <w:rPr>
                <w:lang w:val="es-PY"/>
              </w:rPr>
            </w:pPr>
            <w:r>
              <w:rPr>
                <w:lang w:val="es-PY"/>
              </w:rPr>
              <w:t>9</w:t>
            </w:r>
          </w:p>
        </w:tc>
        <w:tc>
          <w:tcPr>
            <w:tcW w:w="2687" w:type="dxa"/>
            <w:tcBorders>
              <w:top w:val="nil"/>
              <w:bottom w:val="nil"/>
            </w:tcBorders>
          </w:tcPr>
          <w:p w14:paraId="511CF0FF" w14:textId="32887BC8" w:rsidR="008C0F5A" w:rsidRDefault="008C0F5A" w:rsidP="008C0F5A">
            <w:pPr>
              <w:spacing w:line="240" w:lineRule="auto"/>
              <w:ind w:firstLine="0"/>
              <w:jc w:val="center"/>
              <w:rPr>
                <w:lang w:val="es-PY"/>
              </w:rPr>
            </w:pPr>
            <w:r>
              <w:rPr>
                <w:lang w:val="es-PY"/>
              </w:rPr>
              <w:t>1.1</w:t>
            </w:r>
          </w:p>
        </w:tc>
      </w:tr>
      <w:tr w:rsidR="008C0F5A" w14:paraId="64EAEC21" w14:textId="77777777" w:rsidTr="00333A8F">
        <w:tc>
          <w:tcPr>
            <w:tcW w:w="3114" w:type="dxa"/>
            <w:tcBorders>
              <w:top w:val="nil"/>
            </w:tcBorders>
          </w:tcPr>
          <w:p w14:paraId="2EBD90F1" w14:textId="7DB3B021" w:rsidR="008C0F5A" w:rsidRDefault="008C0F5A" w:rsidP="008C0F5A">
            <w:pPr>
              <w:spacing w:line="240" w:lineRule="auto"/>
              <w:ind w:firstLine="0"/>
              <w:rPr>
                <w:lang w:val="es-PY"/>
              </w:rPr>
            </w:pPr>
            <w:r>
              <w:rPr>
                <w:lang w:val="es-PY"/>
              </w:rPr>
              <w:t xml:space="preserve">   Educación Media</w:t>
            </w:r>
          </w:p>
        </w:tc>
        <w:tc>
          <w:tcPr>
            <w:tcW w:w="2693" w:type="dxa"/>
            <w:tcBorders>
              <w:top w:val="nil"/>
            </w:tcBorders>
          </w:tcPr>
          <w:p w14:paraId="396E3303" w14:textId="06A9FB27" w:rsidR="008C0F5A" w:rsidRDefault="008C0F5A" w:rsidP="008C0F5A">
            <w:pPr>
              <w:spacing w:line="240" w:lineRule="auto"/>
              <w:ind w:firstLine="0"/>
              <w:jc w:val="center"/>
              <w:rPr>
                <w:lang w:val="es-PY"/>
              </w:rPr>
            </w:pPr>
            <w:r>
              <w:rPr>
                <w:lang w:val="es-PY"/>
              </w:rPr>
              <w:t>91</w:t>
            </w:r>
          </w:p>
        </w:tc>
        <w:tc>
          <w:tcPr>
            <w:tcW w:w="2687" w:type="dxa"/>
            <w:tcBorders>
              <w:top w:val="nil"/>
            </w:tcBorders>
          </w:tcPr>
          <w:p w14:paraId="53A7BC2D" w14:textId="09ECAADF" w:rsidR="008C0F5A" w:rsidRDefault="008C0F5A" w:rsidP="008C0F5A">
            <w:pPr>
              <w:spacing w:line="240" w:lineRule="auto"/>
              <w:ind w:firstLine="0"/>
              <w:jc w:val="center"/>
              <w:rPr>
                <w:lang w:val="es-PY"/>
              </w:rPr>
            </w:pPr>
            <w:r>
              <w:rPr>
                <w:lang w:val="es-PY"/>
              </w:rPr>
              <w:t>11.4</w:t>
            </w:r>
          </w:p>
        </w:tc>
      </w:tr>
      <w:tr w:rsidR="008C0F5A" w14:paraId="628116FF" w14:textId="77777777" w:rsidTr="00333A8F">
        <w:tc>
          <w:tcPr>
            <w:tcW w:w="3114" w:type="dxa"/>
          </w:tcPr>
          <w:p w14:paraId="23718967" w14:textId="572787AE" w:rsidR="008C0F5A" w:rsidRDefault="008C0F5A" w:rsidP="008C0F5A">
            <w:pPr>
              <w:spacing w:line="240" w:lineRule="auto"/>
              <w:ind w:firstLine="0"/>
              <w:rPr>
                <w:lang w:val="es-PY"/>
              </w:rPr>
            </w:pPr>
            <w:r>
              <w:rPr>
                <w:lang w:val="es-PY"/>
              </w:rPr>
              <w:t xml:space="preserve">   Educación Superior</w:t>
            </w:r>
          </w:p>
        </w:tc>
        <w:tc>
          <w:tcPr>
            <w:tcW w:w="2693" w:type="dxa"/>
          </w:tcPr>
          <w:p w14:paraId="55B0FEF8" w14:textId="356F201B" w:rsidR="008C0F5A" w:rsidRDefault="008C0F5A" w:rsidP="008C0F5A">
            <w:pPr>
              <w:spacing w:line="240" w:lineRule="auto"/>
              <w:ind w:firstLine="0"/>
              <w:jc w:val="center"/>
              <w:rPr>
                <w:lang w:val="es-PY"/>
              </w:rPr>
            </w:pPr>
            <w:r>
              <w:rPr>
                <w:lang w:val="es-PY"/>
              </w:rPr>
              <w:t>701</w:t>
            </w:r>
          </w:p>
        </w:tc>
        <w:tc>
          <w:tcPr>
            <w:tcW w:w="2687" w:type="dxa"/>
          </w:tcPr>
          <w:p w14:paraId="02326609" w14:textId="0A208011" w:rsidR="008C0F5A" w:rsidRDefault="008C0F5A" w:rsidP="008C0F5A">
            <w:pPr>
              <w:spacing w:line="240" w:lineRule="auto"/>
              <w:ind w:firstLine="0"/>
              <w:jc w:val="center"/>
              <w:rPr>
                <w:lang w:val="es-PY"/>
              </w:rPr>
            </w:pPr>
            <w:r>
              <w:rPr>
                <w:lang w:val="es-PY"/>
              </w:rPr>
              <w:t>87.5</w:t>
            </w:r>
          </w:p>
        </w:tc>
      </w:tr>
    </w:tbl>
    <w:p w14:paraId="7DCF594D" w14:textId="77777777" w:rsidR="00A76B47" w:rsidRDefault="0090361E" w:rsidP="0090361E">
      <w:pPr>
        <w:spacing w:line="240" w:lineRule="auto"/>
        <w:ind w:firstLine="0"/>
        <w:rPr>
          <w:sz w:val="16"/>
          <w:szCs w:val="16"/>
          <w:lang w:val="es-PY"/>
        </w:rPr>
      </w:pPr>
      <w:r w:rsidRPr="009652BE">
        <w:rPr>
          <w:i/>
          <w:sz w:val="16"/>
          <w:szCs w:val="16"/>
          <w:lang w:val="es-PY"/>
        </w:rPr>
        <w:t>Nota</w:t>
      </w:r>
      <w:r w:rsidRPr="009652BE">
        <w:rPr>
          <w:sz w:val="16"/>
          <w:szCs w:val="16"/>
          <w:lang w:val="es-PY"/>
        </w:rPr>
        <w:t xml:space="preserve">. Gran Asunción: Asunción, Lambaré, Fernando de la Mora, Luque, Mariano Roque Alonso, Villa Elisa, San Lorenzo, Limpio, Capiatá, Ñemby y San Antonio. </w:t>
      </w:r>
    </w:p>
    <w:p w14:paraId="0D51C04E" w14:textId="5798039C" w:rsidR="0033074B" w:rsidRPr="009652BE" w:rsidRDefault="0090361E" w:rsidP="0090361E">
      <w:pPr>
        <w:spacing w:line="240" w:lineRule="auto"/>
        <w:ind w:firstLine="0"/>
        <w:rPr>
          <w:sz w:val="16"/>
          <w:szCs w:val="16"/>
          <w:lang w:val="es-PY"/>
        </w:rPr>
      </w:pPr>
      <w:r w:rsidRPr="009652BE">
        <w:rPr>
          <w:sz w:val="16"/>
          <w:szCs w:val="16"/>
          <w:lang w:val="es-PY"/>
        </w:rPr>
        <w:t xml:space="preserve">Interior: Se incluyeron participantes de los departamentos de </w:t>
      </w:r>
      <w:r w:rsidR="00761DF4" w:rsidRPr="009652BE">
        <w:rPr>
          <w:sz w:val="16"/>
          <w:szCs w:val="16"/>
          <w:lang w:val="es-PY"/>
        </w:rPr>
        <w:t>Alto Paraná, Amambay, Boquerón, Caaguazú, Caazapá. Canindeyú, Central, Concepción, Cordillera, Guairá, Itapúa, Misiones, Ñeembucú, Paraguarí y San Pedro.</w:t>
      </w:r>
    </w:p>
    <w:p w14:paraId="56E9B4F6" w14:textId="5761FF3C" w:rsidR="00233806" w:rsidRPr="00233806" w:rsidRDefault="00233806" w:rsidP="00B707E4">
      <w:pPr>
        <w:spacing w:before="360"/>
        <w:rPr>
          <w:lang w:val="es-PY"/>
        </w:rPr>
      </w:pPr>
      <w:r>
        <w:rPr>
          <w:lang w:val="es-PY"/>
        </w:rPr>
        <w:t>El muestreo utilizado fue de tipo bola de nieve</w:t>
      </w:r>
      <w:r w:rsidR="00774C1E">
        <w:rPr>
          <w:lang w:val="es-PY"/>
        </w:rPr>
        <w:t xml:space="preserve"> (</w:t>
      </w:r>
      <w:r w:rsidR="00774C1E">
        <w:rPr>
          <w:rFonts w:cs="Times New Roman"/>
          <w:szCs w:val="24"/>
          <w:shd w:val="clear" w:color="auto" w:fill="FFFFFF"/>
        </w:rPr>
        <w:t xml:space="preserve">Baltar &amp; </w:t>
      </w:r>
      <w:proofErr w:type="spellStart"/>
      <w:r w:rsidR="00774C1E">
        <w:rPr>
          <w:rFonts w:cs="Times New Roman"/>
          <w:szCs w:val="24"/>
          <w:shd w:val="clear" w:color="auto" w:fill="FFFFFF"/>
        </w:rPr>
        <w:t>Gorjup</w:t>
      </w:r>
      <w:proofErr w:type="spellEnd"/>
      <w:r w:rsidR="00774C1E">
        <w:rPr>
          <w:rFonts w:cs="Times New Roman"/>
          <w:szCs w:val="24"/>
          <w:shd w:val="clear" w:color="auto" w:fill="FFFFFF"/>
        </w:rPr>
        <w:t xml:space="preserve">, </w:t>
      </w:r>
      <w:r w:rsidR="00774C1E" w:rsidRPr="004F5E35">
        <w:rPr>
          <w:rFonts w:cs="Times New Roman"/>
          <w:szCs w:val="24"/>
          <w:shd w:val="clear" w:color="auto" w:fill="FFFFFF"/>
        </w:rPr>
        <w:t>2012</w:t>
      </w:r>
      <w:r w:rsidR="00774C1E">
        <w:rPr>
          <w:rFonts w:cs="Times New Roman"/>
          <w:szCs w:val="24"/>
          <w:shd w:val="clear" w:color="auto" w:fill="FFFFFF"/>
        </w:rPr>
        <w:t>)</w:t>
      </w:r>
      <w:r>
        <w:rPr>
          <w:lang w:val="es-PY"/>
        </w:rPr>
        <w:t>, aplicando el instrumento en formato virtual a través de redes sociales.</w:t>
      </w:r>
      <w:r w:rsidR="00CE70F0">
        <w:rPr>
          <w:lang w:val="es-PY"/>
        </w:rPr>
        <w:t xml:space="preserve"> Cabe señalar que la mayoría (</w:t>
      </w:r>
      <w:r w:rsidR="009B5DBE">
        <w:rPr>
          <w:lang w:val="es-PY"/>
        </w:rPr>
        <w:t>87.5</w:t>
      </w:r>
      <w:r w:rsidR="00CE70F0">
        <w:rPr>
          <w:lang w:val="es-PY"/>
        </w:rPr>
        <w:t>%) de los participantes han cursado la Educación Superior, por lo que la muestra representa principalmente a la población de los estratos socioeconómicos medios y altos.</w:t>
      </w:r>
    </w:p>
    <w:p w14:paraId="0C9167A3" w14:textId="520E9E82" w:rsidR="00B359FE" w:rsidRDefault="00B359FE" w:rsidP="00B359FE">
      <w:pPr>
        <w:pStyle w:val="Ttulo1"/>
        <w:rPr>
          <w:lang w:val="es-PY"/>
        </w:rPr>
      </w:pPr>
      <w:r w:rsidRPr="00B359FE">
        <w:rPr>
          <w:lang w:val="es-PY"/>
        </w:rPr>
        <w:t>Instrumento</w:t>
      </w:r>
    </w:p>
    <w:p w14:paraId="15E3B779" w14:textId="53CA02DD" w:rsidR="00C357C1" w:rsidRDefault="00C357C1" w:rsidP="00C357C1">
      <w:pPr>
        <w:rPr>
          <w:lang w:val="es-PY"/>
        </w:rPr>
      </w:pPr>
      <w:r>
        <w:rPr>
          <w:lang w:val="es-PY"/>
        </w:rPr>
        <w:t>El instrumento utilizado fue un formulario virtual qu</w:t>
      </w:r>
      <w:r w:rsidR="0033074B">
        <w:rPr>
          <w:lang w:val="es-PY"/>
        </w:rPr>
        <w:t>e contemplaba algunas variables sociodemográficas como</w:t>
      </w:r>
      <w:r w:rsidR="00B10D46">
        <w:rPr>
          <w:lang w:val="es-PY"/>
        </w:rPr>
        <w:t xml:space="preserve"> el sexo, la orientación sexual, la edad, lugar de residencia y nivel académico. Por último, se incluyó el reactivo “Sobre el matrimonio igualitario, considero que:”, cuyas opciones de respuesta se graduaban de la siguiente manera: “No debe permitirse la unión legal de parejas homosexuales”, “Debe permitirse la unión legal de parejas homosexuales pero con ciertas restricciones (Por ejemplo, no debe permitírseles adoptar hijos)”, y “</w:t>
      </w:r>
      <w:r w:rsidR="00695428">
        <w:rPr>
          <w:lang w:val="es-PY"/>
        </w:rPr>
        <w:t>Debe permitirse la unión legal de parejas homosexuales con plena igualdad de derechos y responsabilidades en comparación con las parejas heterosexuales”. Para el propósito de analizar los resultados, a cada una de estas respuestas se le asignó un puntaje en una escala ordinal del 1 al 3, donde a mayor puntaje, mayor aceptación de una legislación que contemple la unión legal de parejas homosexuales.</w:t>
      </w:r>
    </w:p>
    <w:p w14:paraId="07DCA9BC" w14:textId="643DD856" w:rsidR="00695428" w:rsidRPr="00C357C1" w:rsidRDefault="00695428" w:rsidP="00C357C1">
      <w:pPr>
        <w:rPr>
          <w:lang w:val="es-PY"/>
        </w:rPr>
      </w:pPr>
      <w:r>
        <w:rPr>
          <w:lang w:val="es-PY"/>
        </w:rPr>
        <w:lastRenderedPageBreak/>
        <w:t>Cabe mencionar que la actitud hacia la unión legal de parejas homosexuales ha sido identificada (</w:t>
      </w:r>
      <w:proofErr w:type="spellStart"/>
      <w:r w:rsidR="003F7C4E">
        <w:rPr>
          <w:lang w:val="es-PY"/>
        </w:rPr>
        <w:t>Gerhards</w:t>
      </w:r>
      <w:proofErr w:type="spellEnd"/>
      <w:r w:rsidR="003F7C4E">
        <w:rPr>
          <w:lang w:val="es-PY"/>
        </w:rPr>
        <w:t>, 2010</w:t>
      </w:r>
      <w:r>
        <w:rPr>
          <w:lang w:val="es-PY"/>
        </w:rPr>
        <w:t>) como una variable predictora fiable para la actitud general de las personas hacia la homosexualidad.</w:t>
      </w:r>
    </w:p>
    <w:p w14:paraId="15BF55EC" w14:textId="0959BD15" w:rsidR="00B359FE" w:rsidRDefault="00B359FE" w:rsidP="00B359FE">
      <w:pPr>
        <w:pStyle w:val="Ttulo1"/>
        <w:rPr>
          <w:lang w:val="es-PY"/>
        </w:rPr>
      </w:pPr>
      <w:r w:rsidRPr="00B359FE">
        <w:rPr>
          <w:lang w:val="es-PY"/>
        </w:rPr>
        <w:t>Procedimiento</w:t>
      </w:r>
    </w:p>
    <w:p w14:paraId="52B78C4B" w14:textId="79D00B30" w:rsidR="00717356" w:rsidRDefault="001131AB" w:rsidP="00717356">
      <w:pPr>
        <w:rPr>
          <w:lang w:val="es-PY"/>
        </w:rPr>
      </w:pPr>
      <w:r>
        <w:rPr>
          <w:lang w:val="es-PY"/>
        </w:rPr>
        <w:t>Luego de diseñarse el formulari</w:t>
      </w:r>
      <w:r w:rsidR="00C93FAB">
        <w:rPr>
          <w:lang w:val="es-PY"/>
        </w:rPr>
        <w:t>o virtual, el mismo se difundió</w:t>
      </w:r>
      <w:r>
        <w:rPr>
          <w:lang w:val="es-PY"/>
        </w:rPr>
        <w:t xml:space="preserve"> a través de las redes sociales con un mensaje que explicaba sucintamente el objetiv</w:t>
      </w:r>
      <w:r w:rsidR="005513C1">
        <w:rPr>
          <w:lang w:val="es-PY"/>
        </w:rPr>
        <w:t xml:space="preserve">o del estudio y </w:t>
      </w:r>
      <w:r>
        <w:rPr>
          <w:lang w:val="es-PY"/>
        </w:rPr>
        <w:t>pedía completar la encuesta con sinceridad</w:t>
      </w:r>
      <w:r w:rsidR="005513C1">
        <w:rPr>
          <w:lang w:val="es-PY"/>
        </w:rPr>
        <w:t>, para</w:t>
      </w:r>
      <w:r>
        <w:rPr>
          <w:lang w:val="es-PY"/>
        </w:rPr>
        <w:t xml:space="preserve"> posteriormente compartir la misma en otros espacios virtuales.</w:t>
      </w:r>
      <w:r w:rsidR="002275AC">
        <w:rPr>
          <w:lang w:val="es-PY"/>
        </w:rPr>
        <w:t xml:space="preserve"> A la vez, se especificaba el carácter anónimo de las respuestas.</w:t>
      </w:r>
      <w:r>
        <w:rPr>
          <w:lang w:val="es-PY"/>
        </w:rPr>
        <w:t xml:space="preserve"> Se recibieron respuestas durante el plazo de una semana.</w:t>
      </w:r>
    </w:p>
    <w:p w14:paraId="4920A472" w14:textId="2FEBF575" w:rsidR="001131AB" w:rsidRDefault="001131AB" w:rsidP="00717356">
      <w:pPr>
        <w:rPr>
          <w:lang w:val="es-PY"/>
        </w:rPr>
      </w:pPr>
      <w:r>
        <w:rPr>
          <w:lang w:val="es-PY"/>
        </w:rPr>
        <w:t xml:space="preserve">Las respuestas recibidas se codificaron debidamente y se analizaron mediante el </w:t>
      </w:r>
      <w:r w:rsidRPr="001131AB">
        <w:rPr>
          <w:i/>
          <w:lang w:val="es-PY"/>
        </w:rPr>
        <w:t>software</w:t>
      </w:r>
      <w:r>
        <w:rPr>
          <w:lang w:val="es-PY"/>
        </w:rPr>
        <w:t xml:space="preserve"> SPSS v. 15. En primer lugar, se calcularon estadísticos descriptivos como frecuencias, medidas de centralización y de dispersión de los datos. Posteriormente, se determinó la relación entre edad y actitud hacia la homosexualidad mediante el coeficiente de correlación de rangos de Spearman</w:t>
      </w:r>
      <w:r w:rsidR="005513C1">
        <w:rPr>
          <w:lang w:val="es-PY"/>
        </w:rPr>
        <w:t>, real</w:t>
      </w:r>
      <w:r w:rsidR="00ED5D9D">
        <w:rPr>
          <w:lang w:val="es-PY"/>
        </w:rPr>
        <w:t>izando análisis diferenciales p</w:t>
      </w:r>
      <w:r w:rsidR="005513C1">
        <w:rPr>
          <w:lang w:val="es-PY"/>
        </w:rPr>
        <w:t>o</w:t>
      </w:r>
      <w:r w:rsidR="00ED5D9D">
        <w:rPr>
          <w:lang w:val="es-PY"/>
        </w:rPr>
        <w:t>r</w:t>
      </w:r>
      <w:r w:rsidR="005513C1">
        <w:rPr>
          <w:lang w:val="es-PY"/>
        </w:rPr>
        <w:t xml:space="preserve"> sexo y lugar de residencia</w:t>
      </w:r>
      <w:r>
        <w:rPr>
          <w:lang w:val="es-PY"/>
        </w:rPr>
        <w:t>. Por último, se realizaron pruebas no paramétricas de comparación de acuerdo al sexo y el lugar de</w:t>
      </w:r>
      <w:r w:rsidR="00417ACF">
        <w:rPr>
          <w:lang w:val="es-PY"/>
        </w:rPr>
        <w:t xml:space="preserve"> residencia</w:t>
      </w:r>
      <w:r>
        <w:rPr>
          <w:lang w:val="es-PY"/>
        </w:rPr>
        <w:t>.</w:t>
      </w:r>
    </w:p>
    <w:p w14:paraId="602D04AA" w14:textId="26D3ADBA" w:rsidR="0039077A" w:rsidRDefault="0039077A" w:rsidP="0039077A">
      <w:pPr>
        <w:pStyle w:val="Ttulo"/>
      </w:pPr>
      <w:r>
        <w:t>Resultados</w:t>
      </w:r>
    </w:p>
    <w:p w14:paraId="43723CA0" w14:textId="6B2AF15D" w:rsidR="000133E2" w:rsidRDefault="000133E2" w:rsidP="00037339">
      <w:r>
        <w:t>En primer lugar, se estableció la frecuencia y las proporciones en las cuales los participantes presentaban actitudes negativas, intermedias o positivas ante la legalización de la unión civil entre parejas homosexuales. Como se muestra en la tabla 2, la mayor parte de la muestra se declara a favor de esta medida y sin ningún tipo de restricción en comparación con las parejas heterosexuales.</w:t>
      </w:r>
    </w:p>
    <w:p w14:paraId="21BC8586" w14:textId="1C3F4CCE" w:rsidR="00037339" w:rsidRDefault="00037339" w:rsidP="00037339">
      <w:r>
        <w:t>Tabla 2</w:t>
      </w:r>
    </w:p>
    <w:p w14:paraId="074E6896" w14:textId="7C6C5697" w:rsidR="00037339" w:rsidRPr="003311DC" w:rsidRDefault="00BD5FBA" w:rsidP="00037339">
      <w:pPr>
        <w:rPr>
          <w:i/>
        </w:rPr>
      </w:pPr>
      <w:r w:rsidRPr="003311DC">
        <w:rPr>
          <w:i/>
        </w:rPr>
        <w:t xml:space="preserve">Actitudes hacia </w:t>
      </w:r>
      <w:r w:rsidR="003311DC" w:rsidRPr="003311DC">
        <w:rPr>
          <w:i/>
        </w:rPr>
        <w:t>el matrimonio igualitario</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1"/>
        <w:gridCol w:w="2832"/>
      </w:tblGrid>
      <w:tr w:rsidR="003F26F0" w14:paraId="45373B16" w14:textId="77777777" w:rsidTr="00110162">
        <w:tc>
          <w:tcPr>
            <w:tcW w:w="2831" w:type="dxa"/>
            <w:tcBorders>
              <w:bottom w:val="single" w:sz="4" w:space="0" w:color="auto"/>
            </w:tcBorders>
          </w:tcPr>
          <w:p w14:paraId="096002C3" w14:textId="77777777" w:rsidR="003F26F0" w:rsidRDefault="003F26F0" w:rsidP="00110162">
            <w:pPr>
              <w:spacing w:line="240" w:lineRule="auto"/>
              <w:ind w:firstLine="0"/>
            </w:pPr>
          </w:p>
        </w:tc>
        <w:tc>
          <w:tcPr>
            <w:tcW w:w="2831" w:type="dxa"/>
            <w:tcBorders>
              <w:bottom w:val="single" w:sz="4" w:space="0" w:color="auto"/>
            </w:tcBorders>
          </w:tcPr>
          <w:p w14:paraId="4356AD6F" w14:textId="1B254724" w:rsidR="003F26F0" w:rsidRPr="00110162" w:rsidRDefault="000133E2" w:rsidP="00110162">
            <w:pPr>
              <w:spacing w:line="240" w:lineRule="auto"/>
              <w:ind w:firstLine="0"/>
              <w:jc w:val="center"/>
              <w:rPr>
                <w:i/>
              </w:rPr>
            </w:pPr>
            <w:r w:rsidRPr="00110162">
              <w:rPr>
                <w:i/>
              </w:rPr>
              <w:t>F</w:t>
            </w:r>
          </w:p>
        </w:tc>
        <w:tc>
          <w:tcPr>
            <w:tcW w:w="2832" w:type="dxa"/>
            <w:tcBorders>
              <w:bottom w:val="single" w:sz="4" w:space="0" w:color="auto"/>
            </w:tcBorders>
          </w:tcPr>
          <w:p w14:paraId="6F4856CF" w14:textId="32F0157C" w:rsidR="003F26F0" w:rsidRPr="00110162" w:rsidRDefault="003F26F0" w:rsidP="00110162">
            <w:pPr>
              <w:spacing w:line="240" w:lineRule="auto"/>
              <w:ind w:firstLine="0"/>
              <w:jc w:val="center"/>
              <w:rPr>
                <w:i/>
              </w:rPr>
            </w:pPr>
            <w:r w:rsidRPr="00110162">
              <w:rPr>
                <w:i/>
              </w:rPr>
              <w:t>%</w:t>
            </w:r>
          </w:p>
        </w:tc>
      </w:tr>
      <w:tr w:rsidR="003F26F0" w14:paraId="473924A5" w14:textId="77777777" w:rsidTr="00110162">
        <w:tc>
          <w:tcPr>
            <w:tcW w:w="2831" w:type="dxa"/>
            <w:tcBorders>
              <w:top w:val="single" w:sz="4" w:space="0" w:color="auto"/>
              <w:bottom w:val="nil"/>
            </w:tcBorders>
          </w:tcPr>
          <w:p w14:paraId="72E28671" w14:textId="1F7CF2D2" w:rsidR="003F26F0" w:rsidRDefault="003F26F0" w:rsidP="00110162">
            <w:pPr>
              <w:spacing w:line="240" w:lineRule="auto"/>
              <w:ind w:firstLine="0"/>
            </w:pPr>
            <w:r>
              <w:t>No</w:t>
            </w:r>
          </w:p>
        </w:tc>
        <w:tc>
          <w:tcPr>
            <w:tcW w:w="2831" w:type="dxa"/>
            <w:tcBorders>
              <w:top w:val="single" w:sz="4" w:space="0" w:color="auto"/>
              <w:bottom w:val="nil"/>
            </w:tcBorders>
          </w:tcPr>
          <w:p w14:paraId="774C99E1" w14:textId="397B8CD3" w:rsidR="003F26F0" w:rsidRDefault="003F26F0" w:rsidP="00110162">
            <w:pPr>
              <w:spacing w:line="240" w:lineRule="auto"/>
              <w:ind w:firstLine="0"/>
              <w:jc w:val="center"/>
            </w:pPr>
            <w:r>
              <w:t>141</w:t>
            </w:r>
          </w:p>
        </w:tc>
        <w:tc>
          <w:tcPr>
            <w:tcW w:w="2832" w:type="dxa"/>
            <w:tcBorders>
              <w:top w:val="single" w:sz="4" w:space="0" w:color="auto"/>
              <w:bottom w:val="nil"/>
            </w:tcBorders>
          </w:tcPr>
          <w:p w14:paraId="50B83E41" w14:textId="2640CC21" w:rsidR="003F26F0" w:rsidRDefault="003F26F0" w:rsidP="00110162">
            <w:pPr>
              <w:spacing w:line="240" w:lineRule="auto"/>
              <w:ind w:firstLine="0"/>
              <w:jc w:val="center"/>
            </w:pPr>
            <w:r>
              <w:t>17.6</w:t>
            </w:r>
          </w:p>
        </w:tc>
      </w:tr>
      <w:tr w:rsidR="003F26F0" w14:paraId="05A2A9B3" w14:textId="77777777" w:rsidTr="00110162">
        <w:tc>
          <w:tcPr>
            <w:tcW w:w="2831" w:type="dxa"/>
            <w:tcBorders>
              <w:top w:val="nil"/>
            </w:tcBorders>
          </w:tcPr>
          <w:p w14:paraId="763FB065" w14:textId="461704FE" w:rsidR="003F26F0" w:rsidRDefault="003F26F0" w:rsidP="00110162">
            <w:pPr>
              <w:spacing w:line="240" w:lineRule="auto"/>
              <w:ind w:firstLine="0"/>
            </w:pPr>
            <w:r>
              <w:t>Condicional</w:t>
            </w:r>
          </w:p>
        </w:tc>
        <w:tc>
          <w:tcPr>
            <w:tcW w:w="2831" w:type="dxa"/>
            <w:tcBorders>
              <w:top w:val="nil"/>
            </w:tcBorders>
          </w:tcPr>
          <w:p w14:paraId="045F0676" w14:textId="661B7B56" w:rsidR="003F26F0" w:rsidRDefault="003F26F0" w:rsidP="00110162">
            <w:pPr>
              <w:spacing w:line="240" w:lineRule="auto"/>
              <w:ind w:firstLine="0"/>
              <w:jc w:val="center"/>
            </w:pPr>
            <w:r>
              <w:t>156</w:t>
            </w:r>
          </w:p>
        </w:tc>
        <w:tc>
          <w:tcPr>
            <w:tcW w:w="2832" w:type="dxa"/>
            <w:tcBorders>
              <w:top w:val="nil"/>
            </w:tcBorders>
          </w:tcPr>
          <w:p w14:paraId="4C878268" w14:textId="66CE1A89" w:rsidR="003F26F0" w:rsidRDefault="003F26F0" w:rsidP="00110162">
            <w:pPr>
              <w:spacing w:line="240" w:lineRule="auto"/>
              <w:ind w:firstLine="0"/>
              <w:jc w:val="center"/>
            </w:pPr>
            <w:r>
              <w:t>19.5</w:t>
            </w:r>
          </w:p>
        </w:tc>
      </w:tr>
      <w:tr w:rsidR="003F26F0" w14:paraId="1E6099F4" w14:textId="77777777" w:rsidTr="00110162">
        <w:tc>
          <w:tcPr>
            <w:tcW w:w="2831" w:type="dxa"/>
          </w:tcPr>
          <w:p w14:paraId="4C54EA4E" w14:textId="0ED93E9F" w:rsidR="003F26F0" w:rsidRDefault="003F26F0" w:rsidP="00110162">
            <w:pPr>
              <w:spacing w:line="240" w:lineRule="auto"/>
              <w:ind w:firstLine="0"/>
            </w:pPr>
            <w:r>
              <w:t>Sí</w:t>
            </w:r>
          </w:p>
        </w:tc>
        <w:tc>
          <w:tcPr>
            <w:tcW w:w="2831" w:type="dxa"/>
          </w:tcPr>
          <w:p w14:paraId="70AD879A" w14:textId="62A5C50F" w:rsidR="003F26F0" w:rsidRDefault="003F26F0" w:rsidP="00110162">
            <w:pPr>
              <w:spacing w:line="240" w:lineRule="auto"/>
              <w:ind w:firstLine="0"/>
              <w:jc w:val="center"/>
            </w:pPr>
            <w:r>
              <w:t>504</w:t>
            </w:r>
          </w:p>
        </w:tc>
        <w:tc>
          <w:tcPr>
            <w:tcW w:w="2832" w:type="dxa"/>
          </w:tcPr>
          <w:p w14:paraId="4C3813E8" w14:textId="0989C840" w:rsidR="003F26F0" w:rsidRDefault="003F26F0" w:rsidP="00110162">
            <w:pPr>
              <w:spacing w:line="240" w:lineRule="auto"/>
              <w:ind w:firstLine="0"/>
              <w:jc w:val="center"/>
            </w:pPr>
            <w:r>
              <w:t>62.9</w:t>
            </w:r>
          </w:p>
        </w:tc>
      </w:tr>
    </w:tbl>
    <w:p w14:paraId="306821BA" w14:textId="77777777" w:rsidR="005D0857" w:rsidRDefault="00BD5FBA" w:rsidP="005D0857">
      <w:pPr>
        <w:spacing w:line="240" w:lineRule="auto"/>
        <w:ind w:firstLine="0"/>
        <w:rPr>
          <w:sz w:val="16"/>
          <w:szCs w:val="16"/>
        </w:rPr>
      </w:pPr>
      <w:r w:rsidRPr="009652BE">
        <w:rPr>
          <w:i/>
          <w:sz w:val="16"/>
          <w:szCs w:val="16"/>
        </w:rPr>
        <w:t>Nota</w:t>
      </w:r>
      <w:r w:rsidRPr="009652BE">
        <w:rPr>
          <w:sz w:val="16"/>
          <w:szCs w:val="16"/>
        </w:rPr>
        <w:t xml:space="preserve">. No: “No debe permitirse la unión legal de parejas homosexuales”. </w:t>
      </w:r>
    </w:p>
    <w:p w14:paraId="021B72BF" w14:textId="77777777" w:rsidR="005D0857" w:rsidRDefault="00BD5FBA" w:rsidP="005D0857">
      <w:pPr>
        <w:spacing w:line="240" w:lineRule="auto"/>
        <w:ind w:firstLine="0"/>
        <w:rPr>
          <w:sz w:val="16"/>
          <w:szCs w:val="16"/>
        </w:rPr>
      </w:pPr>
      <w:r w:rsidRPr="009652BE">
        <w:rPr>
          <w:sz w:val="16"/>
          <w:szCs w:val="16"/>
        </w:rPr>
        <w:t xml:space="preserve">Condicional: “Debe permitirse la unión legal de parejas </w:t>
      </w:r>
      <w:proofErr w:type="gramStart"/>
      <w:r w:rsidRPr="009652BE">
        <w:rPr>
          <w:sz w:val="16"/>
          <w:szCs w:val="16"/>
        </w:rPr>
        <w:t>homosexuales</w:t>
      </w:r>
      <w:proofErr w:type="gramEnd"/>
      <w:r w:rsidRPr="009652BE">
        <w:rPr>
          <w:sz w:val="16"/>
          <w:szCs w:val="16"/>
        </w:rPr>
        <w:t xml:space="preserve"> pero con ciertas restricciones (Por ejemplo, no debe permitírseles adoptar hijos”. </w:t>
      </w:r>
    </w:p>
    <w:p w14:paraId="229546A7" w14:textId="25E29FDC" w:rsidR="00BD5FBA" w:rsidRPr="009652BE" w:rsidRDefault="00BD5FBA" w:rsidP="00BD5FBA">
      <w:pPr>
        <w:spacing w:after="360" w:line="240" w:lineRule="auto"/>
        <w:ind w:firstLine="0"/>
        <w:rPr>
          <w:sz w:val="16"/>
          <w:szCs w:val="16"/>
        </w:rPr>
      </w:pPr>
      <w:r w:rsidRPr="009652BE">
        <w:rPr>
          <w:sz w:val="16"/>
          <w:szCs w:val="16"/>
        </w:rPr>
        <w:t>Sí: “Debe permitirse la unión legal de parejas homosexuales con plena igualdad de derechos y responsabilidades en comparación con las parejas heterosexuales”.</w:t>
      </w:r>
    </w:p>
    <w:p w14:paraId="2D343FE3" w14:textId="0745D9C7" w:rsidR="000133E2" w:rsidRDefault="000133E2" w:rsidP="000133E2">
      <w:r>
        <w:t>A continuación, se calculó el coeficiente de correlación entre la edad y las actitudes hacia la legalización de la unión civil entre parejas homosexuales, además de realizarse análisis diferenciales por sexo y por lugar de residencia. Se halló una correlación débil y confiable entre las variables. Esta correlación no difiere mayormente entre hombres y mujeres, pero sí lo hace de acuerdo al lugar de residencia. La correlación incrementa hasta el grado de una correlación</w:t>
      </w:r>
      <w:r w:rsidR="002445ED">
        <w:t xml:space="preserve"> moderada en el caso de las personas </w:t>
      </w:r>
      <w:r w:rsidR="00AF630F">
        <w:t>que viven en el interior de la R</w:t>
      </w:r>
      <w:r w:rsidR="002445ED">
        <w:t>epública.</w:t>
      </w:r>
    </w:p>
    <w:p w14:paraId="7F08FB1A" w14:textId="40A8F7B9" w:rsidR="00C94B39" w:rsidRDefault="00BD5FBA" w:rsidP="000133E2">
      <w:r>
        <w:t>Tabla 3</w:t>
      </w:r>
    </w:p>
    <w:p w14:paraId="66A6E5E1" w14:textId="24379B04" w:rsidR="00BD5FBA" w:rsidRPr="003311DC" w:rsidRDefault="00BD5FBA" w:rsidP="000133E2">
      <w:pPr>
        <w:rPr>
          <w:i/>
        </w:rPr>
      </w:pPr>
      <w:r w:rsidRPr="003311DC">
        <w:rPr>
          <w:i/>
        </w:rPr>
        <w:t xml:space="preserve">Relación entre la edad y las actitudes hacia </w:t>
      </w:r>
      <w:r w:rsidR="003311DC" w:rsidRPr="003311DC">
        <w:rPr>
          <w:i/>
        </w:rPr>
        <w:t>el matrimonio igualitario</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1"/>
        <w:gridCol w:w="2832"/>
      </w:tblGrid>
      <w:tr w:rsidR="003F26F0" w14:paraId="46CBB96A" w14:textId="77777777" w:rsidTr="00110162">
        <w:tc>
          <w:tcPr>
            <w:tcW w:w="2831" w:type="dxa"/>
            <w:tcBorders>
              <w:bottom w:val="single" w:sz="4" w:space="0" w:color="auto"/>
            </w:tcBorders>
          </w:tcPr>
          <w:p w14:paraId="2ECE4C17" w14:textId="77777777" w:rsidR="003F26F0" w:rsidRDefault="003F26F0" w:rsidP="00110162">
            <w:pPr>
              <w:spacing w:line="240" w:lineRule="auto"/>
              <w:ind w:firstLine="0"/>
            </w:pPr>
          </w:p>
        </w:tc>
        <w:tc>
          <w:tcPr>
            <w:tcW w:w="2831" w:type="dxa"/>
            <w:tcBorders>
              <w:bottom w:val="single" w:sz="4" w:space="0" w:color="auto"/>
            </w:tcBorders>
          </w:tcPr>
          <w:p w14:paraId="3B49CEA5" w14:textId="1F5730A1" w:rsidR="003F26F0" w:rsidRDefault="003F26F0" w:rsidP="00110162">
            <w:pPr>
              <w:spacing w:line="240" w:lineRule="auto"/>
              <w:ind w:firstLine="0"/>
              <w:jc w:val="center"/>
            </w:pPr>
            <w:r>
              <w:t>Rho</w:t>
            </w:r>
          </w:p>
        </w:tc>
        <w:tc>
          <w:tcPr>
            <w:tcW w:w="2832" w:type="dxa"/>
            <w:tcBorders>
              <w:bottom w:val="single" w:sz="4" w:space="0" w:color="auto"/>
            </w:tcBorders>
          </w:tcPr>
          <w:p w14:paraId="198963F0" w14:textId="0ED7D805" w:rsidR="003F26F0" w:rsidRPr="00110162" w:rsidRDefault="00FE61BF" w:rsidP="00110162">
            <w:pPr>
              <w:spacing w:line="240" w:lineRule="auto"/>
              <w:ind w:firstLine="0"/>
              <w:jc w:val="center"/>
              <w:rPr>
                <w:i/>
              </w:rPr>
            </w:pPr>
            <w:r w:rsidRPr="00110162">
              <w:rPr>
                <w:i/>
              </w:rPr>
              <w:t>P</w:t>
            </w:r>
          </w:p>
        </w:tc>
      </w:tr>
      <w:tr w:rsidR="003F26F0" w14:paraId="0A096076" w14:textId="77777777" w:rsidTr="00110162">
        <w:tc>
          <w:tcPr>
            <w:tcW w:w="2831" w:type="dxa"/>
            <w:tcBorders>
              <w:top w:val="single" w:sz="4" w:space="0" w:color="auto"/>
              <w:bottom w:val="single" w:sz="4" w:space="0" w:color="auto"/>
            </w:tcBorders>
          </w:tcPr>
          <w:p w14:paraId="1094FF70" w14:textId="18416A19" w:rsidR="003F26F0" w:rsidRDefault="003F26F0" w:rsidP="00110162">
            <w:pPr>
              <w:spacing w:line="240" w:lineRule="auto"/>
              <w:ind w:firstLine="0"/>
            </w:pPr>
            <w:r>
              <w:t>Total</w:t>
            </w:r>
          </w:p>
        </w:tc>
        <w:tc>
          <w:tcPr>
            <w:tcW w:w="2831" w:type="dxa"/>
            <w:tcBorders>
              <w:top w:val="single" w:sz="4" w:space="0" w:color="auto"/>
              <w:bottom w:val="single" w:sz="4" w:space="0" w:color="auto"/>
            </w:tcBorders>
          </w:tcPr>
          <w:p w14:paraId="3F181CB1" w14:textId="458F896A" w:rsidR="003F26F0" w:rsidRDefault="003F26F0" w:rsidP="00110162">
            <w:pPr>
              <w:spacing w:line="240" w:lineRule="auto"/>
              <w:ind w:firstLine="0"/>
              <w:jc w:val="center"/>
            </w:pPr>
            <w:r>
              <w:t>-.22</w:t>
            </w:r>
          </w:p>
        </w:tc>
        <w:tc>
          <w:tcPr>
            <w:tcW w:w="2832" w:type="dxa"/>
            <w:tcBorders>
              <w:top w:val="single" w:sz="4" w:space="0" w:color="auto"/>
              <w:bottom w:val="single" w:sz="4" w:space="0" w:color="auto"/>
            </w:tcBorders>
          </w:tcPr>
          <w:p w14:paraId="1B118433" w14:textId="011F38EB" w:rsidR="003F26F0" w:rsidRDefault="003F26F0" w:rsidP="00110162">
            <w:pPr>
              <w:spacing w:line="240" w:lineRule="auto"/>
              <w:ind w:firstLine="0"/>
              <w:jc w:val="center"/>
            </w:pPr>
            <w:r>
              <w:t>.000</w:t>
            </w:r>
          </w:p>
        </w:tc>
      </w:tr>
      <w:tr w:rsidR="003F26F0" w14:paraId="39A56E40" w14:textId="77777777" w:rsidTr="00110162">
        <w:tc>
          <w:tcPr>
            <w:tcW w:w="2831" w:type="dxa"/>
            <w:tcBorders>
              <w:top w:val="single" w:sz="4" w:space="0" w:color="auto"/>
              <w:bottom w:val="nil"/>
            </w:tcBorders>
          </w:tcPr>
          <w:p w14:paraId="24C650BB" w14:textId="561A80FA" w:rsidR="003F26F0" w:rsidRDefault="003F26F0" w:rsidP="00110162">
            <w:pPr>
              <w:spacing w:line="240" w:lineRule="auto"/>
              <w:ind w:firstLine="0"/>
            </w:pPr>
            <w:r>
              <w:t>Hombres</w:t>
            </w:r>
          </w:p>
        </w:tc>
        <w:tc>
          <w:tcPr>
            <w:tcW w:w="2831" w:type="dxa"/>
            <w:tcBorders>
              <w:top w:val="single" w:sz="4" w:space="0" w:color="auto"/>
              <w:bottom w:val="nil"/>
            </w:tcBorders>
          </w:tcPr>
          <w:p w14:paraId="6713E2CF" w14:textId="2F4D719D" w:rsidR="003F26F0" w:rsidRDefault="003F26F0" w:rsidP="00110162">
            <w:pPr>
              <w:spacing w:line="240" w:lineRule="auto"/>
              <w:ind w:firstLine="0"/>
              <w:jc w:val="center"/>
            </w:pPr>
            <w:r>
              <w:t>-.20</w:t>
            </w:r>
          </w:p>
        </w:tc>
        <w:tc>
          <w:tcPr>
            <w:tcW w:w="2832" w:type="dxa"/>
            <w:tcBorders>
              <w:top w:val="single" w:sz="4" w:space="0" w:color="auto"/>
              <w:bottom w:val="nil"/>
            </w:tcBorders>
          </w:tcPr>
          <w:p w14:paraId="00F106FB" w14:textId="3DFDD59F" w:rsidR="003F26F0" w:rsidRDefault="003F26F0" w:rsidP="00110162">
            <w:pPr>
              <w:spacing w:line="240" w:lineRule="auto"/>
              <w:ind w:firstLine="0"/>
              <w:jc w:val="center"/>
            </w:pPr>
            <w:r>
              <w:t>.001</w:t>
            </w:r>
          </w:p>
        </w:tc>
      </w:tr>
      <w:tr w:rsidR="003F26F0" w14:paraId="0483C123" w14:textId="77777777" w:rsidTr="00110162">
        <w:tc>
          <w:tcPr>
            <w:tcW w:w="2831" w:type="dxa"/>
            <w:tcBorders>
              <w:top w:val="nil"/>
              <w:bottom w:val="single" w:sz="4" w:space="0" w:color="auto"/>
            </w:tcBorders>
          </w:tcPr>
          <w:p w14:paraId="1A836764" w14:textId="4B91F260" w:rsidR="003F26F0" w:rsidRDefault="003F26F0" w:rsidP="00110162">
            <w:pPr>
              <w:spacing w:line="240" w:lineRule="auto"/>
              <w:ind w:firstLine="0"/>
            </w:pPr>
            <w:r>
              <w:t>Mujeres</w:t>
            </w:r>
          </w:p>
        </w:tc>
        <w:tc>
          <w:tcPr>
            <w:tcW w:w="2831" w:type="dxa"/>
            <w:tcBorders>
              <w:top w:val="nil"/>
              <w:bottom w:val="single" w:sz="4" w:space="0" w:color="auto"/>
            </w:tcBorders>
          </w:tcPr>
          <w:p w14:paraId="3E2239F9" w14:textId="08E076CD" w:rsidR="003F26F0" w:rsidRDefault="003F26F0" w:rsidP="00110162">
            <w:pPr>
              <w:spacing w:line="240" w:lineRule="auto"/>
              <w:ind w:firstLine="0"/>
              <w:jc w:val="center"/>
            </w:pPr>
            <w:r>
              <w:t>-.22</w:t>
            </w:r>
          </w:p>
        </w:tc>
        <w:tc>
          <w:tcPr>
            <w:tcW w:w="2832" w:type="dxa"/>
            <w:tcBorders>
              <w:top w:val="nil"/>
              <w:bottom w:val="single" w:sz="4" w:space="0" w:color="auto"/>
            </w:tcBorders>
          </w:tcPr>
          <w:p w14:paraId="4216ECB5" w14:textId="6A17B904" w:rsidR="003F26F0" w:rsidRDefault="003F26F0" w:rsidP="00110162">
            <w:pPr>
              <w:spacing w:line="240" w:lineRule="auto"/>
              <w:ind w:firstLine="0"/>
              <w:jc w:val="center"/>
            </w:pPr>
            <w:r>
              <w:t>.000</w:t>
            </w:r>
          </w:p>
        </w:tc>
      </w:tr>
      <w:tr w:rsidR="003F26F0" w14:paraId="09AD469F" w14:textId="77777777" w:rsidTr="00110162">
        <w:tc>
          <w:tcPr>
            <w:tcW w:w="2831" w:type="dxa"/>
            <w:tcBorders>
              <w:top w:val="single" w:sz="4" w:space="0" w:color="auto"/>
              <w:bottom w:val="nil"/>
            </w:tcBorders>
          </w:tcPr>
          <w:p w14:paraId="4D9505F9" w14:textId="3D2C466A" w:rsidR="003F26F0" w:rsidRDefault="003F26F0" w:rsidP="00110162">
            <w:pPr>
              <w:spacing w:line="240" w:lineRule="auto"/>
              <w:ind w:firstLine="0"/>
            </w:pPr>
            <w:r>
              <w:t>Gran Asunción</w:t>
            </w:r>
          </w:p>
        </w:tc>
        <w:tc>
          <w:tcPr>
            <w:tcW w:w="2831" w:type="dxa"/>
            <w:tcBorders>
              <w:top w:val="single" w:sz="4" w:space="0" w:color="auto"/>
              <w:bottom w:val="nil"/>
            </w:tcBorders>
          </w:tcPr>
          <w:p w14:paraId="69130C61" w14:textId="23AAF55A" w:rsidR="003F26F0" w:rsidRDefault="003F26F0" w:rsidP="00110162">
            <w:pPr>
              <w:spacing w:line="240" w:lineRule="auto"/>
              <w:ind w:firstLine="0"/>
              <w:jc w:val="center"/>
            </w:pPr>
            <w:r>
              <w:t>-.18</w:t>
            </w:r>
          </w:p>
        </w:tc>
        <w:tc>
          <w:tcPr>
            <w:tcW w:w="2832" w:type="dxa"/>
            <w:tcBorders>
              <w:top w:val="single" w:sz="4" w:space="0" w:color="auto"/>
              <w:bottom w:val="nil"/>
            </w:tcBorders>
          </w:tcPr>
          <w:p w14:paraId="1ACEC6CC" w14:textId="6DE8D611" w:rsidR="003F26F0" w:rsidRDefault="003F26F0" w:rsidP="00110162">
            <w:pPr>
              <w:spacing w:line="240" w:lineRule="auto"/>
              <w:ind w:firstLine="0"/>
              <w:jc w:val="center"/>
            </w:pPr>
            <w:r>
              <w:t>.000</w:t>
            </w:r>
          </w:p>
        </w:tc>
      </w:tr>
      <w:tr w:rsidR="003F26F0" w14:paraId="17D275E3" w14:textId="77777777" w:rsidTr="00110162">
        <w:tc>
          <w:tcPr>
            <w:tcW w:w="2831" w:type="dxa"/>
            <w:tcBorders>
              <w:top w:val="nil"/>
            </w:tcBorders>
          </w:tcPr>
          <w:p w14:paraId="577AF250" w14:textId="31CABBA2" w:rsidR="003F26F0" w:rsidRDefault="003F26F0" w:rsidP="00110162">
            <w:pPr>
              <w:spacing w:line="240" w:lineRule="auto"/>
              <w:ind w:firstLine="0"/>
            </w:pPr>
            <w:r>
              <w:t>Interior</w:t>
            </w:r>
          </w:p>
        </w:tc>
        <w:tc>
          <w:tcPr>
            <w:tcW w:w="2831" w:type="dxa"/>
            <w:tcBorders>
              <w:top w:val="nil"/>
            </w:tcBorders>
          </w:tcPr>
          <w:p w14:paraId="22AEDBE1" w14:textId="3E588AC2" w:rsidR="003F26F0" w:rsidRDefault="003F26F0" w:rsidP="00110162">
            <w:pPr>
              <w:spacing w:line="240" w:lineRule="auto"/>
              <w:ind w:firstLine="0"/>
              <w:jc w:val="center"/>
            </w:pPr>
            <w:r>
              <w:t>-.59</w:t>
            </w:r>
          </w:p>
        </w:tc>
        <w:tc>
          <w:tcPr>
            <w:tcW w:w="2832" w:type="dxa"/>
            <w:tcBorders>
              <w:top w:val="nil"/>
            </w:tcBorders>
          </w:tcPr>
          <w:p w14:paraId="29360109" w14:textId="0DA5C4C6" w:rsidR="003F26F0" w:rsidRDefault="003F26F0" w:rsidP="00110162">
            <w:pPr>
              <w:spacing w:line="240" w:lineRule="auto"/>
              <w:ind w:firstLine="0"/>
              <w:jc w:val="center"/>
            </w:pPr>
            <w:r>
              <w:t>.000</w:t>
            </w:r>
          </w:p>
        </w:tc>
      </w:tr>
    </w:tbl>
    <w:p w14:paraId="6D8DC272" w14:textId="2EE31271" w:rsidR="00BD5FBA" w:rsidRPr="009652BE" w:rsidRDefault="00BD5FBA" w:rsidP="00BD5FBA">
      <w:pPr>
        <w:spacing w:after="360" w:line="240" w:lineRule="auto"/>
        <w:ind w:firstLine="0"/>
        <w:rPr>
          <w:sz w:val="16"/>
          <w:szCs w:val="16"/>
        </w:rPr>
      </w:pPr>
      <w:r w:rsidRPr="009652BE">
        <w:rPr>
          <w:i/>
          <w:sz w:val="16"/>
          <w:szCs w:val="16"/>
        </w:rPr>
        <w:t>Nota</w:t>
      </w:r>
      <w:r w:rsidRPr="009652BE">
        <w:rPr>
          <w:sz w:val="16"/>
          <w:szCs w:val="16"/>
        </w:rPr>
        <w:t xml:space="preserve">. </w:t>
      </w:r>
      <w:r>
        <w:rPr>
          <w:sz w:val="16"/>
          <w:szCs w:val="16"/>
        </w:rPr>
        <w:t>Rho: Coeficiente de correlación de rangos de Spearman entre la edad de los participantes y su respuesta al reactivo de actitudes hacia la legalización de la unión civil entre parejas homosexuales.</w:t>
      </w:r>
    </w:p>
    <w:p w14:paraId="2FABF464" w14:textId="00A6155D" w:rsidR="003F26F0" w:rsidRPr="00C94B39" w:rsidRDefault="00AC2441" w:rsidP="00AC2441">
      <w:r>
        <w:t>Esta correlación negativa puede traducirse en un decremento de la aceptación a medida que incrementa la edad, fenómeno que se refleja en la figura 1. La aceptación está más extendida entre los rangos etarios inferiores (</w:t>
      </w:r>
      <w:r w:rsidRPr="00AC2441">
        <w:rPr>
          <w:i/>
        </w:rPr>
        <w:t>n</w:t>
      </w:r>
      <w:r w:rsidRPr="00AC2441">
        <w:rPr>
          <w:vertAlign w:val="subscript"/>
        </w:rPr>
        <w:t xml:space="preserve">16 a 20 </w:t>
      </w:r>
      <w:r w:rsidRPr="00AC2441">
        <w:t xml:space="preserve">= 141; </w:t>
      </w:r>
      <w:r w:rsidRPr="00AC2441">
        <w:rPr>
          <w:i/>
        </w:rPr>
        <w:t>n</w:t>
      </w:r>
      <w:r w:rsidRPr="00AC2441">
        <w:rPr>
          <w:vertAlign w:val="subscript"/>
        </w:rPr>
        <w:t xml:space="preserve">21 a 25 </w:t>
      </w:r>
      <w:r w:rsidRPr="00AC2441">
        <w:t xml:space="preserve">= 352; </w:t>
      </w:r>
      <w:r w:rsidRPr="00AC2441">
        <w:rPr>
          <w:i/>
        </w:rPr>
        <w:t>n</w:t>
      </w:r>
      <w:r w:rsidRPr="00AC2441">
        <w:rPr>
          <w:vertAlign w:val="subscript"/>
        </w:rPr>
        <w:t xml:space="preserve">26 a 30 </w:t>
      </w:r>
      <w:r w:rsidRPr="00AC2441">
        <w:t xml:space="preserve">= 135; </w:t>
      </w:r>
      <w:r w:rsidRPr="00AC2441">
        <w:rPr>
          <w:i/>
        </w:rPr>
        <w:t>n</w:t>
      </w:r>
      <w:r w:rsidRPr="00AC2441">
        <w:rPr>
          <w:vertAlign w:val="subscript"/>
        </w:rPr>
        <w:t xml:space="preserve">31 a 35 </w:t>
      </w:r>
      <w:r w:rsidRPr="00AC2441">
        <w:t>= 53</w:t>
      </w:r>
      <w:r>
        <w:t>); sin embargo, la tendencia cambia en los rangos etarios superiores (</w:t>
      </w:r>
      <w:r w:rsidRPr="00AC2441">
        <w:rPr>
          <w:i/>
        </w:rPr>
        <w:t>n</w:t>
      </w:r>
      <w:r w:rsidRPr="00AC2441">
        <w:rPr>
          <w:vertAlign w:val="subscript"/>
        </w:rPr>
        <w:t xml:space="preserve">36 a 40 </w:t>
      </w:r>
      <w:r w:rsidRPr="00AC2441">
        <w:t xml:space="preserve">= 33; </w:t>
      </w:r>
      <w:r w:rsidRPr="00AC2441">
        <w:rPr>
          <w:i/>
        </w:rPr>
        <w:t>n</w:t>
      </w:r>
      <w:r w:rsidRPr="00AC2441">
        <w:rPr>
          <w:vertAlign w:val="subscript"/>
        </w:rPr>
        <w:t xml:space="preserve">41 a 45 </w:t>
      </w:r>
      <w:r w:rsidRPr="00AC2441">
        <w:t xml:space="preserve">= 24; </w:t>
      </w:r>
      <w:r w:rsidRPr="00AC2441">
        <w:rPr>
          <w:i/>
        </w:rPr>
        <w:t>n</w:t>
      </w:r>
      <w:r w:rsidRPr="00AC2441">
        <w:rPr>
          <w:vertAlign w:val="subscript"/>
        </w:rPr>
        <w:t xml:space="preserve">46 a 50 </w:t>
      </w:r>
      <w:r w:rsidRPr="00AC2441">
        <w:t xml:space="preserve">= 13; </w:t>
      </w:r>
      <w:r w:rsidRPr="00AC2441">
        <w:rPr>
          <w:i/>
        </w:rPr>
        <w:t>n</w:t>
      </w:r>
      <w:r w:rsidRPr="00AC2441">
        <w:rPr>
          <w:vertAlign w:val="subscript"/>
        </w:rPr>
        <w:t xml:space="preserve">51 a 55 </w:t>
      </w:r>
      <w:r w:rsidRPr="00AC2441">
        <w:t xml:space="preserve">= 21; </w:t>
      </w:r>
      <w:r w:rsidRPr="00AC2441">
        <w:rPr>
          <w:i/>
        </w:rPr>
        <w:t>n</w:t>
      </w:r>
      <w:r w:rsidRPr="00AC2441">
        <w:rPr>
          <w:vertAlign w:val="subscript"/>
        </w:rPr>
        <w:t xml:space="preserve">56 a 60 </w:t>
      </w:r>
      <w:r w:rsidRPr="00AC2441">
        <w:t>= 16</w:t>
      </w:r>
      <w:r>
        <w:t>), con la excepción de los participantes de entre 51 y 55 años.</w:t>
      </w:r>
    </w:p>
    <w:p w14:paraId="79E3ACA9" w14:textId="77777777" w:rsidR="002445ED" w:rsidRDefault="006A46B3" w:rsidP="002445ED">
      <w:pPr>
        <w:spacing w:line="240" w:lineRule="auto"/>
        <w:ind w:firstLine="0"/>
        <w:jc w:val="center"/>
        <w:rPr>
          <w:i/>
        </w:rPr>
      </w:pPr>
      <w:r w:rsidRPr="006A46B3">
        <w:rPr>
          <w:noProof/>
        </w:rPr>
        <w:lastRenderedPageBreak/>
        <w:drawing>
          <wp:inline distT="0" distB="0" distL="0" distR="0" wp14:anchorId="2FEF2FD8" wp14:editId="75A4BC69">
            <wp:extent cx="4562475" cy="426708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1874" cy="4275871"/>
                    </a:xfrm>
                    <a:prstGeom prst="rect">
                      <a:avLst/>
                    </a:prstGeom>
                    <a:noFill/>
                    <a:ln>
                      <a:noFill/>
                    </a:ln>
                  </pic:spPr>
                </pic:pic>
              </a:graphicData>
            </a:graphic>
          </wp:inline>
        </w:drawing>
      </w:r>
    </w:p>
    <w:p w14:paraId="5A902E67" w14:textId="4BDD0A5F" w:rsidR="009652BE" w:rsidRDefault="00883C29" w:rsidP="00994717">
      <w:pPr>
        <w:spacing w:line="240" w:lineRule="auto"/>
        <w:ind w:firstLine="0"/>
      </w:pPr>
      <w:r w:rsidRPr="00CA1EEC">
        <w:rPr>
          <w:i/>
        </w:rPr>
        <w:t>Figura 1</w:t>
      </w:r>
      <w:r>
        <w:t>.</w:t>
      </w:r>
      <w:r w:rsidR="00CD6588">
        <w:t xml:space="preserve"> Se distingue el grado de aceptación de la legalización de la unión civil entre parejas homosexuales dividida por rango etario.</w:t>
      </w:r>
    </w:p>
    <w:p w14:paraId="05ED39BE" w14:textId="77777777" w:rsidR="003E364E" w:rsidRDefault="003E364E" w:rsidP="003E364E">
      <w:pPr>
        <w:spacing w:line="240" w:lineRule="auto"/>
        <w:ind w:firstLine="0"/>
        <w:rPr>
          <w:sz w:val="16"/>
          <w:szCs w:val="16"/>
        </w:rPr>
      </w:pPr>
      <w:r w:rsidRPr="009652BE">
        <w:rPr>
          <w:i/>
          <w:sz w:val="16"/>
          <w:szCs w:val="16"/>
        </w:rPr>
        <w:t>Nota</w:t>
      </w:r>
      <w:r w:rsidRPr="009652BE">
        <w:rPr>
          <w:sz w:val="16"/>
          <w:szCs w:val="16"/>
        </w:rPr>
        <w:t xml:space="preserve">. No: “No debe permitirse la unión legal de parejas homosexuales”. </w:t>
      </w:r>
    </w:p>
    <w:p w14:paraId="78CCDA14" w14:textId="77777777" w:rsidR="003E364E" w:rsidRDefault="003E364E" w:rsidP="003E364E">
      <w:pPr>
        <w:spacing w:line="240" w:lineRule="auto"/>
        <w:ind w:firstLine="0"/>
        <w:rPr>
          <w:sz w:val="16"/>
          <w:szCs w:val="16"/>
        </w:rPr>
      </w:pPr>
      <w:r w:rsidRPr="009652BE">
        <w:rPr>
          <w:sz w:val="16"/>
          <w:szCs w:val="16"/>
        </w:rPr>
        <w:t xml:space="preserve">Condicional: “Debe permitirse la unión legal de parejas </w:t>
      </w:r>
      <w:proofErr w:type="gramStart"/>
      <w:r w:rsidRPr="009652BE">
        <w:rPr>
          <w:sz w:val="16"/>
          <w:szCs w:val="16"/>
        </w:rPr>
        <w:t>homosexuales</w:t>
      </w:r>
      <w:proofErr w:type="gramEnd"/>
      <w:r w:rsidRPr="009652BE">
        <w:rPr>
          <w:sz w:val="16"/>
          <w:szCs w:val="16"/>
        </w:rPr>
        <w:t xml:space="preserve"> pero con ciertas restricciones (Por ejemplo, no debe permitírseles adoptar hijos”. </w:t>
      </w:r>
    </w:p>
    <w:p w14:paraId="65D729F9" w14:textId="77777777" w:rsidR="003E364E" w:rsidRPr="009652BE" w:rsidRDefault="003E364E" w:rsidP="003E364E">
      <w:pPr>
        <w:spacing w:after="360" w:line="240" w:lineRule="auto"/>
        <w:ind w:firstLine="0"/>
        <w:rPr>
          <w:sz w:val="16"/>
          <w:szCs w:val="16"/>
        </w:rPr>
      </w:pPr>
      <w:r w:rsidRPr="009652BE">
        <w:rPr>
          <w:sz w:val="16"/>
          <w:szCs w:val="16"/>
        </w:rPr>
        <w:t>Sí: “Debe permitirse la unión legal de parejas homosexuales con plena igualdad de derechos y responsabilidades en comparación con las parejas heterosexuales”.</w:t>
      </w:r>
    </w:p>
    <w:p w14:paraId="56F9CD67" w14:textId="6896271D" w:rsidR="00AC2441" w:rsidRDefault="006F4D0F" w:rsidP="00402EAF">
      <w:r>
        <w:t>Finalmente,</w:t>
      </w:r>
      <w:r w:rsidR="003311DC">
        <w:t xml:space="preserve"> se realizan comparaciones por lugar de residencia y por sexo. La tabla 4 muestra que los pobladores de Gran Asunción tienen una actitud significativamente más abierta hacia la legalización de la unión civil entre parejas homosexuales que los pobladores del interior. Por otro lado, no se encuentran diferencias significativas en cuanto a estas mismas actitudes entre hombres y mujeres.</w:t>
      </w:r>
    </w:p>
    <w:p w14:paraId="7F316D88" w14:textId="305F66DC" w:rsidR="0063311D" w:rsidRPr="0063311D" w:rsidRDefault="0063311D" w:rsidP="00402EAF">
      <w:r w:rsidRPr="0063311D">
        <w:t>Tabla 4</w:t>
      </w:r>
    </w:p>
    <w:p w14:paraId="3F894E71" w14:textId="7E5F0F33" w:rsidR="0063311D" w:rsidRPr="003311DC" w:rsidRDefault="003311DC" w:rsidP="00402EAF">
      <w:pPr>
        <w:rPr>
          <w:i/>
        </w:rPr>
      </w:pPr>
      <w:r w:rsidRPr="003311DC">
        <w:rPr>
          <w:i/>
        </w:rPr>
        <w:t>Actitudes hacia el matrimonio igualitario: diferencias por lugar de residencia y por sexo</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2123"/>
        <w:gridCol w:w="2124"/>
        <w:gridCol w:w="2124"/>
      </w:tblGrid>
      <w:tr w:rsidR="00ED2A99" w:rsidRPr="009652BE" w14:paraId="34089416" w14:textId="77777777" w:rsidTr="00F502F9">
        <w:tc>
          <w:tcPr>
            <w:tcW w:w="2123" w:type="dxa"/>
            <w:tcBorders>
              <w:bottom w:val="single" w:sz="4" w:space="0" w:color="auto"/>
            </w:tcBorders>
          </w:tcPr>
          <w:p w14:paraId="7D420427" w14:textId="2A8602CE" w:rsidR="00ED2A99" w:rsidRPr="009652BE" w:rsidRDefault="00ED2A99" w:rsidP="009652BE">
            <w:pPr>
              <w:spacing w:line="240" w:lineRule="auto"/>
              <w:ind w:firstLine="0"/>
              <w:jc w:val="center"/>
              <w:rPr>
                <w:lang w:val="es-PY"/>
              </w:rPr>
            </w:pPr>
            <w:r w:rsidRPr="009652BE">
              <w:rPr>
                <w:lang w:val="es-PY"/>
              </w:rPr>
              <w:t>Muestra</w:t>
            </w:r>
          </w:p>
        </w:tc>
        <w:tc>
          <w:tcPr>
            <w:tcW w:w="2123" w:type="dxa"/>
            <w:tcBorders>
              <w:bottom w:val="single" w:sz="4" w:space="0" w:color="auto"/>
            </w:tcBorders>
          </w:tcPr>
          <w:p w14:paraId="68A65582" w14:textId="058C561A" w:rsidR="00ED2A99" w:rsidRPr="009652BE" w:rsidRDefault="00ED2A99" w:rsidP="009652BE">
            <w:pPr>
              <w:spacing w:line="240" w:lineRule="auto"/>
              <w:ind w:firstLine="0"/>
              <w:jc w:val="center"/>
              <w:rPr>
                <w:lang w:val="es-PY"/>
              </w:rPr>
            </w:pPr>
            <w:r w:rsidRPr="009652BE">
              <w:rPr>
                <w:lang w:val="es-PY"/>
              </w:rPr>
              <w:t>Rango promedio</w:t>
            </w:r>
          </w:p>
        </w:tc>
        <w:tc>
          <w:tcPr>
            <w:tcW w:w="2124" w:type="dxa"/>
            <w:tcBorders>
              <w:bottom w:val="single" w:sz="4" w:space="0" w:color="auto"/>
            </w:tcBorders>
          </w:tcPr>
          <w:p w14:paraId="502B5A7B" w14:textId="73CFE395" w:rsidR="00ED2A99" w:rsidRPr="009652BE" w:rsidRDefault="00ED2A99" w:rsidP="009652BE">
            <w:pPr>
              <w:spacing w:line="240" w:lineRule="auto"/>
              <w:ind w:firstLine="0"/>
              <w:jc w:val="center"/>
              <w:rPr>
                <w:i/>
                <w:lang w:val="es-PY"/>
              </w:rPr>
            </w:pPr>
            <w:r w:rsidRPr="009652BE">
              <w:rPr>
                <w:i/>
                <w:lang w:val="es-PY"/>
              </w:rPr>
              <w:t>Z</w:t>
            </w:r>
          </w:p>
        </w:tc>
        <w:tc>
          <w:tcPr>
            <w:tcW w:w="2124" w:type="dxa"/>
            <w:tcBorders>
              <w:bottom w:val="single" w:sz="4" w:space="0" w:color="auto"/>
            </w:tcBorders>
          </w:tcPr>
          <w:p w14:paraId="2A3AFCFF" w14:textId="0429507A" w:rsidR="00ED2A99" w:rsidRPr="009652BE" w:rsidRDefault="00EB2163" w:rsidP="009652BE">
            <w:pPr>
              <w:spacing w:line="240" w:lineRule="auto"/>
              <w:ind w:firstLine="0"/>
              <w:jc w:val="center"/>
              <w:rPr>
                <w:i/>
                <w:lang w:val="es-PY"/>
              </w:rPr>
            </w:pPr>
            <w:r w:rsidRPr="009652BE">
              <w:rPr>
                <w:i/>
                <w:lang w:val="es-PY"/>
              </w:rPr>
              <w:t>P</w:t>
            </w:r>
          </w:p>
        </w:tc>
      </w:tr>
      <w:tr w:rsidR="009652BE" w:rsidRPr="009652BE" w14:paraId="046D246F" w14:textId="77777777" w:rsidTr="00F502F9">
        <w:tc>
          <w:tcPr>
            <w:tcW w:w="2123" w:type="dxa"/>
            <w:tcBorders>
              <w:top w:val="single" w:sz="4" w:space="0" w:color="auto"/>
              <w:bottom w:val="nil"/>
            </w:tcBorders>
          </w:tcPr>
          <w:p w14:paraId="4825D47A" w14:textId="1A577133" w:rsidR="009652BE" w:rsidRPr="009652BE" w:rsidRDefault="009652BE" w:rsidP="009652BE">
            <w:pPr>
              <w:spacing w:line="240" w:lineRule="auto"/>
              <w:ind w:firstLine="0"/>
              <w:rPr>
                <w:lang w:val="es-PY"/>
              </w:rPr>
            </w:pPr>
            <w:r w:rsidRPr="009652BE">
              <w:rPr>
                <w:lang w:val="es-PY"/>
              </w:rPr>
              <w:t>Gran Asunción</w:t>
            </w:r>
          </w:p>
        </w:tc>
        <w:tc>
          <w:tcPr>
            <w:tcW w:w="2123" w:type="dxa"/>
            <w:tcBorders>
              <w:top w:val="single" w:sz="4" w:space="0" w:color="auto"/>
              <w:bottom w:val="nil"/>
            </w:tcBorders>
          </w:tcPr>
          <w:p w14:paraId="6E5526E8" w14:textId="4191ECB6" w:rsidR="009652BE" w:rsidRPr="009652BE" w:rsidRDefault="009652BE" w:rsidP="009652BE">
            <w:pPr>
              <w:spacing w:line="240" w:lineRule="auto"/>
              <w:ind w:firstLine="0"/>
              <w:jc w:val="center"/>
              <w:rPr>
                <w:lang w:val="es-PY"/>
              </w:rPr>
            </w:pPr>
            <w:r w:rsidRPr="009652BE">
              <w:rPr>
                <w:lang w:val="es-PY"/>
              </w:rPr>
              <w:t>404.93</w:t>
            </w:r>
          </w:p>
        </w:tc>
        <w:tc>
          <w:tcPr>
            <w:tcW w:w="2124" w:type="dxa"/>
            <w:vMerge w:val="restart"/>
            <w:tcBorders>
              <w:top w:val="single" w:sz="4" w:space="0" w:color="auto"/>
              <w:bottom w:val="nil"/>
            </w:tcBorders>
            <w:vAlign w:val="center"/>
          </w:tcPr>
          <w:p w14:paraId="53C28346" w14:textId="2DBAA66E" w:rsidR="009652BE" w:rsidRPr="009652BE" w:rsidRDefault="009652BE" w:rsidP="009652BE">
            <w:pPr>
              <w:spacing w:line="240" w:lineRule="auto"/>
              <w:ind w:firstLine="0"/>
              <w:jc w:val="center"/>
              <w:rPr>
                <w:lang w:val="es-PY"/>
              </w:rPr>
            </w:pPr>
            <w:r w:rsidRPr="009652BE">
              <w:rPr>
                <w:lang w:val="es-PY"/>
              </w:rPr>
              <w:t>-2.1</w:t>
            </w:r>
          </w:p>
        </w:tc>
        <w:tc>
          <w:tcPr>
            <w:tcW w:w="2124" w:type="dxa"/>
            <w:vMerge w:val="restart"/>
            <w:tcBorders>
              <w:top w:val="single" w:sz="4" w:space="0" w:color="auto"/>
              <w:bottom w:val="nil"/>
            </w:tcBorders>
            <w:vAlign w:val="center"/>
          </w:tcPr>
          <w:p w14:paraId="6832EAF8" w14:textId="0D6AF3F9" w:rsidR="009652BE" w:rsidRPr="009652BE" w:rsidRDefault="009652BE" w:rsidP="009652BE">
            <w:pPr>
              <w:spacing w:line="240" w:lineRule="auto"/>
              <w:ind w:firstLine="0"/>
              <w:jc w:val="center"/>
              <w:rPr>
                <w:lang w:val="es-PY"/>
              </w:rPr>
            </w:pPr>
            <w:r w:rsidRPr="009652BE">
              <w:rPr>
                <w:lang w:val="es-PY"/>
              </w:rPr>
              <w:t>.04</w:t>
            </w:r>
          </w:p>
        </w:tc>
      </w:tr>
      <w:tr w:rsidR="009652BE" w:rsidRPr="009652BE" w14:paraId="58AC5656" w14:textId="77777777" w:rsidTr="00F502F9">
        <w:tc>
          <w:tcPr>
            <w:tcW w:w="2123" w:type="dxa"/>
            <w:tcBorders>
              <w:top w:val="nil"/>
              <w:bottom w:val="single" w:sz="4" w:space="0" w:color="auto"/>
            </w:tcBorders>
          </w:tcPr>
          <w:p w14:paraId="6A1B5EDC" w14:textId="6A1C5854" w:rsidR="009652BE" w:rsidRPr="009652BE" w:rsidRDefault="009652BE" w:rsidP="009652BE">
            <w:pPr>
              <w:spacing w:line="240" w:lineRule="auto"/>
              <w:ind w:firstLine="0"/>
              <w:rPr>
                <w:lang w:val="es-PY"/>
              </w:rPr>
            </w:pPr>
            <w:r w:rsidRPr="009652BE">
              <w:rPr>
                <w:lang w:val="es-PY"/>
              </w:rPr>
              <w:t>Interior</w:t>
            </w:r>
          </w:p>
        </w:tc>
        <w:tc>
          <w:tcPr>
            <w:tcW w:w="2123" w:type="dxa"/>
            <w:tcBorders>
              <w:top w:val="nil"/>
              <w:bottom w:val="single" w:sz="4" w:space="0" w:color="auto"/>
            </w:tcBorders>
          </w:tcPr>
          <w:p w14:paraId="37130207" w14:textId="7B785F16" w:rsidR="009652BE" w:rsidRPr="009652BE" w:rsidRDefault="009652BE" w:rsidP="009652BE">
            <w:pPr>
              <w:spacing w:line="240" w:lineRule="auto"/>
              <w:ind w:firstLine="0"/>
              <w:jc w:val="center"/>
              <w:rPr>
                <w:lang w:val="es-PY"/>
              </w:rPr>
            </w:pPr>
            <w:r w:rsidRPr="009652BE">
              <w:rPr>
                <w:lang w:val="es-PY"/>
              </w:rPr>
              <w:t>345.58</w:t>
            </w:r>
          </w:p>
        </w:tc>
        <w:tc>
          <w:tcPr>
            <w:tcW w:w="2124" w:type="dxa"/>
            <w:vMerge/>
            <w:tcBorders>
              <w:top w:val="nil"/>
              <w:bottom w:val="single" w:sz="4" w:space="0" w:color="auto"/>
            </w:tcBorders>
            <w:vAlign w:val="center"/>
          </w:tcPr>
          <w:p w14:paraId="6F4193CB" w14:textId="77777777" w:rsidR="009652BE" w:rsidRPr="009652BE" w:rsidRDefault="009652BE" w:rsidP="009652BE">
            <w:pPr>
              <w:spacing w:line="240" w:lineRule="auto"/>
              <w:ind w:firstLine="0"/>
              <w:jc w:val="center"/>
              <w:rPr>
                <w:lang w:val="es-PY"/>
              </w:rPr>
            </w:pPr>
          </w:p>
        </w:tc>
        <w:tc>
          <w:tcPr>
            <w:tcW w:w="2124" w:type="dxa"/>
            <w:vMerge/>
            <w:tcBorders>
              <w:top w:val="nil"/>
              <w:bottom w:val="single" w:sz="4" w:space="0" w:color="auto"/>
            </w:tcBorders>
            <w:vAlign w:val="center"/>
          </w:tcPr>
          <w:p w14:paraId="41CFB700" w14:textId="77777777" w:rsidR="009652BE" w:rsidRPr="009652BE" w:rsidRDefault="009652BE" w:rsidP="009652BE">
            <w:pPr>
              <w:spacing w:line="240" w:lineRule="auto"/>
              <w:ind w:firstLine="0"/>
              <w:jc w:val="center"/>
              <w:rPr>
                <w:lang w:val="es-PY"/>
              </w:rPr>
            </w:pPr>
          </w:p>
        </w:tc>
      </w:tr>
      <w:tr w:rsidR="009652BE" w:rsidRPr="009652BE" w14:paraId="6C539E40" w14:textId="77777777" w:rsidTr="00F502F9">
        <w:tc>
          <w:tcPr>
            <w:tcW w:w="2123" w:type="dxa"/>
            <w:tcBorders>
              <w:top w:val="single" w:sz="4" w:space="0" w:color="auto"/>
              <w:bottom w:val="nil"/>
            </w:tcBorders>
          </w:tcPr>
          <w:p w14:paraId="66790B30" w14:textId="277001F8" w:rsidR="009652BE" w:rsidRPr="009652BE" w:rsidRDefault="009652BE" w:rsidP="009652BE">
            <w:pPr>
              <w:spacing w:line="240" w:lineRule="auto"/>
              <w:ind w:firstLine="0"/>
              <w:rPr>
                <w:lang w:val="es-PY"/>
              </w:rPr>
            </w:pPr>
            <w:r w:rsidRPr="009652BE">
              <w:rPr>
                <w:lang w:val="es-PY"/>
              </w:rPr>
              <w:lastRenderedPageBreak/>
              <w:t>Hombres</w:t>
            </w:r>
          </w:p>
        </w:tc>
        <w:tc>
          <w:tcPr>
            <w:tcW w:w="2123" w:type="dxa"/>
            <w:tcBorders>
              <w:top w:val="single" w:sz="4" w:space="0" w:color="auto"/>
              <w:bottom w:val="nil"/>
            </w:tcBorders>
          </w:tcPr>
          <w:p w14:paraId="4CAF2A7F" w14:textId="51CE48FD" w:rsidR="009652BE" w:rsidRPr="009652BE" w:rsidRDefault="009652BE" w:rsidP="009652BE">
            <w:pPr>
              <w:spacing w:line="240" w:lineRule="auto"/>
              <w:ind w:firstLine="0"/>
              <w:jc w:val="center"/>
              <w:rPr>
                <w:lang w:val="es-PY"/>
              </w:rPr>
            </w:pPr>
            <w:r w:rsidRPr="009652BE">
              <w:rPr>
                <w:lang w:val="es-PY"/>
              </w:rPr>
              <w:t>393.20</w:t>
            </w:r>
          </w:p>
        </w:tc>
        <w:tc>
          <w:tcPr>
            <w:tcW w:w="2124" w:type="dxa"/>
            <w:vMerge w:val="restart"/>
            <w:tcBorders>
              <w:top w:val="single" w:sz="4" w:space="0" w:color="auto"/>
              <w:bottom w:val="nil"/>
            </w:tcBorders>
            <w:vAlign w:val="center"/>
          </w:tcPr>
          <w:p w14:paraId="76FE1FDA" w14:textId="696AE985" w:rsidR="009652BE" w:rsidRPr="009652BE" w:rsidRDefault="000233F7" w:rsidP="009652BE">
            <w:pPr>
              <w:spacing w:line="240" w:lineRule="auto"/>
              <w:ind w:firstLine="0"/>
              <w:jc w:val="center"/>
              <w:rPr>
                <w:lang w:val="es-PY"/>
              </w:rPr>
            </w:pPr>
            <w:r>
              <w:rPr>
                <w:lang w:val="es-PY"/>
              </w:rPr>
              <w:t>-.</w:t>
            </w:r>
            <w:r w:rsidR="009652BE" w:rsidRPr="009652BE">
              <w:rPr>
                <w:lang w:val="es-PY"/>
              </w:rPr>
              <w:t>84</w:t>
            </w:r>
          </w:p>
        </w:tc>
        <w:tc>
          <w:tcPr>
            <w:tcW w:w="2124" w:type="dxa"/>
            <w:vMerge w:val="restart"/>
            <w:tcBorders>
              <w:top w:val="single" w:sz="4" w:space="0" w:color="auto"/>
              <w:bottom w:val="nil"/>
            </w:tcBorders>
            <w:vAlign w:val="center"/>
          </w:tcPr>
          <w:p w14:paraId="0E18E69C" w14:textId="6159884A" w:rsidR="009652BE" w:rsidRPr="009652BE" w:rsidRDefault="009652BE" w:rsidP="009652BE">
            <w:pPr>
              <w:spacing w:line="240" w:lineRule="auto"/>
              <w:ind w:firstLine="0"/>
              <w:jc w:val="center"/>
              <w:rPr>
                <w:lang w:val="es-PY"/>
              </w:rPr>
            </w:pPr>
            <w:r w:rsidRPr="009652BE">
              <w:rPr>
                <w:lang w:val="es-PY"/>
              </w:rPr>
              <w:t>.40</w:t>
            </w:r>
          </w:p>
        </w:tc>
      </w:tr>
      <w:tr w:rsidR="009652BE" w:rsidRPr="009652BE" w14:paraId="3F89C332" w14:textId="77777777" w:rsidTr="00F502F9">
        <w:tc>
          <w:tcPr>
            <w:tcW w:w="2123" w:type="dxa"/>
            <w:tcBorders>
              <w:top w:val="nil"/>
            </w:tcBorders>
          </w:tcPr>
          <w:p w14:paraId="5EEAE433" w14:textId="3A7DB061" w:rsidR="009652BE" w:rsidRPr="009652BE" w:rsidRDefault="009652BE" w:rsidP="009652BE">
            <w:pPr>
              <w:spacing w:line="240" w:lineRule="auto"/>
              <w:ind w:firstLine="0"/>
              <w:rPr>
                <w:lang w:val="es-PY"/>
              </w:rPr>
            </w:pPr>
            <w:r w:rsidRPr="009652BE">
              <w:rPr>
                <w:lang w:val="es-PY"/>
              </w:rPr>
              <w:t>Mujeres</w:t>
            </w:r>
          </w:p>
        </w:tc>
        <w:tc>
          <w:tcPr>
            <w:tcW w:w="2123" w:type="dxa"/>
            <w:tcBorders>
              <w:top w:val="nil"/>
            </w:tcBorders>
          </w:tcPr>
          <w:p w14:paraId="7441688B" w14:textId="66EFFA68" w:rsidR="009652BE" w:rsidRPr="009652BE" w:rsidRDefault="009652BE" w:rsidP="009652BE">
            <w:pPr>
              <w:spacing w:line="240" w:lineRule="auto"/>
              <w:ind w:firstLine="0"/>
              <w:jc w:val="center"/>
              <w:rPr>
                <w:lang w:val="es-PY"/>
              </w:rPr>
            </w:pPr>
            <w:r w:rsidRPr="009652BE">
              <w:rPr>
                <w:lang w:val="es-PY"/>
              </w:rPr>
              <w:t>405.47</w:t>
            </w:r>
          </w:p>
        </w:tc>
        <w:tc>
          <w:tcPr>
            <w:tcW w:w="2124" w:type="dxa"/>
            <w:vMerge/>
            <w:tcBorders>
              <w:top w:val="nil"/>
            </w:tcBorders>
          </w:tcPr>
          <w:p w14:paraId="0C548B8B" w14:textId="77777777" w:rsidR="009652BE" w:rsidRPr="009652BE" w:rsidRDefault="009652BE" w:rsidP="009652BE">
            <w:pPr>
              <w:spacing w:line="240" w:lineRule="auto"/>
              <w:ind w:firstLine="0"/>
              <w:jc w:val="center"/>
              <w:rPr>
                <w:lang w:val="es-PY"/>
              </w:rPr>
            </w:pPr>
          </w:p>
        </w:tc>
        <w:tc>
          <w:tcPr>
            <w:tcW w:w="2124" w:type="dxa"/>
            <w:vMerge/>
            <w:tcBorders>
              <w:top w:val="nil"/>
            </w:tcBorders>
          </w:tcPr>
          <w:p w14:paraId="227A0E77" w14:textId="77777777" w:rsidR="009652BE" w:rsidRPr="009652BE" w:rsidRDefault="009652BE" w:rsidP="009652BE">
            <w:pPr>
              <w:spacing w:line="240" w:lineRule="auto"/>
              <w:ind w:firstLine="0"/>
              <w:jc w:val="center"/>
              <w:rPr>
                <w:lang w:val="es-PY"/>
              </w:rPr>
            </w:pPr>
          </w:p>
        </w:tc>
      </w:tr>
    </w:tbl>
    <w:p w14:paraId="6C0DBCD2" w14:textId="318C29C3" w:rsidR="001B1AAD" w:rsidRPr="009652BE" w:rsidRDefault="001B1AAD" w:rsidP="001B1AAD">
      <w:pPr>
        <w:spacing w:after="360" w:line="240" w:lineRule="auto"/>
        <w:ind w:firstLine="0"/>
        <w:rPr>
          <w:sz w:val="16"/>
          <w:szCs w:val="16"/>
        </w:rPr>
      </w:pPr>
      <w:r w:rsidRPr="009652BE">
        <w:rPr>
          <w:i/>
          <w:sz w:val="16"/>
          <w:szCs w:val="16"/>
        </w:rPr>
        <w:t>Nota</w:t>
      </w:r>
      <w:r w:rsidRPr="009652BE">
        <w:rPr>
          <w:sz w:val="16"/>
          <w:szCs w:val="16"/>
        </w:rPr>
        <w:t>.</w:t>
      </w:r>
      <w:r>
        <w:rPr>
          <w:sz w:val="16"/>
          <w:szCs w:val="16"/>
        </w:rPr>
        <w:t xml:space="preserve"> La prueba utilizada fue la U de Mann-Whitney.</w:t>
      </w:r>
    </w:p>
    <w:p w14:paraId="3DE58B4B" w14:textId="45265EC0" w:rsidR="005B6429" w:rsidRPr="001B1AAD" w:rsidRDefault="005B6429" w:rsidP="001B1AAD">
      <w:pPr>
        <w:ind w:firstLine="0"/>
      </w:pPr>
    </w:p>
    <w:p w14:paraId="0CF912C9" w14:textId="55090133" w:rsidR="0039077A" w:rsidRDefault="0039077A" w:rsidP="0039077A">
      <w:pPr>
        <w:pStyle w:val="Ttulo"/>
      </w:pPr>
      <w:r>
        <w:t>Discusión y conclusiones</w:t>
      </w:r>
    </w:p>
    <w:p w14:paraId="557FD8F8" w14:textId="1D524933" w:rsidR="0049749A" w:rsidRDefault="0049749A" w:rsidP="0049749A">
      <w:r>
        <w:t>El presente estudio se enfocó en determinar la relación entre la edad y las actitudes hacia la homosexualidad en población paraguaya. Paralelamente, se tuvieron en cuenta posibles diferencias en cuanto a e</w:t>
      </w:r>
      <w:r w:rsidR="00C7456A">
        <w:t>stas actitudes de acuerdo al</w:t>
      </w:r>
      <w:r>
        <w:t xml:space="preserve"> sexo de los participantes y su lugar de residencia.</w:t>
      </w:r>
    </w:p>
    <w:p w14:paraId="49AD8498" w14:textId="7E80E2EF" w:rsidR="0049749A" w:rsidRDefault="00C3041F" w:rsidP="0049749A">
      <w:r>
        <w:t>El primer hallazg</w:t>
      </w:r>
      <w:r w:rsidR="00CC42F3">
        <w:t>o en llamar la atención es</w:t>
      </w:r>
      <w:r>
        <w:t xml:space="preserve"> la prevalencia de personas que aprueban la legalización de la unión civil entre </w:t>
      </w:r>
      <w:r w:rsidR="00CE1A49">
        <w:t xml:space="preserve">parejas </w:t>
      </w:r>
      <w:r>
        <w:t>homosexuales sin ningún tipo de restricción en comparación a las parejas heterosexuales.</w:t>
      </w:r>
      <w:r w:rsidR="001E5CE1">
        <w:t xml:space="preserve"> Según los datos encontrados, una amplia mayoría de la muestra se encuentra en esta postura, dato que contradice a lo expuesto por </w:t>
      </w:r>
      <w:r w:rsidR="006A2AA0">
        <w:t xml:space="preserve">el </w:t>
      </w:r>
      <w:proofErr w:type="spellStart"/>
      <w:r w:rsidR="006A2AA0">
        <w:t>Pew</w:t>
      </w:r>
      <w:proofErr w:type="spellEnd"/>
      <w:r w:rsidR="006A2AA0">
        <w:t xml:space="preserve"> </w:t>
      </w:r>
      <w:proofErr w:type="spellStart"/>
      <w:r w:rsidR="006A2AA0">
        <w:t>Research</w:t>
      </w:r>
      <w:proofErr w:type="spellEnd"/>
      <w:r w:rsidR="006A2AA0">
        <w:t xml:space="preserve"> Center</w:t>
      </w:r>
      <w:r w:rsidR="00DA6868">
        <w:t xml:space="preserve"> (2014). Esto podría</w:t>
      </w:r>
      <w:r w:rsidR="001E5CE1">
        <w:t xml:space="preserve"> deberse a un defecto del muestreo utilizado en este estudio. Un muestreo probabilístico podría haber hallado resultados semejantes a los del antecedente mencionado. Cabe resaltar que la mayor parte de </w:t>
      </w:r>
      <w:r w:rsidR="00E341B6">
        <w:t>los participantes de este estudio son jóvenes</w:t>
      </w:r>
      <w:r w:rsidR="00DA6868">
        <w:t>, cuentan con estudios universitarios</w:t>
      </w:r>
      <w:r w:rsidR="00E341B6">
        <w:t xml:space="preserve"> y vive</w:t>
      </w:r>
      <w:r w:rsidR="00DA6868">
        <w:t>n en Gran Asunción, lo cual significa</w:t>
      </w:r>
      <w:r w:rsidR="00E341B6">
        <w:t xml:space="preserve"> pertenecen a categorías que presentan mayor </w:t>
      </w:r>
      <w:r w:rsidR="00DA6868">
        <w:t>aceptación de la homosexualidad</w:t>
      </w:r>
      <w:r w:rsidR="00E341B6">
        <w:t>. Probablemente, se observarían resultados semejantes a los de</w:t>
      </w:r>
      <w:r w:rsidR="006A2AA0">
        <w:t>l</w:t>
      </w:r>
      <w:r w:rsidR="00E341B6">
        <w:t xml:space="preserve"> </w:t>
      </w:r>
      <w:proofErr w:type="spellStart"/>
      <w:r w:rsidR="006A2AA0">
        <w:t>Pew</w:t>
      </w:r>
      <w:proofErr w:type="spellEnd"/>
      <w:r w:rsidR="006A2AA0">
        <w:t xml:space="preserve"> </w:t>
      </w:r>
      <w:proofErr w:type="spellStart"/>
      <w:r w:rsidR="006A2AA0">
        <w:t>Research</w:t>
      </w:r>
      <w:proofErr w:type="spellEnd"/>
      <w:r w:rsidR="006A2AA0">
        <w:t xml:space="preserve"> Center </w:t>
      </w:r>
      <w:r w:rsidR="00E341B6">
        <w:t xml:space="preserve">si se emparejara la muestra con más participantes mayores </w:t>
      </w:r>
      <w:r w:rsidR="00AF630F">
        <w:t>de 35 años, del interior de la R</w:t>
      </w:r>
      <w:r w:rsidR="00E341B6">
        <w:t>epública y con niveles educativos medios y bajos.</w:t>
      </w:r>
    </w:p>
    <w:p w14:paraId="2D5457BF" w14:textId="42CB3C41" w:rsidR="00202E68" w:rsidRDefault="00202E68" w:rsidP="0049749A">
      <w:r>
        <w:t>Por otro lado, la relación inversa entre edad y actitudes hacia la homosexualidad acompaña a lo mencionado en antecedentes de otros países (</w:t>
      </w:r>
      <w:r w:rsidR="001043E6">
        <w:t xml:space="preserve">Cruz &amp; </w:t>
      </w:r>
      <w:proofErr w:type="spellStart"/>
      <w:r w:rsidR="001043E6">
        <w:t>Guibert</w:t>
      </w:r>
      <w:proofErr w:type="spellEnd"/>
      <w:r w:rsidR="001043E6">
        <w:t>, 2015; Hart-</w:t>
      </w:r>
      <w:proofErr w:type="spellStart"/>
      <w:r w:rsidR="001043E6">
        <w:t>Brinson</w:t>
      </w:r>
      <w:proofErr w:type="spellEnd"/>
      <w:r w:rsidR="001043E6">
        <w:t>, 2016</w:t>
      </w:r>
      <w:r>
        <w:t>) o mismo en el Paraguay (</w:t>
      </w:r>
      <w:proofErr w:type="spellStart"/>
      <w:r w:rsidR="006A2AA0">
        <w:t>Pew</w:t>
      </w:r>
      <w:proofErr w:type="spellEnd"/>
      <w:r w:rsidR="006A2AA0">
        <w:t xml:space="preserve"> </w:t>
      </w:r>
      <w:proofErr w:type="spellStart"/>
      <w:r w:rsidR="006A2AA0">
        <w:t>Research</w:t>
      </w:r>
      <w:proofErr w:type="spellEnd"/>
      <w:r w:rsidR="006A2AA0">
        <w:t xml:space="preserve"> Center</w:t>
      </w:r>
      <w:r>
        <w:t>, 2014).</w:t>
      </w:r>
      <w:r w:rsidR="00EB2163">
        <w:t xml:space="preserve"> En </w:t>
      </w:r>
      <w:r w:rsidR="00EB2163">
        <w:lastRenderedPageBreak/>
        <w:t xml:space="preserve">particular, se da un cambio en la tendencia de las actitudes hacia la homosexualidad entre los participantes </w:t>
      </w:r>
      <w:r w:rsidR="00FB3EA9">
        <w:t>alrededor de los 35</w:t>
      </w:r>
      <w:r w:rsidR="00EB2163">
        <w:t xml:space="preserve"> años de edad</w:t>
      </w:r>
      <w:r w:rsidR="003F67BA">
        <w:t>.</w:t>
      </w:r>
      <w:r w:rsidR="00112AC8">
        <w:t xml:space="preserve"> Hay varios eventos históricos que podrían dar cuenta de este punto de inflexión, aunque el carácter </w:t>
      </w:r>
      <w:proofErr w:type="spellStart"/>
      <w:r w:rsidR="00112AC8">
        <w:t>expost</w:t>
      </w:r>
      <w:proofErr w:type="spellEnd"/>
      <w:r w:rsidR="00112AC8">
        <w:t>-facto del presente estudio no permite su determinación clara e inequívoca. En primer lugar, los parag</w:t>
      </w:r>
      <w:r w:rsidR="00FB3EA9">
        <w:t>uayos menores de 35</w:t>
      </w:r>
      <w:r w:rsidR="003D3733">
        <w:t xml:space="preserve"> años vivieron sus infancias</w:t>
      </w:r>
      <w:r w:rsidR="00112AC8">
        <w:t xml:space="preserve"> par</w:t>
      </w:r>
      <w:r w:rsidR="003D3733">
        <w:t>cial o totalmente luego del</w:t>
      </w:r>
      <w:r w:rsidR="00112AC8">
        <w:t xml:space="preserve"> inicio de la transición democrática en 1989. </w:t>
      </w:r>
      <w:r w:rsidR="003D3733">
        <w:t>Esto podría relacionarse con</w:t>
      </w:r>
      <w:r w:rsidR="00112AC8">
        <w:t xml:space="preserve"> los datos</w:t>
      </w:r>
      <w:r w:rsidR="003D3733">
        <w:t xml:space="preserve"> de </w:t>
      </w:r>
      <w:proofErr w:type="spellStart"/>
      <w:r w:rsidR="003D3733">
        <w:t>Adamczyk</w:t>
      </w:r>
      <w:proofErr w:type="spellEnd"/>
      <w:r w:rsidR="003D3733">
        <w:t xml:space="preserve"> et al</w:t>
      </w:r>
      <w:r w:rsidR="00FB3EA9">
        <w:t>.</w:t>
      </w:r>
      <w:r w:rsidR="003D3733">
        <w:t xml:space="preserve"> (2017), los cuales</w:t>
      </w:r>
      <w:r w:rsidR="00112AC8">
        <w:t xml:space="preserve"> reflejan actitudes más progresistas entre los países </w:t>
      </w:r>
      <w:r w:rsidR="003D3733">
        <w:t>con más garantías democráticas</w:t>
      </w:r>
      <w:r w:rsidR="00112AC8">
        <w:t>.</w:t>
      </w:r>
      <w:r w:rsidR="00C11A51">
        <w:t xml:space="preserve"> En segundo lugar, este punto de inflexión tiene lugar aproximadamente </w:t>
      </w:r>
      <w:r w:rsidR="00B11CAC">
        <w:t>10 años después d</w:t>
      </w:r>
      <w:r w:rsidR="003D3733">
        <w:t>e que el mismo fenómeno empezara a manifestarse</w:t>
      </w:r>
      <w:r w:rsidR="00B11CAC">
        <w:t xml:space="preserve"> en algunas partes de los Estados Unidos, como lo reporta Hart-</w:t>
      </w:r>
      <w:proofErr w:type="spellStart"/>
      <w:r w:rsidR="00B11CAC">
        <w:t>Brinson</w:t>
      </w:r>
      <w:proofErr w:type="spellEnd"/>
      <w:r w:rsidR="00B11CAC">
        <w:t xml:space="preserve"> (2016). Esto sugiere una influencia del cambio socio-cultural en este último país sobre la percepción que los paraguayos tienen de la homosexualidad. </w:t>
      </w:r>
      <w:r w:rsidR="00B35194">
        <w:t>Los</w:t>
      </w:r>
      <w:r w:rsidR="00B11CAC">
        <w:t xml:space="preserve"> medios masivos de comunicación </w:t>
      </w:r>
      <w:r w:rsidR="00B35194">
        <w:t xml:space="preserve">fueron propuestos </w:t>
      </w:r>
      <w:r w:rsidR="00B11CAC">
        <w:t>como principales impulsores de este cambio en los Estados Unidos, y gran parte de la población paraguaya consume (a veces simultáneamente, a veces con cierto retraso) tanto películas como programas televisivos producidos en dicho país.</w:t>
      </w:r>
      <w:r w:rsidR="00555F17">
        <w:t xml:space="preserve"> Se destaca</w:t>
      </w:r>
      <w:r w:rsidR="000F1F57">
        <w:t xml:space="preserve"> también la popularización de la</w:t>
      </w:r>
      <w:r w:rsidR="00555F17">
        <w:t xml:space="preserve"> internet como medio de difusión de información, la cual tuvo lugar en la década de los noventa.</w:t>
      </w:r>
      <w:r w:rsidR="00A2006E">
        <w:t xml:space="preserve"> En tercer lugar, la progresiva secularización de la población paraguaya (</w:t>
      </w:r>
      <w:proofErr w:type="spellStart"/>
      <w:r w:rsidR="006A2AA0">
        <w:t>Pew</w:t>
      </w:r>
      <w:proofErr w:type="spellEnd"/>
      <w:r w:rsidR="006A2AA0">
        <w:t xml:space="preserve"> </w:t>
      </w:r>
      <w:proofErr w:type="spellStart"/>
      <w:r w:rsidR="006A2AA0">
        <w:t>Research</w:t>
      </w:r>
      <w:proofErr w:type="spellEnd"/>
      <w:r w:rsidR="006A2AA0">
        <w:t xml:space="preserve"> Center</w:t>
      </w:r>
      <w:r w:rsidR="00A2006E">
        <w:t>, 2014) podría explicar, en cierta medida, este cambio e</w:t>
      </w:r>
      <w:r w:rsidR="003D3733">
        <w:t>n las actitudes de la población. F</w:t>
      </w:r>
      <w:r w:rsidR="00A2006E">
        <w:t>enómeno</w:t>
      </w:r>
      <w:r w:rsidR="003D3733">
        <w:t>s semejantes</w:t>
      </w:r>
      <w:r w:rsidR="00A2006E">
        <w:t xml:space="preserve"> se ha</w:t>
      </w:r>
      <w:r w:rsidR="003D3733">
        <w:t>n</w:t>
      </w:r>
      <w:r w:rsidR="00A2006E">
        <w:t xml:space="preserve"> registrado anteriormente en el continente europeo (</w:t>
      </w:r>
      <w:proofErr w:type="spellStart"/>
      <w:r w:rsidR="000F131B">
        <w:t>Gerhards</w:t>
      </w:r>
      <w:proofErr w:type="spellEnd"/>
      <w:r w:rsidR="000F131B">
        <w:t>, 2010</w:t>
      </w:r>
      <w:r w:rsidR="003D3733">
        <w:t>). Además, e</w:t>
      </w:r>
      <w:r w:rsidR="00A2006E">
        <w:t>sta hipótesis se ve apoyad</w:t>
      </w:r>
      <w:r w:rsidR="000F131B">
        <w:t>a por los análisis de</w:t>
      </w:r>
      <w:r w:rsidR="00A2006E">
        <w:t xml:space="preserve"> </w:t>
      </w:r>
      <w:proofErr w:type="spellStart"/>
      <w:r w:rsidR="00A2006E">
        <w:t>Adamczyk</w:t>
      </w:r>
      <w:proofErr w:type="spellEnd"/>
      <w:r w:rsidR="00A2006E">
        <w:t xml:space="preserve"> et al</w:t>
      </w:r>
      <w:r w:rsidR="00732C71">
        <w:t>.</w:t>
      </w:r>
      <w:r w:rsidR="00A2006E">
        <w:t xml:space="preserve"> (2017)</w:t>
      </w:r>
      <w:r w:rsidR="0062039B">
        <w:t>.</w:t>
      </w:r>
      <w:r w:rsidR="009B6F7C">
        <w:t xml:space="preserve"> Por último</w:t>
      </w:r>
      <w:r w:rsidR="00F72660">
        <w:t xml:space="preserve">, el cambio en las actitudes de la población paraguaya también puede deberse a un crecimiento sostenido de la economía a partir de inicios de la década de los noventa (FMI, 2013). Esto se vería apoyado por la </w:t>
      </w:r>
      <w:r w:rsidR="00F72660">
        <w:lastRenderedPageBreak/>
        <w:t xml:space="preserve">explicación propuesta en </w:t>
      </w:r>
      <w:proofErr w:type="spellStart"/>
      <w:r w:rsidR="00F72660">
        <w:t>Adamczyk</w:t>
      </w:r>
      <w:proofErr w:type="spellEnd"/>
      <w:r w:rsidR="00F72660">
        <w:t xml:space="preserve"> et al</w:t>
      </w:r>
      <w:r w:rsidR="00732C71">
        <w:t>.</w:t>
      </w:r>
      <w:r w:rsidR="00F72660">
        <w:t xml:space="preserve"> (2017) del crecimiento económico como factor que promueve actitudes más liberales entre la población.</w:t>
      </w:r>
    </w:p>
    <w:p w14:paraId="68A5B9CF" w14:textId="38DE164B" w:rsidR="00C940C7" w:rsidRDefault="00C940C7" w:rsidP="0049749A">
      <w:r>
        <w:t>Contrario a la tendencia descrita entre la edad y las actitudes a la homosexualidad, el rango etario de 51 a 55 años muestra una aprobación mayoritaria de la legalización de la unión civil entre parejas homosexuales. Esto podría deberse a un sesgo particular de ese segmento de la muestra, pudiendo haber caído la encuesta entre un grupo de personas afines a esa actitud.</w:t>
      </w:r>
    </w:p>
    <w:p w14:paraId="3B0A12FD" w14:textId="1A9943BE" w:rsidR="00C940C7" w:rsidRDefault="00FE3699" w:rsidP="0049749A">
      <w:r>
        <w:t>Otro dato llamativo entre los análisis es el incremento del coeficiente de correlación entre edad y actitudes hacia la homosexualidad entre habitantes del interior del país. Esto indica que cualquiera de los fenómenos que pueda causar el cambio en la tendencia de estas actitudes se da con mayor intensidad en esta área. Sin embargo, concl</w:t>
      </w:r>
      <w:r w:rsidR="004A440E">
        <w:t>usiones más certeras respecto a</w:t>
      </w:r>
      <w:r>
        <w:t xml:space="preserve"> estos datos se ven comprometidas por la composición heterogénea del grupo de habitantes del interior, donde se consideran de igual manera poblaciones de distintos departamentos.</w:t>
      </w:r>
    </w:p>
    <w:p w14:paraId="5780C19E" w14:textId="0AF5BF16" w:rsidR="002B0D08" w:rsidRDefault="00FE3699" w:rsidP="0049749A">
      <w:r>
        <w:t>Por otro lado</w:t>
      </w:r>
      <w:r w:rsidR="002B0D08">
        <w:t>, se encuentra una aceptación más generalizada hacia la homosexualidad entre habitantes de Gran Asunción que entre habitantes del interior de la</w:t>
      </w:r>
      <w:r w:rsidR="00AF630F">
        <w:t xml:space="preserve"> R</w:t>
      </w:r>
      <w:r w:rsidR="002B0D08">
        <w:t>epública. Esto</w:t>
      </w:r>
      <w:r w:rsidR="00EF5E3E">
        <w:t xml:space="preserve"> es consistente con lo hallado po</w:t>
      </w:r>
      <w:r w:rsidR="005B46B9">
        <w:t xml:space="preserve">r </w:t>
      </w:r>
      <w:proofErr w:type="spellStart"/>
      <w:r w:rsidR="005B46B9">
        <w:t>Herek</w:t>
      </w:r>
      <w:proofErr w:type="spellEnd"/>
      <w:r w:rsidR="005B46B9">
        <w:t xml:space="preserve"> y</w:t>
      </w:r>
      <w:r w:rsidR="00EF5E3E">
        <w:t xml:space="preserve"> McLemore (2013) y</w:t>
      </w:r>
      <w:r w:rsidR="002B0D08">
        <w:t xml:space="preserve"> podría explicarse por dos fenómenos ya mencionados: en primer lugar</w:t>
      </w:r>
      <w:r w:rsidR="00CF1B02">
        <w:t>, a la difusión de los medios de comunicación, ya que estos son más accesibles en las grandes urbes que en zonas rurales. En segundo lugar, Gran Asunción es un polo de desarrollo económico dentro del Paraguay, lo que podría apoyar la hipótesis del desarrollo socioeconómico como facilitador del cambio en las actitudes.</w:t>
      </w:r>
    </w:p>
    <w:p w14:paraId="41FE8AAF" w14:textId="09D36CAC" w:rsidR="00062FBD" w:rsidRDefault="00C940C7" w:rsidP="0049749A">
      <w:r>
        <w:t>Por último,</w:t>
      </w:r>
      <w:r w:rsidR="008C6BBB">
        <w:t xml:space="preserve"> acorde a</w:t>
      </w:r>
      <w:r w:rsidR="00D66DD1">
        <w:t xml:space="preserve"> lo reportado por</w:t>
      </w:r>
      <w:r w:rsidR="00C6241A">
        <w:t xml:space="preserve"> </w:t>
      </w:r>
      <w:r w:rsidR="006A2AA0">
        <w:t xml:space="preserve">el </w:t>
      </w:r>
      <w:proofErr w:type="spellStart"/>
      <w:r w:rsidR="006A2AA0">
        <w:t>Pew</w:t>
      </w:r>
      <w:proofErr w:type="spellEnd"/>
      <w:r w:rsidR="006A2AA0">
        <w:t xml:space="preserve"> </w:t>
      </w:r>
      <w:proofErr w:type="spellStart"/>
      <w:r w:rsidR="006A2AA0">
        <w:t>Research</w:t>
      </w:r>
      <w:proofErr w:type="spellEnd"/>
      <w:r w:rsidR="006A2AA0">
        <w:t xml:space="preserve"> Center</w:t>
      </w:r>
      <w:r w:rsidR="00C6241A">
        <w:t xml:space="preserve"> (2014)</w:t>
      </w:r>
      <w:r>
        <w:t xml:space="preserve"> y en contraposición con </w:t>
      </w:r>
      <w:proofErr w:type="spellStart"/>
      <w:r w:rsidR="00552A6D">
        <w:t>Herek</w:t>
      </w:r>
      <w:proofErr w:type="spellEnd"/>
      <w:r w:rsidR="00552A6D">
        <w:t xml:space="preserve"> y</w:t>
      </w:r>
      <w:r w:rsidR="00D66DD1">
        <w:t xml:space="preserve"> McLemore </w:t>
      </w:r>
      <w:r>
        <w:t>(</w:t>
      </w:r>
      <w:r w:rsidR="00D66DD1">
        <w:t>2013</w:t>
      </w:r>
      <w:r>
        <w:t>)</w:t>
      </w:r>
      <w:r w:rsidR="00D66DD1">
        <w:t xml:space="preserve"> y </w:t>
      </w:r>
      <w:proofErr w:type="spellStart"/>
      <w:r w:rsidR="00D66DD1">
        <w:t>Roggemans</w:t>
      </w:r>
      <w:proofErr w:type="spellEnd"/>
      <w:r w:rsidR="00D66DD1">
        <w:t xml:space="preserve"> et al</w:t>
      </w:r>
      <w:r w:rsidR="00732C71">
        <w:t>.</w:t>
      </w:r>
      <w:bookmarkStart w:id="0" w:name="_GoBack"/>
      <w:bookmarkEnd w:id="0"/>
      <w:r w:rsidR="00D66DD1">
        <w:t xml:space="preserve"> (2015)</w:t>
      </w:r>
      <w:r>
        <w:t xml:space="preserve">, no se hallaron diferencias significativas en las actitudes hacia la homosexualidad de </w:t>
      </w:r>
      <w:r>
        <w:lastRenderedPageBreak/>
        <w:t>hombres y mujeres.</w:t>
      </w:r>
      <w:r w:rsidR="00062FBD">
        <w:t xml:space="preserve"> Esto puede deberse a factores culturales; como lo describe </w:t>
      </w:r>
      <w:proofErr w:type="spellStart"/>
      <w:r w:rsidR="00062FBD">
        <w:t>Roggemans</w:t>
      </w:r>
      <w:proofErr w:type="spellEnd"/>
      <w:r w:rsidR="00062FBD">
        <w:t>, las diferencias por sexo en cuanto a las actitudes hacia la homosexualidad pueden verse en sociedades más marcadamente conservadoras y en donde los roles de género adopten caracterizaciones rígidas, tales como las identificadas con la fe musulmana.</w:t>
      </w:r>
      <w:r w:rsidR="00FE3699">
        <w:t xml:space="preserve"> Un estudio más específico de las diferencias y semejanzas en la</w:t>
      </w:r>
      <w:r w:rsidR="000B5C8C">
        <w:t>s</w:t>
      </w:r>
      <w:r w:rsidR="00FE3699">
        <w:t xml:space="preserve"> actitudes hacia la homosexualidad entre los sexos</w:t>
      </w:r>
      <w:r w:rsidR="000B5C8C">
        <w:t xml:space="preserve"> podría dilucidar esta aparente anomalía en la población paraguaya.</w:t>
      </w:r>
    </w:p>
    <w:p w14:paraId="1FB7F2C0" w14:textId="4120D6EB" w:rsidR="005506F8" w:rsidRDefault="000B5C8C" w:rsidP="0049749A">
      <w:r>
        <w:t>E</w:t>
      </w:r>
      <w:r w:rsidR="00024B27">
        <w:t>n conclusión, siempre y cuando se mantenga la tendencia de que los jóvenes presentan actitudes más positivas hacia los homosexuales, es probable que en el futuro la legislación paraguaya pase por cambios orientados a otorgar igualdad de derechos a la comunidad LGBTI+ con respecto a las personas heterosexuales. Este fenómeno respondería</w:t>
      </w:r>
      <w:r w:rsidR="00AA1450">
        <w:t xml:space="preserve"> al recambio generacional de personas mayores con actitudes de rechazo por personas menores con actitudes de aceptación hacia dicha comunidad. Sin embargo, esta predicción se basa en el supuesto de que los paraguayos no van cambiando sus actitudes hacia la homosexualidad por otras más negativas en la medida que van envejeciendo. Un estudio longitudinal podría determinar si este fenómeno tiene lugar. </w:t>
      </w:r>
      <w:r w:rsidR="005506F8">
        <w:t>Por otro lado, no debe pasarse por alto el cambio</w:t>
      </w:r>
      <w:r w:rsidR="00544664">
        <w:t xml:space="preserve"> </w:t>
      </w:r>
      <w:proofErr w:type="spellStart"/>
      <w:r w:rsidR="00544664">
        <w:t>intrageneracional</w:t>
      </w:r>
      <w:proofErr w:type="spellEnd"/>
      <w:r w:rsidR="00544664">
        <w:t xml:space="preserve"> de actitudes </w:t>
      </w:r>
      <w:r w:rsidR="005506F8">
        <w:t xml:space="preserve">que se señala en Cruz &amp; </w:t>
      </w:r>
      <w:proofErr w:type="spellStart"/>
      <w:r w:rsidR="005506F8">
        <w:t>Guibert</w:t>
      </w:r>
      <w:proofErr w:type="spellEnd"/>
      <w:r w:rsidR="005506F8">
        <w:t xml:space="preserve"> (2015). Algunas personas mayores de 35 años también podrían estar cuestionando sus actitudes hacia la homosexualidad, ya sea porque estas actitudes dejan de ser socialmente funcionales en un entorno cada vez más progresista o porque generan un conflicto genuino con otros valores ampliamente aceptados como la igualdad, la justicia social y el buen trato (</w:t>
      </w:r>
      <w:proofErr w:type="spellStart"/>
      <w:r w:rsidR="005506F8">
        <w:t>Herek</w:t>
      </w:r>
      <w:proofErr w:type="spellEnd"/>
      <w:r w:rsidR="005506F8">
        <w:t xml:space="preserve"> &amp;McLemore, 2012).</w:t>
      </w:r>
    </w:p>
    <w:p w14:paraId="75462AC8" w14:textId="2EF165D9" w:rsidR="00024B27" w:rsidRDefault="005506F8" w:rsidP="0049749A">
      <w:r>
        <w:t>Una</w:t>
      </w:r>
      <w:r w:rsidR="00AA1450">
        <w:t xml:space="preserve"> limitación del presente estudio radica en el tipo de muestreo y la consecuente sobre-estimación de las actitudes positivas hacia la homosexualidad en población paraguaya. Para obtener un panorama más fiable, se sugiere que estudios futuros </w:t>
      </w:r>
      <w:r w:rsidR="00AA1450">
        <w:lastRenderedPageBreak/>
        <w:t>utilicen un muestreo por conglomerados, teniendo en cuenta distintos lugares de residencia</w:t>
      </w:r>
      <w:r w:rsidR="00AF4608">
        <w:t>, rangos etarios</w:t>
      </w:r>
      <w:r w:rsidR="00AA1450">
        <w:t xml:space="preserve"> y estratos socio-económicos.</w:t>
      </w:r>
      <w:r w:rsidR="003A786F">
        <w:t xml:space="preserve"> Por último, el presente estudio busca reflejar los mecanismos sociales a través de los cuales pueden darse cambios colectivos en las actitudes; sin embargo, mucho queda por decir sobre los mecanismos psicológicos de adquisición y modificación de actitudes en el individuo. Se recomienda asumir dicha temática en futuras investigaciones.</w:t>
      </w:r>
    </w:p>
    <w:p w14:paraId="5A825104" w14:textId="7245F699" w:rsidR="003A786F" w:rsidRDefault="003A786F" w:rsidP="003A786F">
      <w:pPr>
        <w:pStyle w:val="Ttulo1"/>
      </w:pPr>
      <w:r>
        <w:t>Conflicto de intereses</w:t>
      </w:r>
    </w:p>
    <w:p w14:paraId="0112329D" w14:textId="3FE27301" w:rsidR="003A786F" w:rsidRPr="003A786F" w:rsidRDefault="003A786F" w:rsidP="003A786F">
      <w:r>
        <w:t>El autor reporta que no existió conflicto de intereses en la elaboración de la presente investigación.</w:t>
      </w:r>
    </w:p>
    <w:p w14:paraId="39A48D66" w14:textId="5D83F6D3" w:rsidR="0062308C" w:rsidRPr="00DB72D8" w:rsidRDefault="00C32384" w:rsidP="00C32384">
      <w:pPr>
        <w:pStyle w:val="Ttulo"/>
        <w:rPr>
          <w:lang w:val="en-US"/>
        </w:rPr>
      </w:pPr>
      <w:proofErr w:type="spellStart"/>
      <w:r w:rsidRPr="00DB72D8">
        <w:rPr>
          <w:lang w:val="en-US"/>
        </w:rPr>
        <w:t>Referencias</w:t>
      </w:r>
      <w:proofErr w:type="spellEnd"/>
    </w:p>
    <w:p w14:paraId="57C24A67" w14:textId="7AC0FC3B" w:rsidR="00456D31" w:rsidRPr="00FE61BF" w:rsidRDefault="00C32384" w:rsidP="00456D31">
      <w:pPr>
        <w:ind w:left="567" w:hanging="567"/>
        <w:rPr>
          <w:shd w:val="clear" w:color="auto" w:fill="FFFFFF"/>
          <w:lang w:val="pt-BR"/>
        </w:rPr>
      </w:pPr>
      <w:proofErr w:type="spellStart"/>
      <w:r w:rsidRPr="0049749A">
        <w:rPr>
          <w:shd w:val="clear" w:color="auto" w:fill="FFFFFF"/>
          <w:lang w:val="en-US"/>
        </w:rPr>
        <w:t>Adamczyk</w:t>
      </w:r>
      <w:proofErr w:type="spellEnd"/>
      <w:r w:rsidRPr="0049749A">
        <w:rPr>
          <w:shd w:val="clear" w:color="auto" w:fill="FFFFFF"/>
          <w:lang w:val="en-US"/>
        </w:rPr>
        <w:t>, A., Kim, C., &amp;</w:t>
      </w:r>
      <w:r w:rsidR="00344C73">
        <w:rPr>
          <w:shd w:val="clear" w:color="auto" w:fill="FFFFFF"/>
          <w:lang w:val="en-US"/>
        </w:rPr>
        <w:t xml:space="preserve"> Schmuhl, M. (2017). Newspaper p</w:t>
      </w:r>
      <w:r w:rsidRPr="0049749A">
        <w:rPr>
          <w:shd w:val="clear" w:color="auto" w:fill="FFFFFF"/>
          <w:lang w:val="en-US"/>
        </w:rPr>
        <w:t xml:space="preserve">resentations of </w:t>
      </w:r>
      <w:r w:rsidR="00344C73">
        <w:rPr>
          <w:shd w:val="clear" w:color="auto" w:fill="FFFFFF"/>
          <w:lang w:val="en-US"/>
        </w:rPr>
        <w:t>h</w:t>
      </w:r>
      <w:r w:rsidRPr="0049749A">
        <w:rPr>
          <w:shd w:val="clear" w:color="auto" w:fill="FFFFFF"/>
          <w:lang w:val="en-US"/>
        </w:rPr>
        <w:t>omosexuality ac</w:t>
      </w:r>
      <w:r w:rsidR="00344C73">
        <w:rPr>
          <w:shd w:val="clear" w:color="auto" w:fill="FFFFFF"/>
          <w:lang w:val="en-US"/>
        </w:rPr>
        <w:t>ross n</w:t>
      </w:r>
      <w:r w:rsidRPr="00C32384">
        <w:rPr>
          <w:shd w:val="clear" w:color="auto" w:fill="FFFFFF"/>
          <w:lang w:val="en-US"/>
        </w:rPr>
        <w:t>at</w:t>
      </w:r>
      <w:r w:rsidR="00344C73">
        <w:rPr>
          <w:shd w:val="clear" w:color="auto" w:fill="FFFFFF"/>
          <w:lang w:val="en-US"/>
        </w:rPr>
        <w:t>ions: examining differences by religion, economic development, and d</w:t>
      </w:r>
      <w:r w:rsidRPr="00C32384">
        <w:rPr>
          <w:shd w:val="clear" w:color="auto" w:fill="FFFFFF"/>
          <w:lang w:val="en-US"/>
        </w:rPr>
        <w:t>emocracy. </w:t>
      </w:r>
      <w:proofErr w:type="spellStart"/>
      <w:proofErr w:type="gramStart"/>
      <w:r w:rsidRPr="00FE61BF">
        <w:rPr>
          <w:i/>
          <w:iCs/>
          <w:shd w:val="clear" w:color="auto" w:fill="FFFFFF"/>
          <w:lang w:val="pt-BR"/>
        </w:rPr>
        <w:t>Sociological</w:t>
      </w:r>
      <w:proofErr w:type="spellEnd"/>
      <w:r w:rsidRPr="00FE61BF">
        <w:rPr>
          <w:i/>
          <w:iCs/>
          <w:shd w:val="clear" w:color="auto" w:fill="FFFFFF"/>
          <w:lang w:val="pt-BR"/>
        </w:rPr>
        <w:t xml:space="preserve"> Perspectives</w:t>
      </w:r>
      <w:proofErr w:type="gramEnd"/>
      <w:r w:rsidR="00DB38AF" w:rsidRPr="00FE61BF">
        <w:rPr>
          <w:shd w:val="clear" w:color="auto" w:fill="FFFFFF"/>
          <w:lang w:val="pt-BR"/>
        </w:rPr>
        <w:t xml:space="preserve">. </w:t>
      </w:r>
      <w:r w:rsidR="00456D31" w:rsidRPr="00FE61BF">
        <w:rPr>
          <w:shd w:val="clear" w:color="auto" w:fill="FFFFFF"/>
          <w:lang w:val="pt-BR"/>
        </w:rPr>
        <w:t xml:space="preserve"> </w:t>
      </w:r>
      <w:r w:rsidR="00DB38AF" w:rsidRPr="00FE61BF">
        <w:rPr>
          <w:shd w:val="clear" w:color="auto" w:fill="FFFFFF"/>
          <w:lang w:val="pt-BR"/>
        </w:rPr>
        <w:t>DOI: https://doi.org/10.1177/0731121417724563</w:t>
      </w:r>
    </w:p>
    <w:p w14:paraId="7D00B9E5" w14:textId="2E460997" w:rsidR="004F5E35" w:rsidRPr="00732C71" w:rsidRDefault="004F5E35" w:rsidP="00C32384">
      <w:pPr>
        <w:ind w:left="567" w:hanging="567"/>
        <w:rPr>
          <w:rFonts w:cs="Times New Roman"/>
          <w:szCs w:val="24"/>
          <w:shd w:val="clear" w:color="auto" w:fill="FFFFFF"/>
        </w:rPr>
      </w:pPr>
      <w:proofErr w:type="spellStart"/>
      <w:r w:rsidRPr="00FE61BF">
        <w:rPr>
          <w:rFonts w:cs="Times New Roman"/>
          <w:szCs w:val="24"/>
          <w:shd w:val="clear" w:color="auto" w:fill="FFFFFF"/>
          <w:lang w:val="pt-BR"/>
        </w:rPr>
        <w:t>Baltar</w:t>
      </w:r>
      <w:proofErr w:type="spellEnd"/>
      <w:r w:rsidRPr="00FE61BF">
        <w:rPr>
          <w:rFonts w:cs="Times New Roman"/>
          <w:szCs w:val="24"/>
          <w:shd w:val="clear" w:color="auto" w:fill="FFFFFF"/>
          <w:lang w:val="pt-BR"/>
        </w:rPr>
        <w:t xml:space="preserve">, F., &amp; </w:t>
      </w:r>
      <w:proofErr w:type="spellStart"/>
      <w:r w:rsidRPr="00FE61BF">
        <w:rPr>
          <w:rFonts w:cs="Times New Roman"/>
          <w:szCs w:val="24"/>
          <w:shd w:val="clear" w:color="auto" w:fill="FFFFFF"/>
          <w:lang w:val="pt-BR"/>
        </w:rPr>
        <w:t>Gorjup</w:t>
      </w:r>
      <w:proofErr w:type="spellEnd"/>
      <w:r w:rsidRPr="00FE61BF">
        <w:rPr>
          <w:rFonts w:cs="Times New Roman"/>
          <w:szCs w:val="24"/>
          <w:shd w:val="clear" w:color="auto" w:fill="FFFFFF"/>
          <w:lang w:val="pt-BR"/>
        </w:rPr>
        <w:t xml:space="preserve">, M. T. (2012). </w:t>
      </w:r>
      <w:r w:rsidRPr="004F5E35">
        <w:rPr>
          <w:rFonts w:cs="Times New Roman"/>
          <w:szCs w:val="24"/>
          <w:shd w:val="clear" w:color="auto" w:fill="FFFFFF"/>
        </w:rPr>
        <w:t>Muestreo mixto online: una aplicación en poblaciones ocultas. </w:t>
      </w:r>
      <w:r w:rsidRPr="00732C71">
        <w:rPr>
          <w:rFonts w:cs="Times New Roman"/>
          <w:i/>
          <w:iCs/>
          <w:szCs w:val="24"/>
          <w:shd w:val="clear" w:color="auto" w:fill="FFFFFF"/>
        </w:rPr>
        <w:t>Intangible Capital</w:t>
      </w:r>
      <w:r w:rsidRPr="00732C71">
        <w:rPr>
          <w:rFonts w:cs="Times New Roman"/>
          <w:szCs w:val="24"/>
          <w:shd w:val="clear" w:color="auto" w:fill="FFFFFF"/>
        </w:rPr>
        <w:t>, </w:t>
      </w:r>
      <w:r w:rsidRPr="00732C71">
        <w:rPr>
          <w:rFonts w:cs="Times New Roman"/>
          <w:i/>
          <w:iCs/>
          <w:szCs w:val="24"/>
          <w:shd w:val="clear" w:color="auto" w:fill="FFFFFF"/>
        </w:rPr>
        <w:t>8</w:t>
      </w:r>
      <w:r w:rsidRPr="00732C71">
        <w:rPr>
          <w:rFonts w:cs="Times New Roman"/>
          <w:szCs w:val="24"/>
          <w:shd w:val="clear" w:color="auto" w:fill="FFFFFF"/>
        </w:rPr>
        <w:t>(1)</w:t>
      </w:r>
      <w:r w:rsidR="00DB38AF" w:rsidRPr="00732C71">
        <w:rPr>
          <w:rFonts w:cs="Times New Roman"/>
          <w:szCs w:val="24"/>
          <w:shd w:val="clear" w:color="auto" w:fill="FFFFFF"/>
        </w:rPr>
        <w:t xml:space="preserve"> 123-149</w:t>
      </w:r>
      <w:r w:rsidRPr="00732C71">
        <w:rPr>
          <w:rFonts w:cs="Times New Roman"/>
          <w:szCs w:val="24"/>
          <w:shd w:val="clear" w:color="auto" w:fill="FFFFFF"/>
        </w:rPr>
        <w:t>.</w:t>
      </w:r>
      <w:r w:rsidR="0096165E" w:rsidRPr="00732C71">
        <w:rPr>
          <w:rFonts w:cs="Times New Roman"/>
          <w:szCs w:val="24"/>
          <w:shd w:val="clear" w:color="auto" w:fill="FFFFFF"/>
        </w:rPr>
        <w:t xml:space="preserve"> DOI: http://dx.doi.org/10.3926/ic.294</w:t>
      </w:r>
    </w:p>
    <w:p w14:paraId="3BA8F046" w14:textId="0C5BB3B1" w:rsidR="004548A7" w:rsidRDefault="004548A7" w:rsidP="00784A37">
      <w:pPr>
        <w:autoSpaceDE w:val="0"/>
        <w:autoSpaceDN w:val="0"/>
        <w:adjustRightInd w:val="0"/>
        <w:ind w:left="567" w:hanging="567"/>
        <w:mirrorIndents w:val="0"/>
        <w:rPr>
          <w:rFonts w:cs="Times New Roman"/>
          <w:szCs w:val="24"/>
          <w:shd w:val="clear" w:color="auto" w:fill="FFFFFF"/>
        </w:rPr>
      </w:pPr>
      <w:r w:rsidRPr="004548A7">
        <w:rPr>
          <w:rFonts w:cs="Times New Roman"/>
          <w:szCs w:val="24"/>
          <w:shd w:val="clear" w:color="auto" w:fill="FFFFFF"/>
        </w:rPr>
        <w:t xml:space="preserve">Cruz, M., &amp; </w:t>
      </w:r>
      <w:proofErr w:type="spellStart"/>
      <w:r w:rsidRPr="004548A7">
        <w:rPr>
          <w:rFonts w:cs="Times New Roman"/>
          <w:szCs w:val="24"/>
          <w:shd w:val="clear" w:color="auto" w:fill="FFFFFF"/>
        </w:rPr>
        <w:t>Guibert</w:t>
      </w:r>
      <w:proofErr w:type="spellEnd"/>
      <w:r w:rsidRPr="004548A7">
        <w:rPr>
          <w:rFonts w:cs="Times New Roman"/>
          <w:szCs w:val="24"/>
          <w:shd w:val="clear" w:color="auto" w:fill="FFFFFF"/>
        </w:rPr>
        <w:t>, Y. (2015). Actitudes hacia la homosexualidad en el Perú.</w:t>
      </w:r>
      <w:r w:rsidR="009C7F8C">
        <w:rPr>
          <w:rFonts w:cs="Times New Roman"/>
          <w:szCs w:val="24"/>
          <w:shd w:val="clear" w:color="auto" w:fill="FFFFFF"/>
        </w:rPr>
        <w:t xml:space="preserve"> </w:t>
      </w:r>
      <w:hyperlink r:id="rId7" w:history="1">
        <w:r w:rsidR="00CF4166" w:rsidRPr="0025025C">
          <w:rPr>
            <w:rStyle w:val="Hipervnculo"/>
            <w:rFonts w:cs="Times New Roman"/>
            <w:szCs w:val="24"/>
            <w:shd w:val="clear" w:color="auto" w:fill="FFFFFF"/>
          </w:rPr>
          <w:t>http://repositorio.pucp.edu.pe/index/bitstream/handle/123456789/47040/Cuadernos%20de%20investigaci%C3%B3n%2011.pdf?sequence=4&amp;isAllowed=y</w:t>
        </w:r>
      </w:hyperlink>
      <w:r w:rsidR="00CF4166">
        <w:rPr>
          <w:rFonts w:cs="Times New Roman"/>
          <w:szCs w:val="24"/>
          <w:shd w:val="clear" w:color="auto" w:fill="FFFFFF"/>
        </w:rPr>
        <w:t xml:space="preserve"> Recuperado en 16 de octubre de 2017.</w:t>
      </w:r>
    </w:p>
    <w:p w14:paraId="5C6EE68D" w14:textId="388E57F8" w:rsidR="00E22C74" w:rsidRPr="00E22C74" w:rsidRDefault="00E22C74" w:rsidP="00784A37">
      <w:pPr>
        <w:autoSpaceDE w:val="0"/>
        <w:autoSpaceDN w:val="0"/>
        <w:adjustRightInd w:val="0"/>
        <w:ind w:left="567" w:hanging="567"/>
        <w:mirrorIndents w:val="0"/>
        <w:rPr>
          <w:rFonts w:cs="Times New Roman"/>
          <w:szCs w:val="24"/>
          <w:shd w:val="clear" w:color="auto" w:fill="FFFFFF"/>
        </w:rPr>
      </w:pPr>
      <w:r w:rsidRPr="00E22C74">
        <w:rPr>
          <w:rFonts w:cs="Times New Roman"/>
          <w:szCs w:val="24"/>
          <w:shd w:val="clear" w:color="auto" w:fill="FFFFFF"/>
        </w:rPr>
        <w:t>Dirección General de Estadí</w:t>
      </w:r>
      <w:r w:rsidR="008E0C90">
        <w:rPr>
          <w:rFonts w:cs="Times New Roman"/>
          <w:szCs w:val="24"/>
          <w:shd w:val="clear" w:color="auto" w:fill="FFFFFF"/>
        </w:rPr>
        <w:t>stica. Encuestas y Censos. (2015</w:t>
      </w:r>
      <w:r w:rsidRPr="00E22C74">
        <w:rPr>
          <w:rFonts w:cs="Times New Roman"/>
          <w:szCs w:val="24"/>
          <w:shd w:val="clear" w:color="auto" w:fill="FFFFFF"/>
        </w:rPr>
        <w:t>). Principales resultados de pobreza</w:t>
      </w:r>
      <w:r w:rsidR="008E0C90">
        <w:rPr>
          <w:rFonts w:cs="Times New Roman"/>
          <w:szCs w:val="24"/>
          <w:shd w:val="clear" w:color="auto" w:fill="FFFFFF"/>
        </w:rPr>
        <w:t xml:space="preserve"> y distribución del ingreso 2015</w:t>
      </w:r>
      <w:r w:rsidRPr="00E22C74">
        <w:rPr>
          <w:rFonts w:cs="Times New Roman"/>
          <w:szCs w:val="24"/>
          <w:shd w:val="clear" w:color="auto" w:fill="FFFFFF"/>
        </w:rPr>
        <w:t>/Internet.</w:t>
      </w:r>
      <w:r w:rsidR="008E0C90">
        <w:rPr>
          <w:rFonts w:cs="Times New Roman"/>
          <w:szCs w:val="24"/>
          <w:shd w:val="clear" w:color="auto" w:fill="FFFFFF"/>
        </w:rPr>
        <w:t xml:space="preserve"> </w:t>
      </w:r>
      <w:hyperlink r:id="rId8" w:history="1">
        <w:r w:rsidR="008950BA" w:rsidRPr="0025025C">
          <w:rPr>
            <w:rStyle w:val="Hipervnculo"/>
            <w:rFonts w:cs="Times New Roman"/>
            <w:szCs w:val="24"/>
            <w:shd w:val="clear" w:color="auto" w:fill="FFFFFF"/>
          </w:rPr>
          <w:t>http://www.dgeec.gov.py/</w:t>
        </w:r>
      </w:hyperlink>
      <w:r w:rsidR="008950BA">
        <w:rPr>
          <w:rFonts w:cs="Times New Roman"/>
          <w:szCs w:val="24"/>
          <w:shd w:val="clear" w:color="auto" w:fill="FFFFFF"/>
        </w:rPr>
        <w:t xml:space="preserve"> </w:t>
      </w:r>
      <w:r w:rsidR="008E0C90">
        <w:rPr>
          <w:rFonts w:cs="Times New Roman"/>
          <w:szCs w:val="24"/>
          <w:shd w:val="clear" w:color="auto" w:fill="FFFFFF"/>
        </w:rPr>
        <w:t>Recuperado el 02 de noviembre de 2017.</w:t>
      </w:r>
    </w:p>
    <w:p w14:paraId="52F63516" w14:textId="197E2F6F" w:rsidR="00A568AD" w:rsidRPr="00AF5870" w:rsidRDefault="00A568AD" w:rsidP="00784A37">
      <w:pPr>
        <w:autoSpaceDE w:val="0"/>
        <w:autoSpaceDN w:val="0"/>
        <w:adjustRightInd w:val="0"/>
        <w:ind w:left="567" w:hanging="567"/>
        <w:mirrorIndents w:val="0"/>
        <w:rPr>
          <w:rFonts w:cs="Times New Roman"/>
          <w:szCs w:val="24"/>
          <w:lang w:val="en-US"/>
        </w:rPr>
      </w:pPr>
      <w:r w:rsidRPr="00FE61BF">
        <w:rPr>
          <w:rFonts w:cs="Times New Roman"/>
          <w:szCs w:val="24"/>
          <w:shd w:val="clear" w:color="auto" w:fill="FFFFFF"/>
          <w:lang w:val="en-US"/>
        </w:rPr>
        <w:lastRenderedPageBreak/>
        <w:t xml:space="preserve">Gerhards, J. (2010). </w:t>
      </w:r>
      <w:r w:rsidRPr="00A568AD">
        <w:rPr>
          <w:rFonts w:cs="Times New Roman"/>
          <w:szCs w:val="24"/>
          <w:shd w:val="clear" w:color="auto" w:fill="FFFFFF"/>
          <w:lang w:val="en-US"/>
        </w:rPr>
        <w:t>Non-discrimination towards homosexuality: The European Union’s policy and citizens’ attitudes towards homosexuality in 27 European countries. </w:t>
      </w:r>
      <w:r w:rsidRPr="00AF5870">
        <w:rPr>
          <w:rFonts w:cs="Times New Roman"/>
          <w:i/>
          <w:iCs/>
          <w:szCs w:val="24"/>
          <w:shd w:val="clear" w:color="auto" w:fill="FFFFFF"/>
          <w:lang w:val="en-US"/>
        </w:rPr>
        <w:t>International Sociology</w:t>
      </w:r>
      <w:r w:rsidRPr="00AF5870">
        <w:rPr>
          <w:rFonts w:cs="Times New Roman"/>
          <w:szCs w:val="24"/>
          <w:shd w:val="clear" w:color="auto" w:fill="FFFFFF"/>
          <w:lang w:val="en-US"/>
        </w:rPr>
        <w:t>, </w:t>
      </w:r>
      <w:r w:rsidRPr="00AF5870">
        <w:rPr>
          <w:rFonts w:cs="Times New Roman"/>
          <w:i/>
          <w:iCs/>
          <w:szCs w:val="24"/>
          <w:shd w:val="clear" w:color="auto" w:fill="FFFFFF"/>
          <w:lang w:val="en-US"/>
        </w:rPr>
        <w:t>25</w:t>
      </w:r>
      <w:r w:rsidRPr="00AF5870">
        <w:rPr>
          <w:rFonts w:cs="Times New Roman"/>
          <w:szCs w:val="24"/>
          <w:shd w:val="clear" w:color="auto" w:fill="FFFFFF"/>
          <w:lang w:val="en-US"/>
        </w:rPr>
        <w:t>(1), 5-28.</w:t>
      </w:r>
      <w:r w:rsidR="00E2251C">
        <w:rPr>
          <w:rFonts w:cs="Times New Roman"/>
          <w:szCs w:val="24"/>
          <w:shd w:val="clear" w:color="auto" w:fill="FFFFFF"/>
          <w:lang w:val="en-US"/>
        </w:rPr>
        <w:t xml:space="preserve"> DOI: </w:t>
      </w:r>
      <w:r w:rsidR="00E2251C" w:rsidRPr="00E2251C">
        <w:rPr>
          <w:rFonts w:cs="Times New Roman"/>
          <w:szCs w:val="24"/>
          <w:shd w:val="clear" w:color="auto" w:fill="FFFFFF"/>
          <w:lang w:val="en-US"/>
        </w:rPr>
        <w:t>https://doi.org/10.1177/0268580909346704</w:t>
      </w:r>
    </w:p>
    <w:p w14:paraId="0C634D8D" w14:textId="1C9CC928" w:rsidR="0012188E" w:rsidRPr="00FE61BF" w:rsidRDefault="007372B2" w:rsidP="00C32384">
      <w:pPr>
        <w:ind w:left="567" w:hanging="567"/>
        <w:rPr>
          <w:rFonts w:cs="Times New Roman"/>
          <w:szCs w:val="24"/>
          <w:shd w:val="clear" w:color="auto" w:fill="FFFFFF"/>
          <w:lang w:val="pt-BR"/>
        </w:rPr>
      </w:pPr>
      <w:r>
        <w:rPr>
          <w:rFonts w:cs="Times New Roman"/>
          <w:szCs w:val="24"/>
          <w:shd w:val="clear" w:color="auto" w:fill="FFFFFF"/>
          <w:lang w:val="en-US"/>
        </w:rPr>
        <w:t>Hart-Brinson, P. (2016). The social imagination of homosexuality and the rise of same-sex m</w:t>
      </w:r>
      <w:r w:rsidR="0012188E" w:rsidRPr="0012188E">
        <w:rPr>
          <w:rFonts w:cs="Times New Roman"/>
          <w:szCs w:val="24"/>
          <w:shd w:val="clear" w:color="auto" w:fill="FFFFFF"/>
          <w:lang w:val="en-US"/>
        </w:rPr>
        <w:t>arriage in the United States. </w:t>
      </w:r>
      <w:proofErr w:type="spellStart"/>
      <w:r w:rsidR="0012188E" w:rsidRPr="00FE61BF">
        <w:rPr>
          <w:rFonts w:cs="Times New Roman"/>
          <w:i/>
          <w:iCs/>
          <w:szCs w:val="24"/>
          <w:shd w:val="clear" w:color="auto" w:fill="FFFFFF"/>
          <w:lang w:val="pt-BR"/>
        </w:rPr>
        <w:t>Socius</w:t>
      </w:r>
      <w:proofErr w:type="spellEnd"/>
      <w:r w:rsidR="0012188E" w:rsidRPr="00FE61BF">
        <w:rPr>
          <w:rFonts w:cs="Times New Roman"/>
          <w:szCs w:val="24"/>
          <w:shd w:val="clear" w:color="auto" w:fill="FFFFFF"/>
          <w:lang w:val="pt-BR"/>
        </w:rPr>
        <w:t>, </w:t>
      </w:r>
      <w:r w:rsidR="0012188E" w:rsidRPr="00FE61BF">
        <w:rPr>
          <w:rFonts w:cs="Times New Roman"/>
          <w:i/>
          <w:iCs/>
          <w:szCs w:val="24"/>
          <w:shd w:val="clear" w:color="auto" w:fill="FFFFFF"/>
          <w:lang w:val="pt-BR"/>
        </w:rPr>
        <w:t>2</w:t>
      </w:r>
      <w:r w:rsidR="00496A6B" w:rsidRPr="00FE61BF">
        <w:rPr>
          <w:rFonts w:cs="Times New Roman"/>
          <w:szCs w:val="24"/>
          <w:shd w:val="clear" w:color="auto" w:fill="FFFFFF"/>
          <w:lang w:val="pt-BR"/>
        </w:rPr>
        <w:t xml:space="preserve"> 1-</w:t>
      </w:r>
      <w:proofErr w:type="gramStart"/>
      <w:r w:rsidR="00496A6B" w:rsidRPr="00FE61BF">
        <w:rPr>
          <w:rFonts w:cs="Times New Roman"/>
          <w:szCs w:val="24"/>
          <w:shd w:val="clear" w:color="auto" w:fill="FFFFFF"/>
          <w:lang w:val="pt-BR"/>
        </w:rPr>
        <w:t>17</w:t>
      </w:r>
      <w:r w:rsidR="00BC493B" w:rsidRPr="00FE61BF">
        <w:rPr>
          <w:rFonts w:cs="Times New Roman"/>
          <w:szCs w:val="24"/>
          <w:shd w:val="clear" w:color="auto" w:fill="FFFFFF"/>
          <w:lang w:val="pt-BR"/>
        </w:rPr>
        <w:t xml:space="preserve"> </w:t>
      </w:r>
      <w:r w:rsidR="0012188E" w:rsidRPr="00FE61BF">
        <w:rPr>
          <w:rFonts w:cs="Times New Roman"/>
          <w:szCs w:val="24"/>
          <w:shd w:val="clear" w:color="auto" w:fill="FFFFFF"/>
          <w:lang w:val="pt-BR"/>
        </w:rPr>
        <w:t>.</w:t>
      </w:r>
      <w:proofErr w:type="gramEnd"/>
      <w:r w:rsidR="00496A6B" w:rsidRPr="00FE61BF">
        <w:rPr>
          <w:rFonts w:cs="Times New Roman"/>
          <w:szCs w:val="24"/>
          <w:shd w:val="clear" w:color="auto" w:fill="FFFFFF"/>
          <w:lang w:val="pt-BR"/>
        </w:rPr>
        <w:t xml:space="preserve"> DOI: https://doi.org/10.1177/2378023116630555</w:t>
      </w:r>
    </w:p>
    <w:p w14:paraId="315B54D8" w14:textId="3C146380" w:rsidR="003F72AF" w:rsidRDefault="003F72AF" w:rsidP="00C32384">
      <w:pPr>
        <w:ind w:left="567" w:hanging="567"/>
        <w:rPr>
          <w:rFonts w:cs="Times New Roman"/>
          <w:szCs w:val="24"/>
          <w:shd w:val="clear" w:color="auto" w:fill="FFFFFF"/>
          <w:lang w:val="en-US"/>
        </w:rPr>
      </w:pPr>
      <w:proofErr w:type="spellStart"/>
      <w:r w:rsidRPr="00FE61BF">
        <w:rPr>
          <w:rFonts w:cs="Times New Roman"/>
          <w:szCs w:val="24"/>
          <w:shd w:val="clear" w:color="auto" w:fill="FFFFFF"/>
          <w:lang w:val="pt-BR"/>
        </w:rPr>
        <w:t>Herek</w:t>
      </w:r>
      <w:proofErr w:type="spellEnd"/>
      <w:r w:rsidRPr="00FE61BF">
        <w:rPr>
          <w:rFonts w:cs="Times New Roman"/>
          <w:szCs w:val="24"/>
          <w:shd w:val="clear" w:color="auto" w:fill="FFFFFF"/>
          <w:lang w:val="pt-BR"/>
        </w:rPr>
        <w:t xml:space="preserve">, G. M., &amp; </w:t>
      </w:r>
      <w:proofErr w:type="spellStart"/>
      <w:r w:rsidRPr="00FE61BF">
        <w:rPr>
          <w:rFonts w:cs="Times New Roman"/>
          <w:szCs w:val="24"/>
          <w:shd w:val="clear" w:color="auto" w:fill="FFFFFF"/>
          <w:lang w:val="pt-BR"/>
        </w:rPr>
        <w:t>McLemore</w:t>
      </w:r>
      <w:proofErr w:type="spellEnd"/>
      <w:r w:rsidRPr="00FE61BF">
        <w:rPr>
          <w:rFonts w:cs="Times New Roman"/>
          <w:szCs w:val="24"/>
          <w:shd w:val="clear" w:color="auto" w:fill="FFFFFF"/>
          <w:lang w:val="pt-BR"/>
        </w:rPr>
        <w:t xml:space="preserve">, K. A. (2013). </w:t>
      </w:r>
      <w:r w:rsidRPr="003F72AF">
        <w:rPr>
          <w:rFonts w:cs="Times New Roman"/>
          <w:szCs w:val="24"/>
          <w:shd w:val="clear" w:color="auto" w:fill="FFFFFF"/>
          <w:lang w:val="en-US"/>
        </w:rPr>
        <w:t>Sexual prejudice. </w:t>
      </w:r>
      <w:r w:rsidRPr="003F72AF">
        <w:rPr>
          <w:rFonts w:cs="Times New Roman"/>
          <w:i/>
          <w:iCs/>
          <w:szCs w:val="24"/>
          <w:shd w:val="clear" w:color="auto" w:fill="FFFFFF"/>
          <w:lang w:val="en-US"/>
        </w:rPr>
        <w:t>Annual Review of Psychology</w:t>
      </w:r>
      <w:r w:rsidRPr="003F72AF">
        <w:rPr>
          <w:rFonts w:cs="Times New Roman"/>
          <w:szCs w:val="24"/>
          <w:shd w:val="clear" w:color="auto" w:fill="FFFFFF"/>
          <w:lang w:val="en-US"/>
        </w:rPr>
        <w:t>, </w:t>
      </w:r>
      <w:r w:rsidRPr="003F72AF">
        <w:rPr>
          <w:rFonts w:cs="Times New Roman"/>
          <w:i/>
          <w:iCs/>
          <w:szCs w:val="24"/>
          <w:shd w:val="clear" w:color="auto" w:fill="FFFFFF"/>
          <w:lang w:val="en-US"/>
        </w:rPr>
        <w:t>64</w:t>
      </w:r>
      <w:r w:rsidRPr="003F72AF">
        <w:rPr>
          <w:rFonts w:cs="Times New Roman"/>
          <w:szCs w:val="24"/>
          <w:shd w:val="clear" w:color="auto" w:fill="FFFFFF"/>
          <w:lang w:val="en-US"/>
        </w:rPr>
        <w:t>, 309-333.</w:t>
      </w:r>
      <w:r w:rsidR="007806D9">
        <w:rPr>
          <w:rFonts w:cs="Times New Roman"/>
          <w:szCs w:val="24"/>
          <w:shd w:val="clear" w:color="auto" w:fill="FFFFFF"/>
          <w:lang w:val="en-US"/>
        </w:rPr>
        <w:t xml:space="preserve"> DOI: </w:t>
      </w:r>
      <w:r w:rsidR="007806D9" w:rsidRPr="007806D9">
        <w:rPr>
          <w:rFonts w:cs="Times New Roman"/>
          <w:szCs w:val="24"/>
          <w:shd w:val="clear" w:color="auto" w:fill="FFFFFF"/>
          <w:lang w:val="en-US"/>
        </w:rPr>
        <w:t>https://doi.org/10.1146/annurev-psych-113011-143826</w:t>
      </w:r>
    </w:p>
    <w:p w14:paraId="2371AFAB" w14:textId="260CC2C8" w:rsidR="00D71BDA" w:rsidRDefault="00D71BDA" w:rsidP="00C32384">
      <w:pPr>
        <w:ind w:left="567" w:hanging="567"/>
        <w:rPr>
          <w:rFonts w:cs="Times New Roman"/>
          <w:szCs w:val="24"/>
          <w:shd w:val="clear" w:color="auto" w:fill="FFFFFF"/>
        </w:rPr>
      </w:pPr>
      <w:r>
        <w:rPr>
          <w:rFonts w:cs="Times New Roman"/>
          <w:szCs w:val="24"/>
          <w:shd w:val="clear" w:color="auto" w:fill="FFFFFF"/>
          <w:lang w:val="en-US"/>
        </w:rPr>
        <w:t xml:space="preserve">International Monetary Fund (2013). </w:t>
      </w:r>
      <w:r w:rsidRPr="00D71BDA">
        <w:rPr>
          <w:rFonts w:cs="Times New Roman"/>
          <w:i/>
          <w:szCs w:val="24"/>
          <w:shd w:val="clear" w:color="auto" w:fill="FFFFFF"/>
          <w:lang w:val="en-US"/>
        </w:rPr>
        <w:t>World Economic Outlook Database</w:t>
      </w:r>
      <w:r>
        <w:rPr>
          <w:rFonts w:cs="Times New Roman"/>
          <w:szCs w:val="24"/>
          <w:shd w:val="clear" w:color="auto" w:fill="FFFFFF"/>
          <w:lang w:val="en-US"/>
        </w:rPr>
        <w:t xml:space="preserve">. </w:t>
      </w:r>
      <w:hyperlink r:id="rId9" w:anchor="cs3" w:history="1">
        <w:r w:rsidRPr="00D71BDA">
          <w:rPr>
            <w:rStyle w:val="Hipervnculo"/>
            <w:rFonts w:cs="Times New Roman"/>
            <w:szCs w:val="24"/>
            <w:shd w:val="clear" w:color="auto" w:fill="FFFFFF"/>
          </w:rPr>
          <w:t>http://www.imf.org/external/pubs/ft/weo/2013/02/weodata/weorept.aspx?sy=2011&amp;ey=2018&amp;scsm=1&amp;ssd=1&amp;sort=country&amp;ds=.&amp;br=1&amp;pr1.x=84&amp;pr1.y=9&amp;c=288&amp;s=NGDP_R%2CNGDPD%2CNGDPDPC%2CLUR&amp;grp=0&amp;a=#cs3</w:t>
        </w:r>
      </w:hyperlink>
      <w:r w:rsidRPr="00D71BDA">
        <w:rPr>
          <w:rFonts w:cs="Times New Roman"/>
          <w:szCs w:val="24"/>
          <w:shd w:val="clear" w:color="auto" w:fill="FFFFFF"/>
        </w:rPr>
        <w:t xml:space="preserve"> Recuperado el 01 de noviembre de 2017.</w:t>
      </w:r>
    </w:p>
    <w:p w14:paraId="52994BAC" w14:textId="046793A8" w:rsidR="006A2AA0" w:rsidRPr="006A2AA0" w:rsidRDefault="006A2AA0" w:rsidP="00C32384">
      <w:pPr>
        <w:ind w:left="567" w:hanging="567"/>
        <w:rPr>
          <w:rFonts w:cs="Times New Roman"/>
          <w:szCs w:val="24"/>
          <w:shd w:val="clear" w:color="auto" w:fill="FFFFFF"/>
        </w:rPr>
      </w:pPr>
      <w:r w:rsidRPr="006A2AA0">
        <w:rPr>
          <w:lang w:val="en-US"/>
        </w:rPr>
        <w:t xml:space="preserve">Pew Research Center (2014) </w:t>
      </w:r>
      <w:r w:rsidRPr="006A2AA0">
        <w:rPr>
          <w:i/>
          <w:lang w:val="en-US"/>
        </w:rPr>
        <w:t xml:space="preserve">Religion in Latin America: Widespread Change in a Historically Catholic Region. </w:t>
      </w:r>
      <w:hyperlink r:id="rId10" w:history="1">
        <w:r w:rsidRPr="0054410B">
          <w:rPr>
            <w:rStyle w:val="Hipervnculo"/>
            <w:rFonts w:cs="Times New Roman"/>
            <w:szCs w:val="24"/>
            <w:shd w:val="clear" w:color="auto" w:fill="FFFFFF"/>
          </w:rPr>
          <w:t>http://www.pewforum.org/2014/11/13/religion-in-latin-america/</w:t>
        </w:r>
      </w:hyperlink>
      <w:r w:rsidRPr="0054410B">
        <w:rPr>
          <w:rFonts w:cs="Times New Roman"/>
          <w:szCs w:val="24"/>
          <w:shd w:val="clear" w:color="auto" w:fill="FFFFFF"/>
        </w:rPr>
        <w:t xml:space="preserve"> Recuperado en 16 de octubre de 2017.</w:t>
      </w:r>
    </w:p>
    <w:p w14:paraId="199BB78B" w14:textId="63E6778F" w:rsidR="00787A01" w:rsidRPr="00787A01" w:rsidRDefault="00787A01" w:rsidP="00C32384">
      <w:pPr>
        <w:ind w:left="567" w:hanging="567"/>
        <w:rPr>
          <w:rFonts w:cs="Times New Roman"/>
          <w:szCs w:val="24"/>
        </w:rPr>
      </w:pPr>
      <w:proofErr w:type="spellStart"/>
      <w:r w:rsidRPr="00787A01">
        <w:rPr>
          <w:rFonts w:cs="Times New Roman"/>
          <w:szCs w:val="24"/>
          <w:shd w:val="clear" w:color="auto" w:fill="FFFFFF"/>
          <w:lang w:val="en-US"/>
        </w:rPr>
        <w:t>Roggemans</w:t>
      </w:r>
      <w:proofErr w:type="spellEnd"/>
      <w:r w:rsidRPr="00787A01">
        <w:rPr>
          <w:rFonts w:cs="Times New Roman"/>
          <w:szCs w:val="24"/>
          <w:shd w:val="clear" w:color="auto" w:fill="FFFFFF"/>
          <w:lang w:val="en-US"/>
        </w:rPr>
        <w:t xml:space="preserve">, L., </w:t>
      </w:r>
      <w:proofErr w:type="spellStart"/>
      <w:r w:rsidRPr="00787A01">
        <w:rPr>
          <w:rFonts w:cs="Times New Roman"/>
          <w:szCs w:val="24"/>
          <w:shd w:val="clear" w:color="auto" w:fill="FFFFFF"/>
          <w:lang w:val="en-US"/>
        </w:rPr>
        <w:t>Spruyt</w:t>
      </w:r>
      <w:proofErr w:type="spellEnd"/>
      <w:r w:rsidRPr="00787A01">
        <w:rPr>
          <w:rFonts w:cs="Times New Roman"/>
          <w:szCs w:val="24"/>
          <w:shd w:val="clear" w:color="auto" w:fill="FFFFFF"/>
          <w:lang w:val="en-US"/>
        </w:rPr>
        <w:t xml:space="preserve">, B., </w:t>
      </w:r>
      <w:proofErr w:type="spellStart"/>
      <w:r w:rsidRPr="00787A01">
        <w:rPr>
          <w:rFonts w:cs="Times New Roman"/>
          <w:szCs w:val="24"/>
          <w:shd w:val="clear" w:color="auto" w:fill="FFFFFF"/>
          <w:lang w:val="en-US"/>
        </w:rPr>
        <w:t>Droogenbroeck</w:t>
      </w:r>
      <w:proofErr w:type="spellEnd"/>
      <w:r w:rsidRPr="00787A01">
        <w:rPr>
          <w:rFonts w:cs="Times New Roman"/>
          <w:szCs w:val="24"/>
          <w:shd w:val="clear" w:color="auto" w:fill="FFFFFF"/>
          <w:lang w:val="en-US"/>
        </w:rPr>
        <w:t xml:space="preserve">, F. V., &amp; </w:t>
      </w:r>
      <w:proofErr w:type="spellStart"/>
      <w:r w:rsidRPr="00787A01">
        <w:rPr>
          <w:rFonts w:cs="Times New Roman"/>
          <w:szCs w:val="24"/>
          <w:shd w:val="clear" w:color="auto" w:fill="FFFFFF"/>
          <w:lang w:val="en-US"/>
        </w:rPr>
        <w:t>Keppens</w:t>
      </w:r>
      <w:proofErr w:type="spellEnd"/>
      <w:r w:rsidRPr="00787A01">
        <w:rPr>
          <w:rFonts w:cs="Times New Roman"/>
          <w:szCs w:val="24"/>
          <w:shd w:val="clear" w:color="auto" w:fill="FFFFFF"/>
          <w:lang w:val="en-US"/>
        </w:rPr>
        <w:t>, G. (2015). Religion and negative attitudes towards homosexuals: An analysis of urban young people and their attitudes towards homosexuality. </w:t>
      </w:r>
      <w:r w:rsidRPr="00787A01">
        <w:rPr>
          <w:rFonts w:cs="Times New Roman"/>
          <w:i/>
          <w:iCs/>
          <w:szCs w:val="24"/>
          <w:shd w:val="clear" w:color="auto" w:fill="FFFFFF"/>
        </w:rPr>
        <w:t>Young</w:t>
      </w:r>
      <w:r w:rsidRPr="00787A01">
        <w:rPr>
          <w:rFonts w:cs="Times New Roman"/>
          <w:szCs w:val="24"/>
          <w:shd w:val="clear" w:color="auto" w:fill="FFFFFF"/>
        </w:rPr>
        <w:t>, </w:t>
      </w:r>
      <w:r w:rsidRPr="00787A01">
        <w:rPr>
          <w:rFonts w:cs="Times New Roman"/>
          <w:i/>
          <w:iCs/>
          <w:szCs w:val="24"/>
          <w:shd w:val="clear" w:color="auto" w:fill="FFFFFF"/>
        </w:rPr>
        <w:t>23</w:t>
      </w:r>
      <w:r w:rsidRPr="00787A01">
        <w:rPr>
          <w:rFonts w:cs="Times New Roman"/>
          <w:szCs w:val="24"/>
          <w:shd w:val="clear" w:color="auto" w:fill="FFFFFF"/>
        </w:rPr>
        <w:t>(3), 254-276.</w:t>
      </w:r>
      <w:r w:rsidR="00B8570C">
        <w:rPr>
          <w:rFonts w:cs="Times New Roman"/>
          <w:szCs w:val="24"/>
          <w:shd w:val="clear" w:color="auto" w:fill="FFFFFF"/>
        </w:rPr>
        <w:t xml:space="preserve"> DOI: </w:t>
      </w:r>
      <w:r w:rsidR="00B8570C" w:rsidRPr="00B8570C">
        <w:rPr>
          <w:rFonts w:cs="Times New Roman"/>
          <w:szCs w:val="24"/>
          <w:shd w:val="clear" w:color="auto" w:fill="FFFFFF"/>
        </w:rPr>
        <w:t>https://doi.org/10.1177/1103308815586903</w:t>
      </w:r>
    </w:p>
    <w:sectPr w:rsidR="00787A01" w:rsidRPr="00787A01" w:rsidSect="00D90741">
      <w:footerReference w:type="first" r:id="rId11"/>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F6123" w14:textId="77777777" w:rsidR="00122082" w:rsidRDefault="00122082" w:rsidP="00D90741">
      <w:pPr>
        <w:spacing w:line="240" w:lineRule="auto"/>
      </w:pPr>
      <w:r>
        <w:separator/>
      </w:r>
    </w:p>
  </w:endnote>
  <w:endnote w:type="continuationSeparator" w:id="0">
    <w:p w14:paraId="4F7EDD58" w14:textId="77777777" w:rsidR="00122082" w:rsidRDefault="00122082" w:rsidP="00D907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2D971" w14:textId="680C6507" w:rsidR="00D90741" w:rsidRDefault="00D90741">
    <w:pPr>
      <w:pStyle w:val="Piedepgina"/>
    </w:pPr>
    <w:r>
      <w:t xml:space="preserve">*Correspondencia a </w:t>
    </w:r>
    <w:hyperlink r:id="rId1" w:history="1">
      <w:r w:rsidRPr="00606F0A">
        <w:rPr>
          <w:rStyle w:val="Hipervnculo"/>
        </w:rPr>
        <w:t>gerocodas@gmail.com</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03777" w14:textId="77777777" w:rsidR="00122082" w:rsidRDefault="00122082" w:rsidP="00D90741">
      <w:pPr>
        <w:spacing w:line="240" w:lineRule="auto"/>
      </w:pPr>
      <w:r>
        <w:separator/>
      </w:r>
    </w:p>
  </w:footnote>
  <w:footnote w:type="continuationSeparator" w:id="0">
    <w:p w14:paraId="68FA02CA" w14:textId="77777777" w:rsidR="00122082" w:rsidRDefault="00122082" w:rsidP="00D9074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FC1"/>
    <w:rsid w:val="000133E2"/>
    <w:rsid w:val="000233F7"/>
    <w:rsid w:val="00024B27"/>
    <w:rsid w:val="000314AB"/>
    <w:rsid w:val="00034A85"/>
    <w:rsid w:val="00037339"/>
    <w:rsid w:val="00062FBD"/>
    <w:rsid w:val="00065366"/>
    <w:rsid w:val="00075A6F"/>
    <w:rsid w:val="000A508A"/>
    <w:rsid w:val="000B5C8C"/>
    <w:rsid w:val="000B6B10"/>
    <w:rsid w:val="000C0727"/>
    <w:rsid w:val="000C74F1"/>
    <w:rsid w:val="000F131B"/>
    <w:rsid w:val="000F1F57"/>
    <w:rsid w:val="001043E6"/>
    <w:rsid w:val="001058A0"/>
    <w:rsid w:val="00110162"/>
    <w:rsid w:val="00112AC8"/>
    <w:rsid w:val="001131AB"/>
    <w:rsid w:val="0012188E"/>
    <w:rsid w:val="00122082"/>
    <w:rsid w:val="0014448F"/>
    <w:rsid w:val="001842A2"/>
    <w:rsid w:val="001860E2"/>
    <w:rsid w:val="001B1AAD"/>
    <w:rsid w:val="001C5C88"/>
    <w:rsid w:val="001E5CE1"/>
    <w:rsid w:val="00202E68"/>
    <w:rsid w:val="00223AC7"/>
    <w:rsid w:val="002275AC"/>
    <w:rsid w:val="00233806"/>
    <w:rsid w:val="00234EA8"/>
    <w:rsid w:val="002445ED"/>
    <w:rsid w:val="00246454"/>
    <w:rsid w:val="002468FE"/>
    <w:rsid w:val="002562DD"/>
    <w:rsid w:val="00264829"/>
    <w:rsid w:val="00271D47"/>
    <w:rsid w:val="00272E23"/>
    <w:rsid w:val="00296D37"/>
    <w:rsid w:val="002B0D08"/>
    <w:rsid w:val="002C7A3A"/>
    <w:rsid w:val="002D1192"/>
    <w:rsid w:val="002E2CB5"/>
    <w:rsid w:val="0033074B"/>
    <w:rsid w:val="003311DC"/>
    <w:rsid w:val="00333A8F"/>
    <w:rsid w:val="00344C73"/>
    <w:rsid w:val="003509F5"/>
    <w:rsid w:val="003608E0"/>
    <w:rsid w:val="00382076"/>
    <w:rsid w:val="0039077A"/>
    <w:rsid w:val="00393AC1"/>
    <w:rsid w:val="00396A37"/>
    <w:rsid w:val="003979E5"/>
    <w:rsid w:val="003A2BBE"/>
    <w:rsid w:val="003A3EBA"/>
    <w:rsid w:val="003A786F"/>
    <w:rsid w:val="003D3733"/>
    <w:rsid w:val="003E2E05"/>
    <w:rsid w:val="003E364E"/>
    <w:rsid w:val="003F26F0"/>
    <w:rsid w:val="003F3D1A"/>
    <w:rsid w:val="003F67BA"/>
    <w:rsid w:val="003F72AF"/>
    <w:rsid w:val="003F7C4E"/>
    <w:rsid w:val="00400A5E"/>
    <w:rsid w:val="00402EAF"/>
    <w:rsid w:val="00404D3D"/>
    <w:rsid w:val="004162D2"/>
    <w:rsid w:val="00417ACF"/>
    <w:rsid w:val="0043036B"/>
    <w:rsid w:val="00431A64"/>
    <w:rsid w:val="00436524"/>
    <w:rsid w:val="004374CD"/>
    <w:rsid w:val="00443D59"/>
    <w:rsid w:val="004548A7"/>
    <w:rsid w:val="00456D31"/>
    <w:rsid w:val="00496A6B"/>
    <w:rsid w:val="0049749A"/>
    <w:rsid w:val="004A440E"/>
    <w:rsid w:val="004E2672"/>
    <w:rsid w:val="004F3375"/>
    <w:rsid w:val="004F5E35"/>
    <w:rsid w:val="005247FE"/>
    <w:rsid w:val="005311C5"/>
    <w:rsid w:val="005377BB"/>
    <w:rsid w:val="00537AA9"/>
    <w:rsid w:val="0054410B"/>
    <w:rsid w:val="00544664"/>
    <w:rsid w:val="005506F8"/>
    <w:rsid w:val="005513C1"/>
    <w:rsid w:val="00552A6D"/>
    <w:rsid w:val="00552FBF"/>
    <w:rsid w:val="00555F17"/>
    <w:rsid w:val="00572ED0"/>
    <w:rsid w:val="00593545"/>
    <w:rsid w:val="005B188E"/>
    <w:rsid w:val="005B46B9"/>
    <w:rsid w:val="005B6429"/>
    <w:rsid w:val="005C3483"/>
    <w:rsid w:val="005D0857"/>
    <w:rsid w:val="005D4D66"/>
    <w:rsid w:val="005E3AA7"/>
    <w:rsid w:val="005E7C83"/>
    <w:rsid w:val="00610C35"/>
    <w:rsid w:val="0062039B"/>
    <w:rsid w:val="0062308C"/>
    <w:rsid w:val="00625F9A"/>
    <w:rsid w:val="0063311D"/>
    <w:rsid w:val="0065547B"/>
    <w:rsid w:val="00657E17"/>
    <w:rsid w:val="0067483C"/>
    <w:rsid w:val="0068382F"/>
    <w:rsid w:val="00687A9C"/>
    <w:rsid w:val="00695428"/>
    <w:rsid w:val="006A2AA0"/>
    <w:rsid w:val="006A46B3"/>
    <w:rsid w:val="006B0652"/>
    <w:rsid w:val="006C560B"/>
    <w:rsid w:val="006F4D0F"/>
    <w:rsid w:val="00710A72"/>
    <w:rsid w:val="00717356"/>
    <w:rsid w:val="007224C5"/>
    <w:rsid w:val="00731752"/>
    <w:rsid w:val="00732C71"/>
    <w:rsid w:val="007372B2"/>
    <w:rsid w:val="00761DF4"/>
    <w:rsid w:val="00774C1E"/>
    <w:rsid w:val="007806D9"/>
    <w:rsid w:val="00784184"/>
    <w:rsid w:val="00784A37"/>
    <w:rsid w:val="00787A01"/>
    <w:rsid w:val="007949FE"/>
    <w:rsid w:val="00796DE4"/>
    <w:rsid w:val="007D492F"/>
    <w:rsid w:val="007E0F73"/>
    <w:rsid w:val="007E45B3"/>
    <w:rsid w:val="00800102"/>
    <w:rsid w:val="00805797"/>
    <w:rsid w:val="00812452"/>
    <w:rsid w:val="00872C46"/>
    <w:rsid w:val="00874BA8"/>
    <w:rsid w:val="00883C29"/>
    <w:rsid w:val="00885156"/>
    <w:rsid w:val="0089113F"/>
    <w:rsid w:val="008950BA"/>
    <w:rsid w:val="008A42D4"/>
    <w:rsid w:val="008B10ED"/>
    <w:rsid w:val="008B79FE"/>
    <w:rsid w:val="008C0F5A"/>
    <w:rsid w:val="008C6BBB"/>
    <w:rsid w:val="008D3590"/>
    <w:rsid w:val="008E0C90"/>
    <w:rsid w:val="008E7A5D"/>
    <w:rsid w:val="00902932"/>
    <w:rsid w:val="0090361E"/>
    <w:rsid w:val="009326A9"/>
    <w:rsid w:val="0096165E"/>
    <w:rsid w:val="009652BE"/>
    <w:rsid w:val="00994717"/>
    <w:rsid w:val="009A4F1A"/>
    <w:rsid w:val="009A7AF3"/>
    <w:rsid w:val="009B5DBE"/>
    <w:rsid w:val="009B6F7C"/>
    <w:rsid w:val="009C7F8C"/>
    <w:rsid w:val="009F6C60"/>
    <w:rsid w:val="00A077B3"/>
    <w:rsid w:val="00A2006E"/>
    <w:rsid w:val="00A338F3"/>
    <w:rsid w:val="00A568AD"/>
    <w:rsid w:val="00A7574F"/>
    <w:rsid w:val="00A76B47"/>
    <w:rsid w:val="00A96B15"/>
    <w:rsid w:val="00AA1450"/>
    <w:rsid w:val="00AA6B3A"/>
    <w:rsid w:val="00AC2441"/>
    <w:rsid w:val="00AD049B"/>
    <w:rsid w:val="00AF4608"/>
    <w:rsid w:val="00AF5604"/>
    <w:rsid w:val="00AF5870"/>
    <w:rsid w:val="00AF630F"/>
    <w:rsid w:val="00B10D46"/>
    <w:rsid w:val="00B11CAC"/>
    <w:rsid w:val="00B35194"/>
    <w:rsid w:val="00B359FE"/>
    <w:rsid w:val="00B41B87"/>
    <w:rsid w:val="00B44EBA"/>
    <w:rsid w:val="00B54746"/>
    <w:rsid w:val="00B603E6"/>
    <w:rsid w:val="00B707E4"/>
    <w:rsid w:val="00B8570C"/>
    <w:rsid w:val="00B95868"/>
    <w:rsid w:val="00BB7E00"/>
    <w:rsid w:val="00BC493B"/>
    <w:rsid w:val="00BD16B9"/>
    <w:rsid w:val="00BD5FBA"/>
    <w:rsid w:val="00C06E52"/>
    <w:rsid w:val="00C074C9"/>
    <w:rsid w:val="00C11A51"/>
    <w:rsid w:val="00C3041F"/>
    <w:rsid w:val="00C32384"/>
    <w:rsid w:val="00C33FC1"/>
    <w:rsid w:val="00C357C1"/>
    <w:rsid w:val="00C44A7A"/>
    <w:rsid w:val="00C47776"/>
    <w:rsid w:val="00C55125"/>
    <w:rsid w:val="00C6241A"/>
    <w:rsid w:val="00C63E6C"/>
    <w:rsid w:val="00C67F72"/>
    <w:rsid w:val="00C7456A"/>
    <w:rsid w:val="00C76880"/>
    <w:rsid w:val="00C93FAB"/>
    <w:rsid w:val="00C940C7"/>
    <w:rsid w:val="00C94B39"/>
    <w:rsid w:val="00CA1EEC"/>
    <w:rsid w:val="00CA28AA"/>
    <w:rsid w:val="00CC42F3"/>
    <w:rsid w:val="00CD6588"/>
    <w:rsid w:val="00CE1A49"/>
    <w:rsid w:val="00CE70F0"/>
    <w:rsid w:val="00CF1B02"/>
    <w:rsid w:val="00CF4166"/>
    <w:rsid w:val="00D01C17"/>
    <w:rsid w:val="00D14DF7"/>
    <w:rsid w:val="00D164D1"/>
    <w:rsid w:val="00D30C19"/>
    <w:rsid w:val="00D30CA1"/>
    <w:rsid w:val="00D46003"/>
    <w:rsid w:val="00D466D9"/>
    <w:rsid w:val="00D621D8"/>
    <w:rsid w:val="00D66DD1"/>
    <w:rsid w:val="00D71BDA"/>
    <w:rsid w:val="00D90741"/>
    <w:rsid w:val="00D9465B"/>
    <w:rsid w:val="00DA6868"/>
    <w:rsid w:val="00DB18CD"/>
    <w:rsid w:val="00DB38AF"/>
    <w:rsid w:val="00DB72D8"/>
    <w:rsid w:val="00DD4A8E"/>
    <w:rsid w:val="00DE11DD"/>
    <w:rsid w:val="00DF04E5"/>
    <w:rsid w:val="00E000B5"/>
    <w:rsid w:val="00E023AE"/>
    <w:rsid w:val="00E2251C"/>
    <w:rsid w:val="00E22B33"/>
    <w:rsid w:val="00E22C74"/>
    <w:rsid w:val="00E341B6"/>
    <w:rsid w:val="00E37916"/>
    <w:rsid w:val="00E768A2"/>
    <w:rsid w:val="00E83C1E"/>
    <w:rsid w:val="00EB2163"/>
    <w:rsid w:val="00EB7AC9"/>
    <w:rsid w:val="00ED2A99"/>
    <w:rsid w:val="00ED2E4E"/>
    <w:rsid w:val="00ED5D9D"/>
    <w:rsid w:val="00EF031F"/>
    <w:rsid w:val="00EF5E3E"/>
    <w:rsid w:val="00F034B8"/>
    <w:rsid w:val="00F059D7"/>
    <w:rsid w:val="00F27443"/>
    <w:rsid w:val="00F30BEC"/>
    <w:rsid w:val="00F502F9"/>
    <w:rsid w:val="00F63697"/>
    <w:rsid w:val="00F70D32"/>
    <w:rsid w:val="00F72660"/>
    <w:rsid w:val="00F80A8E"/>
    <w:rsid w:val="00FA2119"/>
    <w:rsid w:val="00FA4056"/>
    <w:rsid w:val="00FB3EA9"/>
    <w:rsid w:val="00FE14C9"/>
    <w:rsid w:val="00FE3699"/>
    <w:rsid w:val="00FE61BF"/>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9D099"/>
  <w15:chartTrackingRefBased/>
  <w15:docId w15:val="{4392E561-8F73-46FD-B80F-E39BBFA3D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F73"/>
    <w:pPr>
      <w:spacing w:after="0" w:line="480" w:lineRule="auto"/>
      <w:ind w:firstLine="284"/>
      <w:mirrorIndents/>
    </w:pPr>
    <w:rPr>
      <w:rFonts w:ascii="Times New Roman" w:hAnsi="Times New Roman"/>
      <w:sz w:val="24"/>
    </w:rPr>
  </w:style>
  <w:style w:type="paragraph" w:styleId="Ttulo1">
    <w:name w:val="heading 1"/>
    <w:basedOn w:val="Normal"/>
    <w:next w:val="Normal"/>
    <w:link w:val="Ttulo1Car"/>
    <w:uiPriority w:val="9"/>
    <w:qFormat/>
    <w:rsid w:val="007E0F73"/>
    <w:pPr>
      <w:keepNext/>
      <w:keepLines/>
      <w:spacing w:before="240" w:after="240"/>
      <w:ind w:firstLine="0"/>
      <w:outlineLvl w:val="0"/>
    </w:pPr>
    <w:rPr>
      <w:rFonts w:eastAsiaTheme="majorEastAsia" w:cstheme="majorBidi"/>
      <w:b/>
      <w:szCs w:val="32"/>
    </w:rPr>
  </w:style>
  <w:style w:type="paragraph" w:styleId="Ttulo2">
    <w:name w:val="heading 2"/>
    <w:basedOn w:val="Normal"/>
    <w:next w:val="Normal"/>
    <w:link w:val="Ttulo2Car"/>
    <w:uiPriority w:val="9"/>
    <w:semiHidden/>
    <w:unhideWhenUsed/>
    <w:qFormat/>
    <w:rsid w:val="007E0F73"/>
    <w:pPr>
      <w:keepNext/>
      <w:keepLines/>
      <w:spacing w:before="120" w:after="120"/>
      <w:outlineLvl w:val="1"/>
    </w:pPr>
    <w:rPr>
      <w:rFonts w:eastAsiaTheme="majorEastAsia" w:cstheme="majorBidi"/>
      <w:b/>
      <w:szCs w:val="26"/>
    </w:rPr>
  </w:style>
  <w:style w:type="paragraph" w:styleId="Ttulo3">
    <w:name w:val="heading 3"/>
    <w:basedOn w:val="Normal"/>
    <w:next w:val="Normal"/>
    <w:link w:val="Ttulo3Car"/>
    <w:uiPriority w:val="9"/>
    <w:unhideWhenUsed/>
    <w:qFormat/>
    <w:rsid w:val="007E0F73"/>
    <w:pPr>
      <w:keepNext/>
      <w:keepLines/>
      <w:spacing w:before="120" w:after="120"/>
      <w:outlineLvl w:val="2"/>
    </w:pPr>
    <w:rPr>
      <w:rFonts w:eastAsiaTheme="majorEastAsia" w:cstheme="majorBidi"/>
      <w:b/>
      <w:i/>
      <w:szCs w:val="24"/>
    </w:rPr>
  </w:style>
  <w:style w:type="paragraph" w:styleId="Ttulo4">
    <w:name w:val="heading 4"/>
    <w:basedOn w:val="Normal"/>
    <w:next w:val="Normal"/>
    <w:link w:val="Ttulo4Car"/>
    <w:uiPriority w:val="9"/>
    <w:semiHidden/>
    <w:unhideWhenUsed/>
    <w:qFormat/>
    <w:rsid w:val="007E0F73"/>
    <w:pPr>
      <w:keepNext/>
      <w:keepLines/>
      <w:spacing w:before="120" w:after="120"/>
      <w:outlineLvl w:val="3"/>
    </w:pPr>
    <w:rPr>
      <w:rFonts w:eastAsiaTheme="majorEastAsia" w:cstheme="majorBidi"/>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Resumen"/>
    <w:basedOn w:val="Normal"/>
    <w:uiPriority w:val="34"/>
    <w:qFormat/>
    <w:rsid w:val="00DE11DD"/>
    <w:pPr>
      <w:spacing w:line="240" w:lineRule="auto"/>
      <w:contextualSpacing/>
    </w:pPr>
  </w:style>
  <w:style w:type="paragraph" w:styleId="Ttulo">
    <w:name w:val="Title"/>
    <w:basedOn w:val="Normal"/>
    <w:next w:val="Normal"/>
    <w:link w:val="TtuloCar"/>
    <w:uiPriority w:val="10"/>
    <w:qFormat/>
    <w:rsid w:val="007E0F73"/>
    <w:pPr>
      <w:spacing w:before="240" w:after="240"/>
      <w:ind w:firstLine="0"/>
      <w:contextualSpacing/>
      <w:jc w:val="center"/>
    </w:pPr>
    <w:rPr>
      <w:rFonts w:eastAsiaTheme="majorEastAsia" w:cstheme="majorBidi"/>
      <w:b/>
      <w:spacing w:val="-10"/>
      <w:kern w:val="28"/>
      <w:szCs w:val="56"/>
    </w:rPr>
  </w:style>
  <w:style w:type="character" w:customStyle="1" w:styleId="TtuloCar">
    <w:name w:val="Título Car"/>
    <w:basedOn w:val="Fuentedeprrafopredeter"/>
    <w:link w:val="Ttulo"/>
    <w:uiPriority w:val="10"/>
    <w:rsid w:val="007E0F73"/>
    <w:rPr>
      <w:rFonts w:ascii="Times New Roman" w:eastAsiaTheme="majorEastAsia" w:hAnsi="Times New Roman" w:cstheme="majorBidi"/>
      <w:b/>
      <w:spacing w:val="-10"/>
      <w:kern w:val="28"/>
      <w:sz w:val="24"/>
      <w:szCs w:val="56"/>
    </w:rPr>
  </w:style>
  <w:style w:type="character" w:customStyle="1" w:styleId="Ttulo1Car">
    <w:name w:val="Título 1 Car"/>
    <w:basedOn w:val="Fuentedeprrafopredeter"/>
    <w:link w:val="Ttulo1"/>
    <w:uiPriority w:val="9"/>
    <w:rsid w:val="007E0F73"/>
    <w:rPr>
      <w:rFonts w:ascii="Times New Roman" w:eastAsiaTheme="majorEastAsia" w:hAnsi="Times New Roman" w:cstheme="majorBidi"/>
      <w:b/>
      <w:sz w:val="24"/>
      <w:szCs w:val="32"/>
    </w:rPr>
  </w:style>
  <w:style w:type="character" w:customStyle="1" w:styleId="Ttulo2Car">
    <w:name w:val="Título 2 Car"/>
    <w:basedOn w:val="Fuentedeprrafopredeter"/>
    <w:link w:val="Ttulo2"/>
    <w:uiPriority w:val="9"/>
    <w:semiHidden/>
    <w:rsid w:val="007E0F73"/>
    <w:rPr>
      <w:rFonts w:ascii="Times New Roman" w:eastAsiaTheme="majorEastAsia" w:hAnsi="Times New Roman" w:cstheme="majorBidi"/>
      <w:b/>
      <w:sz w:val="24"/>
      <w:szCs w:val="26"/>
    </w:rPr>
  </w:style>
  <w:style w:type="character" w:customStyle="1" w:styleId="Ttulo3Car">
    <w:name w:val="Título 3 Car"/>
    <w:basedOn w:val="Fuentedeprrafopredeter"/>
    <w:link w:val="Ttulo3"/>
    <w:uiPriority w:val="9"/>
    <w:rsid w:val="007E0F73"/>
    <w:rPr>
      <w:rFonts w:ascii="Times New Roman" w:eastAsiaTheme="majorEastAsia" w:hAnsi="Times New Roman" w:cstheme="majorBidi"/>
      <w:b/>
      <w:i/>
      <w:sz w:val="24"/>
      <w:szCs w:val="24"/>
    </w:rPr>
  </w:style>
  <w:style w:type="character" w:customStyle="1" w:styleId="Ttulo4Car">
    <w:name w:val="Título 4 Car"/>
    <w:basedOn w:val="Fuentedeprrafopredeter"/>
    <w:link w:val="Ttulo4"/>
    <w:uiPriority w:val="9"/>
    <w:semiHidden/>
    <w:rsid w:val="007E0F73"/>
    <w:rPr>
      <w:rFonts w:ascii="Times New Roman" w:eastAsiaTheme="majorEastAsia" w:hAnsi="Times New Roman" w:cstheme="majorBidi"/>
      <w:i/>
      <w:iCs/>
      <w:sz w:val="24"/>
    </w:rPr>
  </w:style>
  <w:style w:type="paragraph" w:styleId="Cita">
    <w:name w:val="Quote"/>
    <w:basedOn w:val="Normal"/>
    <w:next w:val="Normal"/>
    <w:link w:val="CitaCar"/>
    <w:uiPriority w:val="29"/>
    <w:qFormat/>
    <w:rsid w:val="00E22B33"/>
    <w:pPr>
      <w:spacing w:before="200"/>
      <w:ind w:left="284" w:firstLine="0"/>
    </w:pPr>
    <w:rPr>
      <w:iCs/>
      <w:color w:val="404040" w:themeColor="text1" w:themeTint="BF"/>
    </w:rPr>
  </w:style>
  <w:style w:type="character" w:customStyle="1" w:styleId="CitaCar">
    <w:name w:val="Cita Car"/>
    <w:basedOn w:val="Fuentedeprrafopredeter"/>
    <w:link w:val="Cita"/>
    <w:uiPriority w:val="29"/>
    <w:rsid w:val="00E22B33"/>
    <w:rPr>
      <w:rFonts w:ascii="Times New Roman" w:hAnsi="Times New Roman"/>
      <w:iCs/>
      <w:color w:val="404040" w:themeColor="text1" w:themeTint="BF"/>
      <w:sz w:val="24"/>
    </w:rPr>
  </w:style>
  <w:style w:type="paragraph" w:customStyle="1" w:styleId="Referencias">
    <w:name w:val="Referencias"/>
    <w:basedOn w:val="Ttulo3"/>
    <w:qFormat/>
    <w:rsid w:val="00E22B33"/>
    <w:pPr>
      <w:ind w:left="284" w:hanging="284"/>
      <w:jc w:val="both"/>
    </w:pPr>
    <w:rPr>
      <w:b w:val="0"/>
      <w:i w:val="0"/>
    </w:rPr>
  </w:style>
  <w:style w:type="character" w:styleId="Refdecomentario">
    <w:name w:val="annotation reference"/>
    <w:basedOn w:val="Fuentedeprrafopredeter"/>
    <w:uiPriority w:val="99"/>
    <w:semiHidden/>
    <w:unhideWhenUsed/>
    <w:rsid w:val="0062308C"/>
    <w:rPr>
      <w:sz w:val="16"/>
      <w:szCs w:val="16"/>
    </w:rPr>
  </w:style>
  <w:style w:type="paragraph" w:styleId="Textocomentario">
    <w:name w:val="annotation text"/>
    <w:basedOn w:val="Normal"/>
    <w:link w:val="TextocomentarioCar"/>
    <w:uiPriority w:val="99"/>
    <w:semiHidden/>
    <w:unhideWhenUsed/>
    <w:rsid w:val="0062308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2308C"/>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62308C"/>
    <w:rPr>
      <w:b/>
      <w:bCs/>
    </w:rPr>
  </w:style>
  <w:style w:type="character" w:customStyle="1" w:styleId="AsuntodelcomentarioCar">
    <w:name w:val="Asunto del comentario Car"/>
    <w:basedOn w:val="TextocomentarioCar"/>
    <w:link w:val="Asuntodelcomentario"/>
    <w:uiPriority w:val="99"/>
    <w:semiHidden/>
    <w:rsid w:val="0062308C"/>
    <w:rPr>
      <w:rFonts w:ascii="Times New Roman" w:hAnsi="Times New Roman"/>
      <w:b/>
      <w:bCs/>
      <w:sz w:val="20"/>
      <w:szCs w:val="20"/>
    </w:rPr>
  </w:style>
  <w:style w:type="paragraph" w:styleId="Textodeglobo">
    <w:name w:val="Balloon Text"/>
    <w:basedOn w:val="Normal"/>
    <w:link w:val="TextodegloboCar"/>
    <w:uiPriority w:val="99"/>
    <w:semiHidden/>
    <w:unhideWhenUsed/>
    <w:rsid w:val="0062308C"/>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308C"/>
    <w:rPr>
      <w:rFonts w:ascii="Segoe UI" w:hAnsi="Segoe UI" w:cs="Segoe UI"/>
      <w:sz w:val="18"/>
      <w:szCs w:val="18"/>
    </w:rPr>
  </w:style>
  <w:style w:type="character" w:styleId="Hipervnculo">
    <w:name w:val="Hyperlink"/>
    <w:basedOn w:val="Fuentedeprrafopredeter"/>
    <w:uiPriority w:val="99"/>
    <w:unhideWhenUsed/>
    <w:rsid w:val="004548A7"/>
    <w:rPr>
      <w:color w:val="0563C1" w:themeColor="hyperlink"/>
      <w:u w:val="single"/>
    </w:rPr>
  </w:style>
  <w:style w:type="character" w:styleId="Mencinsinresolver">
    <w:name w:val="Unresolved Mention"/>
    <w:basedOn w:val="Fuentedeprrafopredeter"/>
    <w:uiPriority w:val="99"/>
    <w:semiHidden/>
    <w:unhideWhenUsed/>
    <w:rsid w:val="004548A7"/>
    <w:rPr>
      <w:color w:val="808080"/>
      <w:shd w:val="clear" w:color="auto" w:fill="E6E6E6"/>
    </w:rPr>
  </w:style>
  <w:style w:type="table" w:styleId="Tablaconcuadrcula">
    <w:name w:val="Table Grid"/>
    <w:basedOn w:val="Tablanormal"/>
    <w:uiPriority w:val="39"/>
    <w:rsid w:val="00330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90741"/>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D90741"/>
    <w:rPr>
      <w:rFonts w:ascii="Times New Roman" w:hAnsi="Times New Roman"/>
      <w:sz w:val="24"/>
    </w:rPr>
  </w:style>
  <w:style w:type="paragraph" w:styleId="Piedepgina">
    <w:name w:val="footer"/>
    <w:basedOn w:val="Normal"/>
    <w:link w:val="PiedepginaCar"/>
    <w:uiPriority w:val="99"/>
    <w:unhideWhenUsed/>
    <w:rsid w:val="00D90741"/>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D9074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719724">
      <w:bodyDiv w:val="1"/>
      <w:marLeft w:val="0"/>
      <w:marRight w:val="0"/>
      <w:marTop w:val="0"/>
      <w:marBottom w:val="0"/>
      <w:divBdr>
        <w:top w:val="none" w:sz="0" w:space="0" w:color="auto"/>
        <w:left w:val="none" w:sz="0" w:space="0" w:color="auto"/>
        <w:bottom w:val="none" w:sz="0" w:space="0" w:color="auto"/>
        <w:right w:val="none" w:sz="0" w:space="0" w:color="auto"/>
      </w:divBdr>
      <w:divsChild>
        <w:div w:id="1147670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geec.gov.py/"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repositorio.pucp.edu.pe/index/bitstream/handle/123456789/47040/Cuadernos%20de%20investigaci%C3%B3n%2011.pdf?sequence=4&amp;isAllowed=y"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www.pewforum.org/2014/11/13/religion-in-latin-america/" TargetMode="External"/><Relationship Id="rId4" Type="http://schemas.openxmlformats.org/officeDocument/2006/relationships/footnotes" Target="footnotes.xml"/><Relationship Id="rId9" Type="http://schemas.openxmlformats.org/officeDocument/2006/relationships/hyperlink" Target="http://www.imf.org/external/pubs/ft/weo/2013/02/weodata/weorept.aspx?sy=2011&amp;ey=2018&amp;scsm=1&amp;ssd=1&amp;sort=country&amp;ds=.&amp;br=1&amp;pr1.x=84&amp;pr1.y=9&amp;c=288&amp;s=NGDP_R%2CNGDPD%2CNGDPDPC%2CLUR&amp;grp=0&amp;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gerocodas@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17</Pages>
  <Words>4334</Words>
  <Characters>23841</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Geronimo</dc:creator>
  <cp:keywords/>
  <dc:description/>
  <cp:lastModifiedBy>Geronimo</cp:lastModifiedBy>
  <cp:revision>63</cp:revision>
  <dcterms:created xsi:type="dcterms:W3CDTF">2017-11-02T03:20:00Z</dcterms:created>
  <dcterms:modified xsi:type="dcterms:W3CDTF">2017-11-04T18:57:00Z</dcterms:modified>
</cp:coreProperties>
</file>