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Style w:val="Tablaconcuadrcula"/>
        <w:tblW w:w="0" w:type="auto"/>
        <w:tblLook w:val="04A0" w:firstRow="1" w:lastRow="0" w:firstColumn="1" w:lastColumn="0" w:noHBand="0" w:noVBand="1"/>
      </w:tblPr>
      <w:tblGrid>
        <w:gridCol w:w="2405"/>
        <w:gridCol w:w="6423"/>
      </w:tblGrid>
      <w:tr w:rsidR="00D904BD" w14:paraId="12C24BB1" w14:textId="77777777" w:rsidTr="4C8DB6B3">
        <w:tc>
          <w:tcPr>
            <w:tcW w:w="2405" w:type="dxa"/>
          </w:tcPr>
          <w:p w14:paraId="56901979" w14:textId="77777777" w:rsidR="00D904BD" w:rsidRDefault="00D904BD">
            <w:r>
              <w:t>Observación</w:t>
            </w:r>
          </w:p>
        </w:tc>
        <w:tc>
          <w:tcPr>
            <w:tcW w:w="6423" w:type="dxa"/>
          </w:tcPr>
          <w:p w14:paraId="712E2805" w14:textId="77777777" w:rsidR="00D904BD" w:rsidRDefault="00D904BD">
            <w:r>
              <w:t>Respuesta</w:t>
            </w:r>
          </w:p>
        </w:tc>
      </w:tr>
      <w:tr w:rsidR="00D904BD" w14:paraId="7C17FBEB" w14:textId="77777777" w:rsidTr="4C8DB6B3">
        <w:tc>
          <w:tcPr>
            <w:tcW w:w="2405" w:type="dxa"/>
          </w:tcPr>
          <w:p w14:paraId="42DE9327" w14:textId="77777777" w:rsidR="00D904BD" w:rsidRDefault="00D904BD">
            <w:r>
              <w:t>(1) Originalidad. Si bien no es una escala original, los autores  justifican con suficiencia la necesidad de adaptar la escala en el contexto mexicano.</w:t>
            </w:r>
          </w:p>
        </w:tc>
        <w:tc>
          <w:tcPr>
            <w:tcW w:w="6423" w:type="dxa"/>
          </w:tcPr>
          <w:p w14:paraId="6FC00E71" w14:textId="77777777" w:rsidR="00D904BD" w:rsidRDefault="00D904BD"/>
          <w:p w14:paraId="35F6E5A2" w14:textId="77777777" w:rsidR="00D904BD" w:rsidRDefault="00D904BD"/>
          <w:p w14:paraId="5BD456EF" w14:textId="77777777" w:rsidR="00D904BD" w:rsidRDefault="00D904BD">
            <w:r>
              <w:t>De acuerdo; no hay cambios en este punto</w:t>
            </w:r>
          </w:p>
        </w:tc>
      </w:tr>
      <w:tr w:rsidR="00D904BD" w14:paraId="7E744735" w14:textId="77777777" w:rsidTr="4C8DB6B3">
        <w:tc>
          <w:tcPr>
            <w:tcW w:w="2405" w:type="dxa"/>
          </w:tcPr>
          <w:p w14:paraId="3F285231" w14:textId="77777777" w:rsidR="00D904BD" w:rsidRDefault="00D904BD">
            <w:r>
              <w:t>(2</w:t>
            </w:r>
            <w:r w:rsidR="00855414">
              <w:t>.1</w:t>
            </w:r>
            <w:r>
              <w:t>) Investigación. Se puede evidenciar que hay una muestra inobjetable (en términos de la cantidad de participantes) para el trabajo psicométrico requerido, sigue siendo sesgada al concentrarse únicamente en estudiantes universitarios, por lo que pierde capacidad de generalización</w:t>
            </w:r>
          </w:p>
        </w:tc>
        <w:tc>
          <w:tcPr>
            <w:tcW w:w="6423" w:type="dxa"/>
          </w:tcPr>
          <w:p w14:paraId="08E60A54" w14:textId="77777777" w:rsidR="00D904BD" w:rsidRDefault="00D904BD"/>
          <w:p w14:paraId="7C26FAE6" w14:textId="77777777" w:rsidR="00D904BD" w:rsidRDefault="00D904BD">
            <w:r>
              <w:t xml:space="preserve">Aunque es cierto que a menudo las investigaciones en psicología se han basado en muestras de estudiantes, en el ámbito de la psicología social y cultural también se ha debatido y demostrado la validez del uso de muestras de estudiantes para arrojar resultados con validez ecológica respecto a los fenómenos medidos y que afectan a las sociedades de las cuales se toman esas muestras (Páez &amp; Vergara, 2000). Además, en el presente trabajo, no deja de ser relevante conocer cómo perciben su realidad social estudiantes que, más tarde o más temprano, van a ocupar roles laborales desde los cuales pueden ayudar a las comunidades. </w:t>
            </w:r>
            <w:r w:rsidR="00855414">
              <w:t>En la metodología, plan de análisis, se ha añadido un comentario y la cita correspondiente en “References”.</w:t>
            </w:r>
          </w:p>
        </w:tc>
      </w:tr>
      <w:tr w:rsidR="00D904BD" w14:paraId="091EDF43" w14:textId="77777777" w:rsidTr="4C8DB6B3">
        <w:tc>
          <w:tcPr>
            <w:tcW w:w="2405" w:type="dxa"/>
          </w:tcPr>
          <w:p w14:paraId="4DDCAD9F" w14:textId="77777777" w:rsidR="00D904BD" w:rsidRDefault="00855414" w:rsidP="00855414">
            <w:r>
              <w:t xml:space="preserve">2.2) adaptación lingüística del instrumento. </w:t>
            </w:r>
          </w:p>
        </w:tc>
        <w:tc>
          <w:tcPr>
            <w:tcW w:w="6423" w:type="dxa"/>
          </w:tcPr>
          <w:p w14:paraId="25FD7FDC" w14:textId="77777777" w:rsidR="00D904BD" w:rsidRDefault="00855414" w:rsidP="00855414">
            <w:r>
              <w:t>La escala de resiliencia comunitaria fue revisada lingüísticamente por las dos co-autores mexicanas de este trabajo. Se añadió este comentario en la descripción de esta escala en la sección de “Instrumentos”.</w:t>
            </w:r>
          </w:p>
        </w:tc>
      </w:tr>
      <w:tr w:rsidR="00D904BD" w14:paraId="7C925DF7" w14:textId="77777777" w:rsidTr="4C8DB6B3">
        <w:tc>
          <w:tcPr>
            <w:tcW w:w="2405" w:type="dxa"/>
          </w:tcPr>
          <w:p w14:paraId="0067B3A2" w14:textId="77777777" w:rsidR="00D904BD" w:rsidRDefault="00855414" w:rsidP="00855414">
            <w:r>
              <w:t>2.3) Se contextualizan los resultados en relación a la realidad de victimización criminal en México, pero se sugiere que en la discusión se haga mas énfasis en la utilidad de la escala.</w:t>
            </w:r>
          </w:p>
        </w:tc>
        <w:tc>
          <w:tcPr>
            <w:tcW w:w="6423" w:type="dxa"/>
          </w:tcPr>
          <w:p w14:paraId="2562FA5C" w14:textId="77777777" w:rsidR="00D904BD" w:rsidRDefault="00D904BD"/>
          <w:p w14:paraId="16C3FFEC" w14:textId="77777777" w:rsidR="00BD517C" w:rsidRDefault="0036685B" w:rsidP="00BD517C">
            <w:pPr>
              <w:jc w:val="both"/>
              <w:rPr>
                <w:rFonts w:ascii="Times New Roman" w:hAnsi="Times New Roman"/>
                <w:color w:val="FF0000"/>
                <w:sz w:val="24"/>
                <w:szCs w:val="24"/>
              </w:rPr>
            </w:pPr>
            <w:r>
              <w:rPr>
                <w:rFonts w:ascii="Times New Roman" w:hAnsi="Times New Roman"/>
                <w:color w:val="FF0000"/>
                <w:sz w:val="24"/>
                <w:szCs w:val="24"/>
              </w:rPr>
              <w:t>Se agregó en discusiones:</w:t>
            </w:r>
          </w:p>
          <w:p w14:paraId="726DEAD4" w14:textId="77777777" w:rsidR="0036685B" w:rsidRPr="009B34D6" w:rsidRDefault="0036685B" w:rsidP="0036685B">
            <w:pPr>
              <w:pStyle w:val="Prrafodelista"/>
              <w:spacing w:after="0" w:line="240" w:lineRule="auto"/>
              <w:jc w:val="both"/>
              <w:rPr>
                <w:rFonts w:ascii="Times New Roman" w:hAnsi="Times New Roman"/>
                <w:color w:val="FF0000"/>
                <w:sz w:val="24"/>
                <w:szCs w:val="24"/>
              </w:rPr>
            </w:pPr>
            <w:r w:rsidRPr="009B34D6">
              <w:rPr>
                <w:rFonts w:ascii="Times New Roman" w:hAnsi="Times New Roman"/>
                <w:sz w:val="24"/>
                <w:szCs w:val="24"/>
                <w:lang w:val="en-US"/>
              </w:rPr>
              <w:t xml:space="preserve">Having a scale like the Community Resilience scale, with </w:t>
            </w:r>
            <w:r>
              <w:rPr>
                <w:rFonts w:ascii="Times New Roman" w:hAnsi="Times New Roman"/>
                <w:sz w:val="24"/>
                <w:szCs w:val="24"/>
                <w:lang w:val="en-US"/>
              </w:rPr>
              <w:t>its high</w:t>
            </w:r>
            <w:r w:rsidRPr="009B34D6">
              <w:rPr>
                <w:rFonts w:ascii="Times New Roman" w:hAnsi="Times New Roman"/>
                <w:sz w:val="24"/>
                <w:szCs w:val="24"/>
                <w:lang w:val="en-US"/>
              </w:rPr>
              <w:t xml:space="preserve"> reliabilit</w:t>
            </w:r>
            <w:r>
              <w:rPr>
                <w:rFonts w:ascii="Times New Roman" w:hAnsi="Times New Roman"/>
                <w:sz w:val="24"/>
                <w:szCs w:val="24"/>
                <w:lang w:val="en-US"/>
              </w:rPr>
              <w:t xml:space="preserve">y and </w:t>
            </w:r>
            <w:r w:rsidRPr="009B34D6">
              <w:rPr>
                <w:rFonts w:ascii="Times New Roman" w:hAnsi="Times New Roman"/>
                <w:sz w:val="24"/>
                <w:szCs w:val="24"/>
                <w:lang w:val="en-US"/>
              </w:rPr>
              <w:t>solid factorial structure, is crucial for enabling municipal dependencies, as well as academic institutions and civil organizations</w:t>
            </w:r>
            <w:r>
              <w:rPr>
                <w:rFonts w:ascii="Times New Roman" w:hAnsi="Times New Roman"/>
                <w:sz w:val="24"/>
                <w:szCs w:val="24"/>
                <w:lang w:val="en-US"/>
              </w:rPr>
              <w:t>,</w:t>
            </w:r>
            <w:r w:rsidRPr="009B34D6">
              <w:rPr>
                <w:rFonts w:ascii="Times New Roman" w:hAnsi="Times New Roman"/>
                <w:sz w:val="24"/>
                <w:szCs w:val="24"/>
                <w:lang w:val="en-US"/>
              </w:rPr>
              <w:t xml:space="preserve"> to undertake social diagnoses</w:t>
            </w:r>
            <w:r>
              <w:rPr>
                <w:rFonts w:ascii="Times New Roman" w:hAnsi="Times New Roman"/>
                <w:sz w:val="24"/>
                <w:szCs w:val="24"/>
                <w:lang w:val="en-US"/>
              </w:rPr>
              <w:t xml:space="preserve"> that will guide efforts to implement</w:t>
            </w:r>
            <w:r w:rsidRPr="009B34D6">
              <w:rPr>
                <w:rFonts w:ascii="Times New Roman" w:hAnsi="Times New Roman"/>
                <w:sz w:val="24"/>
                <w:szCs w:val="24"/>
                <w:lang w:val="en-US"/>
              </w:rPr>
              <w:t xml:space="preserve"> effective interventions and public policies in the task of reconstructing th</w:t>
            </w:r>
            <w:r>
              <w:rPr>
                <w:rFonts w:ascii="Times New Roman" w:hAnsi="Times New Roman"/>
                <w:sz w:val="24"/>
                <w:szCs w:val="24"/>
                <w:lang w:val="en-US"/>
              </w:rPr>
              <w:t xml:space="preserve">e social fabric, actions by </w:t>
            </w:r>
            <w:r w:rsidRPr="009B34D6">
              <w:rPr>
                <w:rFonts w:ascii="Times New Roman" w:hAnsi="Times New Roman"/>
                <w:sz w:val="24"/>
                <w:szCs w:val="24"/>
                <w:lang w:val="en-US"/>
              </w:rPr>
              <w:t>police forces and community initiatives in Mexico.</w:t>
            </w:r>
            <w:r w:rsidRPr="009B34D6">
              <w:rPr>
                <w:rFonts w:ascii="Times New Roman" w:hAnsi="Times New Roman"/>
                <w:sz w:val="24"/>
                <w:szCs w:val="24"/>
              </w:rPr>
              <w:t xml:space="preserve"> </w:t>
            </w:r>
            <w:r w:rsidRPr="009B34D6">
              <w:rPr>
                <w:rFonts w:ascii="Times New Roman" w:hAnsi="Times New Roman"/>
                <w:sz w:val="24"/>
                <w:szCs w:val="24"/>
                <w:lang w:val="en-US"/>
              </w:rPr>
              <w:t>This is important for a country with a high perception of victimization and insecurity, with an estimated rate of 29,746 victims over the age of 18 for every 100,000 inhabitants, with rates of 35,500 in Chihuahua, 37,900 in Guadalajara and 40,600 in Puebla,</w:t>
            </w:r>
            <w:r>
              <w:rPr>
                <w:rFonts w:ascii="Times New Roman" w:hAnsi="Times New Roman"/>
                <w:sz w:val="24"/>
                <w:szCs w:val="24"/>
                <w:lang w:val="en-US"/>
              </w:rPr>
              <w:t xml:space="preserve"> which are</w:t>
            </w:r>
            <w:r w:rsidRPr="009B34D6">
              <w:rPr>
                <w:rFonts w:ascii="Times New Roman" w:hAnsi="Times New Roman"/>
                <w:sz w:val="24"/>
                <w:szCs w:val="24"/>
                <w:lang w:val="en-US"/>
              </w:rPr>
              <w:t xml:space="preserve"> above the national average (INEGI, 2018). Moreover, it is estimated that 64.5% of the population over the age of 18 regard insecurity and crime as the main problems in the country (INEGI, 2018).</w:t>
            </w:r>
            <w:r w:rsidRPr="009B34D6">
              <w:rPr>
                <w:rFonts w:ascii="Times New Roman" w:hAnsi="Times New Roman"/>
                <w:color w:val="FF0000"/>
                <w:sz w:val="24"/>
                <w:szCs w:val="24"/>
              </w:rPr>
              <w:t xml:space="preserve">  </w:t>
            </w:r>
          </w:p>
          <w:p w14:paraId="41D0A68E" w14:textId="0AB32CA2" w:rsidR="0036685B" w:rsidRPr="00BD517C" w:rsidRDefault="0036685B" w:rsidP="00BD517C">
            <w:pPr>
              <w:jc w:val="both"/>
              <w:rPr>
                <w:rFonts w:ascii="Times New Roman" w:hAnsi="Times New Roman"/>
                <w:color w:val="FF0000"/>
                <w:sz w:val="24"/>
                <w:szCs w:val="24"/>
              </w:rPr>
            </w:pPr>
          </w:p>
        </w:tc>
      </w:tr>
      <w:tr w:rsidR="00D904BD" w14:paraId="421093EB" w14:textId="77777777" w:rsidTr="4C8DB6B3">
        <w:tc>
          <w:tcPr>
            <w:tcW w:w="2405" w:type="dxa"/>
          </w:tcPr>
          <w:p w14:paraId="162BB868" w14:textId="783DB5A1" w:rsidR="00D904BD" w:rsidRDefault="00855414">
            <w:r>
              <w:t xml:space="preserve">2.4) Sugiero además </w:t>
            </w:r>
            <w:r>
              <w:lastRenderedPageBreak/>
              <w:t>que se soporte conceptualmente el nuevo factor (humor y creatividad), pero teniendo presente que son dos términos que aunque se relacionen, no se traslapan, y son conceptualmente distintos.</w:t>
            </w:r>
          </w:p>
        </w:tc>
        <w:tc>
          <w:tcPr>
            <w:tcW w:w="6423" w:type="dxa"/>
          </w:tcPr>
          <w:p w14:paraId="264E2202" w14:textId="77777777" w:rsidR="00855414" w:rsidRDefault="00855414"/>
          <w:p w14:paraId="1E7B715C" w14:textId="77777777" w:rsidR="00855414" w:rsidRDefault="00855414" w:rsidP="00855414">
            <w:r>
              <w:lastRenderedPageBreak/>
              <w:t>Agradeciendo el comentario, consideramos que tiene respuesta en el siguiente párrafo que ya se incluye en la Discussion:</w:t>
            </w:r>
          </w:p>
          <w:p w14:paraId="00B8869B" w14:textId="77777777" w:rsidR="00855414" w:rsidRPr="00855414" w:rsidRDefault="00855414" w:rsidP="00855414">
            <w:pPr>
              <w:ind w:firstLine="708"/>
              <w:rPr>
                <w:rFonts w:ascii="Times New Roman" w:hAnsi="Times New Roman"/>
                <w:sz w:val="24"/>
                <w:szCs w:val="24"/>
                <w:lang w:val="en-US"/>
              </w:rPr>
            </w:pPr>
            <w:r>
              <w:t>“</w:t>
            </w:r>
            <w:r w:rsidRPr="00F47231">
              <w:rPr>
                <w:rFonts w:ascii="Times New Roman" w:hAnsi="Times New Roman"/>
                <w:sz w:val="24"/>
                <w:szCs w:val="24"/>
                <w:lang w:val="en-US"/>
              </w:rPr>
              <w:t xml:space="preserve">The link between humor and creativity confirms the proposal by </w:t>
            </w:r>
            <w:proofErr w:type="spellStart"/>
            <w:r w:rsidRPr="00F47231">
              <w:rPr>
                <w:rFonts w:ascii="Times New Roman" w:hAnsi="Times New Roman"/>
                <w:sz w:val="24"/>
                <w:szCs w:val="24"/>
                <w:lang w:val="en-US"/>
              </w:rPr>
              <w:t>Suárez</w:t>
            </w:r>
            <w:proofErr w:type="spellEnd"/>
            <w:r w:rsidRPr="00F47231">
              <w:rPr>
                <w:rFonts w:ascii="Times New Roman" w:hAnsi="Times New Roman"/>
                <w:sz w:val="24"/>
                <w:szCs w:val="24"/>
                <w:lang w:val="en-US"/>
              </w:rPr>
              <w:t xml:space="preserve"> Ojeda (2001; </w:t>
            </w:r>
            <w:proofErr w:type="spellStart"/>
            <w:r w:rsidRPr="00F47231">
              <w:rPr>
                <w:rFonts w:ascii="Times New Roman" w:hAnsi="Times New Roman"/>
                <w:sz w:val="24"/>
                <w:szCs w:val="24"/>
                <w:lang w:val="en-US"/>
              </w:rPr>
              <w:t>Suárez</w:t>
            </w:r>
            <w:proofErr w:type="spellEnd"/>
            <w:r w:rsidRPr="00F47231">
              <w:rPr>
                <w:rFonts w:ascii="Times New Roman" w:hAnsi="Times New Roman"/>
                <w:sz w:val="24"/>
                <w:szCs w:val="24"/>
                <w:lang w:val="en-US"/>
              </w:rPr>
              <w:t xml:space="preserve">-Ojeda, La </w:t>
            </w:r>
            <w:proofErr w:type="spellStart"/>
            <w:r w:rsidRPr="00F47231">
              <w:rPr>
                <w:rFonts w:ascii="Times New Roman" w:hAnsi="Times New Roman"/>
                <w:sz w:val="24"/>
                <w:szCs w:val="24"/>
                <w:lang w:val="en-US"/>
              </w:rPr>
              <w:t>Jara</w:t>
            </w:r>
            <w:proofErr w:type="spellEnd"/>
            <w:r w:rsidRPr="00F47231">
              <w:rPr>
                <w:rFonts w:ascii="Times New Roman" w:hAnsi="Times New Roman"/>
                <w:sz w:val="24"/>
                <w:szCs w:val="24"/>
                <w:lang w:val="en-US"/>
              </w:rPr>
              <w:t xml:space="preserve"> </w:t>
            </w:r>
            <w:r>
              <w:rPr>
                <w:rFonts w:ascii="Times New Roman" w:hAnsi="Times New Roman"/>
                <w:sz w:val="24"/>
                <w:szCs w:val="24"/>
                <w:lang w:val="en-US"/>
              </w:rPr>
              <w:t>&amp;</w:t>
            </w:r>
            <w:r w:rsidRPr="00F47231">
              <w:rPr>
                <w:rFonts w:ascii="Times New Roman" w:hAnsi="Times New Roman"/>
                <w:sz w:val="24"/>
                <w:szCs w:val="24"/>
                <w:lang w:val="en-US"/>
              </w:rPr>
              <w:t xml:space="preserve"> Marques, 2007), that humor makes it possible, both individually and collectively, to take a step back from problems, see them differently and increase the chances of finding solutions or alleviate the situation. In this respect, humor could be linked to the capacity for the cognitive re-evaluation of situations, which is part of the capacities of resilience, according to some authors (</w:t>
            </w:r>
            <w:proofErr w:type="spellStart"/>
            <w:r w:rsidRPr="00F47231">
              <w:rPr>
                <w:rFonts w:ascii="Times New Roman" w:hAnsi="Times New Roman"/>
                <w:sz w:val="24"/>
                <w:szCs w:val="24"/>
                <w:lang w:val="en-US"/>
              </w:rPr>
              <w:t>Bayley</w:t>
            </w:r>
            <w:proofErr w:type="spellEnd"/>
            <w:r w:rsidRPr="00F47231">
              <w:rPr>
                <w:rFonts w:ascii="Times New Roman" w:hAnsi="Times New Roman"/>
                <w:sz w:val="24"/>
                <w:szCs w:val="24"/>
                <w:lang w:val="en-US"/>
              </w:rPr>
              <w:t xml:space="preserve"> et al, 2013; Southwick </w:t>
            </w:r>
            <w:r>
              <w:rPr>
                <w:rFonts w:ascii="Times New Roman" w:hAnsi="Times New Roman"/>
                <w:sz w:val="24"/>
                <w:szCs w:val="24"/>
                <w:lang w:val="en-US"/>
              </w:rPr>
              <w:t xml:space="preserve">&amp; </w:t>
            </w:r>
            <w:proofErr w:type="spellStart"/>
            <w:r>
              <w:rPr>
                <w:rFonts w:ascii="Times New Roman" w:hAnsi="Times New Roman"/>
                <w:sz w:val="24"/>
                <w:szCs w:val="24"/>
                <w:lang w:val="en-US"/>
              </w:rPr>
              <w:t>Charney</w:t>
            </w:r>
            <w:proofErr w:type="spellEnd"/>
            <w:r>
              <w:rPr>
                <w:rFonts w:ascii="Times New Roman" w:hAnsi="Times New Roman"/>
                <w:sz w:val="24"/>
                <w:szCs w:val="24"/>
                <w:lang w:val="en-US"/>
              </w:rPr>
              <w:t>, 2014)”</w:t>
            </w:r>
          </w:p>
        </w:tc>
      </w:tr>
      <w:tr w:rsidR="00855414" w14:paraId="244E5053" w14:textId="77777777" w:rsidTr="4C8DB6B3">
        <w:tc>
          <w:tcPr>
            <w:tcW w:w="2405" w:type="dxa"/>
          </w:tcPr>
          <w:p w14:paraId="11076D46" w14:textId="77777777" w:rsidR="00855414" w:rsidRDefault="00855414">
            <w:r>
              <w:lastRenderedPageBreak/>
              <w:t>2.5) No se comentan limitaciones de los dos estudios.</w:t>
            </w:r>
          </w:p>
        </w:tc>
        <w:tc>
          <w:tcPr>
            <w:tcW w:w="6423" w:type="dxa"/>
          </w:tcPr>
          <w:p w14:paraId="64F7DFA2" w14:textId="77777777" w:rsidR="00855414" w:rsidRDefault="00855414"/>
          <w:p w14:paraId="144B3574" w14:textId="77777777" w:rsidR="00855414" w:rsidRDefault="00855414">
            <w:r>
              <w:t>Agradeciendo la observación, las limitaciones del trabajo y posible</w:t>
            </w:r>
            <w:r w:rsidR="00552E53">
              <w:t>s</w:t>
            </w:r>
            <w:r>
              <w:t xml:space="preserve"> líneas de acción futura se presentan en </w:t>
            </w:r>
            <w:r w:rsidR="009C267D">
              <w:t>el último párrafo del artículo, aunque se ha ampliado con un comentario adicional sobre posibles aplicaciones del instrumento a otras áreas y zonas del país.</w:t>
            </w:r>
          </w:p>
        </w:tc>
      </w:tr>
      <w:tr w:rsidR="00D904BD" w14:paraId="76900BBA" w14:textId="77777777" w:rsidTr="4C8DB6B3">
        <w:tc>
          <w:tcPr>
            <w:tcW w:w="2405" w:type="dxa"/>
          </w:tcPr>
          <w:p w14:paraId="6B6C47EE" w14:textId="77777777" w:rsidR="00D904BD" w:rsidRDefault="00855414">
            <w:r>
              <w:t>3) Teoría. No aplica por la naturaleza del trabajo, pero los antecedentes abordados son pertinentes.</w:t>
            </w:r>
          </w:p>
        </w:tc>
        <w:tc>
          <w:tcPr>
            <w:tcW w:w="6423" w:type="dxa"/>
          </w:tcPr>
          <w:p w14:paraId="3410761D" w14:textId="77777777" w:rsidR="00D904BD" w:rsidRDefault="00855414">
            <w:r>
              <w:t>De acuerdo.</w:t>
            </w:r>
          </w:p>
        </w:tc>
      </w:tr>
      <w:tr w:rsidR="00D904BD" w14:paraId="03942433" w14:textId="77777777" w:rsidTr="4C8DB6B3">
        <w:tc>
          <w:tcPr>
            <w:tcW w:w="2405" w:type="dxa"/>
          </w:tcPr>
          <w:p w14:paraId="0F1ECC91" w14:textId="77777777" w:rsidR="00D904BD" w:rsidRDefault="009C267D">
            <w:r>
              <w:t>4) Practicar. Es un estudio valioso dada la importancia de medir la victimización derivada por el crimen en contextos hostiles como el referido.</w:t>
            </w:r>
          </w:p>
        </w:tc>
        <w:tc>
          <w:tcPr>
            <w:tcW w:w="6423" w:type="dxa"/>
          </w:tcPr>
          <w:p w14:paraId="2B9AA307" w14:textId="77777777" w:rsidR="00D904BD" w:rsidRDefault="00D904BD"/>
          <w:p w14:paraId="666D20E7" w14:textId="77777777" w:rsidR="009C267D" w:rsidRDefault="009C267D" w:rsidP="009C267D">
            <w:r>
              <w:t xml:space="preserve">Agradecemos esa valoración. </w:t>
            </w:r>
          </w:p>
        </w:tc>
      </w:tr>
      <w:tr w:rsidR="009C267D" w14:paraId="4913DBC9" w14:textId="77777777" w:rsidTr="4C8DB6B3">
        <w:tc>
          <w:tcPr>
            <w:tcW w:w="2405" w:type="dxa"/>
          </w:tcPr>
          <w:p w14:paraId="653D69AE" w14:textId="77777777" w:rsidR="009C267D" w:rsidRDefault="009C267D">
            <w:r>
              <w:t>5) Revisión de la literatura. Los autores revisan críticamente la literatura relevante y demuestran una comprensión del conocimiento actual relacionado con el tema. Los autores se basan en la literatura existente para formular ideas para esta presentación.</w:t>
            </w:r>
          </w:p>
        </w:tc>
        <w:tc>
          <w:tcPr>
            <w:tcW w:w="6423" w:type="dxa"/>
          </w:tcPr>
          <w:p w14:paraId="000C180C" w14:textId="77777777" w:rsidR="009C267D" w:rsidRDefault="009C267D"/>
          <w:p w14:paraId="6B03440C" w14:textId="77777777" w:rsidR="009C267D" w:rsidRDefault="009C267D"/>
          <w:p w14:paraId="77566955" w14:textId="77777777" w:rsidR="009C267D" w:rsidRDefault="009C267D">
            <w:r>
              <w:t>De acuerdo</w:t>
            </w:r>
          </w:p>
        </w:tc>
      </w:tr>
      <w:tr w:rsidR="009C267D" w14:paraId="3CC636BE" w14:textId="77777777" w:rsidTr="4C8DB6B3">
        <w:tc>
          <w:tcPr>
            <w:tcW w:w="2405" w:type="dxa"/>
          </w:tcPr>
          <w:p w14:paraId="19E39C3E" w14:textId="77777777" w:rsidR="009C267D" w:rsidRDefault="009C267D">
            <w:r>
              <w:t xml:space="preserve">6) Escritura. En términos generales, el manuscrito está bien redactado, pero es necesario organizar la </w:t>
            </w:r>
            <w:r>
              <w:lastRenderedPageBreak/>
              <w:t>coherencia entre los párrafos y la estructura en la que están planteados, de manera que se mantenga siempre el hilo conductor. Las conclusiones deben ser mas contundentes en relación a la utilidad del instrumento. La citación y referenciación en APA es correcta, aun cuando se deben respetar las sangrías.</w:t>
            </w:r>
          </w:p>
        </w:tc>
        <w:tc>
          <w:tcPr>
            <w:tcW w:w="6423" w:type="dxa"/>
          </w:tcPr>
          <w:p w14:paraId="4BEDB16B" w14:textId="77777777" w:rsidR="009C267D" w:rsidRDefault="009C267D"/>
          <w:p w14:paraId="78BC26DE" w14:textId="77777777" w:rsidR="009C267D" w:rsidRDefault="009C267D"/>
          <w:p w14:paraId="632491AC" w14:textId="335AC474" w:rsidR="00BD517C" w:rsidRDefault="00552E53" w:rsidP="0036685B">
            <w:r>
              <w:t>Hemos revisado todo el texto, añadiendo unos conectores al final o al inicio de varios párrafos para mejorar la conexión entre ellos. Además se ha reforzado la elaboración de las conclusiones en cuanto</w:t>
            </w:r>
            <w:r w:rsidR="0036685B">
              <w:t xml:space="preserve">  </w:t>
            </w:r>
            <w:r w:rsidR="0036685B">
              <w:lastRenderedPageBreak/>
              <w:t xml:space="preserve">a la utilidad del instrumento. </w:t>
            </w:r>
          </w:p>
          <w:p w14:paraId="3C2F6EA2" w14:textId="5FD36169" w:rsidR="0036685B" w:rsidRDefault="0036685B" w:rsidP="0036685B">
            <w:r>
              <w:t>Se integró esta parte al final en discusiones.</w:t>
            </w:r>
          </w:p>
          <w:p w14:paraId="4B4CD7A1" w14:textId="1B641B50" w:rsidR="0036685B" w:rsidRDefault="0036685B" w:rsidP="0036685B">
            <w:pPr>
              <w:rPr>
                <w:color w:val="00B0F0"/>
              </w:rPr>
            </w:pPr>
            <w:r>
              <w:t>También se agregaron las sangrias a las referencias.</w:t>
            </w:r>
          </w:p>
          <w:p w14:paraId="0CF5623B" w14:textId="6A788C80" w:rsidR="00BD517C" w:rsidRPr="009C267D" w:rsidRDefault="00BD517C" w:rsidP="00552E53">
            <w:pPr>
              <w:rPr>
                <w:color w:val="00B0F0"/>
              </w:rPr>
            </w:pPr>
          </w:p>
        </w:tc>
      </w:tr>
      <w:tr w:rsidR="009C267D" w14:paraId="0A1A69E5" w14:textId="77777777" w:rsidTr="4C8DB6B3">
        <w:tc>
          <w:tcPr>
            <w:tcW w:w="2405" w:type="dxa"/>
          </w:tcPr>
          <w:p w14:paraId="1B2EF18A" w14:textId="5DF91733" w:rsidR="009C267D" w:rsidRDefault="009C267D">
            <w:r>
              <w:lastRenderedPageBreak/>
              <w:t>7) Se evidencia consulta y análisis de textos latinoamericanos. En particular los realizados por JI Ruíz que, aun cuando es español, ha desarrollado gran parte de su trabajo en Colombia.</w:t>
            </w:r>
          </w:p>
        </w:tc>
        <w:tc>
          <w:tcPr>
            <w:tcW w:w="6423" w:type="dxa"/>
          </w:tcPr>
          <w:p w14:paraId="72F4FECA" w14:textId="77777777" w:rsidR="009C267D" w:rsidRDefault="009C267D"/>
          <w:p w14:paraId="3BDF8C69" w14:textId="77777777" w:rsidR="009C267D" w:rsidRDefault="009C267D">
            <w:r>
              <w:t>De acuerdo</w:t>
            </w:r>
          </w:p>
        </w:tc>
      </w:tr>
      <w:tr w:rsidR="4C8DB6B3" w14:paraId="67ECAD4D" w14:textId="77777777" w:rsidTr="4C8DB6B3">
        <w:tc>
          <w:tcPr>
            <w:tcW w:w="2405" w:type="dxa"/>
          </w:tcPr>
          <w:p w14:paraId="7B63AAE4" w14:textId="5B4E8B19" w:rsidR="4C8DB6B3" w:rsidRDefault="4C8DB6B3" w:rsidP="4C8DB6B3">
            <w:r w:rsidRPr="4C8DB6B3">
              <w:rPr>
                <w:rFonts w:ascii="Calibri" w:eastAsia="Calibri" w:hAnsi="Calibri" w:cs="Calibri"/>
              </w:rPr>
              <w:t>Several of the references that the authors include are not from journals in Scopus nor JCR. This makes the review of the literature very weak.</w:t>
            </w:r>
          </w:p>
        </w:tc>
        <w:tc>
          <w:tcPr>
            <w:tcW w:w="6423" w:type="dxa"/>
          </w:tcPr>
          <w:p w14:paraId="53708613" w14:textId="2C2AC211" w:rsidR="4C8DB6B3" w:rsidRDefault="4C8DB6B3" w:rsidP="4C8DB6B3"/>
          <w:p w14:paraId="4DFF4A77" w14:textId="73A8F941" w:rsidR="4C8DB6B3" w:rsidRDefault="4C8DB6B3" w:rsidP="4C8DB6B3">
            <w:r>
              <w:t>La escala tiene su origen en unas fuentes bibliográficas de autores latinoamericanos concretos, dichas fuentes no están indexadas en Scopus. Esto es algo que se escapa a nuestros deseos. Hay muy pocos trabajos sobre resiliencia comunitaria desde autores latinoamericanos.</w:t>
            </w:r>
          </w:p>
        </w:tc>
      </w:tr>
      <w:tr w:rsidR="4C8DB6B3" w14:paraId="732ABAA2" w14:textId="77777777" w:rsidTr="4C8DB6B3">
        <w:tc>
          <w:tcPr>
            <w:tcW w:w="2405" w:type="dxa"/>
          </w:tcPr>
          <w:p w14:paraId="79D01098" w14:textId="77454F34" w:rsidR="4C8DB6B3" w:rsidRDefault="4C8DB6B3" w:rsidP="4C8DB6B3">
            <w:r w:rsidRPr="4C8DB6B3">
              <w:rPr>
                <w:rFonts w:ascii="Calibri" w:eastAsia="Calibri" w:hAnsi="Calibri" w:cs="Calibri"/>
              </w:rPr>
              <w:t>What is a POW?</w:t>
            </w:r>
          </w:p>
        </w:tc>
        <w:tc>
          <w:tcPr>
            <w:tcW w:w="6423" w:type="dxa"/>
          </w:tcPr>
          <w:p w14:paraId="1788084A" w14:textId="1FD5F26C" w:rsidR="4C8DB6B3" w:rsidRDefault="4C8DB6B3" w:rsidP="4C8DB6B3">
            <w:r>
              <w:t>Prisoners of War. Se aclaró en el texto.</w:t>
            </w:r>
          </w:p>
        </w:tc>
      </w:tr>
      <w:tr w:rsidR="4C8DB6B3" w14:paraId="0D75722F" w14:textId="77777777" w:rsidTr="4C8DB6B3">
        <w:tc>
          <w:tcPr>
            <w:tcW w:w="2405" w:type="dxa"/>
          </w:tcPr>
          <w:p w14:paraId="01A38FBC" w14:textId="533BF54D" w:rsidR="4C8DB6B3" w:rsidRDefault="4C8DB6B3" w:rsidP="4C8DB6B3">
            <w:r w:rsidRPr="4C8DB6B3">
              <w:rPr>
                <w:rFonts w:ascii="Calibri" w:eastAsia="Calibri" w:hAnsi="Calibri" w:cs="Calibri"/>
              </w:rPr>
              <w:t>(Southwick and Charney, 2014)</w:t>
            </w:r>
          </w:p>
        </w:tc>
        <w:tc>
          <w:tcPr>
            <w:tcW w:w="6423" w:type="dxa"/>
          </w:tcPr>
          <w:p w14:paraId="551BE093" w14:textId="45BA7A3E" w:rsidR="4C8DB6B3" w:rsidRDefault="4C8DB6B3" w:rsidP="4C8DB6B3">
            <w:r>
              <w:t>Tiene razón el revisor con semejante error. Se completó la referencia bibliográfica.</w:t>
            </w:r>
          </w:p>
        </w:tc>
      </w:tr>
      <w:tr w:rsidR="4C8DB6B3" w14:paraId="1D6CA92D" w14:textId="77777777" w:rsidTr="4C8DB6B3">
        <w:tc>
          <w:tcPr>
            <w:tcW w:w="2405" w:type="dxa"/>
          </w:tcPr>
          <w:p w14:paraId="28BA0DC4" w14:textId="12F59DE4" w:rsidR="4C8DB6B3" w:rsidRDefault="4C8DB6B3" w:rsidP="4C8DB6B3">
            <w:r w:rsidRPr="4C8DB6B3">
              <w:rPr>
                <w:rFonts w:ascii="Calibri" w:eastAsia="Calibri" w:hAnsi="Calibri" w:cs="Calibri"/>
              </w:rPr>
              <w:t>There are strange writting parts, I recommed to re check</w:t>
            </w:r>
          </w:p>
        </w:tc>
        <w:tc>
          <w:tcPr>
            <w:tcW w:w="6423" w:type="dxa"/>
            <w:shd w:val="clear" w:color="auto" w:fill="FFFF00"/>
          </w:tcPr>
          <w:p w14:paraId="401B70FD" w14:textId="36A77FE5" w:rsidR="4C8DB6B3" w:rsidRPr="008709D8" w:rsidRDefault="4C8DB6B3" w:rsidP="4C8DB6B3">
            <w:r w:rsidRPr="008709D8">
              <w:t>Se revisó el texto.</w:t>
            </w:r>
          </w:p>
        </w:tc>
      </w:tr>
      <w:tr w:rsidR="4C8DB6B3" w14:paraId="583263C0" w14:textId="77777777" w:rsidTr="4C8DB6B3">
        <w:tc>
          <w:tcPr>
            <w:tcW w:w="2405" w:type="dxa"/>
          </w:tcPr>
          <w:p w14:paraId="6D44D789" w14:textId="5DD826C3" w:rsidR="4C8DB6B3" w:rsidRDefault="4C8DB6B3" w:rsidP="4C8DB6B3">
            <w:pPr>
              <w:rPr>
                <w:rFonts w:ascii="Calibri" w:eastAsia="Calibri" w:hAnsi="Calibri" w:cs="Calibri"/>
              </w:rPr>
            </w:pPr>
            <w:r w:rsidRPr="4C8DB6B3">
              <w:rPr>
                <w:rFonts w:ascii="Calibri" w:eastAsia="Calibri" w:hAnsi="Calibri" w:cs="Calibri"/>
              </w:rPr>
              <w:t>Poiré</w:t>
            </w:r>
          </w:p>
        </w:tc>
        <w:tc>
          <w:tcPr>
            <w:tcW w:w="6423" w:type="dxa"/>
            <w:shd w:val="clear" w:color="auto" w:fill="FFFF00"/>
          </w:tcPr>
          <w:p w14:paraId="5C7D7C30" w14:textId="7406A54E" w:rsidR="4C8DB6B3" w:rsidRPr="008709D8" w:rsidRDefault="008709D8" w:rsidP="4C8DB6B3">
            <w:r>
              <w:t>Se eliminó cita y referencia.</w:t>
            </w:r>
            <w:bookmarkStart w:id="0" w:name="_GoBack"/>
            <w:bookmarkEnd w:id="0"/>
          </w:p>
        </w:tc>
      </w:tr>
      <w:tr w:rsidR="4C8DB6B3" w14:paraId="048E7862" w14:textId="77777777" w:rsidTr="4C8DB6B3">
        <w:tc>
          <w:tcPr>
            <w:tcW w:w="2405" w:type="dxa"/>
          </w:tcPr>
          <w:p w14:paraId="27D9041B" w14:textId="438FEAFF" w:rsidR="4C8DB6B3" w:rsidRDefault="4C8DB6B3" w:rsidP="4C8DB6B3">
            <w:r w:rsidRPr="4C8DB6B3">
              <w:rPr>
                <w:rFonts w:ascii="Calibri" w:eastAsia="Calibri" w:hAnsi="Calibri" w:cs="Calibri"/>
              </w:rPr>
              <w:t>The instruments sections is so vague, the instruments are not clearly described. I could not understand them properly.</w:t>
            </w:r>
          </w:p>
        </w:tc>
        <w:tc>
          <w:tcPr>
            <w:tcW w:w="6423" w:type="dxa"/>
          </w:tcPr>
          <w:p w14:paraId="3F0E0C90" w14:textId="57225EFA" w:rsidR="4C8DB6B3" w:rsidRPr="008709D8" w:rsidRDefault="4C8DB6B3" w:rsidP="4C8DB6B3"/>
          <w:p w14:paraId="3BDB737E" w14:textId="317FB382" w:rsidR="4C8DB6B3" w:rsidRPr="008709D8" w:rsidRDefault="4C8DB6B3" w:rsidP="4C8DB6B3"/>
          <w:p w14:paraId="70B111A2" w14:textId="3F2033AC" w:rsidR="4C8DB6B3" w:rsidRPr="008709D8" w:rsidRDefault="4C8DB6B3" w:rsidP="4C8DB6B3">
            <w:r w:rsidRPr="008709D8">
              <w:t>Se amplió la descripción del instrumento</w:t>
            </w:r>
          </w:p>
        </w:tc>
      </w:tr>
      <w:tr w:rsidR="4C8DB6B3" w14:paraId="33277630" w14:textId="77777777" w:rsidTr="4C8DB6B3">
        <w:tc>
          <w:tcPr>
            <w:tcW w:w="2405" w:type="dxa"/>
          </w:tcPr>
          <w:p w14:paraId="6546C9E9" w14:textId="7552817C" w:rsidR="4C8DB6B3" w:rsidRDefault="4C8DB6B3" w:rsidP="4C8DB6B3">
            <w:r w:rsidRPr="4C8DB6B3">
              <w:rPr>
                <w:rFonts w:ascii="Calibri" w:eastAsia="Calibri" w:hAnsi="Calibri" w:cs="Calibri"/>
              </w:rPr>
              <w:t>Where are the freedom degress</w:t>
            </w:r>
          </w:p>
        </w:tc>
        <w:tc>
          <w:tcPr>
            <w:tcW w:w="6423" w:type="dxa"/>
            <w:shd w:val="clear" w:color="auto" w:fill="FFFF00"/>
          </w:tcPr>
          <w:p w14:paraId="2AD4B497" w14:textId="10F9C7F0" w:rsidR="4C8DB6B3" w:rsidRDefault="4C8DB6B3" w:rsidP="4C8DB6B3">
            <w:r>
              <w:t>Ya se colocaron.</w:t>
            </w:r>
          </w:p>
        </w:tc>
      </w:tr>
      <w:tr w:rsidR="4C8DB6B3" w14:paraId="494BE82F" w14:textId="77777777" w:rsidTr="4C8DB6B3">
        <w:tc>
          <w:tcPr>
            <w:tcW w:w="2405" w:type="dxa"/>
          </w:tcPr>
          <w:p w14:paraId="03E3FA3F" w14:textId="59E58881" w:rsidR="4C8DB6B3" w:rsidRDefault="4C8DB6B3" w:rsidP="4C8DB6B3">
            <w:r w:rsidRPr="4C8DB6B3">
              <w:rPr>
                <w:rFonts w:ascii="Calibri" w:eastAsia="Calibri" w:hAnsi="Calibri" w:cs="Calibri"/>
              </w:rPr>
              <w:t xml:space="preserve">Why is not explained the range of the </w:t>
            </w:r>
            <w:r w:rsidRPr="4C8DB6B3">
              <w:rPr>
                <w:rFonts w:ascii="Calibri" w:eastAsia="Calibri" w:hAnsi="Calibri" w:cs="Calibri"/>
              </w:rPr>
              <w:lastRenderedPageBreak/>
              <w:t>RMSEA?</w:t>
            </w:r>
          </w:p>
        </w:tc>
        <w:tc>
          <w:tcPr>
            <w:tcW w:w="6423" w:type="dxa"/>
          </w:tcPr>
          <w:p w14:paraId="1808C5A9" w14:textId="583EEE1C" w:rsidR="4C8DB6B3" w:rsidRDefault="4C8DB6B3" w:rsidP="4C8DB6B3">
            <w:r>
              <w:lastRenderedPageBreak/>
              <w:t xml:space="preserve">El artículo contiene dos análisis con el coeficiente RSMEA. En el estudio 1 se empleó el programa FACTOR, el cual NO arroja rangos </w:t>
            </w:r>
            <w:r>
              <w:lastRenderedPageBreak/>
              <w:t>para el coeficiente. En el estudio 2 se empleó el MPLUS para un análisis diferente, y este programa sí arroja el rango y ya fue incluido en el texto original.</w:t>
            </w:r>
          </w:p>
        </w:tc>
      </w:tr>
      <w:tr w:rsidR="4C8DB6B3" w14:paraId="1B6252E9" w14:textId="77777777" w:rsidTr="4C8DB6B3">
        <w:tc>
          <w:tcPr>
            <w:tcW w:w="2405" w:type="dxa"/>
          </w:tcPr>
          <w:p w14:paraId="756FDA65" w14:textId="7242048F" w:rsidR="4C8DB6B3" w:rsidRDefault="4C8DB6B3" w:rsidP="4C8DB6B3">
            <w:r w:rsidRPr="4C8DB6B3">
              <w:rPr>
                <w:rFonts w:ascii="Calibri" w:eastAsia="Calibri" w:hAnsi="Calibri" w:cs="Calibri"/>
              </w:rPr>
              <w:lastRenderedPageBreak/>
              <w:t>Also why they use a so old version of SPSS?</w:t>
            </w:r>
          </w:p>
        </w:tc>
        <w:tc>
          <w:tcPr>
            <w:tcW w:w="6423" w:type="dxa"/>
          </w:tcPr>
          <w:p w14:paraId="5009D107" w14:textId="6A942E57" w:rsidR="4C8DB6B3" w:rsidRDefault="4C8DB6B3" w:rsidP="4C8DB6B3">
            <w:r>
              <w:t>Los análisis que se precisaron con dicho programa para este programa ya están en la versión empleada para este artículo.</w:t>
            </w:r>
          </w:p>
        </w:tc>
      </w:tr>
    </w:tbl>
    <w:p w14:paraId="325D3030" w14:textId="77777777" w:rsidR="00516499" w:rsidRDefault="00516499"/>
    <w:p w14:paraId="3C0E6B8B" w14:textId="77777777" w:rsidR="009C267D" w:rsidRDefault="009C267D"/>
    <w:sectPr w:rsidR="009C26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6B0"/>
    <w:rsid w:val="0036685B"/>
    <w:rsid w:val="00516499"/>
    <w:rsid w:val="00552E53"/>
    <w:rsid w:val="006C0E71"/>
    <w:rsid w:val="00855414"/>
    <w:rsid w:val="008709D8"/>
    <w:rsid w:val="009C267D"/>
    <w:rsid w:val="00BD517C"/>
    <w:rsid w:val="00D904BD"/>
    <w:rsid w:val="00E906B0"/>
    <w:rsid w:val="4C8DB6B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12]"/>
    </o:shapedefaults>
    <o:shapelayout v:ext="edit">
      <o:idmap v:ext="edit" data="1"/>
    </o:shapelayout>
  </w:shapeDefaults>
  <w:decimalSymbol w:val="."/>
  <w:listSeparator w:val=","/>
  <w14:docId w14:val="156C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90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6685B"/>
    <w:pPr>
      <w:spacing w:after="200" w:line="276"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90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6685B"/>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1037</Words>
  <Characters>5705</Characters>
  <Application>Microsoft Macintosh Word</Application>
  <DocSecurity>0</DocSecurity>
  <Lines>47</Lines>
  <Paragraphs>13</Paragraphs>
  <ScaleCrop>false</ScaleCrop>
  <Company/>
  <LinksUpToDate>false</LinksUpToDate>
  <CharactersWithSpaces>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Evaluador A</dc:creator>
  <cp:keywords/>
  <dc:description/>
  <cp:lastModifiedBy>Elsy Chan</cp:lastModifiedBy>
  <cp:revision>3</cp:revision>
  <dcterms:created xsi:type="dcterms:W3CDTF">2019-08-07T22:16:00Z</dcterms:created>
  <dcterms:modified xsi:type="dcterms:W3CDTF">2019-08-14T11:44:00Z</dcterms:modified>
</cp:coreProperties>
</file>