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notes.xml" ContentType="application/vnd.openxmlformats-officedocument.wordprocessingml.foot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rFonts w:ascii="Segoe UI" w:hAnsi="Segoe UI" w:cs="Segoe UI"/>
          <w:caps/>
          <w:sz w:val="36"/>
          <w:szCs w:val="36"/>
        </w:rPr>
      </w:pPr>
      <w:r>
        <w:rPr>
          <w:rFonts w:ascii="Times New Roman" w:hAnsi="Times New Roman"/>
          <w:b/>
          <w:caps/>
          <w:sz w:val="36"/>
          <w:szCs w:val="36"/>
          <w:lang w:val="pt-BR"/>
        </w:rPr>
        <w:t>Fatores Associados à Adaptação Acadêmica de Estudantes de Psicologia do Primeiro Período</w:t>
      </w:r>
      <w:r>
        <w:rPr>
          <w:rFonts w:cs="Segoe UI" w:ascii="Segoe UI" w:hAnsi="Segoe UI"/>
          <w:caps/>
          <w:sz w:val="36"/>
          <w:szCs w:val="36"/>
        </w:rPr>
        <w:t xml:space="preserve"> </w:t>
      </w:r>
    </w:p>
    <w:p>
      <w:pPr>
        <w:pStyle w:val="Normal"/>
        <w:spacing w:lineRule="auto" w:line="276" w:before="0" w:after="0"/>
        <w:rPr>
          <w:rFonts w:ascii="Times" w:hAnsi="Times" w:cs="Segoe UI"/>
          <w:b/>
          <w:b/>
          <w:bCs/>
          <w:sz w:val="28"/>
          <w:szCs w:val="28"/>
        </w:rPr>
      </w:pPr>
      <w:r>
        <w:rPr>
          <w:rFonts w:cs="Segoe UI" w:ascii="Times" w:hAnsi="Times"/>
          <w:b/>
          <w:bCs/>
          <w:sz w:val="28"/>
          <w:szCs w:val="28"/>
          <w:highlight w:val="yellow"/>
        </w:rPr>
        <w:t>Adriana Benevides Soares</w:t>
      </w:r>
      <w:r>
        <w:rPr>
          <w:rStyle w:val="Ncoradanotaderodap"/>
          <w:rFonts w:cs="Segoe UI" w:ascii="Times" w:hAnsi="Times"/>
          <w:b/>
          <w:bCs/>
          <w:sz w:val="28"/>
          <w:szCs w:val="28"/>
          <w:highlight w:val="yellow"/>
        </w:rPr>
        <w:footnoteReference w:id="2"/>
      </w:r>
      <w:r>
        <w:rPr>
          <w:rFonts w:cs="Segoe UI" w:ascii="Times" w:hAnsi="Times"/>
          <w:b/>
          <w:bCs/>
          <w:sz w:val="28"/>
          <w:szCs w:val="28"/>
          <w:highlight w:val="yellow"/>
        </w:rPr>
        <w:t xml:space="preserve"> </w:t>
      </w:r>
    </w:p>
    <w:p>
      <w:pPr>
        <w:pStyle w:val="Normal"/>
        <w:spacing w:lineRule="auto" w:line="276" w:before="0" w:after="0"/>
        <w:rPr>
          <w:rFonts w:ascii="Times" w:hAnsi="Times" w:cs="Segoe UI"/>
          <w:b/>
          <w:b/>
          <w:bCs/>
          <w:sz w:val="28"/>
          <w:szCs w:val="28"/>
        </w:rPr>
      </w:pPr>
      <w:r>
        <w:rPr>
          <w:rFonts w:cs="Segoe UI" w:ascii="Times" w:hAnsi="Times"/>
          <w:b/>
          <w:bCs/>
          <w:sz w:val="28"/>
          <w:szCs w:val="28"/>
          <w:highlight w:val="yellow"/>
        </w:rPr>
        <w:t>Almir Diego Gonçalves Brito da Silva</w:t>
      </w:r>
    </w:p>
    <w:p>
      <w:pPr>
        <w:pStyle w:val="Normal"/>
        <w:spacing w:lineRule="auto" w:line="276" w:before="0" w:after="0"/>
        <w:rPr>
          <w:rFonts w:ascii="Times" w:hAnsi="Times" w:cs="Segoe UI"/>
          <w:b/>
          <w:b/>
          <w:bCs/>
          <w:sz w:val="28"/>
          <w:szCs w:val="28"/>
        </w:rPr>
      </w:pPr>
      <w:r>
        <w:rPr>
          <w:rFonts w:cs="Segoe UI" w:ascii="Times" w:hAnsi="Times"/>
          <w:b/>
          <w:bCs/>
          <w:sz w:val="28"/>
          <w:szCs w:val="28"/>
          <w:highlight w:val="yellow"/>
        </w:rPr>
        <w:t xml:space="preserve">Bruno de Alcantara Souza </w:t>
      </w:r>
    </w:p>
    <w:p>
      <w:pPr>
        <w:pStyle w:val="Normal"/>
        <w:spacing w:lineRule="auto" w:line="276" w:before="0" w:after="0"/>
        <w:rPr>
          <w:rFonts w:ascii="Times" w:hAnsi="Times" w:cs="Segoe UI"/>
          <w:b/>
          <w:b/>
          <w:bCs/>
          <w:sz w:val="28"/>
          <w:szCs w:val="28"/>
        </w:rPr>
      </w:pPr>
      <w:r>
        <w:rPr>
          <w:rFonts w:cs="Segoe UI" w:ascii="Times" w:hAnsi="Times"/>
          <w:b/>
          <w:bCs/>
          <w:sz w:val="28"/>
          <w:szCs w:val="28"/>
          <w:highlight w:val="yellow"/>
        </w:rPr>
        <w:t xml:space="preserve">Priscila Fernandes Lima </w:t>
      </w:r>
    </w:p>
    <w:p>
      <w:pPr>
        <w:pStyle w:val="Normal"/>
        <w:spacing w:lineRule="auto" w:line="276" w:before="0" w:after="0"/>
        <w:rPr>
          <w:rFonts w:ascii="Times" w:hAnsi="Times" w:cs="Segoe UI"/>
          <w:i/>
          <w:i/>
          <w:iCs/>
          <w:sz w:val="28"/>
          <w:szCs w:val="28"/>
        </w:rPr>
      </w:pPr>
      <w:r>
        <w:rPr>
          <w:rFonts w:cs="Segoe UI" w:ascii="Times" w:hAnsi="Times"/>
          <w:i/>
          <w:iCs/>
          <w:sz w:val="28"/>
          <w:szCs w:val="28"/>
          <w:highlight w:val="yellow"/>
        </w:rPr>
        <w:t xml:space="preserve">Universidade Salgado de Oliveira, Brazil </w:t>
      </w:r>
    </w:p>
    <w:p>
      <w:pPr>
        <w:pStyle w:val="Normal"/>
        <w:spacing w:lineRule="auto" w:line="240" w:before="0" w:after="160"/>
        <w:ind w:left="706" w:hanging="706"/>
        <w:contextualSpacing/>
        <w:rPr>
          <w:rFonts w:ascii="Times New Roman" w:hAnsi="Times New Roman"/>
          <w:i/>
          <w:i/>
          <w:sz w:val="28"/>
          <w:szCs w:val="28"/>
        </w:rPr>
      </w:pPr>
      <w:r>
        <w:rPr>
          <w:rFonts w:ascii="Times New Roman" w:hAnsi="Times New Roman"/>
          <w:i/>
          <w:sz w:val="28"/>
          <w:szCs w:val="28"/>
        </w:rPr>
        <mc:AlternateContent>
          <mc:Choice Requires="wps">
            <w:drawing>
              <wp:anchor behindDoc="0" distT="0" distB="0" distL="0" distR="0" simplePos="0" locked="0" layoutInCell="1" allowOverlap="1" relativeHeight="9" wp14:anchorId="0EF04D22">
                <wp:simplePos x="0" y="0"/>
                <wp:positionH relativeFrom="column">
                  <wp:posOffset>0</wp:posOffset>
                </wp:positionH>
                <wp:positionV relativeFrom="paragraph">
                  <wp:posOffset>66675</wp:posOffset>
                </wp:positionV>
                <wp:extent cx="6173470" cy="1270"/>
                <wp:effectExtent l="0" t="0" r="25400" b="25400"/>
                <wp:wrapNone/>
                <wp:docPr id="1" name="Straight Connector 3"/>
                <a:graphic xmlns:a="http://schemas.openxmlformats.org/drawingml/2006/main">
                  <a:graphicData uri="http://schemas.microsoft.com/office/word/2010/wordprocessingShape">
                    <wps:wsp>
                      <wps:cNvSpPr/>
                      <wps:spPr>
                        <a:xfrm>
                          <a:off x="0" y="0"/>
                          <a:ext cx="6172920" cy="0"/>
                        </a:xfrm>
                        <a:prstGeom prst="line">
                          <a:avLst/>
                        </a:prstGeom>
                        <a:ln w="25560">
                          <a:solidFill>
                            <a:srgbClr val="000000"/>
                          </a:solidFill>
                          <a:round/>
                        </a:ln>
                      </wps:spPr>
                      <wps:style>
                        <a:lnRef idx="0"/>
                        <a:fillRef idx="0"/>
                        <a:effectRef idx="0"/>
                        <a:fontRef idx="minor"/>
                      </wps:style>
                      <wps:bodyPr/>
                    </wps:wsp>
                  </a:graphicData>
                </a:graphic>
              </wp:anchor>
            </w:drawing>
          </mc:Choice>
          <mc:Fallback>
            <w:pict>
              <v:line id="shape_0" from="0pt,5.25pt" to="486pt,5.25pt" ID="Straight Connector 3" stroked="t" style="position:absolute" wp14:anchorId="0EF04D22">
                <v:stroke color="black" weight="25560" joinstyle="round" endcap="flat"/>
                <v:fill o:detectmouseclick="t" on="false"/>
              </v:line>
            </w:pict>
          </mc:Fallback>
        </mc:AlternateContent>
      </w:r>
    </w:p>
    <w:p>
      <w:pPr>
        <w:pStyle w:val="Normal"/>
        <w:spacing w:lineRule="auto" w:line="240" w:before="0" w:after="160"/>
        <w:contextualSpacing/>
        <w:jc w:val="both"/>
        <w:rPr>
          <w:rFonts w:ascii="Times New Roman" w:hAnsi="Times New Roman"/>
          <w:b/>
          <w:b/>
          <w:smallCaps/>
          <w:lang w:val="pt-BR"/>
        </w:rPr>
      </w:pPr>
      <w:r>
        <w:rPr>
          <w:rFonts w:ascii="Times New Roman" w:hAnsi="Times New Roman"/>
          <w:b/>
          <w:smallCaps/>
          <w:lang w:val="pt-BR"/>
        </w:rPr>
        <w:t>Resumo</w:t>
      </w:r>
    </w:p>
    <w:p>
      <w:pPr>
        <w:pStyle w:val="Normal"/>
        <w:spacing w:lineRule="auto" w:line="240" w:before="0" w:after="160"/>
        <w:contextualSpacing/>
        <w:jc w:val="both"/>
        <w:rPr>
          <w:rFonts w:ascii="Times New Roman" w:hAnsi="Times New Roman"/>
          <w:lang w:val="pt-BR"/>
        </w:rPr>
      </w:pPr>
      <w:r>
        <w:rPr>
          <w:rFonts w:ascii="Times New Roman" w:hAnsi="Times New Roman"/>
          <w:lang w:val="pt-BR"/>
        </w:rPr>
        <w:t xml:space="preserve">O estudo verificou como as variáveis </w:t>
      </w:r>
      <w:r>
        <w:rPr>
          <w:rFonts w:ascii="Times New Roman" w:hAnsi="Times New Roman"/>
          <w:bCs/>
          <w:lang w:val="pt-BR"/>
        </w:rPr>
        <w:t xml:space="preserve">Expectativas Acadêmicas, Habilidades Sociais, Maturidade para a Escolha Profissional e Educação à Carreira estão associadas à adaptação acadêmica no Ensino Superior no primeiro período do curso de Psicologia. Os participantes foram 214 estudantes de universidades públicas e privadas do Estado do Rio de Janeiro. Utilizaram-se os instrumentos </w:t>
      </w:r>
      <w:r>
        <w:rPr>
          <w:rFonts w:ascii="Times New Roman" w:hAnsi="Times New Roman"/>
          <w:lang w:val="pt-BR"/>
        </w:rPr>
        <w:t xml:space="preserve">Escala de Expectativas Acadêmicas de Estudantes Ingressantes na Educação Superior, </w:t>
      </w:r>
      <w:r>
        <w:rPr>
          <w:rFonts w:ascii="Times New Roman" w:hAnsi="Times New Roman"/>
          <w:lang w:val="pt-BR" w:eastAsia="pt-BR"/>
        </w:rPr>
        <w:t xml:space="preserve">Inventário de Habilidades Sociais, </w:t>
      </w:r>
      <w:r>
        <w:rPr>
          <w:rFonts w:ascii="Times New Roman" w:hAnsi="Times New Roman"/>
          <w:lang w:val="pt-BR"/>
        </w:rPr>
        <w:t>Escala de Ma</w:t>
      </w:r>
      <w:r>
        <w:rPr>
          <w:rFonts w:ascii="Times New Roman" w:hAnsi="Times New Roman"/>
          <w:iCs/>
          <w:lang w:val="pt-BR"/>
        </w:rPr>
        <w:t xml:space="preserve">turidade para Escolha Profissional, Questionário de Educação a Carreira </w:t>
      </w:r>
      <w:r>
        <w:rPr>
          <w:rFonts w:ascii="Times New Roman" w:hAnsi="Times New Roman"/>
          <w:lang w:val="pt-BR"/>
        </w:rPr>
        <w:t>e Questionário de Vivências Acadêmicas reduzido. A adaptação mais satisfatória esteve associada a níveis mais realistas de Expectativas Acadêmicas, melhor Educação à Carreira e melhor repertório de Habilidades Sociais. A promoção de competências sociais e de escolha profissional pode contribuir para a adaptação acadêmica no contexto estudado.</w:t>
      </w:r>
    </w:p>
    <w:p>
      <w:pPr>
        <w:pStyle w:val="Normal"/>
        <w:spacing w:lineRule="auto" w:line="240" w:before="0" w:after="160"/>
        <w:contextualSpacing/>
        <w:jc w:val="both"/>
        <w:rPr>
          <w:rFonts w:ascii="Times New Roman" w:hAnsi="Times New Roman"/>
          <w:b/>
          <w:b/>
          <w:lang w:val="pt-BR"/>
        </w:rPr>
      </w:pPr>
      <w:r>
        <w:rPr>
          <w:rFonts w:ascii="Times New Roman" w:hAnsi="Times New Roman"/>
          <w:b/>
          <w:lang w:val="pt-BR"/>
        </w:rPr>
      </w:r>
    </w:p>
    <w:p>
      <w:pPr>
        <w:pStyle w:val="Normal"/>
        <w:spacing w:lineRule="auto" w:line="240" w:before="0" w:after="160"/>
        <w:contextualSpacing/>
        <w:jc w:val="both"/>
        <w:rPr>
          <w:rFonts w:ascii="Times New Roman" w:hAnsi="Times New Roman"/>
          <w:b/>
          <w:b/>
          <w:lang w:val="pt-BR"/>
        </w:rPr>
      </w:pPr>
      <w:r>
        <w:rPr>
          <w:rFonts w:ascii="Times New Roman" w:hAnsi="Times New Roman"/>
          <w:b/>
          <w:lang w:val="pt-BR"/>
        </w:rPr>
        <w:t>Palavras-chave</w:t>
      </w:r>
    </w:p>
    <w:p>
      <w:pPr>
        <w:pStyle w:val="Normal"/>
        <w:spacing w:lineRule="auto" w:line="240" w:before="0" w:after="160"/>
        <w:contextualSpacing/>
        <w:jc w:val="both"/>
        <w:rPr>
          <w:rFonts w:ascii="Times New Roman" w:hAnsi="Times New Roman"/>
          <w:lang w:val="pt-BR"/>
        </w:rPr>
      </w:pPr>
      <w:r>
        <w:rPr>
          <w:rFonts w:ascii="Times New Roman" w:hAnsi="Times New Roman"/>
          <w:lang w:val="pt-BR"/>
        </w:rPr>
        <w:t>estudantes universitários; curso de Psicologia; adaptação acadêmica; fatores psicossociais; sucesso</w:t>
      </w:r>
    </w:p>
    <w:p>
      <w:pPr>
        <w:pStyle w:val="Normal"/>
        <w:spacing w:lineRule="auto" w:line="240" w:before="0" w:after="160"/>
        <w:contextualSpacing/>
        <w:jc w:val="both"/>
        <w:rPr>
          <w:rFonts w:ascii="Times New Roman" w:hAnsi="Times New Roman"/>
          <w:lang w:val="pt-BR"/>
        </w:rPr>
      </w:pPr>
      <w:r>
        <w:rPr>
          <w:rFonts w:ascii="Times New Roman" w:hAnsi="Times New Roman"/>
          <w:lang w:val="pt-BR"/>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jc w:val="center"/>
        <w:rPr>
          <w:rFonts w:ascii="Times New Roman" w:hAnsi="Times New Roman"/>
          <w:b/>
          <w:b/>
          <w:color w:val="212121"/>
          <w:lang w:eastAsia="pt-BR"/>
        </w:rPr>
      </w:pPr>
      <w:r>
        <w:rPr>
          <w:rFonts w:ascii="Times New Roman" w:hAnsi="Times New Roman"/>
          <w:b/>
          <w:color w:val="212121"/>
          <w:lang w:eastAsia="pt-BR"/>
        </w:rPr>
      </w:r>
    </w:p>
    <w:p>
      <w:pPr>
        <w:pStyle w:val="Normal"/>
        <w:spacing w:lineRule="auto" w:line="240" w:before="0" w:after="160"/>
        <w:contextualSpacing/>
        <w:jc w:val="both"/>
        <w:rPr>
          <w:rFonts w:ascii="Times New Roman" w:hAnsi="Times New Roman"/>
          <w:b/>
          <w:b/>
          <w:smallCaps/>
        </w:rPr>
      </w:pPr>
      <w:r>
        <w:rPr>
          <w:rFonts w:ascii="Times New Roman" w:hAnsi="Times New Roman"/>
          <w:b/>
          <w:smallCaps/>
        </w:rPr>
        <w:t>Abstract</w:t>
      </w:r>
    </w:p>
    <w:p>
      <w:pPr>
        <w:pStyle w:val="Normal"/>
        <w:spacing w:lineRule="auto" w:line="240" w:before="0" w:after="160"/>
        <w:contextualSpacing/>
        <w:jc w:val="both"/>
        <w:rPr>
          <w:rFonts w:ascii="Times New Roman" w:hAnsi="Times New Roman"/>
        </w:rPr>
      </w:pPr>
      <w:r>
        <w:rPr>
          <w:rFonts w:ascii="Times New Roman" w:hAnsi="Times New Roman"/>
        </w:rPr>
        <w:t>T</w:t>
      </w:r>
      <w:r>
        <w:rPr>
          <w:rFonts w:ascii="Times New Roman" w:hAnsi="Times New Roman"/>
          <w:lang w:val="en"/>
        </w:rPr>
        <w:t xml:space="preserve">his study verified how the variables Academic Expectations, Social Skills, Maturity for Professional Choice and Career Education are associated to the academic adaptation in Higher Education in the first period of the Psychology course. </w:t>
      </w:r>
      <w:r>
        <w:rPr>
          <w:rFonts w:ascii="Times New Roman" w:hAnsi="Times New Roman"/>
        </w:rPr>
        <w:t>The participants were 214 students from public and private universities in the State of Rio de Janeiro.</w:t>
      </w:r>
      <w:r>
        <w:rPr>
          <w:rFonts w:ascii="Times New Roman" w:hAnsi="Times New Roman"/>
          <w:lang w:val="en"/>
        </w:rPr>
        <w:t xml:space="preserve"> Scale of Academic Expectations for Higher Education Students, Social Skills Inventory, Maturity Scale for Professional Choice, Career Education Questionnaire and Academic Experience Questionnaire short version were used. The most satisfactory adaptation was associated with more realistic levels of Academic Expectations, better Career Education and better repertoire of Social Skills. The promotion of social skills and professional choice can contribute to the academic adaptation in the studied context.</w:t>
      </w:r>
    </w:p>
    <w:p>
      <w:pPr>
        <w:pStyle w:val="Normal"/>
        <w:spacing w:lineRule="auto" w:line="240" w:before="0" w:after="160"/>
        <w:contextualSpacing/>
        <w:jc w:val="both"/>
        <w:rPr>
          <w:rFonts w:ascii="Times New Roman" w:hAnsi="Times New Roman"/>
          <w:b/>
          <w:b/>
        </w:rPr>
      </w:pPr>
      <w:r>
        <w:rPr>
          <w:rFonts w:ascii="Times New Roman" w:hAnsi="Times New Roman"/>
          <w:b/>
        </w:rPr>
      </w:r>
    </w:p>
    <w:p>
      <w:pPr>
        <w:pStyle w:val="Normal"/>
        <w:spacing w:lineRule="auto" w:line="240" w:before="0" w:after="160"/>
        <w:contextualSpacing/>
        <w:jc w:val="both"/>
        <w:rPr>
          <w:rFonts w:ascii="Times New Roman" w:hAnsi="Times New Roman"/>
          <w:b/>
          <w:b/>
        </w:rPr>
      </w:pPr>
      <w:r>
        <w:rPr>
          <w:rFonts w:ascii="Times New Roman" w:hAnsi="Times New Roman"/>
          <w:b/>
        </w:rPr>
        <w:t>Keywords</w:t>
      </w:r>
    </w:p>
    <w:p>
      <w:pPr>
        <w:pStyle w:val="Normal"/>
        <w:spacing w:lineRule="auto" w:line="240" w:before="0" w:after="160"/>
        <w:contextualSpacing/>
        <w:jc w:val="both"/>
        <w:rPr>
          <w:rFonts w:ascii="Times New Roman" w:hAnsi="Times New Roman"/>
          <w:color w:val="212121"/>
        </w:rPr>
      </w:pPr>
      <w:r>
        <w:rPr>
          <w:rFonts w:ascii="Times New Roman" w:hAnsi="Times New Roman"/>
        </w:rPr>
        <w:t>university students</w:t>
      </w:r>
      <w:r>
        <w:rPr>
          <w:rFonts w:ascii="Times New Roman" w:hAnsi="Times New Roman"/>
          <w:color w:val="212121"/>
        </w:rPr>
        <w:t>; Psychology course; academic adaptation; psychosocial factors; success</w:t>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Bold" w:hAnsi="Times New Roman Bold"/>
          <w:bCs/>
          <w:smallCaps/>
          <w:color w:val="212121"/>
          <w:sz w:val="20"/>
          <w:szCs w:val="24"/>
          <w:lang w:eastAsia="pt-BR"/>
        </w:rPr>
      </w:pPr>
      <w:r>
        <w:rPr>
          <w:rFonts w:ascii="Times New Roman Bold" w:hAnsi="Times New Roman Bold"/>
          <w:bCs/>
          <w:smallCaps/>
          <w:color w:val="212121"/>
          <w:sz w:val="20"/>
          <w:szCs w:val="24"/>
          <w:lang w:eastAsia="pt-BR"/>
        </w:rPr>
        <w:t>Factors Associated with Academic Adaptation of Psychology Students in the First Period</w:t>
      </w:r>
    </w:p>
    <w:p>
      <w:pPr>
        <w:pStyle w:val="Normal"/>
        <w:spacing w:lineRule="auto" w:line="240" w:before="0" w:after="0"/>
        <w:ind w:firstLine="709"/>
        <w:contextualSpacing/>
        <w:jc w:val="both"/>
        <w:rPr>
          <w:rFonts w:ascii="Times New Roman" w:hAnsi="Times New Roman"/>
          <w:sz w:val="24"/>
          <w:szCs w:val="24"/>
          <w:lang w:val="pt-BR"/>
        </w:rPr>
      </w:pPr>
      <w:r>
        <w:rPr>
          <w:rFonts w:ascii="Times New Roman" w:hAnsi="Times New Roman"/>
          <w:sz w:val="24"/>
          <w:szCs w:val="24"/>
          <w:lang w:val="pt-BR"/>
        </w:rPr>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t>A partir da década de 1990 vê-se ocorrer uma rápida expansão dos cursos de graduação em Psicologia, juntamente a grandes revisões no modelo educacional brasileiro e o oferecimento de programas de acesso ao Ensino Superior, possibilitando o ingresso de jovens provenientes de diferentes classes e perfis sociais (Lisboa &amp; Barbosa, 2009). Com o ingresso de um maior número de estudantes e com características diversificadas, torna-se relevante compreender as maneiras pelas quais o novo público dos cursos de Psicologia chega à universidade e a este ambiente se adapta, considerando que o processo de transição do Ensino Médio para a Universidade é acompanhado por um conjunto de mudanças que interferem no desenvolvimento psicossocial do jovem (Pinho, Dourado, Aurélio, &amp; Bastos, 2015).</w:t>
      </w:r>
    </w:p>
    <w:p>
      <w:pPr>
        <w:pStyle w:val="Normal"/>
        <w:spacing w:lineRule="auto" w:line="240" w:before="0" w:after="0"/>
        <w:ind w:firstLine="708"/>
        <w:contextualSpacing/>
        <w:jc w:val="both"/>
        <w:rPr>
          <w:rFonts w:ascii="Times New Roman" w:hAnsi="Times New Roman"/>
          <w:lang w:val="pt-BR"/>
        </w:rPr>
      </w:pPr>
      <w:r>
        <w:rPr>
          <w:rFonts w:ascii="Times New Roman" w:hAnsi="Times New Roman"/>
          <w:lang w:val="pt-BR"/>
        </w:rPr>
        <w:t>O fenômeno de adaptação acadêmica é considerado pela literatura como um processo complexo e multidimensional, envolvendo aspectos de natureza intrapessoal e contextual (Soares, Almeida, Diniz, &amp; Guisande, 2006). A qualidade das experiências durante o primeiro ano na universidade interfere na permanência e no sucesso acadêmico dos alunos, de modo que estudantes mais integrados, acadêmica e socialmente, tendem a alcançar maior êxito intelectual e pessoal do que aqueles que vivenciam dificuldades no período de transição à universidade (Teixeira, Dias, Wottrich, &amp; Oliveira, 2008). As principais dificuldades na adaptação estão ligadas a problemas oriundos das exigências acadêmicas, dos desafios nas relações interpessoais, das mudanças na formação da identidade e do desenvolvimento vocacional dos jovens. Fatores relacionados à instituição de ensino têm também relevância neste processo. A infraestrutura; os serviços oferecidos; a organização curricular; as atividades pedagógicas e as extracurriculares; as políticas educacionais e a competência dos docentes nos âmbitos pedagógicos, científicos e interpessoais devem ser considerados na compreensão do sucesso escolar do estudante universitário (Brites-Ferreira, Seco, Canastra, Simões-Dias, &amp; Abreu, 2011).</w:t>
      </w:r>
    </w:p>
    <w:p>
      <w:pPr>
        <w:pStyle w:val="Normal"/>
        <w:spacing w:lineRule="auto" w:line="240" w:before="0" w:after="0"/>
        <w:ind w:firstLine="708"/>
        <w:contextualSpacing/>
        <w:jc w:val="both"/>
        <w:rPr>
          <w:rFonts w:ascii="Times New Roman" w:hAnsi="Times New Roman"/>
          <w:lang w:val="pt-BR"/>
        </w:rPr>
      </w:pPr>
      <w:r>
        <w:rPr>
          <w:rFonts w:ascii="Times New Roman" w:hAnsi="Times New Roman"/>
          <w:lang w:val="pt-BR"/>
        </w:rPr>
        <w:t>Soares, Almeida, Diniz e Guisande (2006) contribuíram para a compreensão do processo de adaptação acadêmica procurando considerar as formas de alguns jovens lidarem com as exigências da vida universitária. No Modelo Multidimensional de Ajustamento de jovens ao contexto Universitário (MMAU) foram consideradas as características individuais dos estudantes, como informações sociodemográficas, acadêmicas e desenvolvimentais e os fatores relacionados à qualidade das universidades, como a infraestrutura, os recursos e os serviços. Compreende-se, portanto, que a experiência de ajustamento ao contexto universitário está ligada a fatores pessoais e contextuais que, relacionados, podem oferecer uma compreensão mais satisfatória deste fenômeno.</w:t>
      </w:r>
    </w:p>
    <w:p>
      <w:pPr>
        <w:pStyle w:val="Normal"/>
        <w:spacing w:lineRule="auto" w:line="240" w:before="0" w:after="0"/>
        <w:ind w:firstLine="708"/>
        <w:contextualSpacing/>
        <w:jc w:val="both"/>
        <w:rPr>
          <w:rFonts w:ascii="Times New Roman" w:hAnsi="Times New Roman"/>
          <w:lang w:val="pt-BR"/>
        </w:rPr>
      </w:pPr>
      <w:r>
        <w:rPr>
          <w:rFonts w:ascii="Times New Roman" w:hAnsi="Times New Roman"/>
          <w:lang w:val="pt-BR"/>
        </w:rPr>
        <w:t xml:space="preserve">Com o objetivo de verificar o papel do ambiente universitário na transição de estudantes ao Ensino Superior e verificar o perfil destes alunos, Sarriera, Paradiso, Schütz e Howes (2012) realizaram uma pesquisa com 273 estudantes do curso de Psicologia. A amostra contou com 84% de mulheres e 67,4% de alunos provenientes do Ensino Médio cursado em rede privada. Os resultados mostraram que os estudantes se encontravam medianamente adaptados. Um dos aspectos mais relevantes foi a forma como os alunos perceberam-se envolvidos com o curso e a profissão escolhida, acreditando que conseguirão, no futuro, concretizar suas expectativas em relação aos seus anseios vocacionais. Os estudantes se diferenciaram quanto às questões pertinentes às dimensões pessoais, de estudo e institucionais, corroborando a ideia de que as características pessoais e da instituição estão associadas ao processo de adaptação acadêmica. </w:t>
      </w:r>
    </w:p>
    <w:p>
      <w:pPr>
        <w:pStyle w:val="Corpodotexto"/>
        <w:spacing w:lineRule="auto" w:line="240" w:before="0" w:after="0"/>
        <w:ind w:firstLine="708"/>
        <w:contextualSpacing/>
        <w:jc w:val="both"/>
        <w:rPr>
          <w:rFonts w:ascii="Times New Roman" w:hAnsi="Times New Roman"/>
          <w:sz w:val="22"/>
          <w:szCs w:val="22"/>
          <w:lang w:val="pt-BR"/>
        </w:rPr>
      </w:pPr>
      <w:r>
        <w:rPr>
          <w:rFonts w:ascii="Times New Roman" w:hAnsi="Times New Roman"/>
          <w:sz w:val="22"/>
          <w:szCs w:val="22"/>
          <w:lang w:val="pt-BR"/>
        </w:rPr>
        <w:t xml:space="preserve">As expectativas acadêmicas são uma das variáveis mais estudadas no contexto da adaptação a Universidade conforme Fernandes e Almeida (2005) e podem ser definidas como sendo predições que a pessoa faz em relação ao seu desempenho em um determinado contexto social para atender não só as suas necessidades mas, também as do outro (Gomes &amp; Soares, 2013). Segundo Marinho-Araújo, Fleith, Almeida, Bisinoto e Rabelo (2015), as expectativas são fundamentais na transição do Ensino Médio para o Superior e na permanência dos estudantes no curso escolhido na medida em que influenciam a forma como enfrentam vários desafios dos quais não esperavam em suas projeções (Moreno &amp; Soares, 2014). Nesse sentido, parecem afetar os níveis de compromisso e de investimento dos alunos, criando uma instabilidade na adaptação acadêmica (Marinho-Araújo et al., 2015). Diversos estudos têm mostrado esta relação (Gomes &amp; Soares, 2013; Nadelson et al., 2013; Oliveira, Santos, &amp; Dias, 2016; Soares et al., 2014). O estudo de Nadelson et al. (2013) preocupou-se em verificar possíveis fatores que pudessem influenciar a escolha de 351 estudantes americanos ingressantes e a relação de suas expectativas e experiências com a universidade. Em termos de influências percebidas pelos alunos sobre suas decisões de frequentar um curso superior, constatou-se que são feitas por razões pessoais como “carreira” e “aprender coisas que me interessam”. A pesquisa apontou que campanhas publicitárias e competições esportivas universitárias, podem influenciar na decisão dos discentes no processo de entrada à faculdade. Constatou-se que, em geral, que as experiências dos alunos foram satisfatórias pois, a infraestrutura que a instituição disponibiliza parece favorecer o desenvolvimento dos estudantes. Por outro lado, as percepções quanto aos professores exclusivos para o público iniciante e o foco nas pesquisas da universidade não foram positivas. </w:t>
      </w:r>
    </w:p>
    <w:p>
      <w:pPr>
        <w:pStyle w:val="Corpodotexto"/>
        <w:spacing w:lineRule="auto" w:line="240" w:before="0" w:after="0"/>
        <w:ind w:firstLine="720"/>
        <w:contextualSpacing/>
        <w:jc w:val="both"/>
        <w:rPr>
          <w:rFonts w:ascii="Times New Roman" w:hAnsi="Times New Roman"/>
          <w:sz w:val="22"/>
          <w:szCs w:val="22"/>
          <w:lang w:val="pt-BR"/>
        </w:rPr>
      </w:pPr>
      <w:r>
        <w:rPr>
          <w:rFonts w:ascii="Times New Roman" w:hAnsi="Times New Roman"/>
          <w:sz w:val="22"/>
          <w:szCs w:val="22"/>
          <w:lang w:val="pt-BR"/>
        </w:rPr>
        <w:t xml:space="preserve">No cenário nacional, Oliveira, Santos e Dias (2016) entrevistaram 20 estudantes, entre calouros e formandos, dos cursos de Economia e de Psicologia de uma universidade pública no interior do estado do Rio Grande do Sul. Constataram que os acadêmicos esperavam mais integração com os outros colegas, melhor relacionamento com os professores, mais informações sobre a universidade e o curso escolhido. Além disso, esperavam salas de aula mais equipadas, laboratórios de informática, prédio com melhor infraestrutura. Dessa forma, os autores mostram que a estrutura da universidade pode influenciar no processo de adaptação acadêmica dos alunos. Um outro estudo de Soares et al. (2014) com 182 estudantes de universidades públicas e privadas do estado do Rio de Janeiro de diversos cursos buscou analisar as relações entre as expectativas e as vivências acadêmicas de estudantes ingressantes. Os resultados apontaram que as expectativas de envolvimento social, projeto vocacional de carreira e atividades curriculares são preditores da qualidade das vivências acadêmicas. Nesta mesma direção, a pesquisa realizada por Gomes e Soares (2013) verificou a existência de correlações entre expectativas acadêmicas, habilidades sociais (HS) e inteligência em 196 alunos no primeiro ano de universidades públicas e privadas, dos cursos da área de ciências humanas, saúde e educação. A pesquisa apontou que alunos com expectativas menos realistas em relação à instituição e os recursos de infraestrutura têm desempenho inferior àqueles com expectativas mais realistas que por sua vez apresentam mais envolvimento curricular e vocacional. Para os pesquisadores, os alunos ingressantes que tem mais autonomia e exploram mais seus recursos pessoais têm expectativas mais realistas em relação ao que vão encontrar como infraestrutura institucional. O estudo também evidenciou a correlação entre expectativas acadêmicas e HS em que estudantes que apresentam maiores escores de HS têm mais expectativas na área vocacional, curricular e social. </w:t>
      </w:r>
    </w:p>
    <w:p>
      <w:pPr>
        <w:pStyle w:val="Corpodotexto"/>
        <w:tabs>
          <w:tab w:val="clear" w:pos="720"/>
          <w:tab w:val="left" w:pos="709" w:leader="none"/>
        </w:tabs>
        <w:spacing w:lineRule="auto" w:line="240" w:before="0" w:after="0"/>
        <w:contextualSpacing/>
        <w:jc w:val="both"/>
        <w:rPr>
          <w:rFonts w:ascii="Times New Roman" w:hAnsi="Times New Roman"/>
          <w:sz w:val="22"/>
          <w:szCs w:val="22"/>
          <w:lang w:val="pt-BR"/>
        </w:rPr>
      </w:pPr>
      <w:r>
        <w:rPr>
          <w:rFonts w:ascii="Times New Roman" w:hAnsi="Times New Roman"/>
          <w:sz w:val="22"/>
          <w:szCs w:val="22"/>
          <w:lang w:val="pt-BR"/>
        </w:rPr>
        <w:tab/>
        <w:t>Além das expectativas, outros estudos têm mostrado uma forte relação entre o ajustamento acadêmico e a competência social dos estudantes (A. Del Prette &amp; Del Prette, 2003). Os autores afirmam que a adesão ao curso de nível superior não está unicamente vinculada a competências técnicas e instrumentais mas, também a aspectos atrelados às relações interpessoais desenvolvidas neste contexto.</w:t>
      </w:r>
    </w:p>
    <w:p>
      <w:pPr>
        <w:pStyle w:val="Normal"/>
        <w:spacing w:lineRule="auto" w:line="240" w:before="0" w:after="0"/>
        <w:ind w:firstLine="709"/>
        <w:contextualSpacing/>
        <w:jc w:val="both"/>
        <w:rPr>
          <w:rFonts w:ascii="Times New Roman" w:hAnsi="Times New Roman"/>
          <w:lang w:val="pt-BR"/>
        </w:rPr>
      </w:pPr>
      <w:r>
        <w:rPr>
          <w:rFonts w:ascii="Times New Roman" w:hAnsi="Times New Roman"/>
          <w:bCs/>
          <w:lang w:val="pt-BR"/>
        </w:rPr>
        <w:t>P</w:t>
      </w:r>
      <w:r>
        <w:rPr>
          <w:rFonts w:ascii="Times New Roman" w:hAnsi="Times New Roman"/>
          <w:lang w:val="pt-BR"/>
        </w:rPr>
        <w:t>essoas socialmente competentes estabelecem relações interpessoais mais produtivas, maior satisfação e motivação pessoal, pois apresentam melhor saúde mental e física quando comparadas àquelas que possuem déficits em habilidades sociais (Colombo &amp; Prati, 2014). É p</w:t>
      </w:r>
      <w:r>
        <w:rPr>
          <w:rFonts w:eastAsia="PalatinoLinotype-Roman" w:ascii="Times New Roman" w:hAnsi="Times New Roman"/>
          <w:lang w:val="pt-BR"/>
        </w:rPr>
        <w:t>ossível definir o termo HS como um conjunto de comportamentos expressados no repertório do indivíduo diante das situações interpessoais (</w:t>
      </w:r>
      <w:r>
        <w:rPr>
          <w:rFonts w:ascii="Times New Roman" w:hAnsi="Times New Roman"/>
          <w:lang w:val="pt-BR"/>
        </w:rPr>
        <w:t>A. Del Prette &amp; Del Prette, 2013). Observa-se neste sentido, uma demanda do mercado de trabalho para que as instituições de Ensino Superior busquem conjugar a competência técnica à social fazendo com que o estudante possa estar mais preparado para atuar profissionalmente (A. Del Prette &amp; Del Prette, 2003).</w:t>
      </w:r>
    </w:p>
    <w:p>
      <w:pPr>
        <w:pStyle w:val="Normal"/>
        <w:spacing w:lineRule="auto" w:line="240" w:before="0" w:after="0"/>
        <w:ind w:firstLine="709"/>
        <w:contextualSpacing/>
        <w:jc w:val="both"/>
        <w:rPr>
          <w:rFonts w:ascii="Times New Roman" w:hAnsi="Times New Roman"/>
          <w:iCs/>
          <w:lang w:val="pt-BR"/>
        </w:rPr>
      </w:pPr>
      <w:r>
        <w:rPr>
          <w:rFonts w:eastAsia="PalatinoLinotype-Roman" w:ascii="Times New Roman" w:hAnsi="Times New Roman"/>
          <w:lang w:val="pt-BR"/>
        </w:rPr>
        <w:t xml:space="preserve">Na realidade, </w:t>
      </w:r>
      <w:r>
        <w:rPr>
          <w:rFonts w:ascii="Times New Roman" w:hAnsi="Times New Roman"/>
          <w:lang w:val="pt-BR"/>
        </w:rPr>
        <w:t xml:space="preserve">a adaptação acadêmica requer não só recursos cognitivos e afetivos mas, em grande parte, também recursos sociais que possibilitem o sucesso do aluno ao longo do percurso universitário (Nelson, Quinn, Marrington, &amp; Clarke, 2012). As habilidades sociais podem contribuir para o aproveitamento cognitivo e escolar, uma melhor regulação da afetividade e um maior autocontrole da agressividade, além de uma forma mais madura e assertiva de relacionar-se com os colegas e professores (Soares &amp; Del Prette, 2015). </w:t>
      </w:r>
      <w:r>
        <w:rPr>
          <w:rFonts w:ascii="Times New Roman" w:hAnsi="Times New Roman"/>
          <w:iCs/>
          <w:lang w:val="pt-BR"/>
        </w:rPr>
        <w:t xml:space="preserve">Visando o mesmo objetivo, de relacionar HS com o ajustamento do estudante à universidade, alguns estudos mostraram resultados empíricos entre estas variáveis (Pellegrini, Calais, &amp; Salgado, 2012; Soares, </w:t>
      </w:r>
      <w:r>
        <w:rPr>
          <w:rFonts w:ascii="Times New Roman" w:hAnsi="Times New Roman"/>
          <w:lang w:val="pt-BR" w:eastAsia="pt-BR"/>
        </w:rPr>
        <w:t>Seabra, &amp; Gomes, 2014</w:t>
      </w:r>
      <w:r>
        <w:rPr>
          <w:rFonts w:ascii="Times New Roman" w:hAnsi="Times New Roman"/>
          <w:iCs/>
          <w:lang w:val="pt-BR"/>
        </w:rPr>
        <w:t>).</w:t>
      </w:r>
    </w:p>
    <w:p>
      <w:pPr>
        <w:pStyle w:val="Normal"/>
        <w:spacing w:lineRule="auto" w:line="240" w:before="0" w:after="0"/>
        <w:ind w:firstLine="709"/>
        <w:contextualSpacing/>
        <w:jc w:val="both"/>
        <w:rPr>
          <w:rFonts w:ascii="Times New Roman" w:hAnsi="Times New Roman"/>
          <w:lang w:val="pt-BR" w:eastAsia="pt-BR"/>
        </w:rPr>
      </w:pPr>
      <w:r>
        <w:rPr>
          <w:rFonts w:ascii="Times New Roman" w:hAnsi="Times New Roman"/>
          <w:iCs/>
          <w:lang w:val="pt-BR"/>
        </w:rPr>
        <w:t>Pellegrini et al. (2012) estudaram</w:t>
      </w:r>
      <w:r>
        <w:rPr>
          <w:rFonts w:ascii="Times New Roman" w:hAnsi="Times New Roman"/>
          <w:lang w:val="pt-BR"/>
        </w:rPr>
        <w:t xml:space="preserve"> a relação entre as variáveis HS, administração do tempo e estresse em 83 calouros. Constatou-se que </w:t>
      </w:r>
      <w:r>
        <w:rPr>
          <w:rFonts w:ascii="Times New Roman" w:hAnsi="Times New Roman"/>
          <w:lang w:val="pt-BR" w:eastAsia="pt-BR"/>
        </w:rPr>
        <w:t xml:space="preserve">a incidência de estresse, o déficit em habilidades sociais e a inadequada administração do tempo comprometem a saúde dos universitários, já que o estresse implica em grande gasto de energia e desgaste físico. A relação entre habilidades sociais e administração do tempo e desta última com o estresse apontou uma associação indireta entre deficiências em HS e presença de estresse. </w:t>
      </w:r>
    </w:p>
    <w:p>
      <w:pPr>
        <w:pStyle w:val="Normal"/>
        <w:spacing w:lineRule="auto" w:line="240" w:before="0" w:after="0"/>
        <w:ind w:firstLine="709"/>
        <w:contextualSpacing/>
        <w:jc w:val="both"/>
        <w:rPr>
          <w:rFonts w:ascii="Times New Roman" w:hAnsi="Times New Roman"/>
          <w:color w:val="000000"/>
          <w:lang w:val="pt-BR"/>
        </w:rPr>
      </w:pPr>
      <w:r>
        <w:rPr>
          <w:rFonts w:ascii="Times New Roman" w:hAnsi="Times New Roman"/>
          <w:lang w:val="pt-BR" w:eastAsia="pt-BR"/>
        </w:rPr>
        <w:t>Soares, Seabra e Gomes (2014) identificaram</w:t>
      </w:r>
      <w:r>
        <w:rPr>
          <w:rFonts w:ascii="Times New Roman" w:hAnsi="Times New Roman"/>
          <w:lang w:val="pt-BR"/>
        </w:rPr>
        <w:t xml:space="preserve"> correlações entre autoeficácia acadêmica, inteligência e HS de 162 universitários. Em relação ao gênero, foram encontradas diferenças significativas, sendo as mulheres mais competentes socialmente com escores maiores em Conversação e Desenvoltura Social e os homens, mais capazes cognitivamente. Os estudantes de</w:t>
      </w:r>
      <w:r>
        <w:rPr>
          <w:rFonts w:ascii="Times New Roman" w:hAnsi="Times New Roman"/>
          <w:color w:val="000000"/>
          <w:lang w:val="pt-BR"/>
        </w:rPr>
        <w:t xml:space="preserve"> instituições públicas obtiveram escores superiores aos das privadas. Sendo assim, foi reforçada a necessidade da presença de habilidades cognitivas e comportamentais como promotoras do bem-estar psicológico e físico dos universitários.</w:t>
      </w:r>
    </w:p>
    <w:p>
      <w:pPr>
        <w:pStyle w:val="Normal"/>
        <w:spacing w:lineRule="auto" w:line="240" w:before="0" w:after="0"/>
        <w:ind w:firstLine="709"/>
        <w:contextualSpacing/>
        <w:jc w:val="both"/>
        <w:rPr>
          <w:rFonts w:ascii="Times New Roman" w:hAnsi="Times New Roman"/>
          <w:color w:val="000000"/>
          <w:lang w:val="pt-BR"/>
        </w:rPr>
      </w:pPr>
      <w:r>
        <w:rPr>
          <w:rFonts w:ascii="Times New Roman" w:hAnsi="Times New Roman"/>
          <w:color w:val="000000"/>
          <w:lang w:val="pt-BR"/>
        </w:rPr>
        <w:t>O</w:t>
      </w:r>
      <w:r>
        <w:rPr>
          <w:rFonts w:ascii="Times New Roman" w:hAnsi="Times New Roman"/>
          <w:lang w:val="pt-BR"/>
        </w:rPr>
        <w:t xml:space="preserve"> momento de transição à vida adulta exige do jovem não só competências interpessoais para a realização de tarefas, mas também um nível de maturidade para a escolha profissional. </w:t>
      </w:r>
      <w:r>
        <w:rPr>
          <w:rFonts w:ascii="Times New Roman" w:hAnsi="Times New Roman"/>
          <w:color w:val="000000"/>
          <w:lang w:val="pt-BR"/>
        </w:rPr>
        <w:t>O ideal é que ao longo do desenvolvimento, o indivíduo aprimore o seu repertório de comportamentos interpessoais de acordo com a demanda do meio so</w:t>
        <w:softHyphen/>
        <w:t xml:space="preserve">cial em que vive estabelecendo círculos de amizades, participação em atividades de seu interesse dentre outras HS e psicológicas tornando-se mais autônomo </w:t>
      </w:r>
      <w:r>
        <w:rPr>
          <w:rFonts w:ascii="Times New Roman" w:hAnsi="Times New Roman"/>
          <w:lang w:val="pt-BR"/>
        </w:rPr>
        <w:t xml:space="preserve">(Colombo &amp; Prati, 2014). </w:t>
      </w:r>
    </w:p>
    <w:p>
      <w:pPr>
        <w:pStyle w:val="Normal"/>
        <w:spacing w:lineRule="auto" w:line="240" w:before="0" w:after="0"/>
        <w:ind w:firstLine="709"/>
        <w:contextualSpacing/>
        <w:jc w:val="both"/>
        <w:rPr>
          <w:rFonts w:ascii="Times New Roman" w:hAnsi="Times New Roman"/>
          <w:strike/>
          <w:lang w:val="pt-BR"/>
        </w:rPr>
      </w:pPr>
      <w:r>
        <w:rPr>
          <w:rFonts w:ascii="Times New Roman" w:hAnsi="Times New Roman"/>
          <w:lang w:val="pt-BR"/>
        </w:rPr>
        <w:t xml:space="preserve">Definir a carreira depende, em grande parte, do conhecimento que o indivíduo possui sobre as opções profissionais existentes em sua realidade e do autoconhecimento, ou seja, a identificação dos seus interesses, valores, habilidades e motivações. Considerada um processo multifatorial que sofre interferência dos aspectos políticos, econômicos, sociais, educacionais, familiares e psicológicos, pode-se conceber a escolha profissional como um período de transição com possibilidades desestabilizadoras (Sparta &amp; Gomes, 2005). Entende-se por maturidade para a escolha profissional, o conjunto de atitudes e conhecimentos que o indivíduo acumula e que o prepara para a tomada de decisão consciente, consistindo em comportamentos que devem ser empreendidos na inserção no mundo do trabalho (Neiva, 2014). Tornar-se adulto, requer competências para a tomada de decisões que proporcionam ao jovem a capacidade de conduzir sua própria vida (Junqueira &amp; Melo-Silva, 2014). </w:t>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t xml:space="preserve">Com o objetivo de verificar os aspectos determinantes apresentados no processo de escolha profissional, estudos na área têm sido cada vez mais frequentes. No cenário internacional, Ulusoy e Onen (2014) analisaram </w:t>
      </w:r>
      <w:r>
        <w:rPr>
          <w:rStyle w:val="Notranslate"/>
          <w:rFonts w:ascii="Times New Roman" w:hAnsi="Times New Roman"/>
          <w:shd w:fill="FFFFFF" w:val="clear"/>
          <w:lang w:val="pt-BR"/>
        </w:rPr>
        <w:t xml:space="preserve">os efeitos dos níveis de maturidade profissional em 607 estudantes do Ensino Médio de Ancara, Turquia. </w:t>
      </w:r>
      <w:r>
        <w:rPr>
          <w:rFonts w:ascii="Times New Roman" w:hAnsi="Times New Roman"/>
          <w:spacing w:val="4"/>
          <w:lang w:val="pt-BR" w:eastAsia="pt-BR"/>
        </w:rPr>
        <w:t xml:space="preserve">Os resultados mostraram que os alunos com baixos níveis de maturidade profissional tinham baixa motivação acadêmica, enquanto estudantes com altos níveis tinham motivações acadêmicas elevadas. </w:t>
      </w:r>
      <w:r>
        <w:rPr>
          <w:rFonts w:ascii="Times New Roman" w:hAnsi="Times New Roman"/>
          <w:lang w:val="pt-BR"/>
        </w:rPr>
        <w:t xml:space="preserve">No Brasil, o estudo de Neiva, Silva, Miranda e Esteves (2005) identificou diferenças significativas na maturidade para a escolha profissional de 950 estudantes do Ensino Médio. As moças mostraram-se mais maduras do que os rapazes, os alunos de escola particular mais maduros do que os da pública e os do terceiro ano, mais do que os do primeiro. </w:t>
      </w:r>
      <w:bookmarkStart w:id="0" w:name="aff1"/>
      <w:bookmarkEnd w:id="0"/>
    </w:p>
    <w:p>
      <w:pPr>
        <w:pStyle w:val="NormalWeb"/>
        <w:shd w:val="clear" w:color="auto" w:fill="FFFFFF"/>
        <w:spacing w:beforeAutospacing="0" w:before="0" w:afterAutospacing="0" w:after="0"/>
        <w:ind w:firstLine="720"/>
        <w:contextualSpacing/>
        <w:jc w:val="both"/>
        <w:rPr>
          <w:sz w:val="22"/>
          <w:szCs w:val="22"/>
          <w:highlight w:val="white"/>
        </w:rPr>
      </w:pPr>
      <w:r>
        <w:rPr>
          <w:sz w:val="22"/>
          <w:szCs w:val="22"/>
          <w:shd w:fill="FFFFFF" w:val="clear"/>
        </w:rPr>
        <w:t xml:space="preserve">Durante o Ensino Médio espera-se que o adolescente já tenha alguma maturidade para escolher sua carreira. No entanto, sabe-se que esse processo de tomada de decisão envolve múltiplos fatores que podem comprometer uma escolha mais consciente da sua futura profissão. É importante que o jovem desenvolva determinadas competências e que tenha algum tipo de orientação, de modo que consiga decidir com mais qualidade seu rumo profissional. </w:t>
      </w:r>
    </w:p>
    <w:p>
      <w:pPr>
        <w:pStyle w:val="NormalWeb"/>
        <w:shd w:val="clear" w:color="auto" w:fill="FFFFFF"/>
        <w:spacing w:beforeAutospacing="0" w:before="0" w:afterAutospacing="0" w:after="0"/>
        <w:ind w:firstLine="720"/>
        <w:contextualSpacing/>
        <w:jc w:val="both"/>
        <w:rPr>
          <w:rFonts w:eastAsia="MinionPro-Regular"/>
          <w:sz w:val="22"/>
          <w:szCs w:val="22"/>
        </w:rPr>
      </w:pPr>
      <w:r>
        <w:rPr>
          <w:rFonts w:eastAsia="MinionPro-Regular"/>
          <w:sz w:val="22"/>
          <w:szCs w:val="22"/>
        </w:rPr>
        <w:t>O desenvolvimento de carreira tem se destacado em diversos estudos na área da psicologia vocacional. Blustein (2011) ressalta a importância das relações na vida das pessoas e o apoio de suas referências neste processo. O autor acredita no impacto de outras pessoas como família, amigos, psicólogos e professores no processo de desenvolvimento de carreira do sujeito em detrimento da elaboração de projetos profissionais. Apesar de alguns estudos incidirem no rendimento acadêmico, a importância do papel dos professores na educação à carreira dos alunos também tem se destacado em nível nacional e internacional (Gamboa &amp; Paixão, 2014; Oliveira, Taveira, &amp; Neves, 2014).</w:t>
      </w:r>
    </w:p>
    <w:p>
      <w:pPr>
        <w:pStyle w:val="NormalWeb"/>
        <w:shd w:val="clear" w:color="auto" w:fill="FFFFFF"/>
        <w:spacing w:beforeAutospacing="0" w:before="0" w:afterAutospacing="0" w:after="0"/>
        <w:ind w:firstLine="720"/>
        <w:contextualSpacing/>
        <w:jc w:val="both"/>
        <w:rPr>
          <w:sz w:val="22"/>
          <w:szCs w:val="22"/>
        </w:rPr>
      </w:pPr>
      <w:r>
        <w:rPr>
          <w:rFonts w:eastAsia="MinionPro-Regular"/>
          <w:sz w:val="22"/>
          <w:szCs w:val="22"/>
        </w:rPr>
        <w:t xml:space="preserve">No Brasil, </w:t>
      </w:r>
      <w:r>
        <w:rPr>
          <w:sz w:val="22"/>
          <w:szCs w:val="22"/>
        </w:rPr>
        <w:t xml:space="preserve">os estudos na área ainda são iniciantes quando comparados a outras pesquisas na área da orientação profissional (Uvaldo, Garcia, Munhoz, &amp; Teixeira, 2012). O termo educação à carreira tem sido pesquisando por autores como Carvalho e Marinho-Araújo (2010), que afirmaram que a implantação da orientação profissional na escola por meio de uma política pública, seria um avanço não só por favorecer a educação à carreira mas, também pela necessidade do psicólogo escolar. </w:t>
      </w:r>
    </w:p>
    <w:p>
      <w:pPr>
        <w:pStyle w:val="NormalWeb"/>
        <w:shd w:val="clear" w:color="auto" w:fill="FFFFFF"/>
        <w:spacing w:beforeAutospacing="0" w:before="0" w:afterAutospacing="0" w:after="0"/>
        <w:ind w:firstLine="720"/>
        <w:contextualSpacing/>
        <w:jc w:val="both"/>
        <w:rPr>
          <w:sz w:val="22"/>
          <w:szCs w:val="22"/>
        </w:rPr>
      </w:pPr>
      <w:r>
        <w:rPr>
          <w:sz w:val="22"/>
          <w:szCs w:val="22"/>
        </w:rPr>
        <w:t>Nesse sentido, pesquisas como a de Faleiros e Lehman (2016) e Teixeira e Calado (2010), se dispuseram a olhar de forma mais profunda a realidade escolar. Faleiros e Lehman (2016) evidenciaram o resultado da proposta de Educação para a Carreira desenvolvida em alunos do 1º ano do Ensino Médio de uma escola técnica paulista nos anos de 2012 e 2013 por meio das aulas que foram integradas à carga horária regular dos alunos, constatou que as aulas proporcionaram um importante espaço de reflexão para os alunos a respeito do mundo do trabalho. O estudo de Teixeira e Calado (2010) propôs um programa de intervenção com a perspectiva de desenvolvimento da profissão e da construção da cidadania fundamentada nos princípios da Educação à Carreira. Participaram da pesquisa 53 alunos do 9º ano do ensino regular de duas escolas do Alentejo, Portugal. Após a intervenção, ocorreram mudanças nos domínios de desenvolvimento pessoal como autoconhecimento, planejamento pessoal, informação sobre formação e opções profissionais. Por outro lado, os itens cujas diferenças não apresentam significância estatística apontaram questões relacionadas à pressão dos colegas nas escolhas, às oportunidades profissionais e às probabilidades de emprego, além da associação entre as atividades de tempos livres e os objetivos profissionais que permite conjugar recursos e potencializar o desenvolvimento das pessoas e das instituições.</w:t>
      </w:r>
    </w:p>
    <w:p>
      <w:pPr>
        <w:pStyle w:val="Normal"/>
        <w:spacing w:lineRule="auto" w:line="240" w:before="0" w:after="0"/>
        <w:ind w:firstLine="708"/>
        <w:contextualSpacing/>
        <w:jc w:val="both"/>
        <w:rPr>
          <w:rFonts w:ascii="Times New Roman" w:hAnsi="Times New Roman"/>
          <w:lang w:val="pt-BR"/>
        </w:rPr>
      </w:pPr>
      <w:r>
        <w:rPr>
          <w:rFonts w:ascii="Times New Roman" w:hAnsi="Times New Roman"/>
          <w:lang w:val="pt-BR"/>
        </w:rPr>
        <w:t xml:space="preserve">Uma preparação adequada no período pré-universitário favorece o estudante a desenvolver determinadas competências que auxiliam no processo de adaptação acadêmica. Estudantes que se preparam ou recebem algum tipo de orientação vocacional são mais propensos a permanecer no curso escolhido (Balbinotti &amp; Tétrau, 2006). A escolha profissional madura exige que o jovem possua um conjunto de comportamentos e atitudes como determinação, responsabilidade e independência (Neiva, 2003). Características pessoais como a maturidade para a escolha profissional contribuem para uma melhor adaptação acadêmica. Além disso, um bom repertório de habilidades sociais pode proporcionar vivências mais saudáveis e ainda favorecer o rendimento, o que facilitaria o processo de transição para o Ensino Superior (Soares &amp; Del Prette, 2015). Assim, estudantes que possuem projetos vocacionais mais definidos, desejo de participação nas atividades acadêmicas e expectativas de envolvimento com a instituição, com o curso e nas relações com os colegas tendem a realizar um ajustamento mais positivo (Soares et al., 2014).  </w:t>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t xml:space="preserve">Pelo fato de ser um processo multidimensional, a adaptação acadêmica carece de uma investigação que considere os fatores pessoais dos participantes, assim como os aspectos institucionais e culturais. Desse modo, realizar uma pesquisa focada em determinado curso é positivo no que diz respeito ao conhecimento mais aprofundado das realidades inerentes ao seu contexto. Refletir sobre aspectos relativos ao sucesso durante o curso de Psicologia pode contribuir na construção das práticas de ensino nesta profissão e auxiliar a alunos de diferentes condições sociais a conseguir integrar-se de forma satisfatória nesta modalidade de ensino. </w:t>
      </w:r>
      <w:r>
        <w:rPr>
          <w:rFonts w:ascii="Times New Roman" w:hAnsi="Times New Roman"/>
          <w:color w:val="222222"/>
          <w:lang w:val="pt-BR" w:eastAsia="pt-BR"/>
        </w:rPr>
        <w:t xml:space="preserve">Tendo em vista a literatura apresentada, este estudo tem por objetivo </w:t>
      </w:r>
      <w:r>
        <w:rPr>
          <w:rFonts w:ascii="Times New Roman" w:hAnsi="Times New Roman"/>
          <w:lang w:val="pt-BR"/>
        </w:rPr>
        <w:t>verificar a relação preditiva entre as variáveis explicativas Expectativas Acadêmicas, Habilidades Sociais, Maturidade para a Escolha Profissional, Educação à Carreira e a variável critério Adaptação à Universidade em estudantes universitários do primeiro período de Psicologia.</w:t>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r>
    </w:p>
    <w:p>
      <w:pPr>
        <w:pStyle w:val="ListParagraph"/>
        <w:spacing w:lineRule="auto" w:line="240" w:before="0" w:after="0"/>
        <w:ind w:left="0" w:hanging="0"/>
        <w:contextualSpacing/>
        <w:jc w:val="center"/>
        <w:rPr>
          <w:rFonts w:ascii="Times New Roman" w:hAnsi="Times New Roman"/>
          <w:b/>
          <w:b/>
        </w:rPr>
      </w:pPr>
      <w:r>
        <w:rPr>
          <w:rFonts w:ascii="Times New Roman" w:hAnsi="Times New Roman"/>
          <w:b/>
        </w:rPr>
        <w:t>Método</w:t>
      </w:r>
    </w:p>
    <w:p>
      <w:pPr>
        <w:pStyle w:val="ListParagraph"/>
        <w:spacing w:lineRule="auto" w:line="240" w:before="0" w:after="0"/>
        <w:ind w:left="0" w:hanging="0"/>
        <w:contextualSpacing/>
        <w:jc w:val="both"/>
        <w:rPr>
          <w:rFonts w:ascii="Times New Roman" w:hAnsi="Times New Roman"/>
          <w:b/>
          <w:b/>
        </w:rPr>
      </w:pPr>
      <w:r>
        <w:rPr>
          <w:rFonts w:ascii="Times New Roman" w:hAnsi="Times New Roman"/>
          <w:b/>
        </w:rPr>
      </w:r>
    </w:p>
    <w:p>
      <w:pPr>
        <w:pStyle w:val="ListParagraph"/>
        <w:spacing w:lineRule="auto" w:line="240" w:before="0" w:after="0"/>
        <w:ind w:left="0" w:hanging="0"/>
        <w:contextualSpacing/>
        <w:jc w:val="both"/>
        <w:rPr>
          <w:rFonts w:ascii="Times New Roman" w:hAnsi="Times New Roman"/>
          <w:b/>
          <w:b/>
        </w:rPr>
      </w:pPr>
      <w:r>
        <w:rPr>
          <w:rFonts w:ascii="Times New Roman" w:hAnsi="Times New Roman"/>
          <w:b/>
        </w:rPr>
        <w:t>Participantes</w:t>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t>Participaram, escolhidos por conveniência, 214 estudantes universitários do primeiro período do curso de Psicologia de universidades públicas (22,0%) e privadas (78,0%) do Estado do Rio de Janeiro com idades variando entre 17 e 52 anos (</w:t>
      </w:r>
      <w:r>
        <w:rPr>
          <w:rFonts w:ascii="Times New Roman" w:hAnsi="Times New Roman"/>
          <w:i/>
          <w:lang w:val="pt-BR"/>
        </w:rPr>
        <w:t xml:space="preserve">M = </w:t>
      </w:r>
      <w:r>
        <w:rPr>
          <w:rFonts w:ascii="Times New Roman" w:hAnsi="Times New Roman"/>
          <w:lang w:val="pt-BR"/>
        </w:rPr>
        <w:t xml:space="preserve">24,04; </w:t>
      </w:r>
      <w:r>
        <w:rPr>
          <w:rFonts w:ascii="Times New Roman" w:hAnsi="Times New Roman"/>
          <w:i/>
          <w:lang w:val="pt-BR"/>
        </w:rPr>
        <w:t xml:space="preserve">DP = </w:t>
      </w:r>
      <w:r>
        <w:rPr>
          <w:rFonts w:ascii="Times New Roman" w:hAnsi="Times New Roman"/>
          <w:lang w:val="pt-BR"/>
        </w:rPr>
        <w:t>7,93), sendo 46 (21,5%) homens e 168 (78,5%) mulheres. Dentre eles, 173 (80,8%) eram solteiros; 31 (14,5%) casados e 10 (4,7%) declararam outros estados civis. Pertenciam 14 (6,5%) a classe social A; 10 (4,7%) a B1; 77 (36,0%) a B2; 67 (31,3%) a C1; 36 (16,8%) a C2 e 10 (4,7%) a D/E.</w:t>
      </w:r>
    </w:p>
    <w:p>
      <w:pPr>
        <w:pStyle w:val="Normal"/>
        <w:spacing w:lineRule="auto" w:line="240" w:before="0" w:after="0"/>
        <w:ind w:firstLine="709"/>
        <w:contextualSpacing/>
        <w:jc w:val="both"/>
        <w:rPr>
          <w:rFonts w:ascii="Times New Roman" w:hAnsi="Times New Roman"/>
          <w:color w:val="FF0000"/>
          <w:lang w:val="pt-BR"/>
        </w:rPr>
      </w:pPr>
      <w:r>
        <w:rPr>
          <w:rFonts w:ascii="Times New Roman" w:hAnsi="Times New Roman"/>
          <w:color w:val="FF0000"/>
          <w:lang w:val="pt-BR"/>
        </w:rPr>
      </w:r>
    </w:p>
    <w:p>
      <w:pPr>
        <w:pStyle w:val="ListParagraph"/>
        <w:spacing w:lineRule="auto" w:line="240" w:before="0" w:after="0"/>
        <w:ind w:left="0" w:hanging="0"/>
        <w:contextualSpacing/>
        <w:jc w:val="both"/>
        <w:rPr>
          <w:rFonts w:ascii="Times New Roman" w:hAnsi="Times New Roman"/>
          <w:b/>
          <w:b/>
        </w:rPr>
      </w:pPr>
      <w:r>
        <w:rPr>
          <w:rFonts w:ascii="Times New Roman" w:hAnsi="Times New Roman"/>
          <w:b/>
        </w:rPr>
        <w:t xml:space="preserve">Procedimentos </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t xml:space="preserve">A aplicação dos instrumentos foi realizada de forma coletiva, em horário de aula. Foram aplicados os seis instrumentos sem restrição de tempo. </w:t>
      </w:r>
      <w:r>
        <w:rPr>
          <w:rFonts w:ascii="Times New Roman" w:hAnsi="Times New Roman"/>
          <w:iCs/>
          <w:lang w:val="pt-BR"/>
        </w:rPr>
        <w:t xml:space="preserve">Os dados sociodemográficos foram coletados em folha de rosto que se precedeu à aplicação dos instrumentos. </w:t>
      </w:r>
      <w:r>
        <w:rPr>
          <w:rFonts w:ascii="Times New Roman" w:hAnsi="Times New Roman"/>
          <w:lang w:val="pt-BR"/>
        </w:rPr>
        <w:t>O projeto foi encaminhado e aprovado pelo Comitê de Ética em Pesquisa da Universidade.</w:t>
      </w:r>
      <w:r>
        <w:rPr>
          <w:rFonts w:ascii="Times New Roman" w:hAnsi="Times New Roman"/>
          <w:color w:val="FF0000"/>
          <w:lang w:val="pt-BR"/>
        </w:rPr>
        <w:t xml:space="preserve"> </w:t>
      </w:r>
      <w:r>
        <w:rPr>
          <w:rFonts w:ascii="Times New Roman" w:hAnsi="Times New Roman"/>
          <w:lang w:val="pt-BR"/>
        </w:rPr>
        <w:t>Todos os participantes assinaram o Termo de Consentimento Livre e Esclarecido. Foi realizada Regressão Linear Múltipla considerando como variáveis explicativas Expectativas Acadêmicas, Habilidades Sociais, Maturidade para a Escolha Profissional, Educação à Carreira e a variável critério Adaptação à Universidade.</w:t>
      </w:r>
    </w:p>
    <w:p>
      <w:pPr>
        <w:pStyle w:val="Normal"/>
        <w:spacing w:lineRule="auto" w:line="240" w:before="0" w:after="0"/>
        <w:contextualSpacing/>
        <w:jc w:val="both"/>
        <w:rPr>
          <w:rFonts w:ascii="Times New Roman" w:hAnsi="Times New Roman"/>
          <w:b/>
          <w:b/>
          <w:lang w:val="pt-BR"/>
        </w:rPr>
      </w:pPr>
      <w:r>
        <w:rPr>
          <w:rFonts w:ascii="Times New Roman" w:hAnsi="Times New Roman"/>
          <w:b/>
          <w:lang w:val="pt-BR"/>
        </w:rPr>
      </w:r>
    </w:p>
    <w:p>
      <w:pPr>
        <w:pStyle w:val="ListParagraph"/>
        <w:spacing w:lineRule="auto" w:line="240" w:before="0" w:after="0"/>
        <w:ind w:left="0" w:hanging="0"/>
        <w:contextualSpacing/>
        <w:jc w:val="both"/>
        <w:rPr>
          <w:rFonts w:ascii="Times New Roman" w:hAnsi="Times New Roman"/>
          <w:b/>
          <w:b/>
        </w:rPr>
      </w:pPr>
      <w:r>
        <w:rPr>
          <w:rFonts w:ascii="Times New Roman" w:hAnsi="Times New Roman"/>
          <w:b/>
        </w:rPr>
        <w:t>Instrumentos</w:t>
      </w:r>
    </w:p>
    <w:p>
      <w:pPr>
        <w:pStyle w:val="Normal"/>
        <w:spacing w:lineRule="auto" w:line="240" w:before="0" w:after="0"/>
        <w:ind w:firstLine="720"/>
        <w:contextualSpacing/>
        <w:jc w:val="both"/>
        <w:rPr>
          <w:rFonts w:ascii="Times New Roman" w:hAnsi="Times New Roman"/>
          <w:color w:val="333333"/>
          <w:lang w:val="pt-BR" w:eastAsia="pt-BR"/>
        </w:rPr>
      </w:pPr>
      <w:r>
        <w:rPr>
          <w:rFonts w:ascii="Times New Roman" w:hAnsi="Times New Roman"/>
          <w:b/>
          <w:lang w:val="pt-BR"/>
        </w:rPr>
        <w:t xml:space="preserve">Escala de Expectativas Acadêmicas de Estudantes Ingressantes na Educação Superior (EEAEIES) </w:t>
      </w:r>
      <w:r>
        <w:rPr>
          <w:rFonts w:ascii="Times New Roman" w:hAnsi="Times New Roman"/>
          <w:lang w:val="pt-BR"/>
        </w:rPr>
        <w:t xml:space="preserve">(Almeida, Costa, Alves, Gonçalves, &amp; Araújo, 2012; adaptado por Marinho-Araújo et al., 2015). </w:t>
      </w:r>
      <w:r>
        <w:rPr>
          <w:rFonts w:ascii="Times New Roman" w:hAnsi="Times New Roman"/>
          <w:color w:val="333333"/>
          <w:lang w:val="pt-BR" w:eastAsia="pt-BR"/>
        </w:rPr>
        <w:t>É um instrumento composto por 61 itens e</w:t>
      </w:r>
      <w:r>
        <w:rPr>
          <w:rFonts w:ascii="Times New Roman" w:hAnsi="Times New Roman"/>
          <w:lang w:val="pt-BR"/>
        </w:rPr>
        <w:t xml:space="preserve"> sete fatores: 1) </w:t>
      </w:r>
      <w:r>
        <w:rPr>
          <w:rFonts w:ascii="Times New Roman" w:hAnsi="Times New Roman"/>
          <w:i/>
          <w:color w:val="333333"/>
          <w:lang w:val="pt-BR" w:eastAsia="pt-BR"/>
        </w:rPr>
        <w:t xml:space="preserve">Formação Acadêmica de Qualidade </w:t>
      </w:r>
      <w:r>
        <w:rPr>
          <w:rFonts w:ascii="Times New Roman" w:hAnsi="Times New Roman"/>
          <w:lang w:val="pt-BR" w:eastAsia="pt-BR"/>
        </w:rPr>
        <w:t xml:space="preserve">(12 itens e </w:t>
      </w:r>
      <w:r>
        <w:rPr>
          <w:rFonts w:ascii="Times New Roman" w:hAnsi="Times New Roman"/>
          <w:lang w:eastAsia="pt-BR"/>
        </w:rPr>
        <w:t>α</w:t>
      </w:r>
      <w:r>
        <w:rPr>
          <w:rFonts w:ascii="Times New Roman" w:hAnsi="Times New Roman"/>
          <w:lang w:val="pt-BR" w:eastAsia="pt-BR"/>
        </w:rPr>
        <w:t xml:space="preserve">=0,82); 2) </w:t>
      </w:r>
      <w:r>
        <w:rPr>
          <w:rFonts w:ascii="Times New Roman" w:hAnsi="Times New Roman"/>
          <w:i/>
          <w:lang w:val="pt-BR"/>
        </w:rPr>
        <w:t xml:space="preserve">Compromisso Social e Acadêmico </w:t>
      </w:r>
      <w:r>
        <w:rPr>
          <w:rFonts w:ascii="Times New Roman" w:hAnsi="Times New Roman"/>
          <w:lang w:val="pt-BR" w:eastAsia="pt-BR"/>
        </w:rPr>
        <w:t xml:space="preserve">(13 itens e </w:t>
      </w:r>
      <w:r>
        <w:rPr>
          <w:rFonts w:ascii="Times New Roman" w:hAnsi="Times New Roman"/>
          <w:lang w:eastAsia="pt-BR"/>
        </w:rPr>
        <w:t>α</w:t>
      </w:r>
      <w:r>
        <w:rPr>
          <w:rFonts w:ascii="Times New Roman" w:hAnsi="Times New Roman"/>
          <w:lang w:val="pt-BR" w:eastAsia="pt-BR"/>
        </w:rPr>
        <w:t xml:space="preserve">=0,90); 3) </w:t>
      </w:r>
      <w:r>
        <w:rPr>
          <w:rFonts w:ascii="Times New Roman" w:hAnsi="Times New Roman"/>
          <w:i/>
          <w:lang w:val="pt-BR" w:eastAsia="pt-BR"/>
        </w:rPr>
        <w:t xml:space="preserve">Ampliação das Relações Interpessoais </w:t>
      </w:r>
      <w:r>
        <w:rPr>
          <w:rFonts w:ascii="Times New Roman" w:hAnsi="Times New Roman"/>
          <w:lang w:val="pt-BR" w:eastAsia="pt-BR"/>
        </w:rPr>
        <w:t xml:space="preserve">(oito itens e </w:t>
      </w:r>
      <w:r>
        <w:rPr>
          <w:rFonts w:ascii="Times New Roman" w:hAnsi="Times New Roman"/>
          <w:lang w:eastAsia="pt-BR"/>
        </w:rPr>
        <w:t>α</w:t>
      </w:r>
      <w:r>
        <w:rPr>
          <w:rFonts w:ascii="Times New Roman" w:hAnsi="Times New Roman"/>
          <w:lang w:val="pt-BR" w:eastAsia="pt-BR"/>
        </w:rPr>
        <w:t xml:space="preserve">=0,84); 4) </w:t>
      </w:r>
      <w:r>
        <w:rPr>
          <w:rFonts w:ascii="Times New Roman" w:hAnsi="Times New Roman"/>
          <w:i/>
          <w:lang w:val="pt-BR" w:eastAsia="pt-BR"/>
        </w:rPr>
        <w:t xml:space="preserve">Oportunidade de Internacionalização e Intercâmbio </w:t>
      </w:r>
      <w:r>
        <w:rPr>
          <w:rFonts w:ascii="Times New Roman" w:hAnsi="Times New Roman"/>
          <w:lang w:val="pt-BR" w:eastAsia="pt-BR"/>
        </w:rPr>
        <w:t xml:space="preserve">(oito itens e </w:t>
      </w:r>
      <w:r>
        <w:rPr>
          <w:rFonts w:ascii="Times New Roman" w:hAnsi="Times New Roman"/>
          <w:lang w:eastAsia="pt-BR"/>
        </w:rPr>
        <w:t>α</w:t>
      </w:r>
      <w:r>
        <w:rPr>
          <w:rFonts w:ascii="Times New Roman" w:hAnsi="Times New Roman"/>
          <w:lang w:val="pt-BR" w:eastAsia="pt-BR"/>
        </w:rPr>
        <w:t xml:space="preserve">=0,87); 5) </w:t>
      </w:r>
      <w:r>
        <w:rPr>
          <w:rFonts w:ascii="Times New Roman" w:hAnsi="Times New Roman"/>
          <w:i/>
          <w:lang w:val="pt-BR" w:eastAsia="pt-BR"/>
        </w:rPr>
        <w:t xml:space="preserve">Perspectiva de Sucesso Profissional </w:t>
      </w:r>
      <w:r>
        <w:rPr>
          <w:rFonts w:ascii="Times New Roman" w:hAnsi="Times New Roman"/>
          <w:lang w:val="pt-BR" w:eastAsia="pt-BR"/>
        </w:rPr>
        <w:t xml:space="preserve">(cinco itens e </w:t>
      </w:r>
      <w:r>
        <w:rPr>
          <w:rFonts w:ascii="Times New Roman" w:hAnsi="Times New Roman"/>
          <w:lang w:eastAsia="pt-BR"/>
        </w:rPr>
        <w:t>α</w:t>
      </w:r>
      <w:r>
        <w:rPr>
          <w:rFonts w:ascii="Times New Roman" w:hAnsi="Times New Roman"/>
          <w:lang w:val="pt-BR" w:eastAsia="pt-BR"/>
        </w:rPr>
        <w:t xml:space="preserve">=0,71); 6) </w:t>
      </w:r>
      <w:r>
        <w:rPr>
          <w:rFonts w:ascii="Times New Roman" w:hAnsi="Times New Roman"/>
          <w:i/>
          <w:lang w:val="pt-BR" w:eastAsia="pt-BR"/>
        </w:rPr>
        <w:t xml:space="preserve">Preocupação com a Autoimagem </w:t>
      </w:r>
      <w:r>
        <w:rPr>
          <w:rFonts w:ascii="Times New Roman" w:hAnsi="Times New Roman"/>
          <w:lang w:val="pt-BR" w:eastAsia="pt-BR"/>
        </w:rPr>
        <w:t xml:space="preserve">(seis itens e </w:t>
      </w:r>
      <w:r>
        <w:rPr>
          <w:rFonts w:ascii="Times New Roman" w:hAnsi="Times New Roman"/>
          <w:lang w:eastAsia="pt-BR"/>
        </w:rPr>
        <w:t>α</w:t>
      </w:r>
      <w:r>
        <w:rPr>
          <w:rFonts w:ascii="Times New Roman" w:hAnsi="Times New Roman"/>
          <w:lang w:val="pt-BR" w:eastAsia="pt-BR"/>
        </w:rPr>
        <w:t xml:space="preserve">=0,78) e 7) </w:t>
      </w:r>
      <w:r>
        <w:rPr>
          <w:rFonts w:ascii="Times New Roman" w:hAnsi="Times New Roman"/>
          <w:i/>
          <w:lang w:val="pt-BR" w:eastAsia="pt-BR"/>
        </w:rPr>
        <w:t xml:space="preserve">Desenvolvimento de Competências Transversais </w:t>
      </w:r>
      <w:r>
        <w:rPr>
          <w:rFonts w:ascii="Times New Roman" w:hAnsi="Times New Roman"/>
          <w:lang w:val="pt-BR" w:eastAsia="pt-BR"/>
        </w:rPr>
        <w:t>(nove ite</w:t>
      </w:r>
      <w:r>
        <w:rPr>
          <w:rFonts w:ascii="Times New Roman" w:hAnsi="Times New Roman"/>
          <w:color w:val="333333"/>
          <w:lang w:val="pt-BR" w:eastAsia="pt-BR"/>
        </w:rPr>
        <w:t xml:space="preserve">ns e </w:t>
      </w:r>
      <w:r>
        <w:rPr>
          <w:rFonts w:ascii="Times New Roman" w:hAnsi="Times New Roman"/>
          <w:color w:val="333333"/>
          <w:lang w:eastAsia="pt-BR"/>
        </w:rPr>
        <w:t>α</w:t>
      </w:r>
      <w:r>
        <w:rPr>
          <w:rFonts w:ascii="Times New Roman" w:hAnsi="Times New Roman"/>
          <w:color w:val="333333"/>
          <w:lang w:val="pt-BR" w:eastAsia="pt-BR"/>
        </w:rPr>
        <w:t>=0,79).</w:t>
      </w:r>
    </w:p>
    <w:p>
      <w:pPr>
        <w:pStyle w:val="Normal"/>
        <w:shd w:val="clear" w:color="auto" w:fill="FFFFFF"/>
        <w:spacing w:lineRule="auto" w:line="240" w:before="0" w:after="0"/>
        <w:ind w:firstLine="720"/>
        <w:contextualSpacing/>
        <w:jc w:val="both"/>
        <w:rPr>
          <w:rFonts w:ascii="Times New Roman" w:hAnsi="Times New Roman"/>
          <w:lang w:val="pt-BR" w:eastAsia="pt-BR"/>
        </w:rPr>
      </w:pPr>
      <w:r>
        <w:rPr>
          <w:rFonts w:ascii="Times New Roman" w:hAnsi="Times New Roman"/>
          <w:b/>
          <w:lang w:val="pt-BR" w:eastAsia="pt-BR"/>
        </w:rPr>
        <w:t>Inventário de Habilidades Sociais (IHS)</w:t>
      </w:r>
      <w:r>
        <w:rPr>
          <w:rFonts w:ascii="Times New Roman" w:hAnsi="Times New Roman"/>
          <w:lang w:val="pt-BR" w:eastAsia="pt-BR"/>
        </w:rPr>
        <w:t xml:space="preserve"> (Z. A. P. Del Prette, &amp; A. Del Prette, 2001). É um instrumento de autorrelato (38 itens) e cinco fatores: 1) </w:t>
      </w:r>
      <w:r>
        <w:rPr>
          <w:rFonts w:ascii="Times New Roman" w:hAnsi="Times New Roman"/>
          <w:i/>
          <w:lang w:val="pt-BR" w:eastAsia="pt-BR"/>
        </w:rPr>
        <w:t xml:space="preserve">Enfrentamento e Autoafirmação com Risco </w:t>
      </w:r>
      <w:r>
        <w:rPr>
          <w:rFonts w:ascii="Times New Roman" w:hAnsi="Times New Roman"/>
          <w:lang w:val="pt-BR" w:eastAsia="pt-BR"/>
        </w:rPr>
        <w:t xml:space="preserve">(11 itens e α = 0,96); 2) </w:t>
      </w:r>
      <w:r>
        <w:rPr>
          <w:rFonts w:ascii="Times New Roman" w:hAnsi="Times New Roman"/>
          <w:i/>
          <w:lang w:val="pt-BR" w:eastAsia="pt-BR"/>
        </w:rPr>
        <w:t xml:space="preserve">Autoafirmação na Expressão de Sentimento Positivo </w:t>
      </w:r>
      <w:r>
        <w:rPr>
          <w:rFonts w:ascii="Times New Roman" w:hAnsi="Times New Roman"/>
          <w:lang w:val="pt-BR" w:eastAsia="pt-BR"/>
        </w:rPr>
        <w:t xml:space="preserve">(sete itens e α = 0,86); 3) </w:t>
      </w:r>
      <w:r>
        <w:rPr>
          <w:rFonts w:ascii="Times New Roman" w:hAnsi="Times New Roman"/>
          <w:i/>
          <w:lang w:val="pt-BR" w:eastAsia="pt-BR"/>
        </w:rPr>
        <w:t xml:space="preserve">Conversação e Desenvoltura Social </w:t>
      </w:r>
      <w:r>
        <w:rPr>
          <w:rFonts w:ascii="Times New Roman" w:hAnsi="Times New Roman"/>
          <w:lang w:val="pt-BR" w:eastAsia="pt-BR"/>
        </w:rPr>
        <w:t xml:space="preserve">(sete itens e α = 0,81); 4) </w:t>
      </w:r>
      <w:r>
        <w:rPr>
          <w:rFonts w:ascii="Times New Roman" w:hAnsi="Times New Roman"/>
          <w:i/>
          <w:lang w:val="pt-BR" w:eastAsia="pt-BR"/>
        </w:rPr>
        <w:t>Autoexposição a Desconhecidos e Situações Novas</w:t>
      </w:r>
      <w:r>
        <w:rPr>
          <w:rFonts w:ascii="Times New Roman" w:hAnsi="Times New Roman"/>
          <w:lang w:val="pt-BR" w:eastAsia="pt-BR"/>
        </w:rPr>
        <w:t xml:space="preserve"> (quatro itens e α = 0,75); 5) </w:t>
      </w:r>
      <w:r>
        <w:rPr>
          <w:rFonts w:ascii="Times New Roman" w:hAnsi="Times New Roman"/>
          <w:i/>
          <w:lang w:val="pt-BR" w:eastAsia="pt-BR"/>
        </w:rPr>
        <w:t xml:space="preserve">Autocontrole da Agressividade </w:t>
      </w:r>
      <w:r>
        <w:rPr>
          <w:rFonts w:ascii="Times New Roman" w:hAnsi="Times New Roman"/>
          <w:lang w:val="pt-BR" w:eastAsia="pt-BR"/>
        </w:rPr>
        <w:t>(três itens e α = 0,74).</w:t>
      </w:r>
    </w:p>
    <w:p>
      <w:pPr>
        <w:pStyle w:val="Normal"/>
        <w:spacing w:lineRule="auto" w:line="240" w:before="0" w:after="0"/>
        <w:ind w:firstLine="720"/>
        <w:contextualSpacing/>
        <w:jc w:val="both"/>
        <w:rPr>
          <w:rFonts w:ascii="Times New Roman" w:hAnsi="Times New Roman"/>
          <w:lang w:val="pt-BR"/>
        </w:rPr>
      </w:pPr>
      <w:r>
        <w:rPr>
          <w:rFonts w:ascii="Times New Roman" w:hAnsi="Times New Roman"/>
          <w:b/>
          <w:lang w:val="pt-BR"/>
        </w:rPr>
        <w:t>Escala de Ma</w:t>
      </w:r>
      <w:r>
        <w:rPr>
          <w:rFonts w:ascii="Times New Roman" w:hAnsi="Times New Roman"/>
          <w:b/>
          <w:iCs/>
          <w:lang w:val="pt-BR"/>
        </w:rPr>
        <w:t xml:space="preserve">turidade para Escolha Profissional (EMEP) </w:t>
      </w:r>
      <w:r>
        <w:rPr>
          <w:rFonts w:ascii="Times New Roman" w:hAnsi="Times New Roman"/>
          <w:iCs/>
          <w:lang w:val="pt-BR"/>
        </w:rPr>
        <w:t>(</w:t>
      </w:r>
      <w:r>
        <w:rPr>
          <w:rFonts w:ascii="Times New Roman" w:hAnsi="Times New Roman"/>
          <w:lang w:val="pt-BR"/>
        </w:rPr>
        <w:t>Neiva, 2014</w:t>
      </w:r>
      <w:r>
        <w:rPr>
          <w:rFonts w:ascii="Times New Roman" w:hAnsi="Times New Roman"/>
          <w:iCs/>
          <w:lang w:val="pt-BR"/>
        </w:rPr>
        <w:t xml:space="preserve">). </w:t>
      </w:r>
      <w:r>
        <w:rPr>
          <w:rFonts w:ascii="Times New Roman" w:hAnsi="Times New Roman"/>
          <w:lang w:val="pt-BR"/>
        </w:rPr>
        <w:t xml:space="preserve">É composta por </w:t>
      </w:r>
      <w:r>
        <w:rPr>
          <w:rFonts w:ascii="Times New Roman" w:hAnsi="Times New Roman"/>
          <w:shd w:fill="FFFFFF" w:val="clear"/>
          <w:lang w:val="pt-BR"/>
        </w:rPr>
        <w:t>23 itens positivos (que indicam maturidade) e 22 negativos (que indicam imaturidade)</w:t>
      </w:r>
      <w:r>
        <w:rPr>
          <w:rFonts w:ascii="Times New Roman" w:hAnsi="Times New Roman"/>
          <w:lang w:val="pt-BR"/>
        </w:rPr>
        <w:t xml:space="preserve"> e cinco subescalas: 1) </w:t>
      </w:r>
      <w:r>
        <w:rPr>
          <w:rFonts w:ascii="Times New Roman" w:hAnsi="Times New Roman"/>
          <w:i/>
          <w:lang w:val="pt-BR"/>
        </w:rPr>
        <w:t>Determinação</w:t>
      </w:r>
      <w:r>
        <w:rPr>
          <w:rFonts w:ascii="Times New Roman" w:hAnsi="Times New Roman"/>
          <w:lang w:val="pt-BR"/>
        </w:rPr>
        <w:t xml:space="preserve"> (10 itens e </w:t>
      </w:r>
      <w:r>
        <w:rPr>
          <w:rFonts w:ascii="Times New Roman" w:hAnsi="Times New Roman"/>
        </w:rPr>
        <w:t>α</w:t>
      </w:r>
      <w:r>
        <w:rPr>
          <w:rFonts w:ascii="Times New Roman" w:hAnsi="Times New Roman"/>
          <w:lang w:val="pt-BR"/>
        </w:rPr>
        <w:t xml:space="preserve"> = 0,91); 2) </w:t>
      </w:r>
      <w:r>
        <w:rPr>
          <w:rFonts w:ascii="Times New Roman" w:hAnsi="Times New Roman"/>
          <w:i/>
          <w:lang w:val="pt-BR"/>
        </w:rPr>
        <w:t>Responsabilidade</w:t>
      </w:r>
      <w:r>
        <w:rPr>
          <w:rFonts w:ascii="Times New Roman" w:hAnsi="Times New Roman"/>
          <w:lang w:val="pt-BR"/>
        </w:rPr>
        <w:t xml:space="preserve"> (10 itens e </w:t>
      </w:r>
      <w:r>
        <w:rPr>
          <w:rFonts w:ascii="Times New Roman" w:hAnsi="Times New Roman"/>
        </w:rPr>
        <w:t>α</w:t>
      </w:r>
      <w:r>
        <w:rPr>
          <w:rFonts w:ascii="Times New Roman" w:hAnsi="Times New Roman"/>
          <w:lang w:val="pt-BR"/>
        </w:rPr>
        <w:t xml:space="preserve"> = 0,75); 3) </w:t>
      </w:r>
      <w:r>
        <w:rPr>
          <w:rFonts w:ascii="Times New Roman" w:hAnsi="Times New Roman"/>
          <w:i/>
          <w:lang w:val="pt-BR"/>
        </w:rPr>
        <w:t>Independência</w:t>
      </w:r>
      <w:r>
        <w:rPr>
          <w:rFonts w:ascii="Times New Roman" w:hAnsi="Times New Roman"/>
          <w:lang w:val="pt-BR"/>
        </w:rPr>
        <w:t xml:space="preserve"> (oito itens e </w:t>
      </w:r>
      <w:r>
        <w:rPr>
          <w:rFonts w:ascii="Times New Roman" w:hAnsi="Times New Roman"/>
        </w:rPr>
        <w:t>α</w:t>
      </w:r>
      <w:r>
        <w:rPr>
          <w:rFonts w:ascii="Times New Roman" w:hAnsi="Times New Roman"/>
          <w:lang w:val="pt-BR"/>
        </w:rPr>
        <w:t xml:space="preserve"> = 0,75); 4) </w:t>
      </w:r>
      <w:r>
        <w:rPr>
          <w:rFonts w:ascii="Times New Roman" w:hAnsi="Times New Roman"/>
          <w:i/>
          <w:lang w:val="pt-BR"/>
        </w:rPr>
        <w:t>Autoconhecimento</w:t>
      </w:r>
      <w:r>
        <w:rPr>
          <w:rFonts w:ascii="Times New Roman" w:hAnsi="Times New Roman"/>
          <w:lang w:val="pt-BR"/>
        </w:rPr>
        <w:t xml:space="preserve"> (sete itens e </w:t>
      </w:r>
      <w:r>
        <w:rPr>
          <w:rFonts w:ascii="Times New Roman" w:hAnsi="Times New Roman"/>
        </w:rPr>
        <w:t>α</w:t>
      </w:r>
      <w:r>
        <w:rPr>
          <w:rFonts w:ascii="Times New Roman" w:hAnsi="Times New Roman"/>
          <w:lang w:val="pt-BR"/>
        </w:rPr>
        <w:t xml:space="preserve"> = 0,75) e 5) </w:t>
      </w:r>
      <w:r>
        <w:rPr>
          <w:rFonts w:ascii="Times New Roman" w:hAnsi="Times New Roman"/>
          <w:i/>
          <w:lang w:val="pt-BR"/>
        </w:rPr>
        <w:t>Conhecimento da Realidade Profissional</w:t>
      </w:r>
      <w:r>
        <w:rPr>
          <w:rFonts w:ascii="Times New Roman" w:hAnsi="Times New Roman"/>
          <w:lang w:val="pt-BR"/>
        </w:rPr>
        <w:t xml:space="preserve"> (10 itens e </w:t>
      </w:r>
      <w:r>
        <w:rPr>
          <w:rFonts w:ascii="Times New Roman" w:hAnsi="Times New Roman"/>
        </w:rPr>
        <w:t>α</w:t>
      </w:r>
      <w:r>
        <w:rPr>
          <w:rFonts w:ascii="Times New Roman" w:hAnsi="Times New Roman"/>
          <w:lang w:val="pt-BR"/>
        </w:rPr>
        <w:t xml:space="preserve"> = 0,82).</w:t>
      </w:r>
    </w:p>
    <w:p>
      <w:pPr>
        <w:pStyle w:val="ListParagraph"/>
        <w:spacing w:lineRule="auto" w:line="240" w:before="0" w:after="0"/>
        <w:ind w:left="0" w:firstLine="720"/>
        <w:contextualSpacing/>
        <w:jc w:val="both"/>
        <w:rPr>
          <w:rFonts w:ascii="Times New Roman" w:hAnsi="Times New Roman"/>
        </w:rPr>
      </w:pPr>
      <w:r>
        <w:rPr>
          <w:rFonts w:ascii="Times New Roman" w:hAnsi="Times New Roman"/>
          <w:b/>
        </w:rPr>
        <w:t xml:space="preserve">Questionário de Educação à Carreira (QEC) </w:t>
      </w:r>
      <w:r>
        <w:rPr>
          <w:rFonts w:ascii="Times New Roman" w:hAnsi="Times New Roman"/>
        </w:rPr>
        <w:t>(</w:t>
      </w:r>
      <w:r>
        <w:rPr>
          <w:rFonts w:ascii="Times New Roman" w:hAnsi="Times New Roman"/>
          <w:color w:val="000000"/>
          <w:shd w:fill="FFFFFF" w:val="clear"/>
        </w:rPr>
        <w:t xml:space="preserve">Dupont &amp; Gingras, 1990, adaptado por </w:t>
      </w:r>
      <w:r>
        <w:rPr>
          <w:rFonts w:ascii="Times New Roman" w:hAnsi="Times New Roman"/>
        </w:rPr>
        <w:t xml:space="preserve">Balbinotti &amp; Tétreaux, 2006). </w:t>
      </w:r>
      <w:r>
        <w:rPr>
          <w:rFonts w:ascii="Times New Roman" w:hAnsi="Times New Roman"/>
          <w:color w:val="000000"/>
          <w:shd w:fill="FFFFFF" w:val="clear"/>
        </w:rPr>
        <w:t xml:space="preserve">É um instrumento de 96 itenscomposto por duas subescalas e seis dimensões relativas a segunda subescala: 1) </w:t>
      </w:r>
      <w:r>
        <w:rPr>
          <w:rFonts w:ascii="Times New Roman" w:hAnsi="Times New Roman"/>
          <w:i/>
          <w:color w:val="000000"/>
          <w:shd w:fill="FFFFFF" w:val="clear"/>
        </w:rPr>
        <w:t>Sentido e Importância do Trabalho</w:t>
      </w:r>
      <w:r>
        <w:rPr>
          <w:rFonts w:ascii="Times New Roman" w:hAnsi="Times New Roman"/>
          <w:color w:val="000000"/>
          <w:shd w:fill="FFFFFF" w:val="clear"/>
        </w:rPr>
        <w:t xml:space="preserve"> (22 itens e </w:t>
      </w:r>
      <w:r>
        <w:rPr>
          <w:rFonts w:ascii="Times New Roman" w:hAnsi="Times New Roman"/>
        </w:rPr>
        <w:t>α = 0</w:t>
      </w:r>
      <w:r>
        <w:rPr>
          <w:rFonts w:ascii="Times New Roman" w:hAnsi="Times New Roman"/>
          <w:color w:val="000000"/>
          <w:shd w:fill="FFFFFF" w:val="clear"/>
        </w:rPr>
        <w:t xml:space="preserve">,81); 2) </w:t>
      </w:r>
      <w:r>
        <w:rPr>
          <w:rFonts w:ascii="Times New Roman" w:hAnsi="Times New Roman"/>
          <w:i/>
          <w:color w:val="000000"/>
          <w:shd w:fill="FFFFFF" w:val="clear"/>
        </w:rPr>
        <w:t>Preparação à Carreira</w:t>
      </w:r>
      <w:r>
        <w:rPr>
          <w:rFonts w:ascii="Times New Roman" w:hAnsi="Times New Roman"/>
          <w:color w:val="000000"/>
          <w:shd w:fill="FFFFFF" w:val="clear"/>
        </w:rPr>
        <w:t xml:space="preserve">: 2.1) </w:t>
      </w:r>
      <w:r>
        <w:rPr>
          <w:rFonts w:ascii="Times New Roman" w:hAnsi="Times New Roman"/>
          <w:i/>
          <w:color w:val="000000"/>
          <w:shd w:fill="FFFFFF" w:val="clear"/>
        </w:rPr>
        <w:t>Passos Efetuados</w:t>
      </w:r>
      <w:r>
        <w:rPr>
          <w:rFonts w:ascii="Times New Roman" w:hAnsi="Times New Roman"/>
          <w:color w:val="000000"/>
          <w:shd w:fill="FFFFFF" w:val="clear"/>
        </w:rPr>
        <w:t xml:space="preserve"> (13 itens e </w:t>
      </w:r>
      <w:r>
        <w:rPr>
          <w:rFonts w:ascii="Times New Roman" w:hAnsi="Times New Roman"/>
        </w:rPr>
        <w:t>α = 0,78</w:t>
      </w:r>
      <w:r>
        <w:rPr>
          <w:rFonts w:ascii="Times New Roman" w:hAnsi="Times New Roman"/>
          <w:color w:val="000000"/>
          <w:shd w:fill="FFFFFF" w:val="clear"/>
        </w:rPr>
        <w:t xml:space="preserve">); 2.2) </w:t>
      </w:r>
      <w:r>
        <w:rPr>
          <w:rFonts w:ascii="Times New Roman" w:hAnsi="Times New Roman"/>
          <w:i/>
          <w:color w:val="000000"/>
          <w:shd w:fill="FFFFFF" w:val="clear"/>
        </w:rPr>
        <w:t>Fatores Considerados</w:t>
      </w:r>
      <w:r>
        <w:rPr>
          <w:rFonts w:ascii="Times New Roman" w:hAnsi="Times New Roman"/>
          <w:color w:val="000000"/>
          <w:shd w:fill="FFFFFF" w:val="clear"/>
        </w:rPr>
        <w:t xml:space="preserve"> (17 itens e </w:t>
      </w:r>
      <w:r>
        <w:rPr>
          <w:rFonts w:ascii="Times New Roman" w:hAnsi="Times New Roman"/>
        </w:rPr>
        <w:t>α = 0,84</w:t>
      </w:r>
      <w:r>
        <w:rPr>
          <w:rFonts w:ascii="Times New Roman" w:hAnsi="Times New Roman"/>
          <w:color w:val="000000"/>
          <w:shd w:fill="FFFFFF" w:val="clear"/>
        </w:rPr>
        <w:t xml:space="preserve">); 2.3) </w:t>
      </w:r>
      <w:r>
        <w:rPr>
          <w:rFonts w:ascii="Times New Roman" w:hAnsi="Times New Roman"/>
          <w:i/>
          <w:color w:val="000000"/>
          <w:shd w:fill="FFFFFF" w:val="clear"/>
        </w:rPr>
        <w:t>Profissão Preferida</w:t>
      </w:r>
      <w:r>
        <w:rPr>
          <w:rFonts w:ascii="Times New Roman" w:hAnsi="Times New Roman"/>
          <w:color w:val="000000"/>
          <w:shd w:fill="FFFFFF" w:val="clear"/>
        </w:rPr>
        <w:t xml:space="preserve"> (nove itens e </w:t>
      </w:r>
      <w:r>
        <w:rPr>
          <w:rFonts w:ascii="Times New Roman" w:hAnsi="Times New Roman"/>
        </w:rPr>
        <w:t>α = 0,87</w:t>
      </w:r>
      <w:r>
        <w:rPr>
          <w:rFonts w:ascii="Times New Roman" w:hAnsi="Times New Roman"/>
          <w:color w:val="000000"/>
          <w:shd w:fill="FFFFFF" w:val="clear"/>
        </w:rPr>
        <w:t xml:space="preserve">); 2.4) </w:t>
      </w:r>
      <w:r>
        <w:rPr>
          <w:rFonts w:ascii="Times New Roman" w:hAnsi="Times New Roman"/>
          <w:i/>
          <w:color w:val="000000"/>
          <w:shd w:fill="FFFFFF" w:val="clear"/>
        </w:rPr>
        <w:t>Pesquisa e Conservação de Emprego</w:t>
      </w:r>
      <w:r>
        <w:rPr>
          <w:rFonts w:ascii="Times New Roman" w:hAnsi="Times New Roman"/>
          <w:color w:val="000000"/>
          <w:shd w:fill="FFFFFF" w:val="clear"/>
        </w:rPr>
        <w:t xml:space="preserve"> (11 itens e </w:t>
      </w:r>
      <w:r>
        <w:rPr>
          <w:rFonts w:ascii="Times New Roman" w:hAnsi="Times New Roman"/>
        </w:rPr>
        <w:t>α = 0,89</w:t>
      </w:r>
      <w:r>
        <w:rPr>
          <w:rFonts w:ascii="Times New Roman" w:hAnsi="Times New Roman"/>
          <w:color w:val="000000"/>
          <w:shd w:fill="FFFFFF" w:val="clear"/>
        </w:rPr>
        <w:t xml:space="preserve">; 2.5) </w:t>
      </w:r>
      <w:r>
        <w:rPr>
          <w:rFonts w:ascii="Times New Roman" w:hAnsi="Times New Roman"/>
          <w:i/>
          <w:color w:val="000000"/>
          <w:shd w:fill="FFFFFF" w:val="clear"/>
        </w:rPr>
        <w:t>Pessoas e Fontes Consultadas</w:t>
      </w:r>
      <w:r>
        <w:rPr>
          <w:rFonts w:ascii="Times New Roman" w:hAnsi="Times New Roman"/>
          <w:color w:val="000000"/>
          <w:shd w:fill="FFFFFF" w:val="clear"/>
        </w:rPr>
        <w:t xml:space="preserve"> (11 itens e </w:t>
      </w:r>
      <w:r>
        <w:rPr>
          <w:rFonts w:ascii="Times New Roman" w:hAnsi="Times New Roman"/>
        </w:rPr>
        <w:t>α = 0,73</w:t>
      </w:r>
      <w:r>
        <w:rPr>
          <w:rFonts w:ascii="Times New Roman" w:hAnsi="Times New Roman"/>
          <w:color w:val="000000"/>
          <w:shd w:fill="FFFFFF" w:val="clear"/>
        </w:rPr>
        <w:t xml:space="preserve">) e 2.6) </w:t>
      </w:r>
      <w:r>
        <w:rPr>
          <w:rFonts w:ascii="Times New Roman" w:hAnsi="Times New Roman"/>
          <w:i/>
          <w:color w:val="000000"/>
          <w:shd w:fill="FFFFFF" w:val="clear"/>
        </w:rPr>
        <w:t>Atividades Realizadas</w:t>
      </w:r>
      <w:r>
        <w:rPr>
          <w:rFonts w:ascii="Times New Roman" w:hAnsi="Times New Roman"/>
          <w:color w:val="000000"/>
          <w:shd w:fill="FFFFFF" w:val="clear"/>
        </w:rPr>
        <w:t xml:space="preserve"> (13 itens e </w:t>
      </w:r>
      <w:r>
        <w:rPr>
          <w:rFonts w:ascii="Times New Roman" w:hAnsi="Times New Roman"/>
        </w:rPr>
        <w:t>α = 0,84</w:t>
      </w:r>
      <w:r>
        <w:rPr>
          <w:rFonts w:ascii="Times New Roman" w:hAnsi="Times New Roman"/>
          <w:color w:val="000000"/>
          <w:shd w:fill="FFFFFF" w:val="clear"/>
        </w:rPr>
        <w:t xml:space="preserve">). </w:t>
      </w:r>
    </w:p>
    <w:p>
      <w:pPr>
        <w:pStyle w:val="Normal"/>
        <w:spacing w:lineRule="auto" w:line="240" w:before="0" w:after="0"/>
        <w:ind w:firstLine="720"/>
        <w:contextualSpacing/>
        <w:jc w:val="both"/>
        <w:rPr>
          <w:rFonts w:ascii="Times New Roman" w:hAnsi="Times New Roman"/>
          <w:lang w:val="pt-BR"/>
        </w:rPr>
      </w:pPr>
      <w:r>
        <w:rPr>
          <w:rFonts w:ascii="Times New Roman" w:hAnsi="Times New Roman"/>
          <w:b/>
          <w:lang w:val="pt-BR"/>
        </w:rPr>
        <w:t>Questionário de Vivências Acadêmicas – versão reduzida (QVA-</w:t>
      </w:r>
      <w:r>
        <w:rPr>
          <w:rFonts w:ascii="Times New Roman" w:hAnsi="Times New Roman"/>
          <w:b/>
          <w:i/>
          <w:lang w:val="pt-BR"/>
        </w:rPr>
        <w:t>r</w:t>
      </w:r>
      <w:r>
        <w:rPr>
          <w:rFonts w:ascii="Times New Roman" w:hAnsi="Times New Roman"/>
          <w:b/>
          <w:lang w:val="pt-BR"/>
        </w:rPr>
        <w:t xml:space="preserve">) </w:t>
      </w:r>
      <w:r>
        <w:rPr>
          <w:rFonts w:ascii="Times New Roman" w:hAnsi="Times New Roman"/>
          <w:lang w:val="pt-BR"/>
        </w:rPr>
        <w:t xml:space="preserve">(Almeida, Soares, &amp; Ferreira, 2002, adaptado por Granado, Santos, Almeida, Soares, &amp; Guisande, 2005). É um instrumento de autorrelato composto de 55 itens estão divididos em cinco dimensões: 1) </w:t>
      </w:r>
      <w:r>
        <w:rPr>
          <w:rFonts w:ascii="Times New Roman" w:hAnsi="Times New Roman"/>
          <w:i/>
          <w:lang w:val="pt-BR"/>
        </w:rPr>
        <w:t>Pessoal</w:t>
      </w:r>
      <w:r>
        <w:rPr>
          <w:rFonts w:ascii="Times New Roman" w:hAnsi="Times New Roman"/>
          <w:lang w:val="pt-BR"/>
        </w:rPr>
        <w:t xml:space="preserve"> (14 itens e </w:t>
      </w:r>
      <w:r>
        <w:rPr>
          <w:rFonts w:ascii="Times New Roman" w:hAnsi="Times New Roman"/>
        </w:rPr>
        <w:t>α</w:t>
      </w:r>
      <w:r>
        <w:rPr>
          <w:rFonts w:ascii="Times New Roman" w:hAnsi="Times New Roman"/>
          <w:lang w:val="pt-BR"/>
        </w:rPr>
        <w:t xml:space="preserve"> = 0,84); 2) </w:t>
      </w:r>
      <w:r>
        <w:rPr>
          <w:rFonts w:ascii="Times New Roman" w:hAnsi="Times New Roman"/>
          <w:i/>
          <w:lang w:val="pt-BR"/>
        </w:rPr>
        <w:t>Curso-carreira</w:t>
      </w:r>
      <w:r>
        <w:rPr>
          <w:rFonts w:ascii="Times New Roman" w:hAnsi="Times New Roman"/>
          <w:lang w:val="pt-BR"/>
        </w:rPr>
        <w:t xml:space="preserve"> (12 itens e </w:t>
      </w:r>
      <w:r>
        <w:rPr>
          <w:rFonts w:ascii="Times New Roman" w:hAnsi="Times New Roman"/>
        </w:rPr>
        <w:t>α</w:t>
      </w:r>
      <w:r>
        <w:rPr>
          <w:rFonts w:ascii="Times New Roman" w:hAnsi="Times New Roman"/>
          <w:lang w:val="pt-BR"/>
        </w:rPr>
        <w:t xml:space="preserve"> = 0,86); 3) </w:t>
      </w:r>
      <w:r>
        <w:rPr>
          <w:rFonts w:ascii="Times New Roman" w:hAnsi="Times New Roman"/>
          <w:i/>
          <w:lang w:val="pt-BR"/>
        </w:rPr>
        <w:t>Estudo</w:t>
      </w:r>
      <w:r>
        <w:rPr>
          <w:rFonts w:ascii="Times New Roman" w:hAnsi="Times New Roman"/>
          <w:lang w:val="pt-BR"/>
        </w:rPr>
        <w:t xml:space="preserve"> (nove itens e </w:t>
      </w:r>
      <w:r>
        <w:rPr>
          <w:rFonts w:ascii="Times New Roman" w:hAnsi="Times New Roman"/>
        </w:rPr>
        <w:t>α</w:t>
      </w:r>
      <w:r>
        <w:rPr>
          <w:rFonts w:ascii="Times New Roman" w:hAnsi="Times New Roman"/>
          <w:lang w:val="pt-BR"/>
        </w:rPr>
        <w:t xml:space="preserve"> = 0,78); 4) </w:t>
      </w:r>
      <w:r>
        <w:rPr>
          <w:rFonts w:ascii="Times New Roman" w:hAnsi="Times New Roman"/>
          <w:i/>
          <w:lang w:val="pt-BR"/>
        </w:rPr>
        <w:t>Interpessoal</w:t>
      </w:r>
      <w:r>
        <w:rPr>
          <w:rFonts w:ascii="Times New Roman" w:hAnsi="Times New Roman"/>
          <w:lang w:val="pt-BR"/>
        </w:rPr>
        <w:t xml:space="preserve"> (12 itens e </w:t>
      </w:r>
      <w:r>
        <w:rPr>
          <w:rFonts w:ascii="Times New Roman" w:hAnsi="Times New Roman"/>
        </w:rPr>
        <w:t>α</w:t>
      </w:r>
      <w:r>
        <w:rPr>
          <w:rFonts w:ascii="Times New Roman" w:hAnsi="Times New Roman"/>
          <w:lang w:val="pt-BR"/>
        </w:rPr>
        <w:t xml:space="preserve"> = 0,82); 5) </w:t>
      </w:r>
      <w:r>
        <w:rPr>
          <w:rFonts w:ascii="Times New Roman" w:hAnsi="Times New Roman"/>
          <w:i/>
          <w:lang w:val="pt-BR"/>
        </w:rPr>
        <w:t xml:space="preserve">Institucional </w:t>
      </w:r>
      <w:r>
        <w:rPr>
          <w:rFonts w:ascii="Times New Roman" w:hAnsi="Times New Roman"/>
          <w:lang w:val="pt-BR"/>
        </w:rPr>
        <w:t xml:space="preserve">(oito itens e </w:t>
      </w:r>
      <w:r>
        <w:rPr>
          <w:rFonts w:ascii="Times New Roman" w:hAnsi="Times New Roman"/>
        </w:rPr>
        <w:t>α</w:t>
      </w:r>
      <w:r>
        <w:rPr>
          <w:rFonts w:ascii="Times New Roman" w:hAnsi="Times New Roman"/>
          <w:lang w:val="pt-BR"/>
        </w:rPr>
        <w:t xml:space="preserve"> = 0,77).</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center"/>
        <w:rPr>
          <w:rFonts w:ascii="Times New Roman" w:hAnsi="Times New Roman"/>
          <w:b/>
          <w:b/>
          <w:bCs/>
          <w:lang w:val="pt-BR"/>
        </w:rPr>
      </w:pPr>
      <w:r>
        <w:rPr>
          <w:rFonts w:ascii="Times New Roman" w:hAnsi="Times New Roman"/>
          <w:b/>
          <w:bCs/>
          <w:lang w:val="pt-BR"/>
        </w:rPr>
        <w:t>Resultados</w:t>
      </w:r>
    </w:p>
    <w:p>
      <w:pPr>
        <w:pStyle w:val="Normal"/>
        <w:spacing w:lineRule="auto" w:line="240" w:before="0" w:after="0"/>
        <w:ind w:firstLine="720"/>
        <w:contextualSpacing/>
        <w:jc w:val="both"/>
        <w:rPr>
          <w:rFonts w:ascii="Times New Roman" w:hAnsi="Times New Roman"/>
          <w:lang w:val="pt-BR" w:eastAsia="pt-BR"/>
        </w:rPr>
      </w:pPr>
      <w:r>
        <w:rPr>
          <w:rFonts w:ascii="Times New Roman" w:hAnsi="Times New Roman"/>
          <w:lang w:val="pt-BR" w:eastAsia="pt-BR"/>
        </w:rPr>
        <w:t xml:space="preserve">Os resultados da Tabela 1 apontam que o fator “Ampliação das Relações Interpessoais” da escala de EEAEIES e o escore total de HS apresentaram impacto na dimensão Pessoal das Vivências Acadêmicas, explicando 28% e 20% das vivências pessoais respectivamente. Os fatores da EMEP, “Responsabilidade” e “Autoconhecimento” e seu escore total apresentaram impacto negativo, explicando 22%, 21% e 35% do fenômeno, respectivamente. </w:t>
      </w:r>
    </w:p>
    <w:p>
      <w:pPr>
        <w:pStyle w:val="Normal"/>
        <w:spacing w:lineRule="auto" w:line="240" w:before="0" w:after="0"/>
        <w:ind w:left="-709" w:hanging="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rPr>
          <w:rFonts w:ascii="Times New Roman" w:hAnsi="Times New Roman"/>
          <w:b/>
          <w:b/>
          <w:bCs/>
          <w:lang w:val="pt-BR"/>
        </w:rPr>
      </w:pPr>
      <w:r>
        <w:rPr>
          <w:rFonts w:ascii="Times New Roman" w:hAnsi="Times New Roman"/>
          <w:b/>
          <w:bCs/>
          <w:lang w:val="pt-BR"/>
        </w:rPr>
        <w:t>Tabela 1</w:t>
      </w:r>
    </w:p>
    <w:p>
      <w:pPr>
        <w:pStyle w:val="Normal"/>
        <w:spacing w:lineRule="auto" w:line="240" w:before="0" w:after="0"/>
        <w:contextualSpacing/>
        <w:rPr>
          <w:rFonts w:ascii="Times New Roman" w:hAnsi="Times New Roman"/>
          <w:bCs/>
          <w:i/>
          <w:i/>
          <w:iCs/>
          <w:lang w:val="pt-BR"/>
        </w:rPr>
      </w:pPr>
      <w:r>
        <w:rPr>
          <w:rFonts w:ascii="Times New Roman" w:hAnsi="Times New Roman"/>
          <w:bCs/>
          <w:i/>
          <w:iCs/>
          <w:lang w:val="pt-BR"/>
        </w:rPr>
        <w:t>Análise de regressão considerando como VD Vivência Acadêmica Pessoal</w:t>
      </w:r>
    </w:p>
    <w:tbl>
      <w:tblPr>
        <w:tblW w:w="9485" w:type="dxa"/>
        <w:jc w:val="left"/>
        <w:tblInd w:w="0" w:type="dxa"/>
        <w:tblCellMar>
          <w:top w:w="0" w:type="dxa"/>
          <w:left w:w="108" w:type="dxa"/>
          <w:bottom w:w="0" w:type="dxa"/>
          <w:right w:w="108" w:type="dxa"/>
        </w:tblCellMar>
        <w:tblLook w:firstRow="1" w:noVBand="1" w:lastRow="0" w:firstColumn="1" w:lastColumn="0" w:noHBand="0" w:val="04a0"/>
      </w:tblPr>
      <w:tblGrid>
        <w:gridCol w:w="2090"/>
        <w:gridCol w:w="3066"/>
        <w:gridCol w:w="1403"/>
        <w:gridCol w:w="1371"/>
        <w:gridCol w:w="1555"/>
      </w:tblGrid>
      <w:tr>
        <w:trPr>
          <w:trHeight w:val="254" w:hRule="atLeast"/>
        </w:trPr>
        <w:tc>
          <w:tcPr>
            <w:tcW w:w="209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lang w:val="pt-BR"/>
              </w:rPr>
            </w:pPr>
            <w:r>
              <w:rPr>
                <w:rFonts w:ascii="Times New Roman" w:hAnsi="Times New Roman"/>
                <w:b/>
                <w:lang w:val="pt-BR"/>
              </w:rPr>
            </w:r>
          </w:p>
        </w:tc>
        <w:tc>
          <w:tcPr>
            <w:tcW w:w="306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lang w:val="pt-BR"/>
              </w:rPr>
            </w:pPr>
            <w:r>
              <w:rPr>
                <w:rFonts w:ascii="Times New Roman" w:hAnsi="Times New Roman"/>
                <w:b/>
                <w:lang w:val="pt-BR"/>
              </w:rPr>
            </w:r>
          </w:p>
        </w:tc>
        <w:tc>
          <w:tcPr>
            <w:tcW w:w="140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R</w:t>
            </w:r>
            <w:r>
              <w:rPr>
                <w:rFonts w:ascii="Times New Roman" w:hAnsi="Times New Roman"/>
                <w:vertAlign w:val="superscript"/>
                <w:lang w:val="pt-BR"/>
              </w:rPr>
              <w:t>2</w:t>
            </w:r>
            <w:r>
              <w:rPr>
                <w:rFonts w:ascii="Times New Roman" w:hAnsi="Times New Roman"/>
                <w:lang w:val="pt-BR"/>
              </w:rPr>
              <w:t xml:space="preserve"> = 0,23</w:t>
            </w:r>
          </w:p>
        </w:tc>
        <w:tc>
          <w:tcPr>
            <w:tcW w:w="1371"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lang w:val="pt-BR"/>
              </w:rPr>
            </w:pPr>
            <w:r>
              <w:rPr>
                <w:rFonts w:ascii="Times New Roman" w:hAnsi="Times New Roman"/>
                <w:lang w:val="pt-BR"/>
              </w:rPr>
              <w:t>F = 3,07</w:t>
            </w:r>
          </w:p>
        </w:tc>
        <w:tc>
          <w:tcPr>
            <w:tcW w:w="155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lang w:val="pt-BR"/>
              </w:rPr>
            </w:pPr>
            <w:r>
              <w:rPr>
                <w:rFonts w:ascii="Times New Roman" w:hAnsi="Times New Roman"/>
                <w:lang w:val="pt-BR"/>
              </w:rPr>
              <w:t>p &lt; 0,001</w:t>
            </w:r>
          </w:p>
        </w:tc>
      </w:tr>
      <w:tr>
        <w:trPr>
          <w:trHeight w:val="509" w:hRule="atLeast"/>
        </w:trPr>
        <w:tc>
          <w:tcPr>
            <w:tcW w:w="209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lang w:val="pt-BR"/>
              </w:rPr>
            </w:pPr>
            <w:r>
              <w:rPr>
                <w:rFonts w:ascii="Times New Roman" w:hAnsi="Times New Roman"/>
                <w:b/>
                <w:lang w:val="pt-BR"/>
              </w:rPr>
              <w:t>Variáveis</w:t>
            </w:r>
          </w:p>
          <w:p>
            <w:pPr>
              <w:pStyle w:val="Normal"/>
              <w:tabs>
                <w:tab w:val="clear" w:pos="720"/>
                <w:tab w:val="left" w:pos="709" w:leader="none"/>
              </w:tabs>
              <w:spacing w:lineRule="auto" w:line="240" w:before="0" w:after="0"/>
              <w:contextualSpacing/>
              <w:jc w:val="both"/>
              <w:rPr>
                <w:rFonts w:ascii="Times New Roman" w:hAnsi="Times New Roman"/>
                <w:b/>
                <w:b/>
                <w:lang w:val="pt-BR"/>
              </w:rPr>
            </w:pPr>
            <w:r>
              <w:rPr>
                <w:rFonts w:ascii="Times New Roman" w:hAnsi="Times New Roman"/>
                <w:b/>
                <w:lang w:val="pt-BR"/>
              </w:rPr>
              <w:t>Independentes</w:t>
            </w:r>
          </w:p>
        </w:tc>
        <w:tc>
          <w:tcPr>
            <w:tcW w:w="306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lang w:val="pt-BR"/>
              </w:rPr>
            </w:pPr>
            <w:r>
              <w:rPr>
                <w:rFonts w:ascii="Times New Roman" w:hAnsi="Times New Roman"/>
                <w:b/>
                <w:lang w:val="pt-BR"/>
              </w:rPr>
              <w:t>Fatores</w:t>
            </w:r>
          </w:p>
        </w:tc>
        <w:tc>
          <w:tcPr>
            <w:tcW w:w="140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lang w:val="pt-BR"/>
              </w:rPr>
            </w:pPr>
            <w:r>
              <w:rPr>
                <w:rFonts w:ascii="Times New Roman" w:hAnsi="Times New Roman"/>
                <w:b/>
                <w:lang w:val="pt-BR"/>
              </w:rPr>
              <w:t>Β</w:t>
            </w:r>
          </w:p>
        </w:tc>
        <w:tc>
          <w:tcPr>
            <w:tcW w:w="1371"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lang w:val="pt-BR"/>
              </w:rPr>
            </w:pPr>
            <w:r>
              <w:rPr>
                <w:rFonts w:ascii="Times New Roman" w:hAnsi="Times New Roman"/>
                <w:b/>
                <w:i/>
                <w:lang w:val="pt-BR"/>
              </w:rPr>
              <w:t>t</w:t>
            </w:r>
          </w:p>
        </w:tc>
        <w:tc>
          <w:tcPr>
            <w:tcW w:w="155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lang w:val="pt-BR"/>
              </w:rPr>
            </w:pPr>
            <w:r>
              <w:rPr>
                <w:rFonts w:ascii="Times New Roman" w:hAnsi="Times New Roman"/>
                <w:b/>
                <w:i/>
                <w:lang w:val="pt-BR"/>
              </w:rPr>
              <w:t>p</w:t>
            </w:r>
          </w:p>
        </w:tc>
      </w:tr>
      <w:tr>
        <w:trPr>
          <w:trHeight w:val="254" w:hRule="atLeast"/>
        </w:trPr>
        <w:tc>
          <w:tcPr>
            <w:tcW w:w="2090"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Expectat. Acad.</w:t>
            </w:r>
          </w:p>
        </w:tc>
        <w:tc>
          <w:tcPr>
            <w:tcW w:w="3066"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Amp. Rel. Int.</w:t>
            </w:r>
          </w:p>
        </w:tc>
        <w:tc>
          <w:tcPr>
            <w:tcW w:w="1403"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0,28</w:t>
            </w:r>
          </w:p>
        </w:tc>
        <w:tc>
          <w:tcPr>
            <w:tcW w:w="1371" w:type="dxa"/>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2,54</w:t>
            </w:r>
          </w:p>
        </w:tc>
        <w:tc>
          <w:tcPr>
            <w:tcW w:w="1555" w:type="dxa"/>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0,01*</w:t>
            </w:r>
          </w:p>
        </w:tc>
      </w:tr>
      <w:tr>
        <w:trPr>
          <w:trHeight w:val="268" w:hRule="atLeast"/>
        </w:trPr>
        <w:tc>
          <w:tcPr>
            <w:tcW w:w="2090" w:type="dxa"/>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Maturidade</w:t>
            </w:r>
          </w:p>
        </w:tc>
        <w:tc>
          <w:tcPr>
            <w:tcW w:w="3066" w:type="dxa"/>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Responsabilidade</w:t>
            </w:r>
          </w:p>
        </w:tc>
        <w:tc>
          <w:tcPr>
            <w:tcW w:w="1403" w:type="dxa"/>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-0,22</w:t>
            </w:r>
          </w:p>
        </w:tc>
        <w:tc>
          <w:tcPr>
            <w:tcW w:w="1371" w:type="dxa"/>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-2,33</w:t>
            </w:r>
          </w:p>
        </w:tc>
        <w:tc>
          <w:tcPr>
            <w:tcW w:w="1555" w:type="dxa"/>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0,02*</w:t>
            </w:r>
          </w:p>
        </w:tc>
      </w:tr>
      <w:tr>
        <w:trPr>
          <w:trHeight w:val="268" w:hRule="atLeast"/>
        </w:trPr>
        <w:tc>
          <w:tcPr>
            <w:tcW w:w="2090" w:type="dxa"/>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r>
          </w:p>
        </w:tc>
        <w:tc>
          <w:tcPr>
            <w:tcW w:w="3066" w:type="dxa"/>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Autoconhecimento</w:t>
            </w:r>
          </w:p>
        </w:tc>
        <w:tc>
          <w:tcPr>
            <w:tcW w:w="1403" w:type="dxa"/>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-0,21</w:t>
            </w:r>
          </w:p>
        </w:tc>
        <w:tc>
          <w:tcPr>
            <w:tcW w:w="1371" w:type="dxa"/>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-2,20</w:t>
            </w:r>
          </w:p>
        </w:tc>
        <w:tc>
          <w:tcPr>
            <w:tcW w:w="1555" w:type="dxa"/>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0,03*</w:t>
            </w:r>
          </w:p>
        </w:tc>
      </w:tr>
      <w:tr>
        <w:trPr>
          <w:trHeight w:val="254" w:hRule="atLeast"/>
        </w:trPr>
        <w:tc>
          <w:tcPr>
            <w:tcW w:w="209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r>
          </w:p>
        </w:tc>
        <w:tc>
          <w:tcPr>
            <w:tcW w:w="306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r>
          </w:p>
        </w:tc>
        <w:tc>
          <w:tcPr>
            <w:tcW w:w="140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R</w:t>
            </w:r>
            <w:r>
              <w:rPr>
                <w:rFonts w:ascii="Times New Roman" w:hAnsi="Times New Roman"/>
                <w:vertAlign w:val="superscript"/>
                <w:lang w:val="pt-BR"/>
              </w:rPr>
              <w:t>2</w:t>
            </w:r>
            <w:r>
              <w:rPr>
                <w:rFonts w:ascii="Times New Roman" w:hAnsi="Times New Roman"/>
                <w:lang w:val="pt-BR"/>
              </w:rPr>
              <w:t xml:space="preserve"> = 0,15</w:t>
            </w:r>
          </w:p>
        </w:tc>
        <w:tc>
          <w:tcPr>
            <w:tcW w:w="1371" w:type="dxa"/>
            <w:tcBorders>
              <w:top w:val="single" w:sz="4" w:space="0" w:color="000000"/>
              <w:bottom w:val="single" w:sz="4" w:space="0" w:color="000000"/>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lang w:val="pt-BR"/>
              </w:rPr>
              <w:t>F =8,24</w:t>
            </w:r>
          </w:p>
        </w:tc>
        <w:tc>
          <w:tcPr>
            <w:tcW w:w="1555" w:type="dxa"/>
            <w:tcBorders>
              <w:top w:val="single" w:sz="4" w:space="0" w:color="000000"/>
              <w:bottom w:val="single" w:sz="4" w:space="0" w:color="000000"/>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lang w:val="pt-BR"/>
              </w:rPr>
              <w:t>p &lt; 0,001</w:t>
            </w:r>
          </w:p>
        </w:tc>
      </w:tr>
      <w:tr>
        <w:trPr>
          <w:trHeight w:val="254" w:hRule="atLeast"/>
        </w:trPr>
        <w:tc>
          <w:tcPr>
            <w:tcW w:w="2090"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Habilid. Sociais</w:t>
            </w:r>
          </w:p>
        </w:tc>
        <w:tc>
          <w:tcPr>
            <w:tcW w:w="3066"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r>
          </w:p>
        </w:tc>
        <w:tc>
          <w:tcPr>
            <w:tcW w:w="1403" w:type="dxa"/>
            <w:tcBorders>
              <w:top w:val="single" w:sz="4" w:space="0" w:color="000000"/>
            </w:tcBorders>
            <w:vAlign w:val="center"/>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color w:val="000000"/>
                <w:lang w:val="pt-BR"/>
              </w:rPr>
              <w:t>0,20</w:t>
            </w:r>
          </w:p>
        </w:tc>
        <w:tc>
          <w:tcPr>
            <w:tcW w:w="1371"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2,99</w:t>
            </w:r>
          </w:p>
        </w:tc>
        <w:tc>
          <w:tcPr>
            <w:tcW w:w="1555"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0,01*</w:t>
            </w:r>
          </w:p>
        </w:tc>
      </w:tr>
      <w:tr>
        <w:trPr>
          <w:trHeight w:val="268" w:hRule="atLeast"/>
        </w:trPr>
        <w:tc>
          <w:tcPr>
            <w:tcW w:w="2090"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Maturidade</w:t>
            </w:r>
          </w:p>
        </w:tc>
        <w:tc>
          <w:tcPr>
            <w:tcW w:w="3066"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r>
          </w:p>
        </w:tc>
        <w:tc>
          <w:tcPr>
            <w:tcW w:w="1403" w:type="dxa"/>
            <w:tcBorders>
              <w:bottom w:val="single" w:sz="4" w:space="0" w:color="000000"/>
            </w:tcBorders>
            <w:vAlign w:val="center"/>
          </w:tcPr>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color w:val="000000"/>
                <w:lang w:val="pt-BR"/>
              </w:rPr>
              <w:t>-0,35</w:t>
            </w:r>
          </w:p>
        </w:tc>
        <w:tc>
          <w:tcPr>
            <w:tcW w:w="1371"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-5,14</w:t>
            </w:r>
          </w:p>
        </w:tc>
        <w:tc>
          <w:tcPr>
            <w:tcW w:w="1555"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lang w:val="pt-BR"/>
              </w:rPr>
            </w:pPr>
            <w:r>
              <w:rPr>
                <w:rFonts w:ascii="Times New Roman" w:hAnsi="Times New Roman"/>
                <w:color w:val="000000"/>
                <w:lang w:val="pt-BR"/>
              </w:rPr>
              <w:t>0,00*</w:t>
            </w:r>
          </w:p>
        </w:tc>
      </w:tr>
    </w:tbl>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i/>
        </w:rPr>
        <w:t>* p</w:t>
      </w:r>
      <w:r>
        <w:rPr>
          <w:rFonts w:ascii="Times New Roman" w:hAnsi="Times New Roman"/>
        </w:rPr>
        <w:t>&lt; 0,05</w:t>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r>
    </w:p>
    <w:p>
      <w:pPr>
        <w:pStyle w:val="Normal"/>
        <w:spacing w:lineRule="auto" w:line="240" w:before="0" w:after="0"/>
        <w:ind w:firstLine="709"/>
        <w:contextualSpacing/>
        <w:jc w:val="both"/>
        <w:rPr>
          <w:rFonts w:ascii="Times New Roman" w:hAnsi="Times New Roman"/>
          <w:b/>
          <w:b/>
          <w:lang w:val="pt-BR"/>
        </w:rPr>
      </w:pPr>
      <w:r>
        <w:rPr>
          <w:rFonts w:ascii="Times New Roman" w:hAnsi="Times New Roman"/>
          <w:lang w:val="pt-BR"/>
        </w:rPr>
        <w:t>Foi encontrado, conforme a Tabela 2, que os escores totais das variáveis independentes “Expectativas Acadêmicas” e “Educação à Carreira” são preditores positivos da variável Vivência Acadêmica Estudo explicando 23% e 28% do fenômeno, respectivamente. Também o fator “</w:t>
      </w:r>
      <w:r>
        <w:rPr>
          <w:rFonts w:ascii="Times New Roman" w:hAnsi="Times New Roman"/>
          <w:lang w:val="pt-BR" w:eastAsia="pt-BR"/>
        </w:rPr>
        <w:t>Pessoas e Fontes Consultadas” do QEC obteve impacto positivo explicando 19% na variável dependente.</w:t>
      </w:r>
    </w:p>
    <w:p>
      <w:pPr>
        <w:pStyle w:val="Normal"/>
        <w:spacing w:lineRule="auto" w:line="240" w:before="0" w:after="0"/>
        <w:contextualSpacing/>
        <w:jc w:val="both"/>
        <w:rPr>
          <w:rFonts w:ascii="Times New Roman" w:hAnsi="Times New Roman"/>
          <w:b/>
          <w:b/>
          <w:lang w:val="pt-BR"/>
        </w:rPr>
      </w:pPr>
      <w:r>
        <w:rPr>
          <w:rFonts w:ascii="Times New Roman" w:hAnsi="Times New Roman"/>
          <w:b/>
          <w:lang w:val="pt-BR"/>
        </w:rPr>
      </w:r>
    </w:p>
    <w:p>
      <w:pPr>
        <w:pStyle w:val="Normal"/>
        <w:spacing w:lineRule="auto" w:line="240" w:before="0" w:after="0"/>
        <w:contextualSpacing/>
        <w:jc w:val="both"/>
        <w:rPr>
          <w:rFonts w:ascii="Times New Roman" w:hAnsi="Times New Roman"/>
          <w:b/>
          <w:b/>
          <w:bCs/>
          <w:lang w:val="pt-BR"/>
        </w:rPr>
      </w:pPr>
      <w:r>
        <w:rPr>
          <w:rFonts w:ascii="Times New Roman" w:hAnsi="Times New Roman"/>
          <w:b/>
          <w:bCs/>
          <w:lang w:val="pt-BR"/>
        </w:rPr>
        <w:t>Tabela 2</w:t>
      </w:r>
    </w:p>
    <w:p>
      <w:pPr>
        <w:pStyle w:val="Normal"/>
        <w:spacing w:lineRule="auto" w:line="240" w:before="0" w:after="0"/>
        <w:contextualSpacing/>
        <w:jc w:val="both"/>
        <w:rPr>
          <w:rFonts w:ascii="Times New Roman" w:hAnsi="Times New Roman"/>
          <w:bCs/>
          <w:i/>
          <w:i/>
          <w:iCs/>
          <w:lang w:val="pt-BR"/>
        </w:rPr>
      </w:pPr>
      <w:r>
        <w:rPr>
          <w:rFonts w:ascii="Times New Roman" w:hAnsi="Times New Roman"/>
          <w:bCs/>
          <w:i/>
          <w:iCs/>
          <w:lang w:val="pt-BR"/>
        </w:rPr>
        <w:t>Análise de regressão considerando como VD Vivência Acadêmica Estudo</w:t>
      </w:r>
    </w:p>
    <w:tbl>
      <w:tblPr>
        <w:tblW w:w="9481" w:type="dxa"/>
        <w:jc w:val="left"/>
        <w:tblInd w:w="0" w:type="dxa"/>
        <w:tblCellMar>
          <w:top w:w="0" w:type="dxa"/>
          <w:left w:w="108" w:type="dxa"/>
          <w:bottom w:w="0" w:type="dxa"/>
          <w:right w:w="108" w:type="dxa"/>
        </w:tblCellMar>
        <w:tblLook w:firstRow="1" w:noVBand="1" w:lastRow="0" w:firstColumn="1" w:lastColumn="0" w:noHBand="0" w:val="04a0"/>
      </w:tblPr>
      <w:tblGrid>
        <w:gridCol w:w="2278"/>
        <w:gridCol w:w="2312"/>
        <w:gridCol w:w="1633"/>
        <w:gridCol w:w="1632"/>
        <w:gridCol w:w="1626"/>
      </w:tblGrid>
      <w:tr>
        <w:trPr>
          <w:trHeight w:val="281" w:hRule="atLeast"/>
        </w:trPr>
        <w:tc>
          <w:tcPr>
            <w:tcW w:w="2278"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231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163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lang w:val="pt-BR"/>
              </w:rPr>
            </w:pPr>
            <w:r>
              <w:rPr>
                <w:rFonts w:ascii="Times New Roman" w:hAnsi="Times New Roman"/>
                <w:b/>
                <w:bCs/>
                <w:lang w:val="pt-BR"/>
              </w:rPr>
              <w:t>R</w:t>
            </w:r>
            <w:r>
              <w:rPr>
                <w:rFonts w:ascii="Times New Roman" w:hAnsi="Times New Roman"/>
                <w:b/>
                <w:bCs/>
                <w:vertAlign w:val="superscript"/>
                <w:lang w:val="pt-BR"/>
              </w:rPr>
              <w:t>2</w:t>
            </w:r>
            <w:r>
              <w:rPr>
                <w:rFonts w:ascii="Times New Roman" w:hAnsi="Times New Roman"/>
                <w:b/>
                <w:bCs/>
                <w:lang w:val="pt-BR"/>
              </w:rPr>
              <w:t xml:space="preserve"> = 0,27</w:t>
            </w:r>
          </w:p>
        </w:tc>
        <w:tc>
          <w:tcPr>
            <w:tcW w:w="163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i/>
                <w:i/>
                <w:lang w:val="pt-BR"/>
              </w:rPr>
            </w:pPr>
            <w:r>
              <w:rPr>
                <w:rFonts w:ascii="Times New Roman" w:hAnsi="Times New Roman"/>
                <w:b/>
                <w:bCs/>
                <w:lang w:val="pt-BR"/>
              </w:rPr>
              <w:t>F= 3,52</w:t>
            </w:r>
          </w:p>
        </w:tc>
        <w:tc>
          <w:tcPr>
            <w:tcW w:w="162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lang w:val="pt-BR"/>
              </w:rPr>
            </w:pPr>
            <w:r>
              <w:rPr>
                <w:rFonts w:ascii="Times New Roman" w:hAnsi="Times New Roman"/>
                <w:b/>
                <w:bCs/>
                <w:lang w:val="pt-BR"/>
              </w:rPr>
              <w:t>p &lt; 0,001</w:t>
            </w:r>
          </w:p>
        </w:tc>
      </w:tr>
      <w:tr>
        <w:trPr>
          <w:trHeight w:val="561" w:hRule="atLeast"/>
        </w:trPr>
        <w:tc>
          <w:tcPr>
            <w:tcW w:w="2278"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lang w:val="pt-BR"/>
              </w:rPr>
              <w:t>Va</w:t>
            </w:r>
            <w:r>
              <w:rPr>
                <w:rFonts w:ascii="Times New Roman" w:hAnsi="Times New Roman"/>
                <w:b/>
                <w:bCs/>
              </w:rPr>
              <w:t>riáveis Independentes</w:t>
            </w:r>
          </w:p>
        </w:tc>
        <w:tc>
          <w:tcPr>
            <w:tcW w:w="231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rPr>
            </w:pPr>
            <w:r>
              <w:rPr>
                <w:rFonts w:ascii="Times New Roman" w:hAnsi="Times New Roman"/>
                <w:b/>
              </w:rPr>
              <w:t>Fatores</w:t>
            </w:r>
          </w:p>
        </w:tc>
        <w:tc>
          <w:tcPr>
            <w:tcW w:w="163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rPr>
            </w:pPr>
            <w:r>
              <w:rPr>
                <w:rFonts w:ascii="Times New Roman" w:hAnsi="Times New Roman"/>
                <w:b/>
              </w:rPr>
              <w:t>Β</w:t>
            </w:r>
          </w:p>
        </w:tc>
        <w:tc>
          <w:tcPr>
            <w:tcW w:w="163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t</w:t>
            </w:r>
          </w:p>
        </w:tc>
        <w:tc>
          <w:tcPr>
            <w:tcW w:w="162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p</w:t>
            </w:r>
          </w:p>
        </w:tc>
      </w:tr>
      <w:tr>
        <w:trPr>
          <w:trHeight w:val="578" w:hRule="atLeast"/>
        </w:trPr>
        <w:tc>
          <w:tcPr>
            <w:tcW w:w="2278"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 xml:space="preserve">Educ. </w:t>
            </w:r>
            <w:r>
              <w:rPr>
                <w:rFonts w:ascii="Times New Roman" w:hAnsi="Times New Roman"/>
              </w:rPr>
              <w:t xml:space="preserve">à </w:t>
            </w:r>
            <w:r>
              <w:rPr>
                <w:rFonts w:ascii="Times New Roman" w:hAnsi="Times New Roman"/>
                <w:bCs/>
              </w:rPr>
              <w:t>Carreira</w:t>
            </w:r>
          </w:p>
        </w:tc>
        <w:tc>
          <w:tcPr>
            <w:tcW w:w="231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Pessoas e fontes consultadas</w:t>
            </w:r>
          </w:p>
        </w:tc>
        <w:tc>
          <w:tcPr>
            <w:tcW w:w="1633" w:type="dxa"/>
            <w:tcBorders>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0,19</w:t>
            </w:r>
          </w:p>
        </w:tc>
        <w:tc>
          <w:tcPr>
            <w:tcW w:w="1632" w:type="dxa"/>
            <w:tcBorders>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2,17</w:t>
            </w:r>
          </w:p>
        </w:tc>
        <w:tc>
          <w:tcPr>
            <w:tcW w:w="1626" w:type="dxa"/>
            <w:tcBorders>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0,03*</w:t>
            </w:r>
          </w:p>
        </w:tc>
      </w:tr>
      <w:tr>
        <w:trPr>
          <w:trHeight w:val="281" w:hRule="atLeast"/>
        </w:trPr>
        <w:tc>
          <w:tcPr>
            <w:tcW w:w="2278"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231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633" w:type="dxa"/>
            <w:tcBorders>
              <w:top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R</w:t>
            </w:r>
            <w:r>
              <w:rPr>
                <w:rFonts w:ascii="Times New Roman" w:hAnsi="Times New Roman"/>
                <w:vertAlign w:val="superscript"/>
              </w:rPr>
              <w:t>2</w:t>
            </w:r>
            <w:r>
              <w:rPr>
                <w:rFonts w:ascii="Times New Roman" w:hAnsi="Times New Roman"/>
              </w:rPr>
              <w:t xml:space="preserve"> = 0,26                      </w:t>
            </w:r>
          </w:p>
        </w:tc>
        <w:tc>
          <w:tcPr>
            <w:tcW w:w="1632" w:type="dxa"/>
            <w:tcBorders>
              <w:top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F =15,59</w:t>
            </w:r>
          </w:p>
        </w:tc>
        <w:tc>
          <w:tcPr>
            <w:tcW w:w="1626" w:type="dxa"/>
            <w:tcBorders>
              <w:top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p &lt; 0,001</w:t>
            </w:r>
          </w:p>
        </w:tc>
      </w:tr>
      <w:tr>
        <w:trPr>
          <w:trHeight w:val="281" w:hRule="atLeast"/>
        </w:trPr>
        <w:tc>
          <w:tcPr>
            <w:tcW w:w="2278"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Exp. Acadêmica</w:t>
            </w:r>
          </w:p>
        </w:tc>
        <w:tc>
          <w:tcPr>
            <w:tcW w:w="231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633" w:type="dxa"/>
            <w:tcBorders>
              <w:top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0,23</w:t>
            </w:r>
          </w:p>
        </w:tc>
        <w:tc>
          <w:tcPr>
            <w:tcW w:w="1632" w:type="dxa"/>
            <w:tcBorders>
              <w:top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3,37</w:t>
            </w:r>
          </w:p>
        </w:tc>
        <w:tc>
          <w:tcPr>
            <w:tcW w:w="1626" w:type="dxa"/>
            <w:tcBorders>
              <w:top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297" w:hRule="atLeast"/>
        </w:trPr>
        <w:tc>
          <w:tcPr>
            <w:tcW w:w="2278"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Educ. à Carreira</w:t>
            </w:r>
          </w:p>
        </w:tc>
        <w:tc>
          <w:tcPr>
            <w:tcW w:w="231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633" w:type="dxa"/>
            <w:tcBorders>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0,28</w:t>
            </w:r>
          </w:p>
        </w:tc>
        <w:tc>
          <w:tcPr>
            <w:tcW w:w="1632" w:type="dxa"/>
            <w:tcBorders>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3,83</w:t>
            </w:r>
          </w:p>
        </w:tc>
        <w:tc>
          <w:tcPr>
            <w:tcW w:w="1626" w:type="dxa"/>
            <w:tcBorders>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0,00*</w:t>
            </w:r>
          </w:p>
        </w:tc>
      </w:tr>
    </w:tbl>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i/>
          <w:lang w:val="pt-BR"/>
        </w:rPr>
        <w:t xml:space="preserve">* p </w:t>
      </w:r>
      <w:r>
        <w:rPr>
          <w:rFonts w:ascii="Times New Roman" w:hAnsi="Times New Roman"/>
          <w:lang w:val="pt-BR"/>
        </w:rPr>
        <w:t>&lt; 0,05</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t>A dimensão Interpessoal da variável Vivência Acadêmica foi impactada positivamente pelos escores totais da EEAEIES, IHS e QEC, explicando 25%, 22% e 36% da variável dependente, conforme apresentado na Tabela 3. Foram identificadas também relações preditivas dos fatores “Compromisso Social e Acadêmico” e “Ampliação das Relações Interpessoais” da EEAEIES, “Fatores Considerados” e “Pessoas e Fontes Consultadas” do QEC, explicando, respectivamente, 23%, 24%, 19% e 23% da variável dependente.</w:t>
      </w:r>
    </w:p>
    <w:p>
      <w:pPr>
        <w:pStyle w:val="Normal"/>
        <w:spacing w:lineRule="auto" w:line="240" w:before="0" w:after="0"/>
        <w:ind w:left="-709" w:hanging="0"/>
        <w:contextualSpacing/>
        <w:jc w:val="both"/>
        <w:rPr>
          <w:rFonts w:ascii="Times New Roman" w:hAnsi="Times New Roman"/>
          <w:b/>
          <w:b/>
          <w:lang w:val="pt-BR"/>
        </w:rPr>
      </w:pPr>
      <w:r>
        <w:rPr>
          <w:rFonts w:ascii="Times New Roman" w:hAnsi="Times New Roman"/>
          <w:b/>
          <w:lang w:val="pt-BR"/>
        </w:rPr>
      </w:r>
    </w:p>
    <w:p>
      <w:pPr>
        <w:pStyle w:val="Normal"/>
        <w:spacing w:lineRule="auto" w:line="240" w:before="0" w:after="0"/>
        <w:rPr>
          <w:rFonts w:ascii="Times New Roman" w:hAnsi="Times New Roman"/>
          <w:b/>
          <w:b/>
          <w:bCs/>
          <w:lang w:val="pt-BR"/>
        </w:rPr>
      </w:pPr>
      <w:r>
        <w:rPr>
          <w:rFonts w:ascii="Times New Roman" w:hAnsi="Times New Roman"/>
          <w:b/>
          <w:bCs/>
          <w:lang w:val="pt-BR"/>
        </w:rPr>
      </w:r>
      <w:r>
        <w:br w:type="page"/>
      </w:r>
    </w:p>
    <w:p>
      <w:pPr>
        <w:pStyle w:val="Normal"/>
        <w:tabs>
          <w:tab w:val="clear" w:pos="720"/>
          <w:tab w:val="left" w:pos="284"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t>Tabela 3</w:t>
      </w:r>
    </w:p>
    <w:p>
      <w:pPr>
        <w:pStyle w:val="Normal"/>
        <w:tabs>
          <w:tab w:val="clear" w:pos="720"/>
          <w:tab w:val="left" w:pos="284" w:leader="none"/>
        </w:tabs>
        <w:spacing w:lineRule="auto" w:line="240" w:before="0" w:after="0"/>
        <w:contextualSpacing/>
        <w:jc w:val="both"/>
        <w:rPr>
          <w:rFonts w:ascii="Times New Roman" w:hAnsi="Times New Roman"/>
          <w:bCs/>
          <w:i/>
          <w:i/>
          <w:iCs/>
          <w:lang w:val="pt-BR"/>
        </w:rPr>
      </w:pPr>
      <w:r>
        <w:rPr>
          <w:rFonts w:ascii="Times New Roman" w:hAnsi="Times New Roman"/>
          <w:bCs/>
          <w:i/>
          <w:iCs/>
          <w:lang w:val="pt-BR"/>
        </w:rPr>
        <w:t>Análise de regressão considerando como VD Vivência Acadêmica Interpessoal</w:t>
      </w:r>
    </w:p>
    <w:tbl>
      <w:tblPr>
        <w:tblW w:w="9435" w:type="dxa"/>
        <w:jc w:val="left"/>
        <w:tblInd w:w="0" w:type="dxa"/>
        <w:tblCellMar>
          <w:top w:w="0" w:type="dxa"/>
          <w:left w:w="108" w:type="dxa"/>
          <w:bottom w:w="0" w:type="dxa"/>
          <w:right w:w="108" w:type="dxa"/>
        </w:tblCellMar>
        <w:tblLook w:firstRow="1" w:noVBand="1" w:lastRow="0" w:firstColumn="1" w:lastColumn="0" w:noHBand="0" w:val="04a0"/>
      </w:tblPr>
      <w:tblGrid>
        <w:gridCol w:w="1922"/>
        <w:gridCol w:w="2282"/>
        <w:gridCol w:w="2136"/>
        <w:gridCol w:w="1593"/>
        <w:gridCol w:w="1502"/>
      </w:tblGrid>
      <w:tr>
        <w:trPr>
          <w:trHeight w:val="272" w:hRule="atLeast"/>
        </w:trPr>
        <w:tc>
          <w:tcPr>
            <w:tcW w:w="192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228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213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R</w:t>
            </w:r>
            <w:r>
              <w:rPr>
                <w:rFonts w:ascii="Times New Roman" w:hAnsi="Times New Roman"/>
                <w:b/>
                <w:bCs/>
                <w:vertAlign w:val="superscript"/>
              </w:rPr>
              <w:t>2</w:t>
            </w:r>
            <w:r>
              <w:rPr>
                <w:rFonts w:ascii="Times New Roman" w:hAnsi="Times New Roman"/>
                <w:b/>
                <w:bCs/>
              </w:rPr>
              <w:t xml:space="preserve"> = 0,36</w:t>
            </w:r>
          </w:p>
        </w:tc>
        <w:tc>
          <w:tcPr>
            <w:tcW w:w="159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F= 4,91</w:t>
            </w:r>
          </w:p>
        </w:tc>
        <w:tc>
          <w:tcPr>
            <w:tcW w:w="150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p &lt; 0,001</w:t>
            </w:r>
          </w:p>
        </w:tc>
      </w:tr>
      <w:tr>
        <w:trPr>
          <w:trHeight w:val="543" w:hRule="atLeast"/>
        </w:trPr>
        <w:tc>
          <w:tcPr>
            <w:tcW w:w="192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t>Variáveis Independentes</w:t>
            </w:r>
          </w:p>
        </w:tc>
        <w:tc>
          <w:tcPr>
            <w:tcW w:w="228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rPr>
            </w:pPr>
            <w:r>
              <w:rPr>
                <w:rFonts w:ascii="Times New Roman" w:hAnsi="Times New Roman"/>
                <w:b/>
              </w:rPr>
              <w:t>Fatores</w:t>
            </w:r>
          </w:p>
        </w:tc>
        <w:tc>
          <w:tcPr>
            <w:tcW w:w="213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rPr>
            </w:pPr>
            <w:r>
              <w:rPr>
                <w:rFonts w:ascii="Times New Roman" w:hAnsi="Times New Roman"/>
                <w:b/>
              </w:rPr>
              <w:t>Β</w:t>
            </w:r>
          </w:p>
        </w:tc>
        <w:tc>
          <w:tcPr>
            <w:tcW w:w="159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t</w:t>
            </w:r>
          </w:p>
        </w:tc>
        <w:tc>
          <w:tcPr>
            <w:tcW w:w="150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p</w:t>
            </w:r>
          </w:p>
        </w:tc>
      </w:tr>
      <w:tr>
        <w:trPr>
          <w:trHeight w:val="272" w:hRule="atLeast"/>
        </w:trPr>
        <w:tc>
          <w:tcPr>
            <w:tcW w:w="192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Expectat. Acad.</w:t>
            </w:r>
          </w:p>
        </w:tc>
        <w:tc>
          <w:tcPr>
            <w:tcW w:w="228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Comp. Soc. e Acad.</w:t>
            </w:r>
          </w:p>
        </w:tc>
        <w:tc>
          <w:tcPr>
            <w:tcW w:w="2136"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0,23</w:t>
            </w:r>
          </w:p>
        </w:tc>
        <w:tc>
          <w:tcPr>
            <w:tcW w:w="1593"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2,02</w:t>
            </w:r>
          </w:p>
        </w:tc>
        <w:tc>
          <w:tcPr>
            <w:tcW w:w="1502"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0,04*</w:t>
            </w:r>
          </w:p>
        </w:tc>
      </w:tr>
      <w:tr>
        <w:trPr>
          <w:trHeight w:val="286" w:hRule="atLeast"/>
        </w:trPr>
        <w:tc>
          <w:tcPr>
            <w:tcW w:w="1922"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r>
          </w:p>
        </w:tc>
        <w:tc>
          <w:tcPr>
            <w:tcW w:w="2282"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Amp. Rel. Int.</w:t>
            </w:r>
          </w:p>
        </w:tc>
        <w:tc>
          <w:tcPr>
            <w:tcW w:w="213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0,24</w:t>
            </w:r>
          </w:p>
        </w:tc>
        <w:tc>
          <w:tcPr>
            <w:tcW w:w="1593"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2,40</w:t>
            </w:r>
          </w:p>
        </w:tc>
        <w:tc>
          <w:tcPr>
            <w:tcW w:w="150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0,02*</w:t>
            </w:r>
          </w:p>
        </w:tc>
      </w:tr>
      <w:tr>
        <w:trPr>
          <w:trHeight w:val="272" w:hRule="atLeast"/>
        </w:trPr>
        <w:tc>
          <w:tcPr>
            <w:tcW w:w="1922"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 xml:space="preserve">Educ. </w:t>
            </w:r>
            <w:r>
              <w:rPr>
                <w:rFonts w:ascii="Times New Roman" w:hAnsi="Times New Roman"/>
              </w:rPr>
              <w:t xml:space="preserve">à </w:t>
            </w:r>
            <w:r>
              <w:rPr>
                <w:rFonts w:ascii="Times New Roman" w:hAnsi="Times New Roman"/>
                <w:bCs/>
              </w:rPr>
              <w:t>Carreira</w:t>
            </w:r>
          </w:p>
        </w:tc>
        <w:tc>
          <w:tcPr>
            <w:tcW w:w="2282"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Fatores considerados</w:t>
            </w:r>
          </w:p>
        </w:tc>
        <w:tc>
          <w:tcPr>
            <w:tcW w:w="213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0,19</w:t>
            </w:r>
          </w:p>
        </w:tc>
        <w:tc>
          <w:tcPr>
            <w:tcW w:w="1593"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2,01</w:t>
            </w:r>
          </w:p>
        </w:tc>
        <w:tc>
          <w:tcPr>
            <w:tcW w:w="150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0,04*</w:t>
            </w:r>
          </w:p>
        </w:tc>
      </w:tr>
      <w:tr>
        <w:trPr>
          <w:trHeight w:val="558" w:hRule="atLeast"/>
        </w:trPr>
        <w:tc>
          <w:tcPr>
            <w:tcW w:w="1922" w:type="dxa"/>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2282"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Pessoas e fontes consultadas</w:t>
            </w:r>
          </w:p>
        </w:tc>
        <w:tc>
          <w:tcPr>
            <w:tcW w:w="213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0,23</w:t>
            </w:r>
          </w:p>
        </w:tc>
        <w:tc>
          <w:tcPr>
            <w:tcW w:w="1593"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2,80</w:t>
            </w:r>
          </w:p>
        </w:tc>
        <w:tc>
          <w:tcPr>
            <w:tcW w:w="150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272" w:hRule="atLeast"/>
        </w:trPr>
        <w:tc>
          <w:tcPr>
            <w:tcW w:w="192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228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2136"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R</w:t>
            </w:r>
            <w:r>
              <w:rPr>
                <w:rFonts w:ascii="Times New Roman" w:hAnsi="Times New Roman"/>
                <w:vertAlign w:val="superscript"/>
              </w:rPr>
              <w:t>2</w:t>
            </w:r>
            <w:r>
              <w:rPr>
                <w:rFonts w:ascii="Times New Roman" w:hAnsi="Times New Roman"/>
              </w:rPr>
              <w:t xml:space="preserve"> = 0,29</w:t>
            </w:r>
          </w:p>
        </w:tc>
        <w:tc>
          <w:tcPr>
            <w:tcW w:w="1593"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F =17,86</w:t>
            </w:r>
          </w:p>
        </w:tc>
        <w:tc>
          <w:tcPr>
            <w:tcW w:w="1502"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p &lt; 0,001</w:t>
            </w:r>
          </w:p>
        </w:tc>
      </w:tr>
      <w:tr>
        <w:trPr>
          <w:trHeight w:val="272" w:hRule="atLeast"/>
        </w:trPr>
        <w:tc>
          <w:tcPr>
            <w:tcW w:w="192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Exp. Acadêmica</w:t>
            </w:r>
          </w:p>
        </w:tc>
        <w:tc>
          <w:tcPr>
            <w:tcW w:w="228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2136"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0,25</w:t>
            </w:r>
          </w:p>
        </w:tc>
        <w:tc>
          <w:tcPr>
            <w:tcW w:w="1593"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3,68</w:t>
            </w:r>
          </w:p>
        </w:tc>
        <w:tc>
          <w:tcPr>
            <w:tcW w:w="1502"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0,00*</w:t>
            </w:r>
          </w:p>
        </w:tc>
      </w:tr>
      <w:tr>
        <w:trPr>
          <w:trHeight w:val="272" w:hRule="atLeast"/>
        </w:trPr>
        <w:tc>
          <w:tcPr>
            <w:tcW w:w="1922" w:type="dxa"/>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Habilid. Sociais</w:t>
            </w:r>
          </w:p>
        </w:tc>
        <w:tc>
          <w:tcPr>
            <w:tcW w:w="2282"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213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0,22</w:t>
            </w:r>
          </w:p>
        </w:tc>
        <w:tc>
          <w:tcPr>
            <w:tcW w:w="1593"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3,60</w:t>
            </w:r>
          </w:p>
        </w:tc>
        <w:tc>
          <w:tcPr>
            <w:tcW w:w="150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0,00*</w:t>
            </w:r>
          </w:p>
        </w:tc>
      </w:tr>
      <w:tr>
        <w:trPr>
          <w:trHeight w:val="286" w:hRule="atLeast"/>
        </w:trPr>
        <w:tc>
          <w:tcPr>
            <w:tcW w:w="192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Educ. à Carreira</w:t>
            </w:r>
          </w:p>
        </w:tc>
        <w:tc>
          <w:tcPr>
            <w:tcW w:w="228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2136"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0,36</w:t>
            </w:r>
          </w:p>
        </w:tc>
        <w:tc>
          <w:tcPr>
            <w:tcW w:w="1593"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5,01</w:t>
            </w:r>
          </w:p>
        </w:tc>
        <w:tc>
          <w:tcPr>
            <w:tcW w:w="1502"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0,00*</w:t>
            </w:r>
          </w:p>
        </w:tc>
      </w:tr>
    </w:tbl>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i/>
          <w:lang w:val="pt-BR"/>
        </w:rPr>
        <w:t>* p</w:t>
      </w:r>
      <w:r>
        <w:rPr>
          <w:rFonts w:ascii="Times New Roman" w:hAnsi="Times New Roman"/>
          <w:lang w:val="pt-BR"/>
        </w:rPr>
        <w:t>&lt; 0,05</w:t>
      </w:r>
    </w:p>
    <w:p>
      <w:pPr>
        <w:pStyle w:val="Normal"/>
        <w:spacing w:lineRule="auto" w:line="240" w:before="0" w:after="0"/>
        <w:ind w:left="-709" w:hanging="0"/>
        <w:contextualSpacing/>
        <w:jc w:val="both"/>
        <w:rPr>
          <w:rFonts w:ascii="Times New Roman" w:hAnsi="Times New Roman"/>
          <w:b/>
          <w:b/>
          <w:lang w:val="pt-BR"/>
        </w:rPr>
      </w:pPr>
      <w:r>
        <w:rPr>
          <w:rFonts w:ascii="Times New Roman" w:hAnsi="Times New Roman"/>
          <w:b/>
          <w:lang w:val="pt-BR"/>
        </w:rPr>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t>De acordo com a Tabela 4, foi encontrado que as variáveis independentes Expectativas Acadêmicas e Educação à Carreira são preditoras da Vivência Acadêmica Institucional, explicando 18% e 22%, assim como os fatores “</w:t>
      </w:r>
      <w:r>
        <w:rPr>
          <w:rFonts w:ascii="Times New Roman" w:hAnsi="Times New Roman"/>
          <w:lang w:val="pt-BR" w:eastAsia="pt-BR"/>
        </w:rPr>
        <w:t xml:space="preserve">Oportunidade de Internacionalização e Intercâmbio” da </w:t>
      </w:r>
      <w:r>
        <w:rPr>
          <w:rFonts w:ascii="Times New Roman" w:hAnsi="Times New Roman"/>
          <w:lang w:val="pt-BR"/>
        </w:rPr>
        <w:t>EEAEIES</w:t>
      </w:r>
      <w:r>
        <w:rPr>
          <w:rFonts w:ascii="Times New Roman" w:hAnsi="Times New Roman"/>
          <w:lang w:val="pt-BR" w:eastAsia="pt-BR"/>
        </w:rPr>
        <w:t>, “Pessoas e Fontes Consultadas” do QEC e “Determinação” da EMEP</w:t>
      </w:r>
      <w:r>
        <w:rPr>
          <w:rFonts w:ascii="Times New Roman" w:hAnsi="Times New Roman"/>
          <w:lang w:val="pt-BR"/>
        </w:rPr>
        <w:t xml:space="preserve"> que explicam, respectivamente, 33%, 28% e 25% do fenômeno. Foi encontrado impacto negativo para os fatores “</w:t>
      </w:r>
      <w:r>
        <w:rPr>
          <w:rFonts w:ascii="Times New Roman" w:hAnsi="Times New Roman"/>
          <w:lang w:val="pt-BR" w:eastAsia="pt-BR"/>
        </w:rPr>
        <w:t xml:space="preserve">Desenvolvimento de Competências Transversais” da </w:t>
      </w:r>
      <w:r>
        <w:rPr>
          <w:rFonts w:ascii="Times New Roman" w:hAnsi="Times New Roman"/>
          <w:lang w:val="pt-BR"/>
        </w:rPr>
        <w:t>EEAEIES</w:t>
      </w:r>
      <w:r>
        <w:rPr>
          <w:rFonts w:ascii="Times New Roman" w:hAnsi="Times New Roman"/>
          <w:lang w:val="pt-BR" w:eastAsia="pt-BR"/>
        </w:rPr>
        <w:t>, “Enfrentamento e Autoafirmação com Risco” do IHS e “Conhecimento da Realidade Profissional” da EMEP explicando, respectivamente, 42%, 19% e 17% da variável dependente.</w:t>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b/>
          <w:b/>
          <w:bCs/>
          <w:lang w:val="pt-BR"/>
        </w:rPr>
      </w:pPr>
      <w:r>
        <w:rPr>
          <w:rFonts w:ascii="Times New Roman" w:hAnsi="Times New Roman"/>
          <w:b/>
          <w:bCs/>
          <w:lang w:val="pt-BR"/>
        </w:rPr>
        <w:t>Tabela 4</w:t>
      </w:r>
    </w:p>
    <w:p>
      <w:pPr>
        <w:pStyle w:val="Normal"/>
        <w:spacing w:lineRule="auto" w:line="240" w:before="0" w:after="0"/>
        <w:contextualSpacing/>
        <w:jc w:val="both"/>
        <w:rPr>
          <w:rFonts w:ascii="Times New Roman" w:hAnsi="Times New Roman"/>
          <w:bCs/>
          <w:i/>
          <w:i/>
          <w:iCs/>
          <w:lang w:val="pt-BR"/>
        </w:rPr>
      </w:pPr>
      <w:r>
        <w:rPr>
          <w:rFonts w:ascii="Times New Roman" w:hAnsi="Times New Roman"/>
          <w:bCs/>
          <w:i/>
          <w:iCs/>
          <w:lang w:val="pt-BR"/>
        </w:rPr>
        <w:t>Análise de regressão considerando como VD Vivência Acadêmica Institucional</w:t>
      </w:r>
    </w:p>
    <w:tbl>
      <w:tblPr>
        <w:tblW w:w="9512" w:type="dxa"/>
        <w:jc w:val="left"/>
        <w:tblInd w:w="0" w:type="dxa"/>
        <w:tblCellMar>
          <w:top w:w="0" w:type="dxa"/>
          <w:left w:w="108" w:type="dxa"/>
          <w:bottom w:w="0" w:type="dxa"/>
          <w:right w:w="108" w:type="dxa"/>
        </w:tblCellMar>
        <w:tblLook w:firstRow="1" w:noVBand="1" w:lastRow="0" w:firstColumn="1" w:lastColumn="0" w:noHBand="0" w:val="04a0"/>
      </w:tblPr>
      <w:tblGrid>
        <w:gridCol w:w="1885"/>
        <w:gridCol w:w="2839"/>
        <w:gridCol w:w="1590"/>
        <w:gridCol w:w="1746"/>
        <w:gridCol w:w="1452"/>
      </w:tblGrid>
      <w:tr>
        <w:trPr>
          <w:trHeight w:val="266" w:hRule="atLeast"/>
        </w:trPr>
        <w:tc>
          <w:tcPr>
            <w:tcW w:w="188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2839"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159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R</w:t>
            </w:r>
            <w:r>
              <w:rPr>
                <w:rFonts w:ascii="Times New Roman" w:hAnsi="Times New Roman"/>
                <w:b/>
                <w:bCs/>
                <w:vertAlign w:val="superscript"/>
              </w:rPr>
              <w:t>2</w:t>
            </w:r>
            <w:r>
              <w:rPr>
                <w:rFonts w:ascii="Times New Roman" w:hAnsi="Times New Roman"/>
                <w:b/>
                <w:bCs/>
              </w:rPr>
              <w:t xml:space="preserve"> = 0,22</w:t>
            </w:r>
          </w:p>
        </w:tc>
        <w:tc>
          <w:tcPr>
            <w:tcW w:w="174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F = 2,93</w:t>
            </w:r>
          </w:p>
        </w:tc>
        <w:tc>
          <w:tcPr>
            <w:tcW w:w="145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p &lt; 0,00</w:t>
            </w:r>
          </w:p>
        </w:tc>
      </w:tr>
      <w:tr>
        <w:trPr>
          <w:trHeight w:val="282" w:hRule="atLeast"/>
        </w:trPr>
        <w:tc>
          <w:tcPr>
            <w:tcW w:w="188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t>Variáveis independentes</w:t>
            </w:r>
          </w:p>
        </w:tc>
        <w:tc>
          <w:tcPr>
            <w:tcW w:w="2839"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rPr>
            </w:pPr>
            <w:r>
              <w:rPr>
                <w:rFonts w:ascii="Times New Roman" w:hAnsi="Times New Roman"/>
                <w:b/>
              </w:rPr>
              <w:t>Fatores</w:t>
            </w:r>
          </w:p>
        </w:tc>
        <w:tc>
          <w:tcPr>
            <w:tcW w:w="159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rPr>
            </w:pPr>
            <w:r>
              <w:rPr>
                <w:rFonts w:ascii="Times New Roman" w:hAnsi="Times New Roman"/>
                <w:b/>
              </w:rPr>
              <w:t>Β</w:t>
            </w:r>
          </w:p>
        </w:tc>
        <w:tc>
          <w:tcPr>
            <w:tcW w:w="174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t</w:t>
            </w:r>
          </w:p>
        </w:tc>
        <w:tc>
          <w:tcPr>
            <w:tcW w:w="145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p</w:t>
            </w:r>
          </w:p>
        </w:tc>
      </w:tr>
      <w:tr>
        <w:trPr>
          <w:trHeight w:val="142" w:hRule="atLeast"/>
        </w:trPr>
        <w:tc>
          <w:tcPr>
            <w:tcW w:w="1885"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Expectat. Acad.</w:t>
            </w:r>
          </w:p>
        </w:tc>
        <w:tc>
          <w:tcPr>
            <w:tcW w:w="2839"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Opor. Int. e Int.</w:t>
            </w:r>
          </w:p>
        </w:tc>
        <w:tc>
          <w:tcPr>
            <w:tcW w:w="1590"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0,33</w:t>
            </w:r>
          </w:p>
        </w:tc>
        <w:tc>
          <w:tcPr>
            <w:tcW w:w="174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2,94</w:t>
            </w:r>
          </w:p>
        </w:tc>
        <w:tc>
          <w:tcPr>
            <w:tcW w:w="145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142" w:hRule="atLeast"/>
        </w:trPr>
        <w:tc>
          <w:tcPr>
            <w:tcW w:w="1885"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r>
          </w:p>
        </w:tc>
        <w:tc>
          <w:tcPr>
            <w:tcW w:w="2839"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Des. Comp. Trans</w:t>
            </w:r>
          </w:p>
        </w:tc>
        <w:tc>
          <w:tcPr>
            <w:tcW w:w="1590"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-0,42</w:t>
            </w:r>
          </w:p>
        </w:tc>
        <w:tc>
          <w:tcPr>
            <w:tcW w:w="174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-3,56</w:t>
            </w:r>
          </w:p>
        </w:tc>
        <w:tc>
          <w:tcPr>
            <w:tcW w:w="145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0,00*</w:t>
            </w:r>
          </w:p>
        </w:tc>
      </w:tr>
      <w:tr>
        <w:trPr>
          <w:trHeight w:val="142" w:hRule="atLeast"/>
        </w:trPr>
        <w:tc>
          <w:tcPr>
            <w:tcW w:w="1885"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Habilid. Sociais</w:t>
            </w:r>
          </w:p>
        </w:tc>
        <w:tc>
          <w:tcPr>
            <w:tcW w:w="2839"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Enfrentamento</w:t>
            </w:r>
          </w:p>
        </w:tc>
        <w:tc>
          <w:tcPr>
            <w:tcW w:w="1590"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-0,19</w:t>
            </w:r>
          </w:p>
        </w:tc>
        <w:tc>
          <w:tcPr>
            <w:tcW w:w="174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-1,99</w:t>
            </w:r>
          </w:p>
        </w:tc>
        <w:tc>
          <w:tcPr>
            <w:tcW w:w="145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0,04*</w:t>
            </w:r>
          </w:p>
        </w:tc>
      </w:tr>
      <w:tr>
        <w:trPr>
          <w:trHeight w:val="142" w:hRule="atLeast"/>
        </w:trPr>
        <w:tc>
          <w:tcPr>
            <w:tcW w:w="1885"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 xml:space="preserve">Educ. </w:t>
            </w:r>
            <w:r>
              <w:rPr>
                <w:rFonts w:ascii="Times New Roman" w:hAnsi="Times New Roman"/>
              </w:rPr>
              <w:t xml:space="preserve">à </w:t>
            </w:r>
            <w:r>
              <w:rPr>
                <w:rFonts w:ascii="Times New Roman" w:hAnsi="Times New Roman"/>
                <w:bCs/>
              </w:rPr>
              <w:t>Carreira</w:t>
            </w:r>
          </w:p>
        </w:tc>
        <w:tc>
          <w:tcPr>
            <w:tcW w:w="2839"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Pessoas e fontes consultadas</w:t>
            </w:r>
          </w:p>
        </w:tc>
        <w:tc>
          <w:tcPr>
            <w:tcW w:w="1590"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0,28</w:t>
            </w:r>
          </w:p>
        </w:tc>
        <w:tc>
          <w:tcPr>
            <w:tcW w:w="174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2,99</w:t>
            </w:r>
          </w:p>
        </w:tc>
        <w:tc>
          <w:tcPr>
            <w:tcW w:w="145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142" w:hRule="atLeast"/>
        </w:trPr>
        <w:tc>
          <w:tcPr>
            <w:tcW w:w="1885" w:type="dxa"/>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Maturidade</w:t>
            </w:r>
          </w:p>
        </w:tc>
        <w:tc>
          <w:tcPr>
            <w:tcW w:w="2839"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Determinação</w:t>
            </w:r>
          </w:p>
        </w:tc>
        <w:tc>
          <w:tcPr>
            <w:tcW w:w="1590"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0,25</w:t>
            </w:r>
          </w:p>
        </w:tc>
        <w:tc>
          <w:tcPr>
            <w:tcW w:w="1746"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2,42</w:t>
            </w:r>
          </w:p>
        </w:tc>
        <w:tc>
          <w:tcPr>
            <w:tcW w:w="1452"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0,02*</w:t>
            </w:r>
          </w:p>
        </w:tc>
      </w:tr>
      <w:tr>
        <w:trPr>
          <w:trHeight w:val="142" w:hRule="atLeast"/>
        </w:trPr>
        <w:tc>
          <w:tcPr>
            <w:tcW w:w="1885"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2839"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Conhec. da real prof</w:t>
            </w:r>
          </w:p>
        </w:tc>
        <w:tc>
          <w:tcPr>
            <w:tcW w:w="1590"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-0,17</w:t>
            </w:r>
          </w:p>
        </w:tc>
        <w:tc>
          <w:tcPr>
            <w:tcW w:w="1746"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-2,06</w:t>
            </w:r>
          </w:p>
        </w:tc>
        <w:tc>
          <w:tcPr>
            <w:tcW w:w="1452"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0,04*</w:t>
            </w:r>
          </w:p>
        </w:tc>
      </w:tr>
      <w:tr>
        <w:trPr>
          <w:trHeight w:val="142" w:hRule="atLeast"/>
        </w:trPr>
        <w:tc>
          <w:tcPr>
            <w:tcW w:w="188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2839"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590" w:type="dxa"/>
            <w:tcBorders>
              <w:top w:val="single" w:sz="4" w:space="0" w:color="000000"/>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rPr>
              <w:t>R</w:t>
            </w:r>
            <w:r>
              <w:rPr>
                <w:rFonts w:ascii="Times New Roman" w:hAnsi="Times New Roman"/>
                <w:vertAlign w:val="superscript"/>
              </w:rPr>
              <w:t>2</w:t>
            </w:r>
            <w:r>
              <w:rPr>
                <w:rFonts w:ascii="Times New Roman" w:hAnsi="Times New Roman"/>
              </w:rPr>
              <w:t xml:space="preserve"> = 0,08</w:t>
            </w:r>
          </w:p>
        </w:tc>
        <w:tc>
          <w:tcPr>
            <w:tcW w:w="1746" w:type="dxa"/>
            <w:tcBorders>
              <w:top w:val="single" w:sz="4" w:space="0" w:color="000000"/>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rPr>
              <w:t>F =4,58</w:t>
            </w:r>
          </w:p>
        </w:tc>
        <w:tc>
          <w:tcPr>
            <w:tcW w:w="1452" w:type="dxa"/>
            <w:tcBorders>
              <w:top w:val="single" w:sz="4" w:space="0" w:color="000000"/>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rPr>
              <w:t>p &lt; 0,01</w:t>
            </w:r>
          </w:p>
        </w:tc>
      </w:tr>
      <w:tr>
        <w:trPr>
          <w:trHeight w:val="142" w:hRule="atLeast"/>
        </w:trPr>
        <w:tc>
          <w:tcPr>
            <w:tcW w:w="1885"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Exp. Acadêmica</w:t>
            </w:r>
          </w:p>
        </w:tc>
        <w:tc>
          <w:tcPr>
            <w:tcW w:w="2839"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590" w:type="dxa"/>
            <w:tcBorders>
              <w:top w:val="single" w:sz="4" w:space="0" w:color="000000"/>
            </w:tcBorders>
            <w:vAlign w:val="center"/>
          </w:tcPr>
          <w:p>
            <w:pPr>
              <w:pStyle w:val="Normal"/>
              <w:spacing w:lineRule="auto" w:line="240" w:before="0" w:after="0"/>
              <w:contextualSpacing/>
              <w:jc w:val="center"/>
              <w:rPr>
                <w:rFonts w:ascii="Times New Roman" w:hAnsi="Times New Roman"/>
                <w:b/>
                <w:b/>
              </w:rPr>
            </w:pPr>
            <w:r>
              <w:rPr>
                <w:rFonts w:ascii="Times New Roman" w:hAnsi="Times New Roman"/>
                <w:color w:val="000000"/>
              </w:rPr>
              <w:t>0,18</w:t>
            </w:r>
          </w:p>
        </w:tc>
        <w:tc>
          <w:tcPr>
            <w:tcW w:w="1746" w:type="dxa"/>
            <w:tcBorders>
              <w:top w:val="single" w:sz="4" w:space="0" w:color="000000"/>
            </w:tcBorders>
            <w:vAlign w:val="center"/>
          </w:tcPr>
          <w:p>
            <w:pPr>
              <w:pStyle w:val="Normal"/>
              <w:spacing w:lineRule="auto" w:line="240" w:before="0" w:after="0"/>
              <w:contextualSpacing/>
              <w:jc w:val="center"/>
              <w:rPr>
                <w:rFonts w:ascii="Times New Roman" w:hAnsi="Times New Roman"/>
                <w:b/>
                <w:b/>
              </w:rPr>
            </w:pPr>
            <w:r>
              <w:rPr>
                <w:rFonts w:ascii="Times New Roman" w:hAnsi="Times New Roman"/>
                <w:color w:val="000000"/>
              </w:rPr>
              <w:t>2,340</w:t>
            </w:r>
          </w:p>
        </w:tc>
        <w:tc>
          <w:tcPr>
            <w:tcW w:w="1452" w:type="dxa"/>
            <w:tcBorders>
              <w:top w:val="single" w:sz="4" w:space="0" w:color="000000"/>
            </w:tcBorders>
            <w:vAlign w:val="center"/>
          </w:tcPr>
          <w:p>
            <w:pPr>
              <w:pStyle w:val="Normal"/>
              <w:spacing w:lineRule="auto" w:line="240" w:before="0" w:after="0"/>
              <w:contextualSpacing/>
              <w:jc w:val="center"/>
              <w:rPr>
                <w:rFonts w:ascii="Times New Roman" w:hAnsi="Times New Roman"/>
                <w:b/>
                <w:b/>
              </w:rPr>
            </w:pPr>
            <w:r>
              <w:rPr>
                <w:rFonts w:ascii="Times New Roman" w:hAnsi="Times New Roman"/>
                <w:color w:val="000000"/>
              </w:rPr>
              <w:t>0,02*</w:t>
            </w:r>
          </w:p>
        </w:tc>
      </w:tr>
      <w:tr>
        <w:trPr>
          <w:trHeight w:val="142" w:hRule="atLeast"/>
        </w:trPr>
        <w:tc>
          <w:tcPr>
            <w:tcW w:w="1885"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Educ. à Carreira</w:t>
            </w:r>
          </w:p>
        </w:tc>
        <w:tc>
          <w:tcPr>
            <w:tcW w:w="2839"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590" w:type="dxa"/>
            <w:tcBorders>
              <w:bottom w:val="single" w:sz="4" w:space="0" w:color="000000"/>
            </w:tcBorders>
            <w:vAlign w:val="center"/>
          </w:tcPr>
          <w:p>
            <w:pPr>
              <w:pStyle w:val="Normal"/>
              <w:spacing w:lineRule="auto" w:line="240" w:before="0" w:after="0"/>
              <w:contextualSpacing/>
              <w:jc w:val="center"/>
              <w:rPr>
                <w:rFonts w:ascii="Times New Roman" w:hAnsi="Times New Roman"/>
                <w:b/>
                <w:b/>
              </w:rPr>
            </w:pPr>
            <w:r>
              <w:rPr>
                <w:rFonts w:ascii="Times New Roman" w:hAnsi="Times New Roman"/>
                <w:color w:val="000000"/>
              </w:rPr>
              <w:t>0,22</w:t>
            </w:r>
          </w:p>
        </w:tc>
        <w:tc>
          <w:tcPr>
            <w:tcW w:w="1746" w:type="dxa"/>
            <w:tcBorders>
              <w:bottom w:val="single" w:sz="4" w:space="0" w:color="000000"/>
            </w:tcBorders>
            <w:vAlign w:val="center"/>
          </w:tcPr>
          <w:p>
            <w:pPr>
              <w:pStyle w:val="Normal"/>
              <w:spacing w:lineRule="auto" w:line="240" w:before="0" w:after="0"/>
              <w:contextualSpacing/>
              <w:jc w:val="center"/>
              <w:rPr>
                <w:rFonts w:ascii="Times New Roman" w:hAnsi="Times New Roman"/>
                <w:b/>
                <w:b/>
              </w:rPr>
            </w:pPr>
            <w:r>
              <w:rPr>
                <w:rFonts w:ascii="Times New Roman" w:hAnsi="Times New Roman"/>
                <w:color w:val="000000"/>
              </w:rPr>
              <w:t>2,629</w:t>
            </w:r>
          </w:p>
        </w:tc>
        <w:tc>
          <w:tcPr>
            <w:tcW w:w="1452" w:type="dxa"/>
            <w:tcBorders>
              <w:bottom w:val="single" w:sz="4" w:space="0" w:color="000000"/>
            </w:tcBorders>
            <w:vAlign w:val="center"/>
          </w:tcPr>
          <w:p>
            <w:pPr>
              <w:pStyle w:val="Normal"/>
              <w:spacing w:lineRule="auto" w:line="240" w:before="0" w:after="0"/>
              <w:contextualSpacing/>
              <w:jc w:val="center"/>
              <w:rPr>
                <w:rFonts w:ascii="Times New Roman" w:hAnsi="Times New Roman"/>
                <w:b/>
                <w:b/>
              </w:rPr>
            </w:pPr>
            <w:r>
              <w:rPr>
                <w:rFonts w:ascii="Times New Roman" w:hAnsi="Times New Roman"/>
                <w:color w:val="000000"/>
              </w:rPr>
              <w:t>0,01*</w:t>
            </w:r>
          </w:p>
        </w:tc>
      </w:tr>
    </w:tbl>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i/>
          <w:lang w:val="pt-BR"/>
        </w:rPr>
        <w:t xml:space="preserve">* p </w:t>
      </w:r>
      <w:r>
        <w:rPr>
          <w:rFonts w:ascii="Times New Roman" w:hAnsi="Times New Roman"/>
          <w:lang w:val="pt-BR"/>
        </w:rPr>
        <w:t>&lt; 0,05</w:t>
      </w:r>
    </w:p>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ab/>
        <w:t>As Expectativas Acadêmicas e a Maturidade para a Escolha Profissional mostraram impacto positivo na Vivência Acadêmica Carreira assim como também o fator “Compromisso Social e Acadêmico” da EEAEIES, explicando, respectivamente, 16%, 16% e 30% da variável dependente, como apresentado na Tabela 5.</w:t>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both"/>
        <w:rPr>
          <w:rFonts w:ascii="Times New Roman" w:hAnsi="Times New Roman"/>
          <w:b/>
          <w:b/>
          <w:bCs/>
          <w:lang w:val="pt-BR"/>
        </w:rPr>
      </w:pPr>
      <w:r>
        <w:rPr>
          <w:rFonts w:ascii="Times New Roman" w:hAnsi="Times New Roman"/>
          <w:b/>
          <w:bCs/>
          <w:lang w:val="pt-BR"/>
        </w:rPr>
        <w:t>Tabela 5</w:t>
      </w:r>
    </w:p>
    <w:p>
      <w:pPr>
        <w:pStyle w:val="Normal"/>
        <w:spacing w:lineRule="auto" w:line="240" w:before="0" w:after="0"/>
        <w:contextualSpacing/>
        <w:jc w:val="both"/>
        <w:rPr>
          <w:rFonts w:ascii="Times New Roman" w:hAnsi="Times New Roman"/>
          <w:bCs/>
          <w:i/>
          <w:i/>
          <w:lang w:val="pt-BR"/>
        </w:rPr>
      </w:pPr>
      <w:r>
        <w:rPr>
          <w:rFonts w:ascii="Times New Roman" w:hAnsi="Times New Roman"/>
          <w:bCs/>
          <w:lang w:val="pt-BR"/>
        </w:rPr>
        <w:t>Análise de regressão considerando como VD Vivência Acadêmica Carreira</w:t>
      </w:r>
    </w:p>
    <w:tbl>
      <w:tblPr>
        <w:tblW w:w="9507" w:type="dxa"/>
        <w:jc w:val="left"/>
        <w:tblInd w:w="0" w:type="dxa"/>
        <w:tblCellMar>
          <w:top w:w="0" w:type="dxa"/>
          <w:left w:w="108" w:type="dxa"/>
          <w:bottom w:w="0" w:type="dxa"/>
          <w:right w:w="108" w:type="dxa"/>
        </w:tblCellMar>
        <w:tblLook w:firstRow="1" w:noVBand="1" w:lastRow="0" w:firstColumn="1" w:lastColumn="0" w:noHBand="0" w:val="04a0"/>
      </w:tblPr>
      <w:tblGrid>
        <w:gridCol w:w="2144"/>
        <w:gridCol w:w="1952"/>
        <w:gridCol w:w="1825"/>
        <w:gridCol w:w="1786"/>
        <w:gridCol w:w="1800"/>
      </w:tblGrid>
      <w:tr>
        <w:trPr>
          <w:trHeight w:val="410" w:hRule="atLeast"/>
        </w:trPr>
        <w:tc>
          <w:tcPr>
            <w:tcW w:w="2144"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195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182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R</w:t>
            </w:r>
            <w:r>
              <w:rPr>
                <w:rFonts w:ascii="Times New Roman" w:hAnsi="Times New Roman"/>
                <w:b/>
                <w:bCs/>
                <w:vertAlign w:val="superscript"/>
              </w:rPr>
              <w:t>2</w:t>
            </w:r>
            <w:r>
              <w:rPr>
                <w:rFonts w:ascii="Times New Roman" w:hAnsi="Times New Roman"/>
                <w:b/>
                <w:bCs/>
              </w:rPr>
              <w:t xml:space="preserve"> = 0,24</w:t>
            </w:r>
          </w:p>
        </w:tc>
        <w:tc>
          <w:tcPr>
            <w:tcW w:w="178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F = 3,15</w:t>
            </w:r>
          </w:p>
        </w:tc>
        <w:tc>
          <w:tcPr>
            <w:tcW w:w="180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rPr>
            </w:pPr>
            <w:r>
              <w:rPr>
                <w:rFonts w:ascii="Times New Roman" w:hAnsi="Times New Roman"/>
                <w:b/>
                <w:bCs/>
              </w:rPr>
              <w:t>p &lt; 0,001</w:t>
            </w:r>
          </w:p>
        </w:tc>
      </w:tr>
      <w:tr>
        <w:trPr>
          <w:trHeight w:val="833" w:hRule="atLeast"/>
        </w:trPr>
        <w:tc>
          <w:tcPr>
            <w:tcW w:w="2144"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t>Variáveis Independentes</w:t>
            </w:r>
          </w:p>
        </w:tc>
        <w:tc>
          <w:tcPr>
            <w:tcW w:w="195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rPr>
            </w:pPr>
            <w:r>
              <w:rPr>
                <w:rFonts w:ascii="Times New Roman" w:hAnsi="Times New Roman"/>
                <w:b/>
              </w:rPr>
              <w:t>Fatores</w:t>
            </w:r>
          </w:p>
        </w:tc>
        <w:tc>
          <w:tcPr>
            <w:tcW w:w="1825"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rPr>
            </w:pPr>
            <w:r>
              <w:rPr>
                <w:rFonts w:ascii="Times New Roman" w:hAnsi="Times New Roman"/>
                <w:b/>
              </w:rPr>
              <w:t>Β</w:t>
            </w:r>
          </w:p>
        </w:tc>
        <w:tc>
          <w:tcPr>
            <w:tcW w:w="178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t</w:t>
            </w:r>
          </w:p>
        </w:tc>
        <w:tc>
          <w:tcPr>
            <w:tcW w:w="1800"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p</w:t>
            </w:r>
          </w:p>
        </w:tc>
      </w:tr>
      <w:tr>
        <w:trPr>
          <w:trHeight w:val="410" w:hRule="atLeast"/>
        </w:trPr>
        <w:tc>
          <w:tcPr>
            <w:tcW w:w="2144"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Expectat. Acad.</w:t>
            </w:r>
          </w:p>
        </w:tc>
        <w:tc>
          <w:tcPr>
            <w:tcW w:w="195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Comp. Soc. e Acad.</w:t>
            </w:r>
          </w:p>
        </w:tc>
        <w:tc>
          <w:tcPr>
            <w:tcW w:w="1825"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0,30</w:t>
            </w:r>
          </w:p>
        </w:tc>
        <w:tc>
          <w:tcPr>
            <w:tcW w:w="1786"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2,46</w:t>
            </w:r>
          </w:p>
        </w:tc>
        <w:tc>
          <w:tcPr>
            <w:tcW w:w="1800"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0,02*</w:t>
            </w:r>
          </w:p>
        </w:tc>
      </w:tr>
      <w:tr>
        <w:trPr>
          <w:trHeight w:val="410" w:hRule="atLeast"/>
        </w:trPr>
        <w:tc>
          <w:tcPr>
            <w:tcW w:w="2144"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195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825"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R</w:t>
            </w:r>
            <w:r>
              <w:rPr>
                <w:rFonts w:ascii="Times New Roman" w:hAnsi="Times New Roman"/>
                <w:vertAlign w:val="superscript"/>
              </w:rPr>
              <w:t>2</w:t>
            </w:r>
            <w:r>
              <w:rPr>
                <w:rFonts w:ascii="Times New Roman" w:hAnsi="Times New Roman"/>
              </w:rPr>
              <w:t xml:space="preserve"> = 0,19</w:t>
            </w:r>
          </w:p>
        </w:tc>
        <w:tc>
          <w:tcPr>
            <w:tcW w:w="1786"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F =10,48</w:t>
            </w:r>
          </w:p>
        </w:tc>
        <w:tc>
          <w:tcPr>
            <w:tcW w:w="1800"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p &lt; 0,001</w:t>
            </w:r>
          </w:p>
        </w:tc>
      </w:tr>
      <w:tr>
        <w:trPr>
          <w:trHeight w:val="410" w:hRule="atLeast"/>
        </w:trPr>
        <w:tc>
          <w:tcPr>
            <w:tcW w:w="2144"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Exp. Acadêmica</w:t>
            </w:r>
          </w:p>
        </w:tc>
        <w:tc>
          <w:tcPr>
            <w:tcW w:w="195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825"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0,16</w:t>
            </w:r>
          </w:p>
        </w:tc>
        <w:tc>
          <w:tcPr>
            <w:tcW w:w="1786"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2,23</w:t>
            </w:r>
          </w:p>
        </w:tc>
        <w:tc>
          <w:tcPr>
            <w:tcW w:w="1800"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0,03*</w:t>
            </w:r>
          </w:p>
        </w:tc>
      </w:tr>
      <w:tr>
        <w:trPr>
          <w:trHeight w:val="423" w:hRule="atLeast"/>
        </w:trPr>
        <w:tc>
          <w:tcPr>
            <w:tcW w:w="2144"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Maturidade</w:t>
            </w:r>
          </w:p>
        </w:tc>
        <w:tc>
          <w:tcPr>
            <w:tcW w:w="195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825"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0,16</w:t>
            </w:r>
          </w:p>
        </w:tc>
        <w:tc>
          <w:tcPr>
            <w:tcW w:w="1786"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2,37</w:t>
            </w:r>
          </w:p>
        </w:tc>
        <w:tc>
          <w:tcPr>
            <w:tcW w:w="1800"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0,02*</w:t>
            </w:r>
          </w:p>
        </w:tc>
      </w:tr>
    </w:tbl>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i/>
        </w:rPr>
        <w:t>* p</w:t>
      </w:r>
      <w:r>
        <w:rPr>
          <w:rFonts w:ascii="Times New Roman" w:hAnsi="Times New Roman"/>
        </w:rPr>
        <w:t>&lt; 0,05</w:t>
      </w:r>
    </w:p>
    <w:p>
      <w:pPr>
        <w:pStyle w:val="Normal"/>
        <w:spacing w:lineRule="auto" w:line="240" w:before="0" w:after="0"/>
        <w:ind w:firstLine="720"/>
        <w:contextualSpacing/>
        <w:jc w:val="both"/>
        <w:rPr>
          <w:rFonts w:ascii="Times New Roman" w:hAnsi="Times New Roman"/>
          <w:lang w:val="pt-BR" w:eastAsia="pt-BR"/>
        </w:rPr>
      </w:pPr>
      <w:r>
        <w:rPr>
          <w:rFonts w:ascii="Times New Roman" w:hAnsi="Times New Roman"/>
          <w:lang w:val="pt-BR" w:eastAsia="pt-BR"/>
        </w:rPr>
        <w:t xml:space="preserve">Por fim, na Tabela 6, o fator “Pessoas e Fontes Consultadas” do QEC apresentou impacto positivo no QVA-r assim como os escores totais das variáveis Expectativas Acadêmicas, Habilidades Sociais e Educação à Carreira, explicando 26%, 23%, 21% e 35% do fenômeno, respectivamente.   </w:t>
      </w:r>
    </w:p>
    <w:p>
      <w:pPr>
        <w:pStyle w:val="Normal"/>
        <w:spacing w:lineRule="auto" w:line="240" w:before="0" w:after="0"/>
        <w:ind w:firstLine="720"/>
        <w:contextualSpacing/>
        <w:jc w:val="both"/>
        <w:rPr>
          <w:rFonts w:ascii="Times New Roman" w:hAnsi="Times New Roman"/>
          <w:lang w:val="pt-BR" w:eastAsia="pt-BR"/>
        </w:rPr>
      </w:pPr>
      <w:r>
        <w:rPr>
          <w:rFonts w:ascii="Times New Roman" w:hAnsi="Times New Roman"/>
          <w:lang w:val="pt-BR" w:eastAsia="pt-BR"/>
        </w:rPr>
      </w:r>
    </w:p>
    <w:p>
      <w:pPr>
        <w:pStyle w:val="Normal"/>
        <w:spacing w:lineRule="auto" w:line="240" w:before="0" w:after="0"/>
        <w:contextualSpacing/>
        <w:jc w:val="both"/>
        <w:rPr>
          <w:rFonts w:ascii="Times New Roman" w:hAnsi="Times New Roman"/>
          <w:b/>
          <w:b/>
          <w:bCs/>
          <w:lang w:val="pt-BR"/>
        </w:rPr>
      </w:pPr>
      <w:r>
        <w:rPr>
          <w:rFonts w:ascii="Times New Roman" w:hAnsi="Times New Roman"/>
          <w:b/>
          <w:bCs/>
          <w:lang w:val="pt-BR"/>
        </w:rPr>
        <w:t>Tabela 6</w:t>
      </w:r>
    </w:p>
    <w:p>
      <w:pPr>
        <w:pStyle w:val="Normal"/>
        <w:spacing w:lineRule="auto" w:line="240" w:before="0" w:after="0"/>
        <w:contextualSpacing/>
        <w:jc w:val="both"/>
        <w:rPr>
          <w:rFonts w:ascii="Times New Roman" w:hAnsi="Times New Roman"/>
          <w:bCs/>
          <w:lang w:val="pt-BR"/>
        </w:rPr>
      </w:pPr>
      <w:r>
        <w:rPr>
          <w:rFonts w:ascii="Times New Roman" w:hAnsi="Times New Roman"/>
          <w:bCs/>
          <w:lang w:val="pt-BR"/>
        </w:rPr>
        <w:t>Análise de regressão considerando como VD Vivência Acadêmica total</w:t>
      </w:r>
    </w:p>
    <w:tbl>
      <w:tblPr>
        <w:tblW w:w="9483" w:type="dxa"/>
        <w:jc w:val="left"/>
        <w:tblInd w:w="0" w:type="dxa"/>
        <w:tblCellMar>
          <w:top w:w="0" w:type="dxa"/>
          <w:left w:w="108" w:type="dxa"/>
          <w:bottom w:w="0" w:type="dxa"/>
          <w:right w:w="108" w:type="dxa"/>
        </w:tblCellMar>
        <w:tblLook w:firstRow="1" w:noVBand="1" w:lastRow="0" w:firstColumn="1" w:lastColumn="0" w:noHBand="0" w:val="04a0"/>
      </w:tblPr>
      <w:tblGrid>
        <w:gridCol w:w="1882"/>
        <w:gridCol w:w="2836"/>
        <w:gridCol w:w="1744"/>
        <w:gridCol w:w="1588"/>
        <w:gridCol w:w="1433"/>
      </w:tblGrid>
      <w:tr>
        <w:trPr>
          <w:trHeight w:val="144" w:hRule="atLeast"/>
        </w:trPr>
        <w:tc>
          <w:tcPr>
            <w:tcW w:w="188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283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lang w:val="pt-BR"/>
              </w:rPr>
            </w:pPr>
            <w:r>
              <w:rPr>
                <w:rFonts w:ascii="Times New Roman" w:hAnsi="Times New Roman"/>
                <w:b/>
                <w:bCs/>
                <w:lang w:val="pt-BR"/>
              </w:rPr>
            </w:r>
          </w:p>
        </w:tc>
        <w:tc>
          <w:tcPr>
            <w:tcW w:w="1744"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lang w:val="pt-BR"/>
              </w:rPr>
            </w:pPr>
            <w:r>
              <w:rPr>
                <w:rFonts w:ascii="Times New Roman" w:hAnsi="Times New Roman"/>
                <w:b/>
                <w:bCs/>
                <w:lang w:val="pt-BR"/>
              </w:rPr>
              <w:t>R</w:t>
            </w:r>
            <w:r>
              <w:rPr>
                <w:rFonts w:ascii="Times New Roman" w:hAnsi="Times New Roman"/>
                <w:b/>
                <w:bCs/>
                <w:vertAlign w:val="superscript"/>
                <w:lang w:val="pt-BR"/>
              </w:rPr>
              <w:t>2</w:t>
            </w:r>
            <w:r>
              <w:rPr>
                <w:rFonts w:ascii="Times New Roman" w:hAnsi="Times New Roman"/>
                <w:b/>
                <w:bCs/>
                <w:lang w:val="pt-BR"/>
              </w:rPr>
              <w:t xml:space="preserve"> = 0,29</w:t>
            </w:r>
          </w:p>
        </w:tc>
        <w:tc>
          <w:tcPr>
            <w:tcW w:w="1588"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lang w:val="pt-BR"/>
              </w:rPr>
            </w:pPr>
            <w:r>
              <w:rPr>
                <w:rFonts w:ascii="Times New Roman" w:hAnsi="Times New Roman"/>
                <w:b/>
                <w:bCs/>
                <w:lang w:val="pt-BR"/>
              </w:rPr>
              <w:t>F = 3,79</w:t>
            </w:r>
          </w:p>
        </w:tc>
        <w:tc>
          <w:tcPr>
            <w:tcW w:w="143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bCs/>
                <w:lang w:val="pt-BR"/>
              </w:rPr>
            </w:pPr>
            <w:r>
              <w:rPr>
                <w:rFonts w:ascii="Times New Roman" w:hAnsi="Times New Roman"/>
                <w:b/>
                <w:bCs/>
                <w:lang w:val="pt-BR"/>
              </w:rPr>
              <w:t>p &lt; 0,001</w:t>
            </w:r>
          </w:p>
        </w:tc>
      </w:tr>
      <w:tr>
        <w:trPr>
          <w:trHeight w:val="556" w:hRule="atLeast"/>
        </w:trPr>
        <w:tc>
          <w:tcPr>
            <w:tcW w:w="188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lang w:val="pt-BR"/>
              </w:rPr>
              <w:t>Variáve</w:t>
            </w:r>
            <w:r>
              <w:rPr>
                <w:rFonts w:ascii="Times New Roman" w:hAnsi="Times New Roman"/>
                <w:b/>
                <w:bCs/>
              </w:rPr>
              <w:t>is independentes</w:t>
            </w:r>
          </w:p>
        </w:tc>
        <w:tc>
          <w:tcPr>
            <w:tcW w:w="283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rPr>
            </w:pPr>
            <w:r>
              <w:rPr>
                <w:rFonts w:ascii="Times New Roman" w:hAnsi="Times New Roman"/>
                <w:b/>
              </w:rPr>
              <w:t>Fatores</w:t>
            </w:r>
          </w:p>
        </w:tc>
        <w:tc>
          <w:tcPr>
            <w:tcW w:w="1744"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rPr>
            </w:pPr>
            <w:r>
              <w:rPr>
                <w:rFonts w:ascii="Times New Roman" w:hAnsi="Times New Roman"/>
                <w:b/>
              </w:rPr>
              <w:t>B</w:t>
            </w:r>
          </w:p>
        </w:tc>
        <w:tc>
          <w:tcPr>
            <w:tcW w:w="1588"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t</w:t>
            </w:r>
          </w:p>
        </w:tc>
        <w:tc>
          <w:tcPr>
            <w:tcW w:w="1433"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center"/>
              <w:rPr>
                <w:rFonts w:ascii="Times New Roman" w:hAnsi="Times New Roman"/>
                <w:b/>
                <w:b/>
                <w:i/>
                <w:i/>
              </w:rPr>
            </w:pPr>
            <w:r>
              <w:rPr>
                <w:rFonts w:ascii="Times New Roman" w:hAnsi="Times New Roman"/>
                <w:b/>
                <w:i/>
              </w:rPr>
              <w:t>P</w:t>
            </w:r>
          </w:p>
        </w:tc>
      </w:tr>
      <w:tr>
        <w:trPr>
          <w:trHeight w:val="319" w:hRule="atLeast"/>
        </w:trPr>
        <w:tc>
          <w:tcPr>
            <w:tcW w:w="188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Cs/>
              </w:rPr>
            </w:pPr>
            <w:r>
              <w:rPr>
                <w:rFonts w:ascii="Times New Roman" w:hAnsi="Times New Roman"/>
                <w:bCs/>
              </w:rPr>
              <w:t>Educ. à Carreira</w:t>
            </w:r>
          </w:p>
        </w:tc>
        <w:tc>
          <w:tcPr>
            <w:tcW w:w="2836"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t>Pessoas e fontes consultadas</w:t>
            </w:r>
          </w:p>
        </w:tc>
        <w:tc>
          <w:tcPr>
            <w:tcW w:w="1744"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0,26</w:t>
            </w:r>
          </w:p>
        </w:tc>
        <w:tc>
          <w:tcPr>
            <w:tcW w:w="1588"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2,91</w:t>
            </w:r>
          </w:p>
        </w:tc>
        <w:tc>
          <w:tcPr>
            <w:tcW w:w="1433"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337" w:hRule="atLeast"/>
        </w:trPr>
        <w:tc>
          <w:tcPr>
            <w:tcW w:w="1882"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b/>
                <w:bCs/>
              </w:rPr>
            </w:r>
          </w:p>
        </w:tc>
        <w:tc>
          <w:tcPr>
            <w:tcW w:w="2836" w:type="dxa"/>
            <w:tcBorders>
              <w:top w:val="single" w:sz="4" w:space="0" w:color="000000"/>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744"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R</w:t>
            </w:r>
            <w:r>
              <w:rPr>
                <w:rFonts w:ascii="Times New Roman" w:hAnsi="Times New Roman"/>
                <w:vertAlign w:val="superscript"/>
              </w:rPr>
              <w:t>2</w:t>
            </w:r>
            <w:r>
              <w:rPr>
                <w:rFonts w:ascii="Times New Roman" w:hAnsi="Times New Roman"/>
              </w:rPr>
              <w:t xml:space="preserve"> = 0,26</w:t>
            </w:r>
          </w:p>
        </w:tc>
        <w:tc>
          <w:tcPr>
            <w:tcW w:w="1588"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F =15,06</w:t>
            </w:r>
          </w:p>
        </w:tc>
        <w:tc>
          <w:tcPr>
            <w:tcW w:w="1433" w:type="dxa"/>
            <w:tcBorders>
              <w:top w:val="single" w:sz="4" w:space="0" w:color="000000"/>
              <w:bottom w:val="single" w:sz="4" w:space="0" w:color="000000"/>
            </w:tcBorders>
          </w:tcPr>
          <w:p>
            <w:pPr>
              <w:pStyle w:val="Normal"/>
              <w:spacing w:lineRule="auto" w:line="240" w:before="0" w:after="0"/>
              <w:contextualSpacing/>
              <w:jc w:val="center"/>
              <w:rPr>
                <w:rFonts w:ascii="Times New Roman" w:hAnsi="Times New Roman"/>
                <w:color w:val="000000"/>
              </w:rPr>
            </w:pPr>
            <w:r>
              <w:rPr>
                <w:rFonts w:ascii="Times New Roman" w:hAnsi="Times New Roman"/>
              </w:rPr>
              <w:t>p &lt; 0,001</w:t>
            </w:r>
          </w:p>
        </w:tc>
      </w:tr>
      <w:tr>
        <w:trPr>
          <w:trHeight w:val="271" w:hRule="atLeast"/>
        </w:trPr>
        <w:tc>
          <w:tcPr>
            <w:tcW w:w="1882"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Exp. Acadêmica</w:t>
            </w:r>
          </w:p>
        </w:tc>
        <w:tc>
          <w:tcPr>
            <w:tcW w:w="2836" w:type="dxa"/>
            <w:tcBorders>
              <w:top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744"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0,23</w:t>
            </w:r>
          </w:p>
        </w:tc>
        <w:tc>
          <w:tcPr>
            <w:tcW w:w="1588"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3,38</w:t>
            </w:r>
          </w:p>
        </w:tc>
        <w:tc>
          <w:tcPr>
            <w:tcW w:w="1433" w:type="dxa"/>
            <w:tcBorders>
              <w:top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285" w:hRule="atLeast"/>
        </w:trPr>
        <w:tc>
          <w:tcPr>
            <w:tcW w:w="1882" w:type="dxa"/>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Habilid. Sociais</w:t>
            </w:r>
          </w:p>
        </w:tc>
        <w:tc>
          <w:tcPr>
            <w:tcW w:w="2836" w:type="dxa"/>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744"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0,21</w:t>
            </w:r>
          </w:p>
        </w:tc>
        <w:tc>
          <w:tcPr>
            <w:tcW w:w="1588"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3,31</w:t>
            </w:r>
          </w:p>
        </w:tc>
        <w:tc>
          <w:tcPr>
            <w:tcW w:w="1433" w:type="dxa"/>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0,01*</w:t>
            </w:r>
          </w:p>
        </w:tc>
      </w:tr>
      <w:tr>
        <w:trPr>
          <w:trHeight w:val="285" w:hRule="atLeast"/>
        </w:trPr>
        <w:tc>
          <w:tcPr>
            <w:tcW w:w="1882"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b/>
                <w:b/>
                <w:bCs/>
              </w:rPr>
            </w:pPr>
            <w:r>
              <w:rPr>
                <w:rFonts w:ascii="Times New Roman" w:hAnsi="Times New Roman"/>
              </w:rPr>
              <w:t>Educ. à Carreira</w:t>
            </w:r>
          </w:p>
        </w:tc>
        <w:tc>
          <w:tcPr>
            <w:tcW w:w="2836" w:type="dxa"/>
            <w:tcBorders>
              <w:bottom w:val="single" w:sz="4" w:space="0" w:color="000000"/>
            </w:tcBorders>
          </w:tcPr>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rPr>
            </w:r>
          </w:p>
        </w:tc>
        <w:tc>
          <w:tcPr>
            <w:tcW w:w="1744"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0,35</w:t>
            </w:r>
          </w:p>
        </w:tc>
        <w:tc>
          <w:tcPr>
            <w:tcW w:w="1588"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4,72</w:t>
            </w:r>
          </w:p>
        </w:tc>
        <w:tc>
          <w:tcPr>
            <w:tcW w:w="1433" w:type="dxa"/>
            <w:tcBorders>
              <w:bottom w:val="single" w:sz="4" w:space="0" w:color="000000"/>
            </w:tcBorders>
            <w:vAlign w:val="center"/>
          </w:tcPr>
          <w:p>
            <w:pPr>
              <w:pStyle w:val="Normal"/>
              <w:spacing w:lineRule="auto" w:line="240" w:before="0" w:after="0"/>
              <w:contextualSpacing/>
              <w:jc w:val="center"/>
              <w:rPr>
                <w:rFonts w:ascii="Times New Roman" w:hAnsi="Times New Roman"/>
                <w:color w:val="000000"/>
              </w:rPr>
            </w:pPr>
            <w:r>
              <w:rPr>
                <w:rFonts w:ascii="Times New Roman" w:hAnsi="Times New Roman"/>
                <w:color w:val="000000"/>
              </w:rPr>
              <w:t>0,00*</w:t>
            </w:r>
          </w:p>
        </w:tc>
      </w:tr>
    </w:tbl>
    <w:p>
      <w:pPr>
        <w:pStyle w:val="Normal"/>
        <w:tabs>
          <w:tab w:val="clear" w:pos="720"/>
          <w:tab w:val="left" w:pos="709" w:leader="none"/>
        </w:tabs>
        <w:spacing w:lineRule="auto" w:line="240" w:before="0" w:after="0"/>
        <w:contextualSpacing/>
        <w:jc w:val="both"/>
        <w:rPr>
          <w:rFonts w:ascii="Times New Roman" w:hAnsi="Times New Roman"/>
        </w:rPr>
      </w:pPr>
      <w:r>
        <w:rPr>
          <w:rFonts w:ascii="Times New Roman" w:hAnsi="Times New Roman"/>
          <w:b w:val="false"/>
          <w:bCs w:val="false"/>
          <w:i/>
          <w:highlight w:val="yellow"/>
          <w:lang w:val="pt-BR"/>
        </w:rPr>
        <w:t>* p</w:t>
      </w:r>
      <w:r>
        <w:rPr>
          <w:rFonts w:ascii="Times New Roman" w:hAnsi="Times New Roman"/>
          <w:b w:val="false"/>
          <w:bCs w:val="false"/>
          <w:highlight w:val="yellow"/>
          <w:lang w:val="pt-BR"/>
        </w:rPr>
        <w:t>&lt; 0,05</w:t>
      </w:r>
    </w:p>
    <w:p>
      <w:pPr>
        <w:pStyle w:val="Normal"/>
        <w:spacing w:lineRule="auto" w:line="240" w:before="0" w:after="0"/>
        <w:contextualSpacing/>
        <w:jc w:val="center"/>
        <w:rPr>
          <w:rFonts w:ascii="Times New Roman" w:hAnsi="Times New Roman"/>
          <w:b/>
          <w:b/>
          <w:bCs/>
          <w:lang w:val="pt-BR"/>
        </w:rPr>
      </w:pPr>
      <w:r>
        <w:rPr>
          <w:rFonts w:ascii="Times New Roman" w:hAnsi="Times New Roman"/>
          <w:b/>
          <w:bCs/>
          <w:lang w:val="pt-BR"/>
        </w:rPr>
        <w:t>Discussão</w:t>
      </w:r>
    </w:p>
    <w:p>
      <w:pPr>
        <w:pStyle w:val="Normal"/>
        <w:spacing w:lineRule="auto" w:line="240" w:before="0" w:after="0"/>
        <w:ind w:firstLine="709"/>
        <w:contextualSpacing/>
        <w:jc w:val="both"/>
        <w:rPr>
          <w:rFonts w:ascii="Times New Roman" w:hAnsi="Times New Roman"/>
          <w:lang w:val="pt-BR"/>
        </w:rPr>
      </w:pPr>
      <w:r>
        <w:rPr>
          <w:rFonts w:ascii="Times New Roman" w:hAnsi="Times New Roman"/>
          <w:lang w:val="pt-BR"/>
        </w:rPr>
        <w:t xml:space="preserve">As associações negativas dos fatores Responsabilidade e Autoconhecimento da EMEP e do seu escore total com a Vivência Acadêmica Pessoal apontam que quanto mais os estudantes se preocupam e se empenham </w:t>
      </w:r>
      <w:r>
        <w:rPr>
          <w:rFonts w:ascii="Times New Roman" w:hAnsi="Times New Roman"/>
          <w:bCs/>
          <w:lang w:val="pt-BR"/>
        </w:rPr>
        <w:t>na busca de informações que possam contribuir para sua escolha profissional, tendem a experimentar mal-estar e angústia psicológica podendo inclusive criar uma instabilidade para o seu desenvolvimento acadêmico</w:t>
      </w:r>
      <w:r>
        <w:rPr>
          <w:rFonts w:ascii="Times New Roman" w:hAnsi="Times New Roman"/>
          <w:bCs/>
          <w:highlight w:val="yellow"/>
          <w:lang w:val="pt-BR"/>
        </w:rPr>
        <w:t>. Resultados similares foram encontrados</w:t>
      </w:r>
      <w:r>
        <w:rPr>
          <w:rFonts w:ascii="Times New Roman" w:hAnsi="Times New Roman"/>
          <w:bCs/>
          <w:lang w:val="pt-BR"/>
        </w:rPr>
        <w:t xml:space="preserve"> no estudo de </w:t>
      </w:r>
      <w:r>
        <w:rPr>
          <w:rFonts w:ascii="Times New Roman" w:hAnsi="Times New Roman"/>
          <w:lang w:val="pt-BR"/>
        </w:rPr>
        <w:t xml:space="preserve">Soares, Poubel e Mello (2009) que afirma que alunos que apresentam um grau elevado de compromisso com suas rotinas acadêmicas e buscam as melhores opções para se inserirem no mundo do trabalho, podem passar por situações desafiadoras e difíceis levando-os a desconfortos emocionais e físicos. </w:t>
      </w:r>
    </w:p>
    <w:p>
      <w:pPr>
        <w:pStyle w:val="Normal"/>
        <w:tabs>
          <w:tab w:val="clear" w:pos="720"/>
          <w:tab w:val="left" w:pos="709" w:leader="none"/>
        </w:tabs>
        <w:spacing w:lineRule="auto" w:line="240" w:before="0" w:after="0"/>
        <w:contextualSpacing/>
        <w:jc w:val="both"/>
        <w:rPr>
          <w:rFonts w:ascii="Times New Roman" w:hAnsi="Times New Roman"/>
          <w:lang w:val="pt-BR"/>
        </w:rPr>
      </w:pPr>
      <w:r>
        <w:rPr>
          <w:rFonts w:ascii="Times New Roman" w:hAnsi="Times New Roman"/>
          <w:lang w:val="pt-BR"/>
        </w:rPr>
        <w:tab/>
        <w:t xml:space="preserve">Ao contrário destes aspectos que podem se configurar como estressores, as relações interpessoais têm um papel relevante na busca do bem-estar durante a adaptação à vida universitária como demonstrado pelas associações positivas entre o escore total do IHS, com a Vivência Acadêmica Pessoal e os fatores Ampliação das Relações Interpessoais do EEAEIES. De fato, estudantes que possuem relacionamentos saudáveis tendem a obter uma melhor realização pessoal (Teixeira, Dias, Wottrich, &amp; Oliveira, 2008) e indivíduos que possuem um repertório mais elaborado de HS estabelecem melhores relações interpessoais e têm maior satisfação pessoal, além de apresentarem boa saúde física e mental (Colombo &amp; Prati, 2014). Ainda no âmbito interpessoal, </w:t>
      </w:r>
      <w:r>
        <w:rPr>
          <w:rFonts w:ascii="Times New Roman" w:hAnsi="Times New Roman"/>
          <w:bCs/>
          <w:lang w:val="pt-BR"/>
        </w:rPr>
        <w:t xml:space="preserve">foi verificada a associação positiva da adaptação nesta vivência acadêmica com o escore total da EEAEIES e seus fatores Compromisso Social e Acadêmico, Ampliação das Relações, com as Habilidades Sociais e com a Educação à Carreira e suas subescalas Fatores Considerados e Pessoas e Fontes consultados. Estas relações corroboram a pesquisa de Oliveira, Santos e Dias (2016) quando afirma que os estudantes esperam estabelecer uma integração com os colegas de curso e com os professores e demonstram ainda que as relações interpessoais podem ser uma importante fonte de orientação no período pré-universitário. Além disso, um bom repertório de HS em seu fator Enfrentamento e Autoafirmação com Risco pode estar ligado a uma maior capacidade em lidar com diferentes interlocutores no contexto acadêmico, principalmente com figuras de autoridade e funcionários do campus universitário. </w:t>
      </w:r>
      <w:r>
        <w:rPr>
          <w:rFonts w:eastAsia="PalatinoLinotype-Roman" w:ascii="Times New Roman" w:hAnsi="Times New Roman"/>
          <w:lang w:val="pt-BR"/>
        </w:rPr>
        <w:t xml:space="preserve">De fato, as pesquisas feitas por </w:t>
      </w:r>
      <w:r>
        <w:rPr>
          <w:rFonts w:ascii="Times New Roman" w:hAnsi="Times New Roman"/>
          <w:lang w:val="pt-BR"/>
        </w:rPr>
        <w:t>Nelson et al. (2012) também indicam que o processo adaptativo acadêmico requer, em grande parte, de outros recursos sociais como cognitivos e afetivos que possam possibilitar o sucesso do discente ao longo da sua trajetória no Ensino Superior.</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t xml:space="preserve">Assim como as realidades ligadas às relações interpessoais, a Educação para a Carreira relacionou-se positivamente à adaptação acadêmica, sendo associada aos fatores Estudo, Interpessoal e Institucional do QVA-r. Corroborando assim a necessidade do oferecimento desta modalidade educacional durante a Educação Básica como apontado por Balbinotti e Tétreau (2006). Estudantes que se preparam ou recebem algum tipo de orientação vocacional são mais propensos a permanecerem no curso escolhido. A orientação vocacional destinada aos alunos antes do ingresso à universidade colabora para o desenvolvimento de determinadas competências que o auxiliarão no processo de adaptação acadêmica evidenciando que a escola tem um importante papel na vida profissional do aluno ao dar o suporte à carreira (Figueiredo, Filho, &amp; Santos, 2015). Pode-se perceber ainda, que quanto maior a interação social nas instituições em que estudam maior a possibilidade de satisfação interpessoal (Guichard, 2001). </w:t>
      </w:r>
    </w:p>
    <w:p>
      <w:pPr>
        <w:pStyle w:val="Normal"/>
        <w:spacing w:lineRule="auto" w:line="240" w:before="0" w:after="0"/>
        <w:ind w:firstLine="720"/>
        <w:contextualSpacing/>
        <w:jc w:val="both"/>
        <w:rPr>
          <w:rFonts w:ascii="Times New Roman" w:hAnsi="Times New Roman"/>
          <w:lang w:val="pt-BR"/>
        </w:rPr>
      </w:pPr>
      <w:r>
        <w:rPr>
          <w:rFonts w:ascii="Times New Roman" w:hAnsi="Times New Roman"/>
          <w:bCs/>
          <w:lang w:val="pt-BR"/>
        </w:rPr>
        <w:t xml:space="preserve">Dificuldades em relação ao estudo e ao desempenho acadêmico contribuem para a evasão escolar. </w:t>
      </w:r>
      <w:r>
        <w:rPr>
          <w:rFonts w:ascii="Times New Roman" w:hAnsi="Times New Roman"/>
          <w:lang w:val="pt-BR"/>
        </w:rPr>
        <w:t xml:space="preserve">A Vivência Acadêmica Estudo foi associada de forma positiva às Expectativas Acadêmicas, à Educação à Carreira e ao seu fator Pessoas e Fontes Consultadas. Desta forma, vê-se que alunos mais capazes de gerenciar suas atividades acadêmicas são aqueles que apresentaram maiores expectativas acadêmicas, ou seja, pensamentos, motivações ou afetos em relação às experiências universitárias (Soares et al., 2014) que podem contribuir para um maior compromisso ou esforço com as tarefas. </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t xml:space="preserve">Assim como a Educação à Carreira, a Maturidade para Escolha Profissional está associada positivamente à Vivência Acadêmica Institucional e Carreira por meio do fator Determinação e de seu escore total, respectivamente. Demonstrando assim a satisfação do estudante com a escolha pelo curso escolhido e apresentando a Determinação, não somente associada ao curso escolhido, mas também à instituição frequentada, o que poderia contribuir para o estudante suportar as dificuldades encontradas no local de estudo e apresentando maiores níveis de satisfação com a Universidade ou com seu campus acadêmico. </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t>Em todos os seus fatores, as Vivências Acadêmicas foram associadas positivamente às Expectativas. Estes dados corroboram a pesquisa de Marinho-Araújo et al. (2015). As expectativas acadêmicas parecem afetar os níveis de compromisso e de investimento dos estudantes em relação ao curso escolhido impactando, dessa forma, a maneira que se integram ao ambiente universitário. Um outro estudo, realizado por Soares et al. (2014), aponta que as expectativas no que corresponde ao envolvimento social, projeto vocacional de carreira e atividades curriculares são preditoras da qualidade das vivências acadêmicas.</w:t>
      </w:r>
    </w:p>
    <w:p>
      <w:pPr>
        <w:pStyle w:val="Normal"/>
        <w:spacing w:lineRule="auto" w:line="240" w:before="0" w:after="0"/>
        <w:ind w:firstLine="720"/>
        <w:contextualSpacing/>
        <w:jc w:val="both"/>
        <w:rPr>
          <w:rFonts w:ascii="Times New Roman" w:hAnsi="Times New Roman"/>
          <w:lang w:val="pt-BR"/>
        </w:rPr>
      </w:pPr>
      <w:r>
        <w:rPr>
          <w:rFonts w:ascii="Times New Roman" w:hAnsi="Times New Roman"/>
          <w:lang w:val="pt-BR"/>
        </w:rPr>
      </w:r>
    </w:p>
    <w:p>
      <w:pPr>
        <w:pStyle w:val="Normal"/>
        <w:spacing w:lineRule="auto" w:line="240" w:before="0" w:after="0"/>
        <w:contextualSpacing/>
        <w:jc w:val="center"/>
        <w:rPr>
          <w:rFonts w:ascii="Times New Roman" w:hAnsi="Times New Roman"/>
          <w:b/>
          <w:b/>
          <w:bCs/>
          <w:lang w:val="pt-BR"/>
        </w:rPr>
      </w:pPr>
      <w:r>
        <w:rPr>
          <w:rFonts w:ascii="Times New Roman" w:hAnsi="Times New Roman"/>
          <w:b/>
          <w:bCs/>
          <w:lang w:val="pt-BR"/>
        </w:rPr>
        <w:t>Considerações finais</w:t>
      </w:r>
    </w:p>
    <w:p>
      <w:pPr>
        <w:pStyle w:val="Normal"/>
        <w:spacing w:lineRule="auto" w:line="240" w:before="0" w:after="0"/>
        <w:contextualSpacing/>
        <w:jc w:val="both"/>
        <w:rPr>
          <w:rFonts w:ascii="Times New Roman" w:hAnsi="Times New Roman"/>
          <w:bCs/>
          <w:lang w:val="pt-BR"/>
        </w:rPr>
      </w:pPr>
      <w:r>
        <w:rPr>
          <w:rFonts w:ascii="Times New Roman" w:hAnsi="Times New Roman"/>
          <w:b/>
          <w:bCs/>
          <w:lang w:val="pt-BR"/>
        </w:rPr>
        <w:tab/>
      </w:r>
      <w:r>
        <w:rPr>
          <w:rFonts w:ascii="Times New Roman" w:hAnsi="Times New Roman"/>
          <w:bCs/>
          <w:lang w:val="pt-BR"/>
        </w:rPr>
        <w:t>O presente estudo contribui para a compreensão do fenômeno de adaptação acadêmica ao relacioná-lo com fatores psicossociais inerentes à preparação para a vida universitária e ao período de ingresso. Pelo seu caráter multidimensional, as vivências acadêmicas puderam ser verificadas em seus diversos fatores através das correlações com as variáveis Expectativas Acadêmicas, Habilidades Sociais, Maturidade para a Escolha Profissional e Educação à Carreira. Aprofundar o conhecimento sobre a experiência inicial dos estudantes universitários pode ser um caminho para a melhoria do processo educacional, com implantação de novas propostas pedagógicas e institucionais tanto no Ensino Médio com a devida preparação para a nova fase, quanto no Ensino Superior, para que os alunos possam se ajustar à nova realidade e aproveitar as diversas possibilidades e perspectivas para seu futuro profissional.</w:t>
      </w:r>
    </w:p>
    <w:p>
      <w:pPr>
        <w:pStyle w:val="Normal"/>
        <w:spacing w:lineRule="auto" w:line="240" w:before="0" w:after="0"/>
        <w:contextualSpacing/>
        <w:jc w:val="both"/>
        <w:rPr>
          <w:rFonts w:ascii="Times New Roman" w:hAnsi="Times New Roman"/>
          <w:bCs/>
          <w:lang w:val="pt-BR"/>
        </w:rPr>
      </w:pPr>
      <w:r>
        <w:rPr>
          <w:rFonts w:ascii="Times New Roman" w:hAnsi="Times New Roman"/>
          <w:bCs/>
          <w:lang w:val="pt-BR"/>
        </w:rPr>
        <w:tab/>
        <w:t xml:space="preserve">Ao observar o contexto dos calouros do curso de Psicologia do Estado do Rio de Janeiro, verificou-se que a adaptação mais satisfatória esteve associada a maiores níveis de Expectativas Acadêmicas, Educação à Carreira e Habilidades Sociais. Podendo-se inferir, assim, que os estudantes que ingressam nesta modalidade de Curso Superior e alcançam determinado sucesso inicial são os jovens que idealizaram sua entrada no Ensino Superior, receberam apoio educacional para a sua escolha e apresentam maior capacidade de relacionamentos interpessoais. Estes dados apontam para duas realidades importantes para a Educação Básica brasileira, uma preparação adequada para o processo de escolha profissional e a formação para a competência social, aspectos que ainda não são tão expressivos no modelo educacional do Brasil. </w:t>
      </w:r>
    </w:p>
    <w:p>
      <w:pPr>
        <w:pStyle w:val="Normal"/>
        <w:spacing w:lineRule="auto" w:line="240" w:before="0" w:after="0"/>
        <w:contextualSpacing/>
        <w:jc w:val="both"/>
        <w:rPr>
          <w:rFonts w:ascii="Times New Roman" w:hAnsi="Times New Roman"/>
          <w:bCs/>
          <w:lang w:val="pt-BR"/>
        </w:rPr>
      </w:pPr>
      <w:r>
        <w:rPr>
          <w:rFonts w:ascii="Times New Roman" w:hAnsi="Times New Roman"/>
          <w:bCs/>
          <w:lang w:val="pt-BR"/>
        </w:rPr>
        <w:tab/>
        <w:t>Algumas limitações podem ser apresentadas como a própria característica específica da amostra. É importante ressaltar, portanto, que novas pesquisas com estudantes de diversos cursos, períodos universitários e de diferentes regiões, podem apontar a forma como as variáveis Expectativas Acadêmicas, Habilidades Sociais, Maturidade para a Escolha Profissional e a Educação à Carreira estão relacionadas à Adaptação Acadêmica nos diversos contextos estudantis.</w:t>
      </w:r>
    </w:p>
    <w:p>
      <w:pPr>
        <w:pStyle w:val="Normal"/>
        <w:spacing w:lineRule="auto" w:line="240" w:before="0" w:after="0"/>
        <w:contextualSpacing/>
        <w:jc w:val="both"/>
        <w:rPr>
          <w:rFonts w:ascii="Times New Roman" w:hAnsi="Times New Roman"/>
          <w:b/>
          <w:b/>
          <w:lang w:val="pt-BR" w:eastAsia="pt-BR"/>
        </w:rPr>
      </w:pPr>
      <w:r>
        <w:rPr>
          <w:rFonts w:ascii="Times New Roman" w:hAnsi="Times New Roman"/>
          <w:b/>
          <w:lang w:val="pt-BR" w:eastAsia="pt-BR"/>
        </w:rPr>
      </w:r>
    </w:p>
    <w:p>
      <w:pPr>
        <w:pStyle w:val="Normal"/>
        <w:spacing w:lineRule="auto" w:line="240" w:before="0" w:after="0"/>
        <w:rPr>
          <w:rFonts w:ascii="Times New Roman" w:hAnsi="Times New Roman"/>
          <w:b/>
          <w:b/>
          <w:lang w:val="pt-BR" w:eastAsia="pt-BR"/>
        </w:rPr>
      </w:pPr>
      <w:r>
        <w:rPr>
          <w:rFonts w:ascii="Times New Roman" w:hAnsi="Times New Roman"/>
          <w:b/>
          <w:lang w:val="pt-BR" w:eastAsia="pt-BR"/>
        </w:rPr>
      </w:r>
      <w:r>
        <w:br w:type="page"/>
      </w:r>
    </w:p>
    <w:p>
      <w:pPr>
        <w:pStyle w:val="Normal"/>
        <w:spacing w:lineRule="auto" w:line="240" w:before="0" w:after="0"/>
        <w:contextualSpacing/>
        <w:jc w:val="center"/>
        <w:rPr>
          <w:rFonts w:ascii="Times New Roman" w:hAnsi="Times New Roman"/>
          <w:b/>
          <w:b/>
          <w:lang w:val="pt-BR" w:eastAsia="pt-BR"/>
        </w:rPr>
      </w:pPr>
      <w:r>
        <w:rPr>
          <w:rFonts w:ascii="Times New Roman" w:hAnsi="Times New Roman"/>
          <w:b/>
          <w:lang w:val="pt-BR" w:eastAsia="pt-BR"/>
        </w:rPr>
        <w:t>Referências</w:t>
      </w:r>
    </w:p>
    <w:p>
      <w:pPr>
        <w:pStyle w:val="Normal"/>
        <w:spacing w:lineRule="auto" w:line="240" w:before="0" w:after="0"/>
        <w:contextualSpacing/>
        <w:jc w:val="center"/>
        <w:rPr>
          <w:rFonts w:ascii="Times New Roman" w:hAnsi="Times New Roman"/>
          <w:b/>
          <w:b/>
          <w:lang w:val="pt-BR" w:eastAsia="pt-BR"/>
        </w:rPr>
      </w:pPr>
      <w:r>
        <w:rPr>
          <w:rFonts w:ascii="Times New Roman" w:hAnsi="Times New Roman"/>
          <w:b/>
          <w:lang w:val="pt-BR" w:eastAsia="pt-BR"/>
        </w:rPr>
      </w:r>
    </w:p>
    <w:p>
      <w:pPr>
        <w:pStyle w:val="Normal"/>
        <w:spacing w:lineRule="auto" w:line="240" w:before="0" w:after="0"/>
        <w:ind w:left="810" w:hanging="810"/>
        <w:contextualSpacing/>
        <w:jc w:val="both"/>
        <w:rPr>
          <w:rFonts w:ascii="Times New Roman" w:hAnsi="Times New Roman"/>
          <w:lang w:val="pt-BR"/>
        </w:rPr>
      </w:pPr>
      <w:r>
        <w:rPr>
          <w:rFonts w:ascii="Times New Roman" w:hAnsi="Times New Roman"/>
          <w:lang w:val="pt-BR"/>
        </w:rPr>
        <w:t>Almeida, L. S., Soares, A. P., &amp; Ferreira, J. A. G. (2002). Questionário de Vivências Acadêmicas (QVA-r): Avaliação do ajustamento dos estudantes universitários. </w:t>
      </w:r>
      <w:r>
        <w:rPr>
          <w:rFonts w:ascii="Times New Roman" w:hAnsi="Times New Roman"/>
          <w:i/>
          <w:iCs/>
          <w:lang w:val="pt-BR"/>
        </w:rPr>
        <w:t>Avaliação Psicológica</w:t>
      </w:r>
      <w:r>
        <w:rPr>
          <w:rFonts w:ascii="Times New Roman" w:hAnsi="Times New Roman"/>
          <w:lang w:val="pt-BR"/>
        </w:rPr>
        <w:t>, </w:t>
      </w:r>
      <w:r>
        <w:rPr>
          <w:rFonts w:ascii="Times New Roman" w:hAnsi="Times New Roman"/>
          <w:i/>
          <w:iCs/>
          <w:lang w:val="pt-BR"/>
        </w:rPr>
        <w:t>1</w:t>
      </w:r>
      <w:r>
        <w:rPr>
          <w:rFonts w:ascii="Times New Roman" w:hAnsi="Times New Roman"/>
          <w:lang w:val="pt-BR"/>
        </w:rPr>
        <w:t>(2), 81-93.</w:t>
      </w:r>
    </w:p>
    <w:p>
      <w:pPr>
        <w:pStyle w:val="Normal"/>
        <w:spacing w:lineRule="auto" w:line="240" w:before="0" w:after="0"/>
        <w:ind w:left="810" w:hanging="810"/>
        <w:contextualSpacing/>
        <w:jc w:val="both"/>
        <w:rPr>
          <w:rFonts w:ascii="Times New Roman" w:hAnsi="Times New Roman"/>
          <w:color w:val="222222"/>
          <w:lang w:val="pt-BR" w:eastAsia="pt-BR"/>
        </w:rPr>
      </w:pPr>
      <w:r>
        <w:rPr>
          <w:rFonts w:ascii="Times New Roman" w:hAnsi="Times New Roman"/>
          <w:color w:val="000000"/>
          <w:lang w:val="pt-BR"/>
        </w:rPr>
        <w:t>Balbinotti, M. A. A., &amp; Tétreau, B. (2006). Questionário de educação à carreira: propriedades psicométricas da versão brasileira e comparação transcultural. </w:t>
      </w:r>
      <w:r>
        <w:rPr>
          <w:rFonts w:ascii="Times New Roman" w:hAnsi="Times New Roman"/>
          <w:i/>
          <w:iCs/>
          <w:color w:val="000000"/>
          <w:lang w:val="pt-BR"/>
        </w:rPr>
        <w:t>Revista Brasileira de Orientação Profissional</w:t>
      </w:r>
      <w:r>
        <w:rPr>
          <w:rFonts w:ascii="Times New Roman" w:hAnsi="Times New Roman"/>
          <w:color w:val="000000"/>
          <w:lang w:val="pt-BR"/>
        </w:rPr>
        <w:t>, </w:t>
      </w:r>
      <w:r>
        <w:rPr>
          <w:rFonts w:ascii="Times New Roman" w:hAnsi="Times New Roman"/>
          <w:i/>
          <w:iCs/>
          <w:color w:val="000000"/>
          <w:lang w:val="pt-BR"/>
        </w:rPr>
        <w:t>7</w:t>
      </w:r>
      <w:r>
        <w:rPr>
          <w:rFonts w:ascii="Times New Roman" w:hAnsi="Times New Roman"/>
          <w:color w:val="000000"/>
          <w:lang w:val="pt-BR"/>
        </w:rPr>
        <w:t xml:space="preserve">(2), 49-66. </w:t>
      </w:r>
    </w:p>
    <w:p>
      <w:pPr>
        <w:pStyle w:val="Normal"/>
        <w:spacing w:lineRule="auto" w:line="240" w:before="0" w:after="0"/>
        <w:ind w:left="709" w:hanging="709"/>
        <w:contextualSpacing/>
        <w:jc w:val="both"/>
        <w:rPr>
          <w:rFonts w:ascii="Times New Roman" w:hAnsi="Times New Roman"/>
          <w:color w:val="222222"/>
          <w:lang w:eastAsia="pt-BR"/>
        </w:rPr>
      </w:pPr>
      <w:r>
        <w:rPr>
          <w:rFonts w:eastAsia="MinionPro-Regular" w:ascii="Times New Roman" w:hAnsi="Times New Roman"/>
          <w:lang w:val="pt-BR"/>
        </w:rPr>
        <w:t xml:space="preserve">Blustein, D. L. (2011). A relational theory of working. </w:t>
      </w:r>
      <w:r>
        <w:rPr>
          <w:rFonts w:eastAsia="MinionPro-Regular" w:ascii="Times New Roman" w:hAnsi="Times New Roman"/>
          <w:i/>
          <w:iCs/>
        </w:rPr>
        <w:t>Journal of Vocational Behavior, 79</w:t>
      </w:r>
      <w:r>
        <w:rPr>
          <w:rFonts w:eastAsia="MinionPro-Regular" w:ascii="Times New Roman" w:hAnsi="Times New Roman"/>
        </w:rPr>
        <w:t>(1), 1-17. Doi:10.1016/j.jvb.2010.10.004</w:t>
      </w:r>
    </w:p>
    <w:p>
      <w:pPr>
        <w:pStyle w:val="Normal"/>
        <w:spacing w:lineRule="auto" w:line="240" w:before="0" w:after="0"/>
        <w:ind w:left="709" w:hanging="709"/>
        <w:contextualSpacing/>
        <w:jc w:val="both"/>
        <w:rPr>
          <w:rFonts w:ascii="Times New Roman" w:hAnsi="Times New Roman"/>
          <w:lang w:val="pt-BR"/>
        </w:rPr>
      </w:pPr>
      <w:r>
        <w:rPr>
          <w:rFonts w:ascii="Times New Roman" w:hAnsi="Times New Roman"/>
          <w:lang w:val="pt-BR" w:eastAsia="pt-BR"/>
        </w:rPr>
        <w:t xml:space="preserve">Carvalho, T. O., &amp; Marinho-Araújo, C. M. (2010). Psicologia Escolar e Orientação Profissional: Fortalecendo as convergências. </w:t>
      </w:r>
      <w:r>
        <w:rPr>
          <w:rFonts w:ascii="Times New Roman" w:hAnsi="Times New Roman"/>
          <w:i/>
          <w:iCs/>
          <w:lang w:val="pt-BR" w:eastAsia="pt-BR"/>
        </w:rPr>
        <w:t>Revista Brasileira de Orientação Profissional, 11</w:t>
      </w:r>
      <w:r>
        <w:rPr>
          <w:rFonts w:ascii="Times New Roman" w:hAnsi="Times New Roman"/>
          <w:lang w:val="pt-BR" w:eastAsia="pt-BR"/>
        </w:rPr>
        <w:t xml:space="preserve">(2), 219-228. </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bCs/>
          <w:lang w:val="pt-BR"/>
        </w:rPr>
        <w:t xml:space="preserve">Colombo, G, &amp; Pratti, L, E. (2014). Maturidade para Escolha Profissional, Habilidades Sociais e Inserção no Mercado de Trabalho. </w:t>
      </w:r>
      <w:r>
        <w:rPr>
          <w:rFonts w:ascii="Times New Roman" w:hAnsi="Times New Roman"/>
          <w:i/>
          <w:lang w:val="pt-BR"/>
        </w:rPr>
        <w:t>Revista Brasileira de Orientação Profissional, 15</w:t>
      </w:r>
      <w:r>
        <w:rPr>
          <w:rFonts w:ascii="Times New Roman" w:hAnsi="Times New Roman"/>
          <w:lang w:val="pt-BR"/>
        </w:rPr>
        <w:t>(2), 201-212.</w:t>
      </w:r>
    </w:p>
    <w:p>
      <w:pPr>
        <w:pStyle w:val="Normal"/>
        <w:spacing w:lineRule="auto" w:line="240" w:before="0" w:after="0"/>
        <w:ind w:left="720" w:hanging="720"/>
        <w:contextualSpacing/>
        <w:jc w:val="both"/>
        <w:rPr>
          <w:rFonts w:ascii="Times New Roman" w:hAnsi="Times New Roman"/>
          <w:lang w:val="pt-BR" w:eastAsia="pt-BR"/>
        </w:rPr>
      </w:pPr>
      <w:r>
        <w:rPr>
          <w:rFonts w:ascii="Times New Roman" w:hAnsi="Times New Roman"/>
          <w:lang w:val="pt-BR" w:eastAsia="pt-BR"/>
        </w:rPr>
        <w:t xml:space="preserve">Del Prette, A., &amp; Del Prette, Z. A. P. (2003). </w:t>
      </w:r>
      <w:r>
        <w:rPr>
          <w:rFonts w:ascii="Times New Roman" w:hAnsi="Times New Roman"/>
          <w:lang w:val="pt-BR"/>
        </w:rPr>
        <w:t xml:space="preserve">No contexto da travessia para o ambiente de trabalho: Treinamento de habilidades sociais com universitários. </w:t>
      </w:r>
      <w:r>
        <w:rPr>
          <w:rFonts w:ascii="Times New Roman" w:hAnsi="Times New Roman"/>
          <w:i/>
          <w:lang w:val="pt-BR"/>
        </w:rPr>
        <w:t>Estudos de Psicologia, 8</w:t>
      </w:r>
      <w:r>
        <w:rPr>
          <w:rFonts w:ascii="Times New Roman" w:hAnsi="Times New Roman"/>
          <w:lang w:val="pt-BR"/>
        </w:rPr>
        <w:t>(3), 413-420.</w:t>
      </w:r>
    </w:p>
    <w:p>
      <w:pPr>
        <w:pStyle w:val="Corpodotexto"/>
        <w:spacing w:lineRule="auto" w:line="240" w:before="0" w:after="0"/>
        <w:ind w:left="720" w:hanging="720"/>
        <w:contextualSpacing/>
        <w:jc w:val="both"/>
        <w:rPr>
          <w:rFonts w:ascii="Times New Roman" w:hAnsi="Times New Roman"/>
          <w:sz w:val="22"/>
          <w:szCs w:val="22"/>
          <w:lang w:val="pt-BR"/>
        </w:rPr>
      </w:pPr>
      <w:r>
        <w:rPr>
          <w:rFonts w:ascii="Times New Roman" w:hAnsi="Times New Roman"/>
          <w:bCs/>
          <w:sz w:val="22"/>
          <w:szCs w:val="22"/>
          <w:lang w:val="pt-BR"/>
        </w:rPr>
        <w:t xml:space="preserve">Del Prette, Z. A. P, &amp; Del Prette, A. (2013). </w:t>
      </w:r>
      <w:r>
        <w:rPr>
          <w:rFonts w:ascii="Times New Roman" w:hAnsi="Times New Roman"/>
          <w:bCs/>
          <w:i/>
          <w:iCs/>
          <w:sz w:val="22"/>
          <w:szCs w:val="22"/>
          <w:lang w:val="pt-BR"/>
        </w:rPr>
        <w:t>Psicologia das habilidades sociais na infância</w:t>
      </w:r>
      <w:r>
        <w:rPr>
          <w:rFonts w:ascii="Times New Roman" w:hAnsi="Times New Roman"/>
          <w:bCs/>
          <w:sz w:val="22"/>
          <w:szCs w:val="22"/>
          <w:lang w:val="pt-BR"/>
        </w:rPr>
        <w:t xml:space="preserve">: Teoria e Prática. Petrópolis, RJ: Vozes. </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lang w:val="pt-BR"/>
        </w:rPr>
        <w:t xml:space="preserve">Del Prette, Z. A. P., &amp; Del Prette, A. (2001). </w:t>
      </w:r>
      <w:r>
        <w:rPr>
          <w:rFonts w:ascii="Times New Roman" w:hAnsi="Times New Roman"/>
          <w:i/>
          <w:lang w:val="pt-BR"/>
        </w:rPr>
        <w:t>Inventário de Habilidades Sociais (IHS-Del-Prette)</w:t>
      </w:r>
      <w:r>
        <w:rPr>
          <w:rFonts w:ascii="Times New Roman" w:hAnsi="Times New Roman"/>
          <w:lang w:val="pt-BR"/>
        </w:rPr>
        <w:t>: Manual de aplicação, apuração e interpretação. São Paulo: Casa do Psicólogo.</w:t>
      </w:r>
    </w:p>
    <w:p>
      <w:pPr>
        <w:pStyle w:val="Corpodotexto"/>
        <w:spacing w:lineRule="auto" w:line="240" w:before="0" w:after="0"/>
        <w:ind w:left="720" w:hanging="720"/>
        <w:contextualSpacing/>
        <w:jc w:val="both"/>
        <w:rPr>
          <w:sz w:val="22"/>
          <w:szCs w:val="22"/>
          <w:lang w:val="pt-BR"/>
        </w:rPr>
      </w:pPr>
      <w:r>
        <w:rPr>
          <w:rFonts w:ascii="Times New Roman" w:hAnsi="Times New Roman"/>
          <w:sz w:val="22"/>
          <w:szCs w:val="22"/>
          <w:lang w:val="pt-BR"/>
        </w:rPr>
        <w:t xml:space="preserve">Del Prette, Z. A. P., &amp; Del Prette, A. (2003). Desenvolvimento interpessoal: Uma questão pendente no ensino universitário. In E. Mercuri e S. A. J. Polydoro, (Org.). </w:t>
      </w:r>
      <w:r>
        <w:rPr>
          <w:rFonts w:ascii="Times New Roman" w:hAnsi="Times New Roman"/>
          <w:i/>
          <w:sz w:val="22"/>
          <w:szCs w:val="22"/>
          <w:lang w:val="pt-BR"/>
        </w:rPr>
        <w:t>Estudante universitário</w:t>
      </w:r>
      <w:r>
        <w:rPr>
          <w:rFonts w:ascii="Times New Roman" w:hAnsi="Times New Roman"/>
          <w:sz w:val="22"/>
          <w:szCs w:val="22"/>
          <w:lang w:val="pt-BR"/>
        </w:rPr>
        <w:t>: Características e experiências de formação (pp. 105-128). Taubaté: Cabral Editora e Livraria Universitária.</w:t>
      </w:r>
    </w:p>
    <w:p>
      <w:pPr>
        <w:pStyle w:val="Normal"/>
        <w:spacing w:lineRule="auto" w:line="240" w:before="0" w:after="0"/>
        <w:ind w:left="709" w:hanging="709"/>
        <w:contextualSpacing/>
        <w:jc w:val="both"/>
        <w:rPr>
          <w:rFonts w:ascii="Times New Roman" w:hAnsi="Times New Roman"/>
          <w:lang w:val="pt-BR"/>
        </w:rPr>
      </w:pPr>
      <w:r>
        <w:rPr>
          <w:rFonts w:ascii="Times New Roman" w:hAnsi="Times New Roman"/>
          <w:lang w:val="pt-BR"/>
        </w:rPr>
        <w:t xml:space="preserve">Faleiros, N. P., &amp; Lehman, P. Y. (2016). Desafios na implantação da educação para a carreira no contexto escolar brasileiro. </w:t>
      </w:r>
      <w:r>
        <w:rPr>
          <w:rFonts w:ascii="Times New Roman" w:hAnsi="Times New Roman"/>
          <w:i/>
          <w:lang w:val="pt-BR"/>
        </w:rPr>
        <w:t>Revista Brasileira de Orientação Profissional, 17</w:t>
      </w:r>
      <w:r>
        <w:rPr>
          <w:rFonts w:ascii="Times New Roman" w:hAnsi="Times New Roman"/>
          <w:lang w:val="pt-BR"/>
        </w:rPr>
        <w:t xml:space="preserve">(2), 233-243. </w:t>
      </w:r>
    </w:p>
    <w:p>
      <w:pPr>
        <w:pStyle w:val="Corpodotexto"/>
        <w:spacing w:lineRule="auto" w:line="240" w:before="0" w:after="0"/>
        <w:ind w:left="720" w:hanging="720"/>
        <w:contextualSpacing/>
        <w:jc w:val="both"/>
        <w:rPr>
          <w:rFonts w:ascii="Times New Roman" w:hAnsi="Times New Roman"/>
          <w:sz w:val="22"/>
          <w:szCs w:val="22"/>
          <w:lang w:val="pt-BR"/>
        </w:rPr>
      </w:pPr>
      <w:r>
        <w:rPr>
          <w:rFonts w:ascii="Times New Roman" w:hAnsi="Times New Roman"/>
          <w:sz w:val="22"/>
          <w:szCs w:val="22"/>
          <w:lang w:val="pt-BR"/>
        </w:rPr>
        <w:t xml:space="preserve">Fernandes, E. P., &amp; Almeida, L. S. (2005). Expectativas e vivências acadêmicas: Impacto no rendimento acadêmico dos alunos do primeiro ano. </w:t>
      </w:r>
      <w:r>
        <w:rPr>
          <w:rFonts w:ascii="Times New Roman" w:hAnsi="Times New Roman"/>
          <w:i/>
          <w:sz w:val="22"/>
          <w:szCs w:val="22"/>
          <w:lang w:val="pt-BR"/>
        </w:rPr>
        <w:t>Psychologica</w:t>
      </w:r>
      <w:r>
        <w:rPr>
          <w:rFonts w:ascii="Times New Roman" w:hAnsi="Times New Roman"/>
          <w:sz w:val="22"/>
          <w:szCs w:val="22"/>
          <w:lang w:val="pt-BR"/>
        </w:rPr>
        <w:t xml:space="preserve">, </w:t>
      </w:r>
      <w:r>
        <w:rPr>
          <w:rFonts w:ascii="Times New Roman" w:hAnsi="Times New Roman"/>
          <w:i/>
          <w:sz w:val="22"/>
          <w:szCs w:val="22"/>
          <w:lang w:val="pt-BR"/>
        </w:rPr>
        <w:t>40</w:t>
      </w:r>
      <w:r>
        <w:rPr>
          <w:rFonts w:ascii="Times New Roman" w:hAnsi="Times New Roman"/>
          <w:sz w:val="22"/>
          <w:szCs w:val="22"/>
          <w:lang w:val="pt-BR"/>
        </w:rPr>
        <w:t>(3), 267-278.</w:t>
      </w:r>
    </w:p>
    <w:p>
      <w:pPr>
        <w:pStyle w:val="Normal"/>
        <w:spacing w:lineRule="auto" w:line="240" w:before="0" w:after="0"/>
        <w:ind w:left="709" w:hanging="709"/>
        <w:contextualSpacing/>
        <w:jc w:val="both"/>
        <w:rPr>
          <w:lang w:val="pt-BR"/>
        </w:rPr>
      </w:pPr>
      <w:r>
        <w:rPr>
          <w:rFonts w:ascii="Times New Roman" w:hAnsi="Times New Roman"/>
          <w:color w:val="000000"/>
          <w:shd w:fill="FFFFFF" w:val="clear"/>
          <w:lang w:val="pt-BR"/>
        </w:rPr>
        <w:t xml:space="preserve">Figueiredo, A. C., Filho, A. Del M., A., &amp; Santos, L. M. (2015). Carreira Tradicional ou Moderna? Um estudo com alunos da rede municipal de ensino de São José dos Campos-SP. </w:t>
      </w:r>
      <w:r>
        <w:rPr>
          <w:rStyle w:val="Nfase"/>
          <w:rFonts w:ascii="Times New Roman" w:hAnsi="Times New Roman"/>
          <w:iCs/>
          <w:shd w:fill="FFFFFF" w:val="clear"/>
          <w:lang w:val="pt-BR"/>
        </w:rPr>
        <w:t>Revista de Empreendedorismo e Gestão de Pequenas Empresas, 5</w:t>
      </w:r>
      <w:r>
        <w:rPr>
          <w:rFonts w:ascii="Times New Roman" w:hAnsi="Times New Roman"/>
          <w:color w:val="000000"/>
          <w:shd w:fill="FFFFFF" w:val="clear"/>
          <w:lang w:val="pt-BR"/>
        </w:rPr>
        <w:t xml:space="preserve">(1), 163-191. </w:t>
      </w:r>
    </w:p>
    <w:p>
      <w:pPr>
        <w:pStyle w:val="Normal"/>
        <w:spacing w:lineRule="auto" w:line="240" w:before="0" w:after="0"/>
        <w:ind w:left="709" w:hanging="709"/>
        <w:contextualSpacing/>
        <w:jc w:val="both"/>
        <w:rPr>
          <w:lang w:val="pt-BR"/>
        </w:rPr>
      </w:pPr>
      <w:r>
        <w:rPr>
          <w:rFonts w:eastAsia="MinionPro-Regular" w:ascii="Times New Roman" w:hAnsi="Times New Roman"/>
          <w:lang w:val="pt-BR"/>
        </w:rPr>
        <w:t xml:space="preserve">Gamboa, V. M., &amp; Paixão, M. P. (2014). A qualidade da experiência de estagio e o desenvolvimento vocacional de estudantes dos cursos tecnológicos. </w:t>
      </w:r>
      <w:r>
        <w:rPr>
          <w:rFonts w:eastAsia="MinionPro-Regular" w:ascii="Times New Roman" w:hAnsi="Times New Roman"/>
          <w:i/>
          <w:iCs/>
          <w:lang w:val="pt-BR"/>
        </w:rPr>
        <w:t>Psicologia: Reflexão e Crítica, 27</w:t>
      </w:r>
      <w:r>
        <w:rPr>
          <w:rFonts w:eastAsia="MinionPro-Regular" w:ascii="Times New Roman" w:hAnsi="Times New Roman"/>
          <w:lang w:val="pt-BR"/>
        </w:rPr>
        <w:t xml:space="preserve">(2), 377-387. Doi:10.1590/1678-7153.201427219 </w:t>
      </w:r>
    </w:p>
    <w:p>
      <w:pPr>
        <w:pStyle w:val="Corpodotexto"/>
        <w:spacing w:lineRule="auto" w:line="240" w:before="0" w:after="0"/>
        <w:ind w:left="720" w:hanging="720"/>
        <w:contextualSpacing/>
        <w:jc w:val="both"/>
        <w:rPr>
          <w:rFonts w:ascii="Times New Roman" w:hAnsi="Times New Roman"/>
          <w:sz w:val="22"/>
          <w:szCs w:val="22"/>
          <w:lang w:val="pt-BR"/>
        </w:rPr>
      </w:pPr>
      <w:r>
        <w:rPr>
          <w:rFonts w:ascii="Times New Roman" w:hAnsi="Times New Roman"/>
          <w:sz w:val="22"/>
          <w:szCs w:val="22"/>
          <w:lang w:val="pt-BR"/>
        </w:rPr>
        <w:t xml:space="preserve">Gomes, G., &amp; Soares, A. B. (2013). Inteligência, habilidades sociais e expectativas acadêmicas no desempenho de estudantes universitários. </w:t>
      </w:r>
      <w:r>
        <w:rPr>
          <w:rFonts w:ascii="Times New Roman" w:hAnsi="Times New Roman"/>
          <w:i/>
          <w:sz w:val="22"/>
          <w:szCs w:val="22"/>
          <w:lang w:val="pt-BR"/>
        </w:rPr>
        <w:t>Psicologia: Reflexão e Crítica</w:t>
      </w:r>
      <w:r>
        <w:rPr>
          <w:rFonts w:ascii="Times New Roman" w:hAnsi="Times New Roman"/>
          <w:sz w:val="22"/>
          <w:szCs w:val="22"/>
          <w:lang w:val="pt-BR"/>
        </w:rPr>
        <w:t xml:space="preserve">, </w:t>
      </w:r>
      <w:r>
        <w:rPr>
          <w:rFonts w:ascii="Times New Roman" w:hAnsi="Times New Roman"/>
          <w:i/>
          <w:sz w:val="22"/>
          <w:szCs w:val="22"/>
          <w:lang w:val="pt-BR"/>
        </w:rPr>
        <w:t>26</w:t>
      </w:r>
      <w:r>
        <w:rPr>
          <w:rFonts w:ascii="Times New Roman" w:hAnsi="Times New Roman"/>
          <w:sz w:val="22"/>
          <w:szCs w:val="22"/>
          <w:lang w:val="pt-BR"/>
        </w:rPr>
        <w:t>(4), 780-789.</w:t>
      </w:r>
    </w:p>
    <w:p>
      <w:pPr>
        <w:pStyle w:val="Normal"/>
        <w:spacing w:lineRule="auto" w:line="240" w:before="0" w:after="0"/>
        <w:ind w:left="720" w:hanging="720"/>
        <w:contextualSpacing/>
        <w:jc w:val="both"/>
        <w:rPr>
          <w:rFonts w:ascii="Times New Roman" w:hAnsi="Times New Roman"/>
          <w:lang w:eastAsia="pt-BR"/>
        </w:rPr>
      </w:pPr>
      <w:r>
        <w:rPr>
          <w:rFonts w:ascii="Times New Roman" w:hAnsi="Times New Roman"/>
          <w:lang w:val="pt-BR" w:eastAsia="pt-BR"/>
        </w:rPr>
        <w:t>Granado, J. I. F., Santos, A. A. A., Almeida, L. S., Soares, A. P., &amp; Guisande, M. A. (2005). Integração académica de estudantes universitários: Contributos para a adaptação e validação do QVA-r no Brasil. </w:t>
      </w:r>
      <w:r>
        <w:rPr>
          <w:rFonts w:ascii="Times New Roman" w:hAnsi="Times New Roman"/>
          <w:i/>
          <w:iCs/>
          <w:lang w:eastAsia="pt-BR"/>
        </w:rPr>
        <w:t>Psicologia e Educação</w:t>
      </w:r>
      <w:r>
        <w:rPr>
          <w:rFonts w:ascii="Times New Roman" w:hAnsi="Times New Roman"/>
          <w:lang w:eastAsia="pt-BR"/>
        </w:rPr>
        <w:t>, </w:t>
      </w:r>
      <w:r>
        <w:rPr>
          <w:rFonts w:ascii="Times New Roman" w:hAnsi="Times New Roman"/>
          <w:i/>
          <w:iCs/>
          <w:lang w:eastAsia="pt-BR"/>
        </w:rPr>
        <w:t>4</w:t>
      </w:r>
      <w:r>
        <w:rPr>
          <w:rFonts w:ascii="Times New Roman" w:hAnsi="Times New Roman"/>
          <w:lang w:eastAsia="pt-BR"/>
        </w:rPr>
        <w:t>(2), 31-41</w:t>
      </w:r>
    </w:p>
    <w:p>
      <w:pPr>
        <w:pStyle w:val="Normal"/>
        <w:spacing w:lineRule="auto" w:line="240" w:before="0" w:after="0"/>
        <w:ind w:left="709" w:hanging="709"/>
        <w:contextualSpacing/>
        <w:jc w:val="both"/>
        <w:rPr>
          <w:rFonts w:ascii="Times New Roman" w:hAnsi="Times New Roman"/>
          <w:lang w:val="pt-BR"/>
        </w:rPr>
      </w:pPr>
      <w:r>
        <w:rPr>
          <w:rFonts w:ascii="Times New Roman" w:hAnsi="Times New Roman"/>
        </w:rPr>
        <w:t xml:space="preserve">Guichard, J. (2001). A century of career education: Review and perspectives. </w:t>
      </w:r>
      <w:r>
        <w:rPr>
          <w:rFonts w:ascii="Times New Roman" w:hAnsi="Times New Roman"/>
          <w:i/>
          <w:lang w:val="pt-BR"/>
        </w:rPr>
        <w:t>International Journal for Educational and Vocational Guidance, 1</w:t>
      </w:r>
      <w:r>
        <w:rPr>
          <w:rFonts w:ascii="Times New Roman" w:hAnsi="Times New Roman"/>
          <w:lang w:val="pt-BR"/>
        </w:rPr>
        <w:t xml:space="preserve">(3), 155-176. </w:t>
      </w:r>
    </w:p>
    <w:p>
      <w:pPr>
        <w:pStyle w:val="Annotationtext"/>
        <w:spacing w:before="0" w:after="0"/>
        <w:ind w:left="720" w:hanging="720"/>
        <w:contextualSpacing/>
        <w:rPr>
          <w:rFonts w:ascii="Times New Roman" w:hAnsi="Times New Roman"/>
          <w:sz w:val="22"/>
          <w:szCs w:val="22"/>
        </w:rPr>
      </w:pPr>
      <w:r>
        <w:rPr>
          <w:rFonts w:ascii="Times New Roman" w:hAnsi="Times New Roman"/>
          <w:sz w:val="22"/>
          <w:szCs w:val="22"/>
        </w:rPr>
        <w:t xml:space="preserve">Junqueira, M. L., &amp; Melo-Silva, L. L. (2014). Maturidade Para a Escolha de Carreira: Estudo com Adolescentes de um Serviço-Escola. </w:t>
      </w:r>
      <w:r>
        <w:rPr>
          <w:rFonts w:ascii="Times New Roman" w:hAnsi="Times New Roman"/>
          <w:i/>
          <w:sz w:val="22"/>
          <w:szCs w:val="22"/>
        </w:rPr>
        <w:t>Revista Brasileira de Orientação Profissional, 15</w:t>
      </w:r>
      <w:r>
        <w:rPr>
          <w:rFonts w:ascii="Times New Roman" w:hAnsi="Times New Roman"/>
          <w:sz w:val="22"/>
          <w:szCs w:val="22"/>
        </w:rPr>
        <w:t>(2), 187-199.</w:t>
      </w:r>
    </w:p>
    <w:p>
      <w:pPr>
        <w:pStyle w:val="Annotationtext"/>
        <w:tabs>
          <w:tab w:val="clear" w:pos="720"/>
          <w:tab w:val="left" w:pos="2361" w:leader="none"/>
          <w:tab w:val="left" w:pos="3633" w:leader="none"/>
        </w:tabs>
        <w:spacing w:before="0" w:after="0"/>
        <w:ind w:left="720" w:hanging="720"/>
        <w:contextualSpacing/>
        <w:rPr>
          <w:sz w:val="22"/>
          <w:szCs w:val="22"/>
        </w:rPr>
      </w:pPr>
      <w:r>
        <w:rPr>
          <w:rFonts w:ascii="Times New Roman" w:hAnsi="Times New Roman"/>
          <w:sz w:val="22"/>
          <w:szCs w:val="22"/>
        </w:rPr>
        <w:t>Lisboa, F. S., &amp; Barbosa, A. J. G. (2009). Formação em Psicologia no Brasil: um perfil dos cursos de graduação. </w:t>
      </w:r>
      <w:r>
        <w:rPr>
          <w:rFonts w:ascii="Times New Roman" w:hAnsi="Times New Roman"/>
          <w:i/>
          <w:iCs/>
          <w:sz w:val="22"/>
          <w:szCs w:val="22"/>
        </w:rPr>
        <w:t>Psicologia: Ciência e Profissão</w:t>
      </w:r>
      <w:r>
        <w:rPr>
          <w:rFonts w:ascii="Times New Roman" w:hAnsi="Times New Roman"/>
          <w:sz w:val="22"/>
          <w:szCs w:val="22"/>
        </w:rPr>
        <w:t>, </w:t>
      </w:r>
      <w:r>
        <w:rPr>
          <w:rFonts w:ascii="Times New Roman" w:hAnsi="Times New Roman"/>
          <w:i/>
          <w:iCs/>
          <w:sz w:val="22"/>
          <w:szCs w:val="22"/>
        </w:rPr>
        <w:t>29</w:t>
      </w:r>
      <w:r>
        <w:rPr>
          <w:rFonts w:ascii="Times New Roman" w:hAnsi="Times New Roman"/>
          <w:sz w:val="22"/>
          <w:szCs w:val="22"/>
        </w:rPr>
        <w:t>(4), 718-737. </w:t>
      </w:r>
      <w:hyperlink r:id="rId2">
        <w:r>
          <w:rPr>
            <w:rStyle w:val="LinkdaInternet"/>
            <w:rFonts w:ascii="Times New Roman" w:hAnsi="Times New Roman"/>
            <w:color w:val="auto"/>
            <w:sz w:val="22"/>
            <w:szCs w:val="22"/>
            <w:u w:val="none"/>
          </w:rPr>
          <w:t>https://dx.doi.org/10.1590/S1414-98932009000400006</w:t>
        </w:r>
      </w:hyperlink>
    </w:p>
    <w:p>
      <w:pPr>
        <w:pStyle w:val="Normal"/>
        <w:spacing w:lineRule="auto" w:line="240" w:before="0" w:after="0"/>
        <w:ind w:left="720" w:hanging="720"/>
        <w:contextualSpacing/>
        <w:jc w:val="both"/>
        <w:rPr>
          <w:rFonts w:ascii="Times New Roman" w:hAnsi="Times New Roman"/>
          <w:lang w:val="pt-BR" w:eastAsia="pt-BR"/>
        </w:rPr>
      </w:pPr>
      <w:r>
        <w:rPr>
          <w:rFonts w:ascii="Times New Roman" w:hAnsi="Times New Roman"/>
          <w:lang w:val="pt-BR"/>
        </w:rPr>
        <w:t xml:space="preserve">Marinho-Araújo C. M., Fleith, D. S., Almeida, L. S., Bisinoto, C., &amp; Rabelo, M. L. (2015). Adaptação da Escala Expectativas Acadêmicas de Estudantes Ingressantes na Educação Superior. </w:t>
      </w:r>
      <w:r>
        <w:rPr>
          <w:rFonts w:ascii="Times New Roman" w:hAnsi="Times New Roman"/>
          <w:i/>
          <w:lang w:val="pt-BR"/>
        </w:rPr>
        <w:t>Avaliação Psicológica</w:t>
      </w:r>
      <w:r>
        <w:rPr>
          <w:rFonts w:ascii="Times New Roman" w:hAnsi="Times New Roman"/>
          <w:lang w:val="pt-BR"/>
        </w:rPr>
        <w:t xml:space="preserve">, </w:t>
      </w:r>
      <w:r>
        <w:rPr>
          <w:rFonts w:ascii="Times New Roman" w:hAnsi="Times New Roman"/>
          <w:i/>
          <w:lang w:val="pt-BR"/>
        </w:rPr>
        <w:t>14</w:t>
      </w:r>
      <w:r>
        <w:rPr>
          <w:rFonts w:ascii="Times New Roman" w:hAnsi="Times New Roman"/>
          <w:lang w:val="pt-BR"/>
        </w:rPr>
        <w:t xml:space="preserve">(1), 133-141. </w:t>
      </w:r>
    </w:p>
    <w:p>
      <w:pPr>
        <w:pStyle w:val="Corpodotexto"/>
        <w:spacing w:lineRule="auto" w:line="240" w:before="0" w:after="0"/>
        <w:ind w:left="720" w:hanging="720"/>
        <w:contextualSpacing/>
        <w:jc w:val="both"/>
        <w:rPr>
          <w:rFonts w:ascii="Times New Roman" w:hAnsi="Times New Roman"/>
          <w:sz w:val="22"/>
          <w:szCs w:val="22"/>
          <w:lang w:val="pt-BR"/>
        </w:rPr>
      </w:pPr>
      <w:r>
        <w:rPr>
          <w:rFonts w:ascii="Times New Roman" w:hAnsi="Times New Roman"/>
          <w:sz w:val="22"/>
          <w:szCs w:val="22"/>
          <w:lang w:val="pt-BR"/>
        </w:rPr>
        <w:t xml:space="preserve">Moreno, P. F., &amp; Soares, A. B. (2014). O que vai acontecer quando eu estiver na universidade? Expectativas de jovens estudantes brasileiros. </w:t>
      </w:r>
      <w:r>
        <w:rPr>
          <w:rFonts w:ascii="Times New Roman" w:hAnsi="Times New Roman"/>
          <w:i/>
          <w:sz w:val="22"/>
          <w:szCs w:val="22"/>
          <w:lang w:val="pt-BR"/>
        </w:rPr>
        <w:t>Aletheia,45</w:t>
      </w:r>
      <w:r>
        <w:rPr>
          <w:rFonts w:ascii="Times New Roman" w:hAnsi="Times New Roman"/>
          <w:sz w:val="22"/>
          <w:szCs w:val="22"/>
          <w:lang w:val="pt-BR"/>
        </w:rPr>
        <w:t>, 114-127.</w:t>
      </w:r>
    </w:p>
    <w:p>
      <w:pPr>
        <w:pStyle w:val="Corpodotexto"/>
        <w:spacing w:lineRule="auto" w:line="240" w:before="0" w:after="0"/>
        <w:ind w:left="720" w:hanging="720"/>
        <w:contextualSpacing/>
        <w:jc w:val="both"/>
        <w:rPr>
          <w:rFonts w:ascii="Times New Roman" w:hAnsi="Times New Roman"/>
          <w:sz w:val="22"/>
          <w:szCs w:val="22"/>
          <w:lang w:val="pt-BR"/>
        </w:rPr>
      </w:pPr>
      <w:r>
        <w:rPr>
          <w:rFonts w:ascii="Times New Roman" w:hAnsi="Times New Roman"/>
          <w:sz w:val="22"/>
          <w:szCs w:val="22"/>
          <w:lang w:val="pt-BR"/>
        </w:rPr>
        <w:t xml:space="preserve">Nadelson, L. S., Semmelroth, C., Martinez, G., Featherstone, M., Fuhriman, C. A., &amp;Sell, A. (2013). </w:t>
      </w:r>
      <w:r>
        <w:rPr>
          <w:rFonts w:ascii="Times New Roman" w:hAnsi="Times New Roman"/>
          <w:sz w:val="22"/>
          <w:szCs w:val="22"/>
        </w:rPr>
        <w:t xml:space="preserve">Why did they come here? The influences and expectations of first-year student’s college experience. </w:t>
      </w:r>
      <w:r>
        <w:rPr>
          <w:rFonts w:ascii="Times New Roman" w:hAnsi="Times New Roman"/>
          <w:i/>
          <w:sz w:val="22"/>
          <w:szCs w:val="22"/>
          <w:lang w:val="pt-BR"/>
        </w:rPr>
        <w:t>Higher Education Studies</w:t>
      </w:r>
      <w:r>
        <w:rPr>
          <w:rFonts w:ascii="Times New Roman" w:hAnsi="Times New Roman"/>
          <w:sz w:val="22"/>
          <w:szCs w:val="22"/>
          <w:lang w:val="pt-BR"/>
        </w:rPr>
        <w:t xml:space="preserve">, </w:t>
      </w:r>
      <w:r>
        <w:rPr>
          <w:rFonts w:ascii="Times New Roman" w:hAnsi="Times New Roman"/>
          <w:i/>
          <w:sz w:val="22"/>
          <w:szCs w:val="22"/>
          <w:lang w:val="pt-BR"/>
        </w:rPr>
        <w:t>3</w:t>
      </w:r>
      <w:r>
        <w:rPr>
          <w:rFonts w:ascii="Times New Roman" w:hAnsi="Times New Roman"/>
          <w:sz w:val="22"/>
          <w:szCs w:val="22"/>
          <w:lang w:val="pt-BR"/>
        </w:rPr>
        <w:t xml:space="preserve">(1), 50-62. </w:t>
      </w:r>
    </w:p>
    <w:p>
      <w:pPr>
        <w:pStyle w:val="Normal"/>
        <w:spacing w:lineRule="auto" w:line="240" w:before="0" w:after="0"/>
        <w:ind w:left="720" w:hanging="720"/>
        <w:contextualSpacing/>
        <w:jc w:val="both"/>
        <w:rPr>
          <w:rFonts w:ascii="Times New Roman" w:hAnsi="Times New Roman"/>
          <w:highlight w:val="white"/>
          <w:lang w:val="pt-BR"/>
        </w:rPr>
      </w:pPr>
      <w:r>
        <w:rPr>
          <w:rFonts w:ascii="Times New Roman" w:hAnsi="Times New Roman"/>
          <w:shd w:fill="FFFFFF" w:val="clear"/>
          <w:lang w:val="pt-BR"/>
        </w:rPr>
        <w:t>Neiva, K. M. C. (2003). A maturidade para a escolha profissional: uma comparação entre alunos do ensino médio. </w:t>
      </w:r>
      <w:r>
        <w:rPr>
          <w:rFonts w:ascii="Times New Roman" w:hAnsi="Times New Roman"/>
          <w:i/>
          <w:iCs/>
          <w:shd w:fill="FFFFFF" w:val="clear"/>
          <w:lang w:val="pt-BR"/>
        </w:rPr>
        <w:t>Revista Brasileira de Orientação Profissional, 4</w:t>
      </w:r>
      <w:r>
        <w:rPr>
          <w:rFonts w:ascii="Times New Roman" w:hAnsi="Times New Roman"/>
          <w:shd w:fill="FFFFFF" w:val="clear"/>
          <w:lang w:val="pt-BR"/>
        </w:rPr>
        <w:t>(1-2), 97-103.</w:t>
      </w:r>
    </w:p>
    <w:p>
      <w:pPr>
        <w:pStyle w:val="Normal"/>
        <w:spacing w:lineRule="auto" w:line="240" w:before="0" w:after="0"/>
        <w:ind w:left="720" w:hanging="720"/>
        <w:contextualSpacing/>
        <w:jc w:val="both"/>
        <w:rPr>
          <w:rFonts w:ascii="Times New Roman" w:hAnsi="Times New Roman"/>
          <w:highlight w:val="white"/>
          <w:lang w:val="pt-BR"/>
        </w:rPr>
      </w:pPr>
      <w:r>
        <w:rPr>
          <w:rFonts w:ascii="Times New Roman" w:hAnsi="Times New Roman"/>
          <w:lang w:val="pt-BR" w:eastAsia="pt-BR"/>
        </w:rPr>
        <w:t xml:space="preserve">Neiva, K. M. C. (2014). </w:t>
      </w:r>
      <w:r>
        <w:rPr>
          <w:rFonts w:ascii="Times New Roman" w:hAnsi="Times New Roman"/>
          <w:i/>
          <w:iCs/>
          <w:lang w:val="pt-BR" w:eastAsia="pt-BR"/>
        </w:rPr>
        <w:t>Escala de Maturidade para a Escolha Profissional (EMEP</w:t>
      </w:r>
      <w:r>
        <w:rPr>
          <w:rFonts w:ascii="Times New Roman" w:hAnsi="Times New Roman"/>
          <w:lang w:val="pt-BR" w:eastAsia="pt-BR"/>
        </w:rPr>
        <w:t xml:space="preserve">). São Paulo: Vetor. </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lang w:val="pt-BR"/>
        </w:rPr>
        <w:t xml:space="preserve">Neiva, K. M. C., Silva, M. B., Miranda, V. R., &amp; Esteves, C. (2005). Um estudo sobre a maturidade para a escolha profissional de alunos do Ensino Médio. </w:t>
      </w:r>
      <w:r>
        <w:rPr>
          <w:rFonts w:ascii="Times New Roman" w:hAnsi="Times New Roman"/>
          <w:i/>
          <w:iCs/>
          <w:lang w:val="pt-BR"/>
        </w:rPr>
        <w:t>Revista Brasileira de Orientação Profissional, 6</w:t>
      </w:r>
      <w:r>
        <w:rPr>
          <w:rFonts w:ascii="Times New Roman" w:hAnsi="Times New Roman"/>
          <w:lang w:val="pt-BR"/>
        </w:rPr>
        <w:t>(1), 1-14.</w:t>
        <w:tab/>
      </w:r>
    </w:p>
    <w:p>
      <w:pPr>
        <w:pStyle w:val="Normal"/>
        <w:spacing w:lineRule="auto" w:line="240" w:before="0" w:after="0"/>
        <w:ind w:left="720" w:hanging="720"/>
        <w:contextualSpacing/>
        <w:jc w:val="both"/>
        <w:rPr>
          <w:rFonts w:ascii="Times New Roman" w:hAnsi="Times New Roman"/>
          <w:bCs/>
          <w:lang w:val="pt-BR"/>
        </w:rPr>
      </w:pPr>
      <w:r>
        <w:rPr>
          <w:rFonts w:ascii="Times New Roman" w:hAnsi="Times New Roman"/>
          <w:lang w:val="pt-BR"/>
        </w:rPr>
        <w:t xml:space="preserve">Nelson, K. J., Quinn, C., Marrington, A., &amp; Clarke, J. A. (2012). </w:t>
      </w:r>
      <w:r>
        <w:rPr>
          <w:rFonts w:ascii="Times New Roman" w:hAnsi="Times New Roman"/>
        </w:rPr>
        <w:t xml:space="preserve">Good practice for enhancing the engagement and success of commencing students. </w:t>
      </w:r>
      <w:r>
        <w:rPr>
          <w:rFonts w:ascii="Times New Roman" w:hAnsi="Times New Roman"/>
          <w:i/>
          <w:lang w:val="pt-BR"/>
        </w:rPr>
        <w:t>Higher Education</w:t>
      </w:r>
      <w:r>
        <w:rPr>
          <w:rFonts w:ascii="Times New Roman" w:hAnsi="Times New Roman"/>
          <w:lang w:val="pt-BR"/>
        </w:rPr>
        <w:t xml:space="preserve">, </w:t>
      </w:r>
      <w:r>
        <w:rPr>
          <w:rFonts w:ascii="Times New Roman" w:hAnsi="Times New Roman"/>
          <w:i/>
          <w:lang w:val="pt-BR"/>
        </w:rPr>
        <w:t>63</w:t>
      </w:r>
      <w:r>
        <w:rPr>
          <w:rFonts w:ascii="Times New Roman" w:hAnsi="Times New Roman"/>
          <w:lang w:val="pt-BR"/>
        </w:rPr>
        <w:t>, 83-96.</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lang w:val="pt-BR"/>
        </w:rPr>
        <w:t xml:space="preserve">Oliveira, C. T., Santos, A. S., &amp; Dias, A. C. G. (2016). Expectativas de universitários sobre a universidade: sugestões para facilitar a adaptação acadêmica. </w:t>
      </w:r>
      <w:r>
        <w:rPr>
          <w:rFonts w:ascii="Times New Roman" w:hAnsi="Times New Roman"/>
          <w:i/>
          <w:lang w:val="pt-BR"/>
        </w:rPr>
        <w:t>Revista Brasileira de Orientação Profissional</w:t>
      </w:r>
      <w:r>
        <w:rPr>
          <w:rFonts w:ascii="Times New Roman" w:hAnsi="Times New Roman"/>
          <w:lang w:val="pt-BR"/>
        </w:rPr>
        <w:t xml:space="preserve">, </w:t>
      </w:r>
      <w:r>
        <w:rPr>
          <w:rFonts w:ascii="Times New Roman" w:hAnsi="Times New Roman"/>
          <w:i/>
          <w:lang w:val="pt-BR"/>
        </w:rPr>
        <w:t>17</w:t>
      </w:r>
      <w:r>
        <w:rPr>
          <w:rFonts w:ascii="Times New Roman" w:hAnsi="Times New Roman"/>
          <w:lang w:val="pt-BR"/>
        </w:rPr>
        <w:t>(1), 43-53.</w:t>
      </w:r>
    </w:p>
    <w:p>
      <w:pPr>
        <w:pStyle w:val="Normal"/>
        <w:spacing w:lineRule="auto" w:line="240" w:before="0" w:after="0"/>
        <w:ind w:left="709" w:hanging="709"/>
        <w:contextualSpacing/>
        <w:jc w:val="both"/>
        <w:rPr>
          <w:rFonts w:ascii="Times New Roman" w:hAnsi="Times New Roman"/>
          <w:lang w:val="pt-BR"/>
        </w:rPr>
      </w:pPr>
      <w:r>
        <w:rPr>
          <w:rFonts w:eastAsia="MinionPro-Regular" w:ascii="Times New Roman" w:hAnsi="Times New Roman"/>
          <w:lang w:val="pt-BR"/>
        </w:rPr>
        <w:t xml:space="preserve">Oliveira, I. M., Taveira, M. C., &amp; Neves, L. F. (2014). Sensibilizar professores para o desenvolvimento de carreira dos alunos: Relato de uma experiência. </w:t>
      </w:r>
      <w:r>
        <w:rPr>
          <w:rFonts w:eastAsia="MinionPro-Regular" w:ascii="Times New Roman" w:hAnsi="Times New Roman"/>
          <w:i/>
          <w:iCs/>
          <w:lang w:val="pt-BR"/>
        </w:rPr>
        <w:t>Psicologia: Ciência e Profissão, 34</w:t>
      </w:r>
      <w:r>
        <w:rPr>
          <w:rFonts w:eastAsia="MinionPro-Regular" w:ascii="Times New Roman" w:hAnsi="Times New Roman"/>
          <w:lang w:val="pt-BR"/>
        </w:rPr>
        <w:t xml:space="preserve">(2), 512-523. </w:t>
      </w:r>
    </w:p>
    <w:p>
      <w:pPr>
        <w:pStyle w:val="Normal"/>
        <w:spacing w:lineRule="auto" w:line="240" w:before="0" w:after="0"/>
        <w:ind w:left="709" w:hanging="709"/>
        <w:contextualSpacing/>
        <w:jc w:val="both"/>
        <w:rPr>
          <w:rFonts w:ascii="Times New Roman" w:hAnsi="Times New Roman"/>
          <w:iCs/>
          <w:lang w:val="pt-BR"/>
        </w:rPr>
      </w:pPr>
      <w:r>
        <w:rPr>
          <w:rFonts w:ascii="Times New Roman" w:hAnsi="Times New Roman"/>
          <w:iCs/>
          <w:lang w:val="pt-BR"/>
        </w:rPr>
        <w:t xml:space="preserve">Pellegrini, C. F. S., Calais, S. L., &amp; Salgado, M. H. (2012). </w:t>
      </w:r>
      <w:r>
        <w:rPr>
          <w:rFonts w:ascii="Times New Roman" w:hAnsi="Times New Roman"/>
          <w:lang w:val="pt-BR"/>
        </w:rPr>
        <w:t xml:space="preserve">Habilidades sociais e administração de tempo no manejo do estresse. </w:t>
      </w:r>
      <w:r>
        <w:rPr>
          <w:rFonts w:ascii="Times New Roman" w:hAnsi="Times New Roman"/>
          <w:i/>
          <w:iCs/>
          <w:lang w:val="pt-BR"/>
        </w:rPr>
        <w:t>Arquivos Brasileiros de Psicologia, 64</w:t>
      </w:r>
      <w:r>
        <w:rPr>
          <w:rFonts w:ascii="Times New Roman" w:hAnsi="Times New Roman"/>
          <w:iCs/>
          <w:lang w:val="pt-BR"/>
        </w:rPr>
        <w:t>(3), 110-129.</w:t>
      </w:r>
    </w:p>
    <w:p>
      <w:pPr>
        <w:pStyle w:val="Normal"/>
        <w:spacing w:lineRule="auto" w:line="240" w:before="0" w:after="0"/>
        <w:ind w:left="810" w:hanging="810"/>
        <w:contextualSpacing/>
        <w:jc w:val="both"/>
        <w:rPr>
          <w:rFonts w:ascii="Times New Roman" w:hAnsi="Times New Roman"/>
          <w:lang w:val="pt-BR"/>
        </w:rPr>
      </w:pPr>
      <w:r>
        <w:rPr>
          <w:rFonts w:ascii="Times New Roman" w:hAnsi="Times New Roman"/>
          <w:lang w:val="pt-BR"/>
        </w:rPr>
        <w:t>Pinho, A. P. M., Dourado, L. C. D. C., Aurélio, R. M., &amp; Bastos, A. V. B. (2015). A transição do ensino médio para a universidade: Um estudo qualitativo sobre os fatores que influenciam este processo e suas possíveis consequências comportamentais. </w:t>
      </w:r>
      <w:r>
        <w:rPr>
          <w:rFonts w:ascii="Times New Roman" w:hAnsi="Times New Roman"/>
          <w:i/>
          <w:iCs/>
          <w:lang w:val="pt-BR"/>
        </w:rPr>
        <w:t>Revista de Psicologia</w:t>
      </w:r>
      <w:r>
        <w:rPr>
          <w:rFonts w:ascii="Times New Roman" w:hAnsi="Times New Roman"/>
          <w:lang w:val="pt-BR"/>
        </w:rPr>
        <w:t>, </w:t>
      </w:r>
      <w:r>
        <w:rPr>
          <w:rFonts w:ascii="Times New Roman" w:hAnsi="Times New Roman"/>
          <w:i/>
          <w:iCs/>
          <w:lang w:val="pt-BR"/>
        </w:rPr>
        <w:t>6</w:t>
      </w:r>
      <w:r>
        <w:rPr>
          <w:rFonts w:ascii="Times New Roman" w:hAnsi="Times New Roman"/>
          <w:lang w:val="pt-BR"/>
        </w:rPr>
        <w:t>(1), 33-47.</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lang w:val="pt-BR"/>
        </w:rPr>
        <w:t>Sarriera, J. C., Paradiso, A. C., Schütz, F. F., &amp; Howes, G. P. (2012). Estudo comparativo da integração ao contexto universitário entre estudantes de diferentes instituições. </w:t>
      </w:r>
      <w:r>
        <w:rPr>
          <w:rFonts w:ascii="Times New Roman" w:hAnsi="Times New Roman"/>
          <w:i/>
          <w:iCs/>
          <w:lang w:val="pt-BR"/>
        </w:rPr>
        <w:t>Revista Brasileira de Orientação Profissional</w:t>
      </w:r>
      <w:r>
        <w:rPr>
          <w:rFonts w:ascii="Times New Roman" w:hAnsi="Times New Roman"/>
          <w:lang w:val="pt-BR"/>
        </w:rPr>
        <w:t>, </w:t>
      </w:r>
      <w:r>
        <w:rPr>
          <w:rFonts w:ascii="Times New Roman" w:hAnsi="Times New Roman"/>
          <w:i/>
          <w:iCs/>
          <w:lang w:val="pt-BR"/>
        </w:rPr>
        <w:t>13</w:t>
      </w:r>
      <w:r>
        <w:rPr>
          <w:rFonts w:ascii="Times New Roman" w:hAnsi="Times New Roman"/>
          <w:lang w:val="pt-BR"/>
        </w:rPr>
        <w:t>(2), 163-172</w:t>
      </w:r>
    </w:p>
    <w:p>
      <w:pPr>
        <w:pStyle w:val="Normal"/>
        <w:spacing w:lineRule="auto" w:line="240" w:before="0" w:after="0"/>
        <w:ind w:left="720" w:hanging="720"/>
        <w:contextualSpacing/>
        <w:jc w:val="both"/>
        <w:rPr>
          <w:rFonts w:ascii="Times New Roman" w:hAnsi="Times New Roman"/>
          <w:highlight w:val="white"/>
          <w:lang w:val="pt-BR"/>
        </w:rPr>
      </w:pPr>
      <w:r>
        <w:rPr>
          <w:rFonts w:ascii="Times New Roman" w:hAnsi="Times New Roman"/>
          <w:shd w:fill="FFFFFF" w:val="clear"/>
          <w:lang w:val="pt-BR"/>
        </w:rPr>
        <w:t xml:space="preserve">Soares, A. B., &amp; Del Prette, Z. A. P. (2015). Habilidades sociais e adaptação à universidade: Convergências e divergências dos construtos. </w:t>
      </w:r>
      <w:r>
        <w:rPr>
          <w:rFonts w:ascii="Times New Roman" w:hAnsi="Times New Roman"/>
          <w:i/>
          <w:iCs/>
          <w:shd w:fill="FFFFFF" w:val="clear"/>
          <w:lang w:val="pt-BR"/>
        </w:rPr>
        <w:t>Análise Psicológica</w:t>
      </w:r>
      <w:r>
        <w:rPr>
          <w:rFonts w:ascii="Times New Roman" w:hAnsi="Times New Roman"/>
          <w:shd w:fill="FFFFFF" w:val="clear"/>
          <w:lang w:val="pt-BR"/>
        </w:rPr>
        <w:t>, </w:t>
      </w:r>
      <w:r>
        <w:rPr>
          <w:rFonts w:ascii="Times New Roman" w:hAnsi="Times New Roman"/>
          <w:i/>
          <w:iCs/>
          <w:shd w:fill="FFFFFF" w:val="clear"/>
          <w:lang w:val="pt-BR"/>
        </w:rPr>
        <w:t>33</w:t>
      </w:r>
      <w:r>
        <w:rPr>
          <w:rFonts w:ascii="Times New Roman" w:hAnsi="Times New Roman"/>
          <w:shd w:fill="FFFFFF" w:val="clear"/>
          <w:lang w:val="pt-BR"/>
        </w:rPr>
        <w:t>(2), 139-151.</w:t>
      </w:r>
    </w:p>
    <w:p>
      <w:pPr>
        <w:pStyle w:val="Corpodotexto"/>
        <w:spacing w:lineRule="auto" w:line="240" w:before="0" w:after="0"/>
        <w:ind w:left="720" w:hanging="720"/>
        <w:contextualSpacing/>
        <w:jc w:val="both"/>
        <w:rPr>
          <w:rFonts w:ascii="Times New Roman" w:hAnsi="Times New Roman"/>
          <w:sz w:val="22"/>
          <w:szCs w:val="22"/>
          <w:lang w:val="pt-BR"/>
        </w:rPr>
      </w:pPr>
      <w:r>
        <w:rPr>
          <w:rFonts w:ascii="Times New Roman" w:hAnsi="Times New Roman"/>
          <w:sz w:val="22"/>
          <w:szCs w:val="22"/>
          <w:lang w:val="pt-BR"/>
        </w:rPr>
        <w:t xml:space="preserve">Soares, A. B., Francischetto, V., Dutra, B. M., Miranda, J. M., Nogueira, C. C. C., Leme, V. R., Araújo, A. M., &amp; Almeida, L. S. (2014). O impacto das expectativas na adaptação acadêmica dos estudantes no Ensino Superior. </w:t>
      </w:r>
      <w:r>
        <w:rPr>
          <w:rFonts w:ascii="Times New Roman" w:hAnsi="Times New Roman"/>
          <w:i/>
          <w:sz w:val="22"/>
          <w:szCs w:val="22"/>
          <w:lang w:val="pt-BR"/>
        </w:rPr>
        <w:t>Psico-USF</w:t>
      </w:r>
      <w:r>
        <w:rPr>
          <w:rFonts w:ascii="Times New Roman" w:hAnsi="Times New Roman"/>
          <w:sz w:val="22"/>
          <w:szCs w:val="22"/>
          <w:lang w:val="pt-BR"/>
        </w:rPr>
        <w:t xml:space="preserve">, </w:t>
      </w:r>
      <w:r>
        <w:rPr>
          <w:rFonts w:ascii="Times New Roman" w:hAnsi="Times New Roman"/>
          <w:i/>
          <w:sz w:val="22"/>
          <w:szCs w:val="22"/>
          <w:lang w:val="pt-BR"/>
        </w:rPr>
        <w:t>19</w:t>
      </w:r>
      <w:r>
        <w:rPr>
          <w:rFonts w:ascii="Times New Roman" w:hAnsi="Times New Roman"/>
          <w:sz w:val="22"/>
          <w:szCs w:val="22"/>
          <w:lang w:val="pt-BR"/>
        </w:rPr>
        <w:t xml:space="preserve">(1), 49-60. </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lang w:val="pt-BR"/>
        </w:rPr>
        <w:t>Soares, A. B., Poubel, L. N., &amp; Mello, T. V. S. (2009). Habilidades sociais e adaptação acadêmica: Um estudo comparativo em instituições de ensino público e privado. </w:t>
      </w:r>
      <w:r>
        <w:rPr>
          <w:rFonts w:ascii="Times New Roman" w:hAnsi="Times New Roman"/>
          <w:i/>
          <w:iCs/>
          <w:lang w:val="pt-BR"/>
        </w:rPr>
        <w:t>Aletheia</w:t>
      </w:r>
      <w:r>
        <w:rPr>
          <w:rFonts w:ascii="Times New Roman" w:hAnsi="Times New Roman"/>
          <w:lang w:val="pt-BR"/>
        </w:rPr>
        <w:t>, (29), 27-42. </w:t>
      </w:r>
    </w:p>
    <w:p>
      <w:pPr>
        <w:pStyle w:val="Corpodotexto"/>
        <w:spacing w:lineRule="auto" w:line="240" w:before="0" w:after="0"/>
        <w:ind w:left="720" w:hanging="720"/>
        <w:contextualSpacing/>
        <w:jc w:val="both"/>
        <w:rPr>
          <w:sz w:val="22"/>
          <w:szCs w:val="22"/>
          <w:lang w:val="pt-BR" w:eastAsia="pt-BR"/>
        </w:rPr>
      </w:pPr>
      <w:r>
        <w:rPr>
          <w:rFonts w:ascii="Times New Roman" w:hAnsi="Times New Roman"/>
          <w:color w:val="000000"/>
          <w:sz w:val="22"/>
          <w:szCs w:val="22"/>
          <w:lang w:val="pt-BR"/>
        </w:rPr>
        <w:t>Soares, A. B., Seabra, A. M. R., &amp; Gomes, G. (2014). Inteligência, autoeficácia e habilidades sociais em estudantes universitários. </w:t>
      </w:r>
      <w:r>
        <w:rPr>
          <w:rFonts w:ascii="Times New Roman" w:hAnsi="Times New Roman"/>
          <w:i/>
          <w:iCs/>
          <w:color w:val="000000"/>
          <w:sz w:val="22"/>
          <w:szCs w:val="22"/>
          <w:lang w:val="pt-BR"/>
        </w:rPr>
        <w:t>Revista Brasileira de Orientação Profissional</w:t>
      </w:r>
      <w:r>
        <w:rPr>
          <w:rFonts w:ascii="Times New Roman" w:hAnsi="Times New Roman"/>
          <w:color w:val="000000"/>
          <w:sz w:val="22"/>
          <w:szCs w:val="22"/>
          <w:lang w:val="pt-BR"/>
        </w:rPr>
        <w:t>, </w:t>
      </w:r>
      <w:r>
        <w:rPr>
          <w:rFonts w:ascii="Times New Roman" w:hAnsi="Times New Roman"/>
          <w:i/>
          <w:iCs/>
          <w:color w:val="000000"/>
          <w:sz w:val="22"/>
          <w:szCs w:val="22"/>
          <w:lang w:val="pt-BR"/>
        </w:rPr>
        <w:t>15</w:t>
      </w:r>
      <w:r>
        <w:rPr>
          <w:rFonts w:ascii="Times New Roman" w:hAnsi="Times New Roman"/>
          <w:color w:val="000000"/>
          <w:sz w:val="22"/>
          <w:szCs w:val="22"/>
          <w:lang w:val="pt-BR"/>
        </w:rPr>
        <w:t>(1), 85-94.</w:t>
      </w:r>
    </w:p>
    <w:p>
      <w:pPr>
        <w:pStyle w:val="Normal"/>
        <w:spacing w:lineRule="auto" w:line="240" w:before="0" w:after="0"/>
        <w:ind w:left="720" w:hanging="720"/>
        <w:contextualSpacing/>
        <w:jc w:val="both"/>
        <w:rPr>
          <w:rFonts w:ascii="Times New Roman" w:hAnsi="Times New Roman"/>
          <w:lang w:val="pt-BR"/>
        </w:rPr>
      </w:pPr>
      <w:r>
        <w:rPr>
          <w:rFonts w:ascii="Times New Roman" w:hAnsi="Times New Roman"/>
          <w:lang w:val="pt-BR"/>
        </w:rPr>
        <w:t>Soares, A. P., Almeida, L. D. S., Diniz, A. A. P. M., &amp; Guisande, M. A. (2006). Modelo Multidimensional de Ajustamento de jovens ao contexto Universitário (MMAU): Estudo com estudantes de ciências e tecnologias versus ciências sociais e humanas. </w:t>
      </w:r>
      <w:r>
        <w:rPr>
          <w:rFonts w:ascii="Times New Roman" w:hAnsi="Times New Roman"/>
          <w:i/>
          <w:iCs/>
          <w:lang w:val="pt-BR"/>
        </w:rPr>
        <w:t>Análise Psicológica</w:t>
      </w:r>
      <w:r>
        <w:rPr>
          <w:rFonts w:ascii="Times New Roman" w:hAnsi="Times New Roman"/>
          <w:lang w:val="pt-BR"/>
        </w:rPr>
        <w:t xml:space="preserve">, </w:t>
      </w:r>
      <w:r>
        <w:rPr>
          <w:rFonts w:ascii="Times New Roman" w:hAnsi="Times New Roman"/>
          <w:i/>
          <w:lang w:val="pt-BR"/>
        </w:rPr>
        <w:t>1</w:t>
      </w:r>
      <w:r>
        <w:rPr>
          <w:rFonts w:ascii="Times New Roman" w:hAnsi="Times New Roman"/>
          <w:lang w:val="pt-BR"/>
        </w:rPr>
        <w:t>(24),15-27.</w:t>
      </w:r>
    </w:p>
    <w:p>
      <w:pPr>
        <w:pStyle w:val="Normal"/>
        <w:spacing w:lineRule="auto" w:line="240" w:before="0" w:after="0"/>
        <w:ind w:left="709" w:hanging="709"/>
        <w:contextualSpacing/>
        <w:jc w:val="both"/>
        <w:rPr>
          <w:rFonts w:ascii="Times New Roman" w:hAnsi="Times New Roman"/>
          <w:lang w:val="pt-BR"/>
        </w:rPr>
      </w:pPr>
      <w:r>
        <w:rPr>
          <w:rFonts w:ascii="Times New Roman" w:hAnsi="Times New Roman"/>
          <w:lang w:val="pt-BR"/>
        </w:rPr>
        <w:t>Sparta, M., &amp; Gomes, W. B. (2005). Importância atribuída ao ingresso na educação superior por alunos do ensino médio. </w:t>
      </w:r>
      <w:r>
        <w:rPr>
          <w:rFonts w:ascii="Times New Roman" w:hAnsi="Times New Roman"/>
          <w:i/>
          <w:iCs/>
          <w:lang w:val="pt-BR"/>
        </w:rPr>
        <w:t>Revista Brasileira de Orientação Profissional</w:t>
      </w:r>
      <w:r>
        <w:rPr>
          <w:rFonts w:ascii="Times New Roman" w:hAnsi="Times New Roman"/>
          <w:lang w:val="pt-BR"/>
        </w:rPr>
        <w:t>, </w:t>
      </w:r>
      <w:r>
        <w:rPr>
          <w:rFonts w:ascii="Times New Roman" w:hAnsi="Times New Roman"/>
          <w:i/>
          <w:iCs/>
          <w:lang w:val="pt-BR"/>
        </w:rPr>
        <w:t>6</w:t>
      </w:r>
      <w:r>
        <w:rPr>
          <w:rFonts w:ascii="Times New Roman" w:hAnsi="Times New Roman"/>
          <w:lang w:val="pt-BR"/>
        </w:rPr>
        <w:t xml:space="preserve">(2), 45-53. </w:t>
      </w:r>
    </w:p>
    <w:p>
      <w:pPr>
        <w:pStyle w:val="Normal"/>
        <w:widowControl w:val="false"/>
        <w:shd w:val="clear" w:color="auto" w:fill="FFFFFF"/>
        <w:spacing w:lineRule="auto" w:line="240" w:before="0" w:after="0"/>
        <w:ind w:left="720" w:hanging="720"/>
        <w:contextualSpacing/>
        <w:jc w:val="both"/>
        <w:rPr>
          <w:rFonts w:ascii="Times New Roman" w:hAnsi="Times New Roman"/>
          <w:lang w:val="pt-BR"/>
        </w:rPr>
      </w:pPr>
      <w:r>
        <w:rPr>
          <w:rFonts w:ascii="Times New Roman" w:hAnsi="Times New Roman"/>
          <w:lang w:val="pt-BR"/>
        </w:rPr>
        <w:t>Teixeira, M. A. P., Dias, A. C. G., Wottrich, S. H., &amp; Oliveira, A. M. (2008). Adaptação à universidade em jovens calouros. </w:t>
      </w:r>
      <w:r>
        <w:rPr>
          <w:rFonts w:ascii="Times New Roman" w:hAnsi="Times New Roman"/>
          <w:i/>
          <w:iCs/>
          <w:lang w:val="pt-BR"/>
        </w:rPr>
        <w:t>Psicologia Escolar e Educacional</w:t>
      </w:r>
      <w:r>
        <w:rPr>
          <w:rFonts w:ascii="Times New Roman" w:hAnsi="Times New Roman"/>
          <w:lang w:val="pt-BR"/>
        </w:rPr>
        <w:t>, </w:t>
      </w:r>
      <w:r>
        <w:rPr>
          <w:rFonts w:ascii="Times New Roman" w:hAnsi="Times New Roman"/>
          <w:i/>
          <w:iCs/>
          <w:lang w:val="pt-BR"/>
        </w:rPr>
        <w:t>12</w:t>
      </w:r>
      <w:r>
        <w:rPr>
          <w:rFonts w:ascii="Times New Roman" w:hAnsi="Times New Roman"/>
          <w:lang w:val="pt-BR"/>
        </w:rPr>
        <w:t>(1), 185-202.</w:t>
      </w:r>
    </w:p>
    <w:p>
      <w:pPr>
        <w:pStyle w:val="Normal"/>
        <w:widowControl w:val="false"/>
        <w:shd w:val="clear" w:color="auto" w:fill="FFFFFF"/>
        <w:spacing w:lineRule="auto" w:line="240" w:before="0" w:after="0"/>
        <w:ind w:left="720" w:hanging="720"/>
        <w:contextualSpacing/>
        <w:jc w:val="both"/>
        <w:rPr>
          <w:rFonts w:ascii="Times New Roman" w:hAnsi="Times New Roman"/>
          <w:lang w:val="pt-BR"/>
        </w:rPr>
      </w:pPr>
      <w:r>
        <w:rPr>
          <w:rFonts w:ascii="Times New Roman" w:hAnsi="Times New Roman"/>
          <w:lang w:val="pt-BR"/>
        </w:rPr>
        <w:t>Teixeira, M. O., &amp; Calado, I. (2010). Avaliação de um programa de educação para a carreira: um projeto de natureza exploratória. </w:t>
      </w:r>
      <w:r>
        <w:rPr>
          <w:rFonts w:ascii="Times New Roman" w:hAnsi="Times New Roman"/>
          <w:i/>
          <w:iCs/>
          <w:lang w:val="pt-BR"/>
        </w:rPr>
        <w:t>Revista Brasileira de Orientação Profissional</w:t>
      </w:r>
      <w:r>
        <w:rPr>
          <w:rFonts w:ascii="Times New Roman" w:hAnsi="Times New Roman"/>
          <w:lang w:val="pt-BR"/>
        </w:rPr>
        <w:t>, </w:t>
      </w:r>
      <w:r>
        <w:rPr>
          <w:rFonts w:ascii="Times New Roman" w:hAnsi="Times New Roman"/>
          <w:i/>
          <w:iCs/>
          <w:lang w:val="pt-BR"/>
        </w:rPr>
        <w:t>11</w:t>
      </w:r>
      <w:r>
        <w:rPr>
          <w:rFonts w:ascii="Times New Roman" w:hAnsi="Times New Roman"/>
          <w:lang w:val="pt-BR"/>
        </w:rPr>
        <w:t xml:space="preserve">(2), 213-218. </w:t>
      </w:r>
    </w:p>
    <w:p>
      <w:pPr>
        <w:pStyle w:val="Normal"/>
        <w:spacing w:lineRule="auto" w:line="240" w:before="0" w:after="0"/>
        <w:ind w:left="810" w:hanging="810"/>
        <w:contextualSpacing/>
        <w:jc w:val="both"/>
        <w:rPr>
          <w:rFonts w:ascii="Times New Roman" w:hAnsi="Times New Roman"/>
          <w:lang w:val="pt-BR"/>
        </w:rPr>
      </w:pPr>
      <w:r>
        <w:rPr>
          <w:rFonts w:ascii="Times New Roman" w:hAnsi="Times New Roman"/>
          <w:lang w:val="pt-BR"/>
        </w:rPr>
        <w:t xml:space="preserve">Ulusoy, F. M., &amp; Onen, A. S. (2014). </w:t>
      </w:r>
      <w:r>
        <w:rPr>
          <w:rFonts w:ascii="Times New Roman" w:hAnsi="Times New Roman"/>
        </w:rPr>
        <w:t xml:space="preserve">The effects of the professional maturity levels of secondary school students on their academic motivations. </w:t>
      </w:r>
      <w:r>
        <w:rPr>
          <w:rFonts w:ascii="Times New Roman" w:hAnsi="Times New Roman"/>
          <w:i/>
          <w:lang w:val="pt-BR"/>
        </w:rPr>
        <w:t>Procedia Social and Behavioral Sciences</w:t>
      </w:r>
      <w:r>
        <w:rPr>
          <w:rFonts w:ascii="Times New Roman" w:hAnsi="Times New Roman"/>
          <w:lang w:val="pt-BR"/>
        </w:rPr>
        <w:t xml:space="preserve">, </w:t>
      </w:r>
      <w:r>
        <w:rPr>
          <w:rFonts w:ascii="Times New Roman" w:hAnsi="Times New Roman"/>
          <w:i/>
          <w:lang w:val="pt-BR"/>
        </w:rPr>
        <w:t>143</w:t>
      </w:r>
      <w:r>
        <w:rPr>
          <w:rFonts w:ascii="Times New Roman" w:hAnsi="Times New Roman"/>
          <w:lang w:val="pt-BR"/>
        </w:rPr>
        <w:t>, 1153-1157.</w:t>
      </w:r>
    </w:p>
    <w:p>
      <w:pPr>
        <w:pStyle w:val="Normal"/>
        <w:spacing w:lineRule="auto" w:line="240" w:before="0" w:after="0"/>
        <w:ind w:left="810" w:hanging="810"/>
        <w:contextualSpacing/>
        <w:jc w:val="both"/>
        <w:rPr>
          <w:rFonts w:ascii="Times New Roman" w:hAnsi="Times New Roman"/>
          <w:lang w:val="pt-BR"/>
        </w:rPr>
      </w:pPr>
      <w:r>
        <w:rPr>
          <w:rFonts w:ascii="Times New Roman" w:hAnsi="Times New Roman"/>
          <w:lang w:val="pt-BR"/>
        </w:rPr>
        <w:t xml:space="preserve">Uvaldo, M. C. C., Garcia, M. L. D., Munhoz, I. M. S., &amp; Teixeira, M. O. (2012). Síntese das discussões e propostas do grupo de trabalho: Interfaces entre a orientação profissional, educação e psicologia escolar. </w:t>
      </w:r>
      <w:r>
        <w:rPr>
          <w:rFonts w:ascii="Times New Roman" w:hAnsi="Times New Roman"/>
          <w:i/>
          <w:iCs/>
          <w:lang w:val="pt-BR"/>
        </w:rPr>
        <w:t>Revista Brasileira de Orientação Profissional, 13</w:t>
      </w:r>
      <w:r>
        <w:rPr>
          <w:rFonts w:ascii="Times New Roman" w:hAnsi="Times New Roman"/>
          <w:lang w:val="pt-BR"/>
        </w:rPr>
        <w:t>(1), 125-128.</w:t>
      </w:r>
    </w:p>
    <w:p>
      <w:pPr>
        <w:pStyle w:val="Normal"/>
        <w:spacing w:before="0" w:after="0"/>
        <w:rPr/>
      </w:pPr>
      <w:r>
        <w:rPr/>
      </w:r>
    </w:p>
    <w:sectPr>
      <w:headerReference w:type="even" r:id="rId3"/>
      <w:headerReference w:type="default" r:id="rId4"/>
      <w:footerReference w:type="even" r:id="rId5"/>
      <w:footerReference w:type="default" r:id="rId6"/>
      <w:footnotePr>
        <w:numFmt w:val="decimal"/>
      </w:footnotePr>
      <w:type w:val="nextPage"/>
      <w:pgSz w:w="12240" w:h="15840"/>
      <w:pgMar w:left="1701" w:right="1134" w:header="720" w:top="1701" w:footer="720" w:bottom="1134" w:gutter="0"/>
      <w:pgNumType w:start="445"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Times New Roman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05742003"/>
    </w:sdtPr>
    <w:sdtContent>
      <w:p>
        <w:pPr>
          <w:pStyle w:val="Rodap"/>
          <w:rPr/>
        </w:pPr>
        <w:r>
          <w:rPr>
            <w:rFonts w:ascii="Times" w:hAnsi="Times"/>
            <w:smallCaps/>
            <w:sz w:val="16"/>
            <w:szCs w:val="16"/>
          </w:rPr>
          <w:t xml:space="preserve">Articles | </w:t>
        </w:r>
        <w:r>
          <w:rPr>
            <w:rStyle w:val="Pagenumber"/>
            <w:rFonts w:ascii="Times" w:hAnsi="Times"/>
            <w:sz w:val="16"/>
            <w:szCs w:val="16"/>
          </w:rPr>
          <w:fldChar w:fldCharType="begin"/>
        </w:r>
        <w:r>
          <w:rPr>
            <w:rStyle w:val="Pagenumber"/>
            <w:sz w:val="16"/>
            <w:szCs w:val="16"/>
            <w:rFonts w:ascii="Times" w:hAnsi="Times"/>
          </w:rPr>
          <w:instrText> PAGE </w:instrText>
        </w:r>
        <w:r>
          <w:rPr>
            <w:rStyle w:val="Pagenumber"/>
            <w:sz w:val="16"/>
            <w:szCs w:val="16"/>
            <w:rFonts w:ascii="Times" w:hAnsi="Times"/>
          </w:rPr>
          <w:fldChar w:fldCharType="separate"/>
        </w:r>
        <w:r>
          <w:rPr>
            <w:rStyle w:val="Pagenumber"/>
            <w:sz w:val="16"/>
            <w:szCs w:val="16"/>
            <w:rFonts w:ascii="Times" w:hAnsi="Times"/>
          </w:rPr>
          <w:t>456</w:t>
        </w:r>
        <w:r>
          <w:rPr>
            <w:rStyle w:val="Pagenumber"/>
            <w:sz w:val="16"/>
            <w:szCs w:val="16"/>
            <w:rFonts w:ascii="Times" w:hAnsi="Times"/>
          </w:rPr>
          <w:fldChar w:fldCharType="end"/>
        </w:r>
      </w:p>
    </w:sdtContent>
  </w:sdt>
  <w:p>
    <w:pPr>
      <w:pStyle w:val="Rodap"/>
      <w:ind w:right="360" w:firstLine="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8160116"/>
    </w:sdtPr>
    <w:sdtContent>
      <w:p>
        <w:pPr>
          <w:pStyle w:val="Rodap"/>
          <w:rPr/>
        </w:pPr>
        <w:r>
          <w:rPr>
            <w:rFonts w:ascii="Times" w:hAnsi="Times"/>
            <w:smallCaps/>
            <w:sz w:val="16"/>
            <w:szCs w:val="16"/>
          </w:rPr>
          <w:t xml:space="preserve">Articles | </w:t>
        </w:r>
        <w:r>
          <w:rPr>
            <w:rStyle w:val="Pagenumber"/>
            <w:rFonts w:ascii="Times" w:hAnsi="Times"/>
            <w:sz w:val="16"/>
            <w:szCs w:val="16"/>
          </w:rPr>
          <w:fldChar w:fldCharType="begin"/>
        </w:r>
        <w:r>
          <w:rPr>
            <w:rStyle w:val="Pagenumber"/>
            <w:sz w:val="16"/>
            <w:szCs w:val="16"/>
            <w:rFonts w:ascii="Times" w:hAnsi="Times"/>
          </w:rPr>
          <w:instrText> PAGE </w:instrText>
        </w:r>
        <w:r>
          <w:rPr>
            <w:rStyle w:val="Pagenumber"/>
            <w:sz w:val="16"/>
            <w:szCs w:val="16"/>
            <w:rFonts w:ascii="Times" w:hAnsi="Times"/>
          </w:rPr>
          <w:fldChar w:fldCharType="separate"/>
        </w:r>
        <w:r>
          <w:rPr>
            <w:rStyle w:val="Pagenumber"/>
            <w:sz w:val="16"/>
            <w:szCs w:val="16"/>
            <w:rFonts w:ascii="Times" w:hAnsi="Times"/>
          </w:rPr>
          <w:t>457</w:t>
        </w:r>
        <w:r>
          <w:rPr>
            <w:rStyle w:val="Pagenumber"/>
            <w:sz w:val="16"/>
            <w:szCs w:val="16"/>
            <w:rFonts w:ascii="Times" w:hAnsi="Times"/>
          </w:rPr>
          <w:fldChar w:fldCharType="end"/>
        </w:r>
      </w:p>
    </w:sdtContent>
  </w:sdt>
  <w:p>
    <w:pPr>
      <w:pStyle w:val="Rodap"/>
      <w:ind w:right="360" w:firstLine="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spacing w:before="0" w:after="160"/>
        <w:rPr/>
      </w:pPr>
      <w:r>
        <w:rPr>
          <w:rStyle w:val="Caracteresdenotaderodap"/>
        </w:rPr>
        <w:footnoteRef/>
      </w:r>
      <w:r>
        <w:rPr/>
        <w:t xml:space="preserve"> </w:t>
      </w:r>
      <w:r>
        <w:rPr>
          <w:rFonts w:ascii="Times" w:hAnsi="Times"/>
          <w:sz w:val="16"/>
          <w:szCs w:val="16"/>
        </w:rPr>
        <w:t xml:space="preserve">Correspondence about this article should be addressed to Adrien Benevides Soares. Email: </w:t>
      </w:r>
      <w:r>
        <w:rPr>
          <w:rFonts w:cs="Segoe UI" w:ascii="Times" w:hAnsi="Times"/>
          <w:sz w:val="16"/>
          <w:szCs w:val="16"/>
        </w:rPr>
        <w:t>adribenevides@gmail.com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before="0" w:after="0"/>
      <w:jc w:val="center"/>
      <w:rPr>
        <w:rFonts w:ascii="Times" w:hAnsi="Times" w:cs="Segoe UI"/>
        <w:smallCaps/>
        <w:sz w:val="20"/>
        <w:szCs w:val="28"/>
      </w:rPr>
    </w:pPr>
    <w:r>
      <w:rPr>
        <w:rFonts w:cs="Segoe UI" w:ascii="Times" w:hAnsi="Times"/>
        <w:smallCaps/>
        <w:sz w:val="20"/>
        <w:szCs w:val="28"/>
      </w:rPr>
      <w:t>Benevides Soares, Gongalves Brito Da Silva, De Alcantara Souza &amp; Fernandes Lima</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rFonts w:ascii="Times" w:hAnsi="Times"/>
        <w:i/>
        <w:i/>
        <w:sz w:val="18"/>
        <w:szCs w:val="18"/>
      </w:rPr>
    </w:pPr>
    <w:r>
      <w:drawing>
        <wp:anchor behindDoc="1" distT="0" distB="0" distL="0" distR="0" simplePos="0" locked="0" layoutInCell="1" allowOverlap="1" relativeHeight="8">
          <wp:simplePos x="0" y="0"/>
          <wp:positionH relativeFrom="column">
            <wp:posOffset>165735</wp:posOffset>
          </wp:positionH>
          <wp:positionV relativeFrom="paragraph">
            <wp:posOffset>-288925</wp:posOffset>
          </wp:positionV>
          <wp:extent cx="694690" cy="756285"/>
          <wp:effectExtent l="0" t="0" r="0" b="0"/>
          <wp:wrapNone/>
          <wp:docPr id="2" name="Picture 5"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ttp://journals.fcla.edu/public/journals/39/homeHeaderTitleImage_en_US.jpg"/>
                  <pic:cNvPicPr>
                    <a:picLocks noChangeAspect="1" noChangeArrowheads="1"/>
                  </pic:cNvPicPr>
                </pic:nvPicPr>
                <pic:blipFill>
                  <a:blip r:embed="rId1"/>
                  <a:srcRect l="1469" t="6256" r="80063" b="3269"/>
                  <a:stretch>
                    <a:fillRect/>
                  </a:stretch>
                </pic:blipFill>
                <pic:spPr bwMode="auto">
                  <a:xfrm>
                    <a:off x="0" y="0"/>
                    <a:ext cx="694690" cy="756285"/>
                  </a:xfrm>
                  <a:prstGeom prst="rect">
                    <a:avLst/>
                  </a:prstGeom>
                </pic:spPr>
              </pic:pic>
            </a:graphicData>
          </a:graphic>
        </wp:anchor>
      </w:drawing>
    </w:r>
    <w:r>
      <w:rPr>
        <w:rFonts w:ascii="Times" w:hAnsi="Times"/>
        <w:b/>
        <w:i/>
        <w:sz w:val="18"/>
        <w:szCs w:val="18"/>
      </w:rPr>
      <w:t>R</w:t>
    </w:r>
    <w:r>
      <w:rPr>
        <w:rFonts w:ascii="Times" w:hAnsi="Times"/>
        <w:b/>
        <w:i/>
        <w:sz w:val="18"/>
        <w:szCs w:val="18"/>
      </w:rPr>
      <w:t>evista Interamericana de Psicologia/Interamerican Journal of Psychology (IJP</w:t>
    </w:r>
    <w:r>
      <w:rPr>
        <w:rFonts w:ascii="Times" w:hAnsi="Times"/>
        <w:i/>
        <w:sz w:val="18"/>
        <w:szCs w:val="18"/>
      </w:rPr>
      <w:t>)</w:t>
    </w:r>
  </w:p>
  <w:p>
    <w:pPr>
      <w:pStyle w:val="Cabealho"/>
      <w:jc w:val="right"/>
      <w:rPr>
        <w:rFonts w:ascii="Times" w:hAnsi="Times"/>
        <w:i/>
        <w:i/>
        <w:sz w:val="18"/>
        <w:szCs w:val="18"/>
      </w:rPr>
    </w:pPr>
    <w:r>
      <w:rPr>
        <w:rFonts w:ascii="Times" w:hAnsi="Times"/>
        <w:i/>
        <w:sz w:val="18"/>
        <w:szCs w:val="18"/>
      </w:rPr>
      <w:t xml:space="preserve">2019, Vol., 53, No. 3, pp. 445-457 </w:t>
    </w:r>
  </w:p>
  <w:p>
    <w:pPr>
      <w:pStyle w:val="Cabealho"/>
      <w:rPr/>
    </w:pPr>
    <w:r>
      <w:rPr/>
    </w:r>
  </w:p>
</w:hdr>
</file>

<file path=word/settings.xml><?xml version="1.0" encoding="utf-8"?>
<w:settings xmlns:w="http://schemas.openxmlformats.org/wordprocessingml/2006/main">
  <w:zoom w:percent="120"/>
  <w:embedSystemFonts/>
  <w:defaultTabStop w:val="720"/>
  <w:compat>
    <w:doNotExpandShiftReturn/>
  </w:compat>
  <w:evenAndOddHeaders/>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Times New Roman" w:cs="Times New Roman"/>
      <w:color w:val="auto"/>
      <w:kern w:val="0"/>
      <w:sz w:val="22"/>
      <w:szCs w:val="22"/>
      <w:lang w:val="en-US" w:eastAsia="en-US" w:bidi="ar-SA"/>
    </w:rPr>
  </w:style>
  <w:style w:type="paragraph" w:styleId="Ttulo1">
    <w:name w:val="Heading 1"/>
    <w:basedOn w:val="Normal"/>
    <w:next w:val="Normal"/>
    <w:link w:val="Heading1Char"/>
    <w:uiPriority w:val="9"/>
    <w:qFormat/>
    <w:rsid w:val="00b74005"/>
    <w:pPr>
      <w:spacing w:lineRule="auto" w:line="240" w:before="0" w:after="0"/>
      <w:outlineLvl w:val="0"/>
    </w:pPr>
    <w:rPr>
      <w:rFonts w:ascii="Arial" w:hAnsi="Arial"/>
      <w:b/>
      <w:bCs/>
      <w:color w:val="000000"/>
      <w:sz w:val="32"/>
      <w:szCs w:val="32"/>
      <w:lang w:val="pt-BR"/>
    </w:rPr>
  </w:style>
  <w:style w:type="paragraph" w:styleId="Ttulo2">
    <w:name w:val="Heading 2"/>
    <w:basedOn w:val="Normal"/>
    <w:next w:val="Normal"/>
    <w:link w:val="Heading2Char"/>
    <w:uiPriority w:val="99"/>
    <w:qFormat/>
    <w:rsid w:val="00b74005"/>
    <w:pPr>
      <w:spacing w:lineRule="auto" w:line="240" w:before="0" w:after="0"/>
      <w:outlineLvl w:val="1"/>
    </w:pPr>
    <w:rPr>
      <w:rFonts w:ascii="Arial" w:hAnsi="Arial"/>
      <w:b/>
      <w:bCs/>
      <w:i/>
      <w:iCs/>
      <w:color w:val="000000"/>
      <w:sz w:val="28"/>
      <w:szCs w:val="28"/>
      <w:lang w:val="pt-BR"/>
    </w:rPr>
  </w:style>
  <w:style w:type="paragraph" w:styleId="Ttulo3">
    <w:name w:val="Heading 3"/>
    <w:basedOn w:val="Normal"/>
    <w:next w:val="Normal"/>
    <w:link w:val="Heading3Char"/>
    <w:uiPriority w:val="99"/>
    <w:qFormat/>
    <w:rsid w:val="00b74005"/>
    <w:pPr>
      <w:spacing w:lineRule="auto" w:line="240" w:before="0" w:after="0"/>
      <w:outlineLvl w:val="2"/>
    </w:pPr>
    <w:rPr>
      <w:rFonts w:ascii="Arial" w:hAnsi="Arial"/>
      <w:b/>
      <w:bCs/>
      <w:color w:val="000000"/>
      <w:sz w:val="26"/>
      <w:szCs w:val="26"/>
      <w:lang w:val="pt-BR"/>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
    <w:qFormat/>
    <w:locked/>
    <w:rsid w:val="00b74005"/>
    <w:rPr>
      <w:rFonts w:ascii="Arial" w:hAnsi="Arial" w:cs="Times New Roman"/>
      <w:b/>
      <w:bCs/>
      <w:color w:val="000000"/>
      <w:sz w:val="32"/>
      <w:szCs w:val="32"/>
      <w:lang w:val="pt-BR" w:eastAsia="x-none"/>
    </w:rPr>
  </w:style>
  <w:style w:type="character" w:styleId="Heading2Char" w:customStyle="1">
    <w:name w:val="Heading 2 Char"/>
    <w:link w:val="Heading2"/>
    <w:uiPriority w:val="99"/>
    <w:qFormat/>
    <w:locked/>
    <w:rsid w:val="00b74005"/>
    <w:rPr>
      <w:rFonts w:ascii="Arial" w:hAnsi="Arial" w:cs="Times New Roman"/>
      <w:b/>
      <w:bCs/>
      <w:i/>
      <w:iCs/>
      <w:color w:val="000000"/>
      <w:sz w:val="28"/>
      <w:szCs w:val="28"/>
      <w:lang w:val="pt-BR" w:eastAsia="x-none"/>
    </w:rPr>
  </w:style>
  <w:style w:type="character" w:styleId="Heading3Char" w:customStyle="1">
    <w:name w:val="Heading 3 Char"/>
    <w:link w:val="Heading3"/>
    <w:uiPriority w:val="99"/>
    <w:qFormat/>
    <w:locked/>
    <w:rsid w:val="00b74005"/>
    <w:rPr>
      <w:rFonts w:ascii="Arial" w:hAnsi="Arial" w:cs="Times New Roman"/>
      <w:b/>
      <w:bCs/>
      <w:color w:val="000000"/>
      <w:sz w:val="26"/>
      <w:szCs w:val="26"/>
      <w:lang w:val="pt-BR" w:eastAsia="x-none"/>
    </w:rPr>
  </w:style>
  <w:style w:type="character" w:styleId="BodyTextChar" w:customStyle="1">
    <w:name w:val="Body Text Char"/>
    <w:link w:val="BodyText"/>
    <w:uiPriority w:val="99"/>
    <w:qFormat/>
    <w:locked/>
    <w:rsid w:val="00b74005"/>
    <w:rPr>
      <w:rFonts w:ascii="Calibri" w:hAnsi="Calibri" w:cs="Times New Roman"/>
      <w:sz w:val="20"/>
      <w:szCs w:val="20"/>
    </w:rPr>
  </w:style>
  <w:style w:type="character" w:styleId="CommentTextChar" w:customStyle="1">
    <w:name w:val="Comment Text Char"/>
    <w:link w:val="CommentText"/>
    <w:uiPriority w:val="99"/>
    <w:qFormat/>
    <w:locked/>
    <w:rsid w:val="00b74005"/>
    <w:rPr>
      <w:rFonts w:ascii="Calibri" w:hAnsi="Calibri" w:cs="Times New Roman"/>
      <w:sz w:val="20"/>
      <w:szCs w:val="20"/>
      <w:lang w:val="pt-BR" w:eastAsia="x-none"/>
    </w:rPr>
  </w:style>
  <w:style w:type="character" w:styleId="LinkdaInternet">
    <w:name w:val="Link da Internet"/>
    <w:uiPriority w:val="99"/>
    <w:unhideWhenUsed/>
    <w:rsid w:val="00b74005"/>
    <w:rPr>
      <w:rFonts w:cs="Times New Roman"/>
      <w:color w:val="0563C1"/>
      <w:u w:val="single"/>
    </w:rPr>
  </w:style>
  <w:style w:type="character" w:styleId="Notranslate" w:customStyle="1">
    <w:name w:val="notranslate"/>
    <w:qFormat/>
    <w:rsid w:val="00b74005"/>
    <w:rPr/>
  </w:style>
  <w:style w:type="character" w:styleId="Annotationreference">
    <w:name w:val="annotation reference"/>
    <w:uiPriority w:val="99"/>
    <w:semiHidden/>
    <w:unhideWhenUsed/>
    <w:qFormat/>
    <w:rsid w:val="00b74005"/>
    <w:rPr>
      <w:rFonts w:cs="Times New Roman"/>
      <w:sz w:val="16"/>
    </w:rPr>
  </w:style>
  <w:style w:type="character" w:styleId="BalloonTextChar" w:customStyle="1">
    <w:name w:val="Balloon Text Char"/>
    <w:link w:val="BalloonText"/>
    <w:uiPriority w:val="99"/>
    <w:semiHidden/>
    <w:qFormat/>
    <w:locked/>
    <w:rsid w:val="00b74005"/>
    <w:rPr>
      <w:rFonts w:ascii="Segoe UI" w:hAnsi="Segoe UI" w:cs="Times New Roman"/>
      <w:sz w:val="18"/>
      <w:szCs w:val="18"/>
    </w:rPr>
  </w:style>
  <w:style w:type="character" w:styleId="CommentSubjectChar" w:customStyle="1">
    <w:name w:val="Comment Subject Char"/>
    <w:link w:val="CommentSubject"/>
    <w:uiPriority w:val="99"/>
    <w:semiHidden/>
    <w:qFormat/>
    <w:locked/>
    <w:rsid w:val="00b74005"/>
    <w:rPr>
      <w:rFonts w:ascii="Calibri" w:hAnsi="Calibri" w:cs="Times New Roman"/>
      <w:b/>
      <w:bCs/>
      <w:sz w:val="20"/>
      <w:szCs w:val="20"/>
      <w:lang w:val="pt-BR" w:eastAsia="x-none"/>
    </w:rPr>
  </w:style>
  <w:style w:type="character" w:styleId="Nfase">
    <w:name w:val="Ênfase"/>
    <w:uiPriority w:val="20"/>
    <w:qFormat/>
    <w:rsid w:val="00b74005"/>
    <w:rPr>
      <w:rFonts w:cs="Times New Roman"/>
      <w:i/>
    </w:rPr>
  </w:style>
  <w:style w:type="character" w:styleId="HTMLPreformattedChar" w:customStyle="1">
    <w:name w:val="HTML Preformatted Char"/>
    <w:link w:val="HTMLPreformatted"/>
    <w:uiPriority w:val="99"/>
    <w:qFormat/>
    <w:locked/>
    <w:rsid w:val="00b74005"/>
    <w:rPr>
      <w:rFonts w:ascii="Courier New" w:hAnsi="Courier New" w:cs="Courier New"/>
      <w:sz w:val="20"/>
      <w:szCs w:val="20"/>
      <w:lang w:val="pt-BR" w:eastAsia="pt-BR"/>
    </w:rPr>
  </w:style>
  <w:style w:type="character" w:styleId="FootnoteTextChar" w:customStyle="1">
    <w:name w:val="Footnote Text Char"/>
    <w:basedOn w:val="DefaultParagraphFont"/>
    <w:link w:val="FootnoteText"/>
    <w:uiPriority w:val="99"/>
    <w:qFormat/>
    <w:rsid w:val="00681e36"/>
    <w:rPr/>
  </w:style>
  <w:style w:type="character" w:styleId="Ncoradanotaderodap">
    <w:name w:val="Âncora da nota de rodapé"/>
    <w:rPr>
      <w:vertAlign w:val="superscript"/>
    </w:rPr>
  </w:style>
  <w:style w:type="character" w:styleId="FootnoteCharacters">
    <w:name w:val="Footnote Characters"/>
    <w:uiPriority w:val="99"/>
    <w:qFormat/>
    <w:rsid w:val="00681e36"/>
    <w:rPr>
      <w:vertAlign w:val="superscript"/>
    </w:rPr>
  </w:style>
  <w:style w:type="character" w:styleId="Label" w:customStyle="1">
    <w:name w:val="label"/>
    <w:basedOn w:val="DefaultParagraphFont"/>
    <w:qFormat/>
    <w:rsid w:val="001042f9"/>
    <w:rPr/>
  </w:style>
  <w:style w:type="character" w:styleId="Pkpscreenreader" w:customStyle="1">
    <w:name w:val="pkp_screen_reader"/>
    <w:basedOn w:val="DefaultParagraphFont"/>
    <w:qFormat/>
    <w:rsid w:val="001042f9"/>
    <w:rPr/>
  </w:style>
  <w:style w:type="character" w:styleId="HeaderChar" w:customStyle="1">
    <w:name w:val="Header Char"/>
    <w:basedOn w:val="DefaultParagraphFont"/>
    <w:link w:val="Header"/>
    <w:uiPriority w:val="99"/>
    <w:qFormat/>
    <w:rsid w:val="003652d3"/>
    <w:rPr>
      <w:sz w:val="22"/>
      <w:szCs w:val="22"/>
      <w:lang w:val="en-US" w:eastAsia="en-US"/>
    </w:rPr>
  </w:style>
  <w:style w:type="character" w:styleId="FooterChar" w:customStyle="1">
    <w:name w:val="Footer Char"/>
    <w:basedOn w:val="DefaultParagraphFont"/>
    <w:link w:val="Footer"/>
    <w:uiPriority w:val="99"/>
    <w:qFormat/>
    <w:rsid w:val="003652d3"/>
    <w:rPr>
      <w:sz w:val="22"/>
      <w:szCs w:val="22"/>
      <w:lang w:val="en-US" w:eastAsia="en-US"/>
    </w:rPr>
  </w:style>
  <w:style w:type="character" w:styleId="Pagenumber">
    <w:name w:val="page number"/>
    <w:basedOn w:val="DefaultParagraphFont"/>
    <w:uiPriority w:val="99"/>
    <w:semiHidden/>
    <w:unhideWhenUsed/>
    <w:qFormat/>
    <w:rsid w:val="007f334b"/>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uiPriority w:val="99"/>
    <w:unhideWhenUsed/>
    <w:rsid w:val="00b74005"/>
    <w:pPr>
      <w:spacing w:before="0" w:after="120"/>
    </w:pPr>
    <w:rPr>
      <w:sz w:val="20"/>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b74005"/>
    <w:pPr>
      <w:spacing w:before="0" w:after="160"/>
      <w:ind w:left="720" w:hanging="0"/>
      <w:contextualSpacing/>
    </w:pPr>
    <w:rPr>
      <w:lang w:val="pt-BR"/>
    </w:rPr>
  </w:style>
  <w:style w:type="paragraph" w:styleId="NormalWeb">
    <w:name w:val="Normal (Web)"/>
    <w:basedOn w:val="Normal"/>
    <w:uiPriority w:val="99"/>
    <w:unhideWhenUsed/>
    <w:qFormat/>
    <w:rsid w:val="00b74005"/>
    <w:pPr>
      <w:spacing w:lineRule="auto" w:line="240" w:beforeAutospacing="1" w:afterAutospacing="1"/>
    </w:pPr>
    <w:rPr>
      <w:rFonts w:ascii="Times New Roman" w:hAnsi="Times New Roman"/>
      <w:sz w:val="24"/>
      <w:szCs w:val="24"/>
      <w:lang w:val="pt-BR" w:eastAsia="pt-BR"/>
    </w:rPr>
  </w:style>
  <w:style w:type="paragraph" w:styleId="Annotationtext">
    <w:name w:val="annotation text"/>
    <w:basedOn w:val="Normal"/>
    <w:link w:val="CommentTextChar"/>
    <w:uiPriority w:val="99"/>
    <w:unhideWhenUsed/>
    <w:qFormat/>
    <w:rsid w:val="00b74005"/>
    <w:pPr>
      <w:spacing w:lineRule="auto" w:line="240" w:before="0" w:after="0"/>
      <w:jc w:val="both"/>
    </w:pPr>
    <w:rPr>
      <w:sz w:val="20"/>
      <w:szCs w:val="20"/>
      <w:lang w:val="pt-BR"/>
    </w:rPr>
  </w:style>
  <w:style w:type="paragraph" w:styleId="Default" w:customStyle="1">
    <w:name w:val="Default"/>
    <w:qFormat/>
    <w:rsid w:val="00b74005"/>
    <w:pPr>
      <w:widowControl/>
      <w:bidi w:val="0"/>
      <w:spacing w:before="0" w:after="0"/>
      <w:jc w:val="left"/>
    </w:pPr>
    <w:rPr>
      <w:rFonts w:ascii="Times New Roman" w:hAnsi="Times New Roman" w:eastAsia="Times New Roman" w:cs="Times New Roman"/>
      <w:color w:val="000000"/>
      <w:kern w:val="0"/>
      <w:sz w:val="24"/>
      <w:szCs w:val="24"/>
      <w:lang w:val="pt-BR" w:eastAsia="pt-BR" w:bidi="ar-SA"/>
    </w:rPr>
  </w:style>
  <w:style w:type="paragraph" w:styleId="BalloonText">
    <w:name w:val="Balloon Text"/>
    <w:basedOn w:val="Normal"/>
    <w:link w:val="BalloonTextChar"/>
    <w:uiPriority w:val="99"/>
    <w:semiHidden/>
    <w:unhideWhenUsed/>
    <w:qFormat/>
    <w:rsid w:val="00b74005"/>
    <w:pPr>
      <w:spacing w:lineRule="auto" w:line="240" w:before="0" w:after="0"/>
    </w:pPr>
    <w:rPr>
      <w:rFonts w:ascii="Segoe UI" w:hAnsi="Segoe UI"/>
      <w:sz w:val="18"/>
      <w:szCs w:val="18"/>
    </w:rPr>
  </w:style>
  <w:style w:type="paragraph" w:styleId="Annotationsubject">
    <w:name w:val="annotation subject"/>
    <w:basedOn w:val="Annotationtext"/>
    <w:next w:val="Annotationtext"/>
    <w:link w:val="CommentSubjectChar"/>
    <w:uiPriority w:val="99"/>
    <w:semiHidden/>
    <w:unhideWhenUsed/>
    <w:qFormat/>
    <w:rsid w:val="00b74005"/>
    <w:pPr>
      <w:spacing w:lineRule="auto" w:line="259" w:before="0" w:after="160"/>
      <w:jc w:val="left"/>
    </w:pPr>
    <w:rPr>
      <w:b/>
      <w:bCs/>
    </w:rPr>
  </w:style>
  <w:style w:type="paragraph" w:styleId="Revision">
    <w:name w:val="Revision"/>
    <w:uiPriority w:val="99"/>
    <w:semiHidden/>
    <w:qFormat/>
    <w:rsid w:val="00b74005"/>
    <w:pPr>
      <w:widowControl/>
      <w:bidi w:val="0"/>
      <w:spacing w:before="0" w:after="0"/>
      <w:jc w:val="left"/>
    </w:pPr>
    <w:rPr>
      <w:rFonts w:ascii="Calibri" w:hAnsi="Calibri" w:eastAsia="Times New Roman" w:cs="Times New Roman"/>
      <w:color w:val="auto"/>
      <w:kern w:val="0"/>
      <w:sz w:val="22"/>
      <w:szCs w:val="22"/>
      <w:lang w:val="en-US" w:eastAsia="en-US" w:bidi="ar-SA"/>
    </w:rPr>
  </w:style>
  <w:style w:type="paragraph" w:styleId="HTMLPreformatted">
    <w:name w:val="HTML Preformatted"/>
    <w:basedOn w:val="Normal"/>
    <w:link w:val="HTMLPreformattedChar"/>
    <w:uiPriority w:val="99"/>
    <w:unhideWhenUsed/>
    <w:qFormat/>
    <w:rsid w:val="00b74005"/>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lang w:val="pt-BR" w:eastAsia="pt-BR"/>
    </w:rPr>
  </w:style>
  <w:style w:type="paragraph" w:styleId="Notaderodap">
    <w:name w:val="Footnote Text"/>
    <w:basedOn w:val="Normal"/>
    <w:link w:val="FootnoteTextChar"/>
    <w:uiPriority w:val="99"/>
    <w:rsid w:val="00681e36"/>
    <w:pPr/>
    <w:rPr>
      <w:sz w:val="20"/>
      <w:szCs w:val="20"/>
    </w:rPr>
  </w:style>
  <w:style w:type="paragraph" w:styleId="CabealhoeRodap">
    <w:name w:val="Cabeçalho e Rodapé"/>
    <w:basedOn w:val="Normal"/>
    <w:qFormat/>
    <w:pPr/>
    <w:rPr/>
  </w:style>
  <w:style w:type="paragraph" w:styleId="Cabealho">
    <w:name w:val="Header"/>
    <w:basedOn w:val="Normal"/>
    <w:link w:val="HeaderChar"/>
    <w:uiPriority w:val="99"/>
    <w:unhideWhenUsed/>
    <w:rsid w:val="003652d3"/>
    <w:pPr>
      <w:tabs>
        <w:tab w:val="clear" w:pos="720"/>
        <w:tab w:val="center" w:pos="4680" w:leader="none"/>
        <w:tab w:val="right" w:pos="9360" w:leader="none"/>
      </w:tabs>
      <w:spacing w:lineRule="auto" w:line="240" w:before="0" w:after="0"/>
    </w:pPr>
    <w:rPr/>
  </w:style>
  <w:style w:type="paragraph" w:styleId="Rodap">
    <w:name w:val="Footer"/>
    <w:basedOn w:val="Normal"/>
    <w:link w:val="FooterChar"/>
    <w:uiPriority w:val="99"/>
    <w:unhideWhenUsed/>
    <w:rsid w:val="003652d3"/>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PlainTable21">
    <w:name w:val="Plain Table 21"/>
    <w:basedOn w:val="TableNormal"/>
    <w:uiPriority w:val="42"/>
    <w:rsid w:val="00b74005"/>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Pr/>
    </w:tblStylePr>
    <w:tblStylePr w:type="lastCol">
      <w:rPr>
        <w:b/>
        <w:bCs/>
      </w:rPr>
      <w:tbl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customStyle="1" w:styleId="PlainTable11">
    <w:name w:val="Plain Table 11"/>
    <w:basedOn w:val="TableNormal"/>
    <w:uiPriority w:val="41"/>
    <w:rsid w:val="00b74005"/>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Pr/>
    </w:tblStylePr>
    <w:tblStylePr w:type="lastRow">
      <w:rPr>
        <w:b/>
        <w:bCs/>
      </w:rPr>
      <w:tblPr/>
      <w:tcPr>
        <w:tcBorders>
          <w:top w:val="double" w:color="BFBFBF" w:sz="4" w:space="0"/>
        </w:tcBorders>
      </w:tc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b740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x.doi.org/10.1590/S1414-9893200900040000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8A3B-BFCE-034E-A123-E34322AC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LibreOffice/6.4.1.2$Windows_X86_64 LibreOffice_project/4d224e95b98b138af42a64d84056446d09082932</Application>
  <Pages>13</Pages>
  <Words>6648</Words>
  <Characters>38504</Characters>
  <CharactersWithSpaces>44899</CharactersWithSpaces>
  <Paragraphs>327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2018-04-19T01:08:00Z</dcterms:created>
  <dc:creator/>
  <dc:description/>
  <dc:language>pt-BR</dc:language>
  <cp:lastModifiedBy/>
  <dcterms:modified xsi:type="dcterms:W3CDTF">2020-03-05T18:12:07Z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