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06FA" w:rsidRPr="00BF16F1" w:rsidRDefault="007131EF" w:rsidP="008A47C0">
      <w:pPr>
        <w:jc w:val="center"/>
        <w:rPr>
          <w:rStyle w:val="mixed-citation"/>
          <w:rFonts w:ascii="Times New Roman" w:hAnsi="Times New Roman" w:cs="Times New Roman"/>
          <w:sz w:val="24"/>
          <w:lang w:val="es-PE"/>
        </w:rPr>
      </w:pPr>
      <w:r w:rsidRPr="00BF16F1">
        <w:rPr>
          <w:rStyle w:val="mixed-citation"/>
          <w:rFonts w:ascii="Times New Roman" w:hAnsi="Times New Roman" w:cs="Times New Roman"/>
          <w:sz w:val="24"/>
          <w:lang w:val="es-PE"/>
        </w:rPr>
        <w:t xml:space="preserve">Expresión </w:t>
      </w:r>
      <w:proofErr w:type="spellStart"/>
      <w:r w:rsidRPr="00BF16F1">
        <w:rPr>
          <w:rStyle w:val="mixed-citation"/>
          <w:rFonts w:ascii="Times New Roman" w:hAnsi="Times New Roman" w:cs="Times New Roman"/>
          <w:sz w:val="24"/>
          <w:lang w:val="es-PE"/>
        </w:rPr>
        <w:t>auto</w:t>
      </w:r>
      <w:r w:rsidR="009A2515">
        <w:rPr>
          <w:rStyle w:val="mixed-citation"/>
          <w:rFonts w:ascii="Times New Roman" w:hAnsi="Times New Roman" w:cs="Times New Roman"/>
          <w:sz w:val="24"/>
          <w:lang w:val="es-PE"/>
        </w:rPr>
        <w:t>informada</w:t>
      </w:r>
      <w:proofErr w:type="spellEnd"/>
      <w:r w:rsidR="009A2515">
        <w:rPr>
          <w:rStyle w:val="mixed-citation"/>
          <w:rFonts w:ascii="Times New Roman" w:hAnsi="Times New Roman" w:cs="Times New Roman"/>
          <w:sz w:val="24"/>
          <w:lang w:val="es-PE"/>
        </w:rPr>
        <w:t xml:space="preserve"> </w:t>
      </w:r>
      <w:r w:rsidR="00B4521D">
        <w:rPr>
          <w:rStyle w:val="mixed-citation"/>
          <w:rFonts w:ascii="Times New Roman" w:hAnsi="Times New Roman" w:cs="Times New Roman"/>
          <w:sz w:val="24"/>
          <w:lang w:val="es-PE"/>
        </w:rPr>
        <w:t>del estrés mediante un</w:t>
      </w:r>
      <w:r w:rsidRPr="00BF16F1">
        <w:rPr>
          <w:rStyle w:val="mixed-citation"/>
          <w:rFonts w:ascii="Times New Roman" w:hAnsi="Times New Roman" w:cs="Times New Roman"/>
          <w:sz w:val="24"/>
          <w:lang w:val="es-PE"/>
        </w:rPr>
        <w:t xml:space="preserve"> ítem</w:t>
      </w:r>
      <w:r w:rsidR="00B4521D">
        <w:rPr>
          <w:rStyle w:val="mixed-citation"/>
          <w:rFonts w:ascii="Times New Roman" w:hAnsi="Times New Roman" w:cs="Times New Roman"/>
          <w:sz w:val="24"/>
          <w:lang w:val="es-PE"/>
        </w:rPr>
        <w:t xml:space="preserve"> único</w:t>
      </w:r>
      <w:r w:rsidRPr="00BF16F1">
        <w:rPr>
          <w:rStyle w:val="mixed-citation"/>
          <w:rFonts w:ascii="Times New Roman" w:hAnsi="Times New Roman" w:cs="Times New Roman"/>
          <w:sz w:val="24"/>
          <w:lang w:val="es-PE"/>
        </w:rPr>
        <w:t xml:space="preserve"> y burnout en maestros </w:t>
      </w:r>
    </w:p>
    <w:p w:rsidR="00BF06FA" w:rsidRPr="00BF16F1" w:rsidRDefault="007131EF" w:rsidP="008A47C0">
      <w:pPr>
        <w:jc w:val="center"/>
        <w:rPr>
          <w:rStyle w:val="mixed-citation"/>
          <w:rFonts w:ascii="Times New Roman" w:hAnsi="Times New Roman" w:cs="Times New Roman"/>
          <w:sz w:val="24"/>
          <w:lang w:val="es-PE"/>
        </w:rPr>
      </w:pPr>
      <w:r w:rsidRPr="00BF16F1">
        <w:rPr>
          <w:rStyle w:val="mixed-citation"/>
          <w:rFonts w:ascii="Times New Roman" w:hAnsi="Times New Roman" w:cs="Times New Roman"/>
          <w:sz w:val="24"/>
          <w:lang w:val="es-PE"/>
        </w:rPr>
        <w:t>Resumen</w:t>
      </w:r>
    </w:p>
    <w:p w:rsidR="007131EF" w:rsidRPr="00BF16F1" w:rsidRDefault="001109E3" w:rsidP="00E93597">
      <w:pPr>
        <w:spacing w:line="240" w:lineRule="auto"/>
        <w:ind w:firstLine="708"/>
        <w:rPr>
          <w:rStyle w:val="mixed-citation"/>
          <w:rFonts w:ascii="Times New Roman" w:hAnsi="Times New Roman" w:cs="Times New Roman"/>
          <w:sz w:val="24"/>
          <w:lang w:val="es-PE"/>
        </w:rPr>
      </w:pPr>
      <w:r>
        <w:rPr>
          <w:rStyle w:val="mixed-citation"/>
          <w:rFonts w:ascii="Times New Roman" w:hAnsi="Times New Roman" w:cs="Times New Roman"/>
          <w:sz w:val="24"/>
          <w:lang w:val="es-PE"/>
        </w:rPr>
        <w:t>El presente estudio</w:t>
      </w:r>
      <w:r w:rsidR="00DE77E9" w:rsidRPr="00BF16F1">
        <w:rPr>
          <w:rStyle w:val="mixed-citation"/>
          <w:rFonts w:ascii="Times New Roman" w:hAnsi="Times New Roman" w:cs="Times New Roman"/>
          <w:sz w:val="24"/>
          <w:lang w:val="es-PE"/>
        </w:rPr>
        <w:t xml:space="preserve"> evalúa la r</w:t>
      </w:r>
      <w:r>
        <w:rPr>
          <w:rStyle w:val="mixed-citation"/>
          <w:rFonts w:ascii="Times New Roman" w:hAnsi="Times New Roman" w:cs="Times New Roman"/>
          <w:sz w:val="24"/>
          <w:lang w:val="es-PE"/>
        </w:rPr>
        <w:t xml:space="preserve">elación entre la expresión </w:t>
      </w:r>
      <w:proofErr w:type="spellStart"/>
      <w:r>
        <w:rPr>
          <w:rStyle w:val="mixed-citation"/>
          <w:rFonts w:ascii="Times New Roman" w:hAnsi="Times New Roman" w:cs="Times New Roman"/>
          <w:sz w:val="24"/>
          <w:lang w:val="es-PE"/>
        </w:rPr>
        <w:t>auto</w:t>
      </w:r>
      <w:r w:rsidR="00B771D5">
        <w:rPr>
          <w:rStyle w:val="mixed-citation"/>
          <w:rFonts w:ascii="Times New Roman" w:hAnsi="Times New Roman" w:cs="Times New Roman"/>
          <w:sz w:val="24"/>
          <w:lang w:val="es-PE"/>
        </w:rPr>
        <w:t>informada</w:t>
      </w:r>
      <w:proofErr w:type="spellEnd"/>
      <w:r w:rsidR="00B771D5">
        <w:rPr>
          <w:rStyle w:val="mixed-citation"/>
          <w:rFonts w:ascii="Times New Roman" w:hAnsi="Times New Roman" w:cs="Times New Roman"/>
          <w:sz w:val="24"/>
          <w:lang w:val="es-PE"/>
        </w:rPr>
        <w:t xml:space="preserve"> </w:t>
      </w:r>
      <w:r w:rsidR="00B4521D">
        <w:rPr>
          <w:rStyle w:val="mixed-citation"/>
          <w:rFonts w:ascii="Times New Roman" w:hAnsi="Times New Roman" w:cs="Times New Roman"/>
          <w:sz w:val="24"/>
          <w:lang w:val="es-PE"/>
        </w:rPr>
        <w:t>del estrés mediante un</w:t>
      </w:r>
      <w:r w:rsidR="00DE77E9" w:rsidRPr="00BF16F1">
        <w:rPr>
          <w:rStyle w:val="mixed-citation"/>
          <w:rFonts w:ascii="Times New Roman" w:hAnsi="Times New Roman" w:cs="Times New Roman"/>
          <w:sz w:val="24"/>
          <w:lang w:val="es-PE"/>
        </w:rPr>
        <w:t xml:space="preserve"> ítem</w:t>
      </w:r>
      <w:r w:rsidR="00B4521D">
        <w:rPr>
          <w:rStyle w:val="mixed-citation"/>
          <w:rFonts w:ascii="Times New Roman" w:hAnsi="Times New Roman" w:cs="Times New Roman"/>
          <w:sz w:val="24"/>
          <w:lang w:val="es-PE"/>
        </w:rPr>
        <w:t xml:space="preserve"> único</w:t>
      </w:r>
      <w:r w:rsidR="00DE77E9" w:rsidRPr="00BF16F1">
        <w:rPr>
          <w:rStyle w:val="mixed-citation"/>
          <w:rFonts w:ascii="Times New Roman" w:hAnsi="Times New Roman" w:cs="Times New Roman"/>
          <w:sz w:val="24"/>
          <w:lang w:val="es-PE"/>
        </w:rPr>
        <w:t xml:space="preserve"> con los síntomas del burnout. Participaron 382 profesores de educación primaria y secundaria, de instituciones de gestión privada en Lima (Pe</w:t>
      </w:r>
      <w:r w:rsidR="00B4521D">
        <w:rPr>
          <w:rStyle w:val="mixed-citation"/>
          <w:rFonts w:ascii="Times New Roman" w:hAnsi="Times New Roman" w:cs="Times New Roman"/>
          <w:sz w:val="24"/>
          <w:lang w:val="es-PE"/>
        </w:rPr>
        <w:t>rú). Se usó el MBI-GS y un</w:t>
      </w:r>
      <w:r w:rsidR="00DE77E9" w:rsidRPr="00BF16F1">
        <w:rPr>
          <w:rStyle w:val="mixed-citation"/>
          <w:rFonts w:ascii="Times New Roman" w:hAnsi="Times New Roman" w:cs="Times New Roman"/>
          <w:sz w:val="24"/>
          <w:lang w:val="es-PE"/>
        </w:rPr>
        <w:t xml:space="preserve"> ítem </w:t>
      </w:r>
      <w:r w:rsidR="00B4521D">
        <w:rPr>
          <w:rStyle w:val="mixed-citation"/>
          <w:rFonts w:ascii="Times New Roman" w:hAnsi="Times New Roman" w:cs="Times New Roman"/>
          <w:sz w:val="24"/>
          <w:lang w:val="es-PE"/>
        </w:rPr>
        <w:t xml:space="preserve">único </w:t>
      </w:r>
      <w:r w:rsidR="00DE77E9" w:rsidRPr="00BF16F1">
        <w:rPr>
          <w:rStyle w:val="mixed-citation"/>
          <w:rFonts w:ascii="Times New Roman" w:hAnsi="Times New Roman" w:cs="Times New Roman"/>
          <w:sz w:val="24"/>
          <w:lang w:val="es-PE"/>
        </w:rPr>
        <w:t xml:space="preserve">dicotómico que preguntaba sobre experiencia de estrés. </w:t>
      </w:r>
      <w:r>
        <w:rPr>
          <w:rStyle w:val="mixed-citation"/>
          <w:rFonts w:ascii="Times New Roman" w:hAnsi="Times New Roman" w:cs="Times New Roman"/>
          <w:sz w:val="24"/>
          <w:lang w:val="es-PE"/>
        </w:rPr>
        <w:t>Mediante regresión logística</w:t>
      </w:r>
      <w:r w:rsidR="008A47C0" w:rsidRPr="00BF16F1">
        <w:rPr>
          <w:rStyle w:val="mixed-citation"/>
          <w:rFonts w:ascii="Times New Roman" w:hAnsi="Times New Roman" w:cs="Times New Roman"/>
          <w:sz w:val="24"/>
          <w:lang w:val="es-PE"/>
        </w:rPr>
        <w:t xml:space="preserve"> s</w:t>
      </w:r>
      <w:r w:rsidR="00DE77E9" w:rsidRPr="00BF16F1">
        <w:rPr>
          <w:rStyle w:val="mixed-citation"/>
          <w:rFonts w:ascii="Times New Roman" w:hAnsi="Times New Roman" w:cs="Times New Roman"/>
          <w:sz w:val="24"/>
          <w:lang w:val="es-PE"/>
        </w:rPr>
        <w:t xml:space="preserve">e halló que el sexo y el rol de tutor tienen un efecto pequeño sobre </w:t>
      </w:r>
      <w:r w:rsidR="008A47C0" w:rsidRPr="00BF16F1">
        <w:rPr>
          <w:rStyle w:val="mixed-citation"/>
          <w:rFonts w:ascii="Times New Roman" w:hAnsi="Times New Roman" w:cs="Times New Roman"/>
          <w:sz w:val="24"/>
          <w:lang w:val="es-PE"/>
        </w:rPr>
        <w:t>la expresión del estrés</w:t>
      </w:r>
      <w:r w:rsidR="00DE77E9" w:rsidRPr="00BF16F1">
        <w:rPr>
          <w:rStyle w:val="mixed-citation"/>
          <w:rFonts w:ascii="Times New Roman" w:hAnsi="Times New Roman" w:cs="Times New Roman"/>
          <w:sz w:val="24"/>
          <w:lang w:val="es-PE"/>
        </w:rPr>
        <w:t>, y que se reduce sustancialmente cuando se introduce</w:t>
      </w:r>
      <w:r>
        <w:rPr>
          <w:rStyle w:val="mixed-citation"/>
          <w:rFonts w:ascii="Times New Roman" w:hAnsi="Times New Roman" w:cs="Times New Roman"/>
          <w:sz w:val="24"/>
          <w:lang w:val="es-PE"/>
        </w:rPr>
        <w:t>n</w:t>
      </w:r>
      <w:r w:rsidR="00DE77E9" w:rsidRPr="00BF16F1">
        <w:rPr>
          <w:rStyle w:val="mixed-citation"/>
          <w:rFonts w:ascii="Times New Roman" w:hAnsi="Times New Roman" w:cs="Times New Roman"/>
          <w:sz w:val="24"/>
          <w:lang w:val="es-PE"/>
        </w:rPr>
        <w:t xml:space="preserve"> los síntomas del burnout</w:t>
      </w:r>
      <w:r w:rsidR="008A47C0" w:rsidRPr="00BF16F1">
        <w:rPr>
          <w:rStyle w:val="mixed-citation"/>
          <w:rFonts w:ascii="Times New Roman" w:hAnsi="Times New Roman" w:cs="Times New Roman"/>
          <w:sz w:val="24"/>
          <w:lang w:val="es-PE"/>
        </w:rPr>
        <w:t>. Estos síntomas s</w:t>
      </w:r>
      <w:r w:rsidR="00C66E04" w:rsidRPr="00BF16F1">
        <w:rPr>
          <w:rStyle w:val="mixed-citation"/>
          <w:rFonts w:ascii="Times New Roman" w:hAnsi="Times New Roman" w:cs="Times New Roman"/>
          <w:sz w:val="24"/>
          <w:lang w:val="es-PE"/>
        </w:rPr>
        <w:t>e relacionan significativamente;</w:t>
      </w:r>
      <w:r w:rsidR="008A47C0" w:rsidRPr="00BF16F1">
        <w:rPr>
          <w:rStyle w:val="mixed-citation"/>
          <w:rFonts w:ascii="Times New Roman" w:hAnsi="Times New Roman" w:cs="Times New Roman"/>
          <w:sz w:val="24"/>
          <w:lang w:val="es-PE"/>
        </w:rPr>
        <w:t xml:space="preserve"> </w:t>
      </w:r>
      <w:r w:rsidR="00DE77E9" w:rsidRPr="00BF16F1">
        <w:rPr>
          <w:rStyle w:val="mixed-citation"/>
          <w:rFonts w:ascii="Times New Roman" w:hAnsi="Times New Roman" w:cs="Times New Roman"/>
          <w:sz w:val="24"/>
          <w:lang w:val="es-PE"/>
        </w:rPr>
        <w:t>sin embargo, el agotamiento emocional y el cinismo muestran mayor influencia mientras que eficacia profesional no produce un efecto más allá del error de muestreo.</w:t>
      </w:r>
      <w:r w:rsidR="008A47C0" w:rsidRPr="00BF16F1">
        <w:rPr>
          <w:rStyle w:val="mixed-citation"/>
          <w:rFonts w:ascii="Times New Roman" w:hAnsi="Times New Roman" w:cs="Times New Roman"/>
          <w:sz w:val="24"/>
          <w:lang w:val="es-PE"/>
        </w:rPr>
        <w:t xml:space="preserve"> Se discute la potencia</w:t>
      </w:r>
      <w:r w:rsidR="00B4521D">
        <w:rPr>
          <w:rStyle w:val="mixed-citation"/>
          <w:rFonts w:ascii="Times New Roman" w:hAnsi="Times New Roman" w:cs="Times New Roman"/>
          <w:sz w:val="24"/>
          <w:lang w:val="es-PE"/>
        </w:rPr>
        <w:t>l eficiencia de aplicar un</w:t>
      </w:r>
      <w:r w:rsidR="008A47C0" w:rsidRPr="00BF16F1">
        <w:rPr>
          <w:rStyle w:val="mixed-citation"/>
          <w:rFonts w:ascii="Times New Roman" w:hAnsi="Times New Roman" w:cs="Times New Roman"/>
          <w:sz w:val="24"/>
          <w:lang w:val="es-PE"/>
        </w:rPr>
        <w:t xml:space="preserve"> ítem </w:t>
      </w:r>
      <w:r w:rsidR="00B4521D">
        <w:rPr>
          <w:rStyle w:val="mixed-citation"/>
          <w:rFonts w:ascii="Times New Roman" w:hAnsi="Times New Roman" w:cs="Times New Roman"/>
          <w:sz w:val="24"/>
          <w:lang w:val="es-PE"/>
        </w:rPr>
        <w:t xml:space="preserve">único </w:t>
      </w:r>
      <w:r w:rsidR="008A47C0" w:rsidRPr="00BF16F1">
        <w:rPr>
          <w:rStyle w:val="mixed-citation"/>
          <w:rFonts w:ascii="Times New Roman" w:hAnsi="Times New Roman" w:cs="Times New Roman"/>
          <w:sz w:val="24"/>
          <w:lang w:val="es-PE"/>
        </w:rPr>
        <w:t>para detectar el burnout en evaluaciones de despistaje, así como el efecto diferencial de los síntomas de burnout.</w:t>
      </w:r>
    </w:p>
    <w:p w:rsidR="00C01A16" w:rsidRPr="00BF16F1" w:rsidRDefault="00C01A16" w:rsidP="00C01A16">
      <w:pPr>
        <w:spacing w:line="480" w:lineRule="auto"/>
        <w:rPr>
          <w:rStyle w:val="mixed-citation"/>
          <w:rFonts w:ascii="Times New Roman" w:hAnsi="Times New Roman" w:cs="Times New Roman"/>
          <w:sz w:val="24"/>
          <w:lang w:val="es-PE"/>
        </w:rPr>
      </w:pPr>
      <w:r w:rsidRPr="00BF16F1">
        <w:rPr>
          <w:rStyle w:val="mixed-citation"/>
          <w:rFonts w:ascii="Times New Roman" w:hAnsi="Times New Roman" w:cs="Times New Roman"/>
          <w:sz w:val="24"/>
          <w:lang w:val="es-PE"/>
        </w:rPr>
        <w:t>Palabras clave: burnout, estrés, profesores,</w:t>
      </w:r>
      <w:r w:rsidR="00C1708C" w:rsidRPr="00BF16F1">
        <w:rPr>
          <w:rStyle w:val="mixed-citation"/>
          <w:rFonts w:ascii="Times New Roman" w:hAnsi="Times New Roman" w:cs="Times New Roman"/>
          <w:sz w:val="24"/>
          <w:lang w:val="es-PE"/>
        </w:rPr>
        <w:t xml:space="preserve"> agotamiento</w:t>
      </w:r>
      <w:r w:rsidR="001E0AF5">
        <w:rPr>
          <w:rStyle w:val="mixed-citation"/>
          <w:rFonts w:ascii="Times New Roman" w:hAnsi="Times New Roman" w:cs="Times New Roman"/>
          <w:sz w:val="24"/>
          <w:lang w:val="es-PE"/>
        </w:rPr>
        <w:t>, ítem único.</w:t>
      </w:r>
    </w:p>
    <w:p w:rsidR="007131EF" w:rsidRDefault="007131EF" w:rsidP="00C01A16">
      <w:pPr>
        <w:jc w:val="center"/>
        <w:rPr>
          <w:rStyle w:val="mixed-citation"/>
          <w:rFonts w:ascii="Times New Roman" w:hAnsi="Times New Roman" w:cs="Times New Roman"/>
          <w:sz w:val="24"/>
          <w:lang w:val="en-US"/>
        </w:rPr>
      </w:pPr>
      <w:r w:rsidRPr="007131EF">
        <w:rPr>
          <w:rStyle w:val="mixed-citation"/>
          <w:rFonts w:ascii="Times New Roman" w:hAnsi="Times New Roman" w:cs="Times New Roman"/>
          <w:sz w:val="24"/>
          <w:lang w:val="en-US"/>
        </w:rPr>
        <w:t>Self-reported expres</w:t>
      </w:r>
      <w:r w:rsidR="00C01A16">
        <w:rPr>
          <w:rStyle w:val="mixed-citation"/>
          <w:rFonts w:ascii="Times New Roman" w:hAnsi="Times New Roman" w:cs="Times New Roman"/>
          <w:sz w:val="24"/>
          <w:lang w:val="en-US"/>
        </w:rPr>
        <w:t>sio</w:t>
      </w:r>
      <w:r w:rsidRPr="007131EF">
        <w:rPr>
          <w:rStyle w:val="mixed-citation"/>
          <w:rFonts w:ascii="Times New Roman" w:hAnsi="Times New Roman" w:cs="Times New Roman"/>
          <w:sz w:val="24"/>
          <w:lang w:val="en-US"/>
        </w:rPr>
        <w:t>n of stress by single item and burnout in</w:t>
      </w:r>
      <w:r>
        <w:rPr>
          <w:rStyle w:val="mixed-citation"/>
          <w:rFonts w:ascii="Times New Roman" w:hAnsi="Times New Roman" w:cs="Times New Roman"/>
          <w:sz w:val="24"/>
          <w:lang w:val="en-US"/>
        </w:rPr>
        <w:t xml:space="preserve"> </w:t>
      </w:r>
      <w:r w:rsidR="005E5FF9">
        <w:rPr>
          <w:rStyle w:val="mixed-citation"/>
          <w:rFonts w:ascii="Times New Roman" w:hAnsi="Times New Roman" w:cs="Times New Roman"/>
          <w:sz w:val="24"/>
          <w:lang w:val="en-US"/>
        </w:rPr>
        <w:t xml:space="preserve">Peruvian </w:t>
      </w:r>
      <w:r>
        <w:rPr>
          <w:rStyle w:val="mixed-citation"/>
          <w:rFonts w:ascii="Times New Roman" w:hAnsi="Times New Roman" w:cs="Times New Roman"/>
          <w:sz w:val="24"/>
          <w:lang w:val="en-US"/>
        </w:rPr>
        <w:t>teachers</w:t>
      </w:r>
    </w:p>
    <w:p w:rsidR="00BF06FA" w:rsidRPr="00437F8D" w:rsidRDefault="00BF06FA" w:rsidP="00C01A16">
      <w:pPr>
        <w:jc w:val="center"/>
        <w:rPr>
          <w:rStyle w:val="mixed-citation"/>
          <w:rFonts w:ascii="Times New Roman" w:hAnsi="Times New Roman" w:cs="Times New Roman"/>
          <w:sz w:val="24"/>
          <w:lang w:val="en-US"/>
        </w:rPr>
      </w:pPr>
      <w:r w:rsidRPr="00437F8D">
        <w:rPr>
          <w:rStyle w:val="mixed-citation"/>
          <w:rFonts w:ascii="Times New Roman" w:hAnsi="Times New Roman" w:cs="Times New Roman"/>
          <w:sz w:val="24"/>
          <w:lang w:val="en-US"/>
        </w:rPr>
        <w:t>Abstract</w:t>
      </w:r>
    </w:p>
    <w:p w:rsidR="00BF06FA" w:rsidRPr="00437F8D" w:rsidRDefault="001E0AF5" w:rsidP="00E93597">
      <w:pPr>
        <w:spacing w:line="240" w:lineRule="auto"/>
        <w:ind w:firstLine="708"/>
        <w:rPr>
          <w:rStyle w:val="mixed-citation"/>
          <w:rFonts w:ascii="Times New Roman" w:hAnsi="Times New Roman" w:cs="Times New Roman"/>
          <w:sz w:val="24"/>
          <w:lang w:val="en-US"/>
        </w:rPr>
      </w:pPr>
      <w:r w:rsidRPr="001E0AF5">
        <w:rPr>
          <w:rStyle w:val="mixed-citation"/>
          <w:rFonts w:ascii="Times New Roman" w:hAnsi="Times New Roman" w:cs="Times New Roman"/>
          <w:sz w:val="24"/>
          <w:lang w:val="en-US"/>
        </w:rPr>
        <w:t xml:space="preserve">This study evaluates the relationship between self-reported stress by expression of a single item and the burnout symptoms. </w:t>
      </w:r>
      <w:r>
        <w:rPr>
          <w:rStyle w:val="mixed-citation"/>
          <w:rFonts w:ascii="Times New Roman" w:hAnsi="Times New Roman" w:cs="Times New Roman"/>
          <w:sz w:val="24"/>
          <w:lang w:val="en-US"/>
        </w:rPr>
        <w:t xml:space="preserve">The participants </w:t>
      </w:r>
      <w:proofErr w:type="gramStart"/>
      <w:r>
        <w:rPr>
          <w:rStyle w:val="mixed-citation"/>
          <w:rFonts w:ascii="Times New Roman" w:hAnsi="Times New Roman" w:cs="Times New Roman"/>
          <w:sz w:val="24"/>
          <w:lang w:val="en-US"/>
        </w:rPr>
        <w:t>was</w:t>
      </w:r>
      <w:proofErr w:type="gramEnd"/>
      <w:r>
        <w:rPr>
          <w:rStyle w:val="mixed-citation"/>
          <w:rFonts w:ascii="Times New Roman" w:hAnsi="Times New Roman" w:cs="Times New Roman"/>
          <w:sz w:val="24"/>
          <w:lang w:val="en-US"/>
        </w:rPr>
        <w:t xml:space="preserve"> </w:t>
      </w:r>
      <w:r w:rsidRPr="001E0AF5">
        <w:rPr>
          <w:rStyle w:val="mixed-citation"/>
          <w:rFonts w:ascii="Times New Roman" w:hAnsi="Times New Roman" w:cs="Times New Roman"/>
          <w:sz w:val="24"/>
          <w:lang w:val="en-US"/>
        </w:rPr>
        <w:t xml:space="preserve">382 teachers in </w:t>
      </w:r>
      <w:r>
        <w:rPr>
          <w:rStyle w:val="mixed-citation"/>
          <w:rFonts w:ascii="Times New Roman" w:hAnsi="Times New Roman" w:cs="Times New Roman"/>
          <w:sz w:val="24"/>
          <w:lang w:val="en-US"/>
        </w:rPr>
        <w:t>regular elementary</w:t>
      </w:r>
      <w:r w:rsidRPr="001E0AF5">
        <w:rPr>
          <w:rStyle w:val="mixed-citation"/>
          <w:rFonts w:ascii="Times New Roman" w:hAnsi="Times New Roman" w:cs="Times New Roman"/>
          <w:sz w:val="24"/>
          <w:lang w:val="en-US"/>
        </w:rPr>
        <w:t xml:space="preserve"> and </w:t>
      </w:r>
      <w:r>
        <w:rPr>
          <w:rStyle w:val="mixed-citation"/>
          <w:rFonts w:ascii="Times New Roman" w:hAnsi="Times New Roman" w:cs="Times New Roman"/>
          <w:sz w:val="24"/>
          <w:lang w:val="en-US"/>
        </w:rPr>
        <w:t>high school</w:t>
      </w:r>
      <w:r w:rsidRPr="001E0AF5">
        <w:rPr>
          <w:rStyle w:val="mixed-citation"/>
          <w:rFonts w:ascii="Times New Roman" w:hAnsi="Times New Roman" w:cs="Times New Roman"/>
          <w:sz w:val="24"/>
          <w:lang w:val="en-US"/>
        </w:rPr>
        <w:t xml:space="preserve"> education, </w:t>
      </w:r>
      <w:r>
        <w:rPr>
          <w:rStyle w:val="mixed-citation"/>
          <w:rFonts w:ascii="Times New Roman" w:hAnsi="Times New Roman" w:cs="Times New Roman"/>
          <w:sz w:val="24"/>
          <w:lang w:val="en-US"/>
        </w:rPr>
        <w:t>from several non-public</w:t>
      </w:r>
      <w:r w:rsidRPr="001E0AF5">
        <w:rPr>
          <w:rStyle w:val="mixed-citation"/>
          <w:rFonts w:ascii="Times New Roman" w:hAnsi="Times New Roman" w:cs="Times New Roman"/>
          <w:sz w:val="24"/>
          <w:lang w:val="en-US"/>
        </w:rPr>
        <w:t xml:space="preserve"> institutions in Lima (Peru). </w:t>
      </w:r>
      <w:r w:rsidRPr="00437F8D">
        <w:rPr>
          <w:rStyle w:val="mixed-citation"/>
          <w:rFonts w:ascii="Times New Roman" w:hAnsi="Times New Roman" w:cs="Times New Roman"/>
          <w:sz w:val="24"/>
          <w:lang w:val="en-US"/>
        </w:rPr>
        <w:t xml:space="preserve">The MBI-GS and a single dichotomous item asking about experience of stress was used. Logistic regression was found that sex and the role of tutor have a small effect on the expression of stress, which is substantially reduced when the symptoms of burnout are introduced. </w:t>
      </w:r>
      <w:r w:rsidRPr="001E0AF5">
        <w:rPr>
          <w:rStyle w:val="mixed-citation"/>
          <w:rFonts w:ascii="Times New Roman" w:hAnsi="Times New Roman" w:cs="Times New Roman"/>
          <w:sz w:val="24"/>
          <w:lang w:val="en-US"/>
        </w:rPr>
        <w:t>These symptoms are significantly related; however, emotional exhaustion and cynicism displayed greater influence while prof</w:t>
      </w:r>
      <w:bookmarkStart w:id="0" w:name="_GoBack"/>
      <w:bookmarkEnd w:id="0"/>
      <w:r w:rsidRPr="001E0AF5">
        <w:rPr>
          <w:rStyle w:val="mixed-citation"/>
          <w:rFonts w:ascii="Times New Roman" w:hAnsi="Times New Roman" w:cs="Times New Roman"/>
          <w:sz w:val="24"/>
          <w:lang w:val="en-US"/>
        </w:rPr>
        <w:t xml:space="preserve">essional </w:t>
      </w:r>
      <w:r>
        <w:rPr>
          <w:rStyle w:val="mixed-citation"/>
          <w:rFonts w:ascii="Times New Roman" w:hAnsi="Times New Roman" w:cs="Times New Roman"/>
          <w:sz w:val="24"/>
          <w:lang w:val="en-US"/>
        </w:rPr>
        <w:t>efficacy</w:t>
      </w:r>
      <w:r w:rsidRPr="001E0AF5">
        <w:rPr>
          <w:rStyle w:val="mixed-citation"/>
          <w:rFonts w:ascii="Times New Roman" w:hAnsi="Times New Roman" w:cs="Times New Roman"/>
          <w:sz w:val="24"/>
          <w:lang w:val="en-US"/>
        </w:rPr>
        <w:t xml:space="preserve"> not an effect beyond sampling error. </w:t>
      </w:r>
      <w:r w:rsidRPr="00437F8D">
        <w:rPr>
          <w:rStyle w:val="mixed-citation"/>
          <w:rFonts w:ascii="Times New Roman" w:hAnsi="Times New Roman" w:cs="Times New Roman"/>
          <w:sz w:val="24"/>
          <w:lang w:val="en-US"/>
        </w:rPr>
        <w:t>The potential efficiency of using a single item to detect burnout screening assessments as well as the differential impact of the symptoms of burnout are discussed.</w:t>
      </w:r>
    </w:p>
    <w:p w:rsidR="001E0AF5" w:rsidRPr="001E0AF5" w:rsidRDefault="001E0AF5" w:rsidP="001E0AF5">
      <w:pPr>
        <w:spacing w:line="480" w:lineRule="auto"/>
        <w:jc w:val="both"/>
        <w:rPr>
          <w:rStyle w:val="mixed-citation"/>
          <w:rFonts w:ascii="Times New Roman" w:hAnsi="Times New Roman" w:cs="Times New Roman"/>
          <w:sz w:val="24"/>
          <w:lang w:val="en-US"/>
        </w:rPr>
      </w:pPr>
      <w:r w:rsidRPr="001E0AF5">
        <w:rPr>
          <w:rStyle w:val="mixed-citation"/>
          <w:rFonts w:ascii="Times New Roman" w:hAnsi="Times New Roman" w:cs="Times New Roman"/>
          <w:sz w:val="24"/>
          <w:lang w:val="en-US"/>
        </w:rPr>
        <w:t>Key words: burnout, stress, teachers, exhaustion, single item.</w:t>
      </w:r>
    </w:p>
    <w:p w:rsidR="00E93597" w:rsidRPr="00B36ACD" w:rsidRDefault="00E93597">
      <w:pPr>
        <w:rPr>
          <w:lang w:val="en-US"/>
        </w:rPr>
      </w:pPr>
      <w:r w:rsidRPr="00B36ACD">
        <w:rPr>
          <w:lang w:val="en-US"/>
        </w:rPr>
        <w:br w:type="page"/>
      </w:r>
    </w:p>
    <w:p w:rsidR="00664DFB" w:rsidRPr="0003433D" w:rsidRDefault="001109E3" w:rsidP="001E0AF5">
      <w:pPr>
        <w:spacing w:after="0" w:line="480" w:lineRule="auto"/>
        <w:ind w:firstLine="708"/>
        <w:rPr>
          <w:rStyle w:val="mixed-citation"/>
          <w:rFonts w:ascii="Times New Roman" w:hAnsi="Times New Roman" w:cs="Times New Roman"/>
          <w:sz w:val="24"/>
          <w:lang w:val="es-PE"/>
        </w:rPr>
      </w:pPr>
      <w:r>
        <w:rPr>
          <w:rStyle w:val="mixed-citation"/>
          <w:rFonts w:ascii="Times New Roman" w:hAnsi="Times New Roman" w:cs="Times New Roman"/>
          <w:sz w:val="24"/>
          <w:lang w:val="es-PE"/>
        </w:rPr>
        <w:lastRenderedPageBreak/>
        <w:t>G</w:t>
      </w:r>
      <w:r w:rsidR="00B851CB" w:rsidRPr="00FA4A40">
        <w:rPr>
          <w:rStyle w:val="mixed-citation"/>
          <w:rFonts w:ascii="Times New Roman" w:hAnsi="Times New Roman" w:cs="Times New Roman"/>
          <w:sz w:val="24"/>
          <w:lang w:val="es-PE"/>
        </w:rPr>
        <w:t>remios</w:t>
      </w:r>
      <w:r w:rsidR="00105A17" w:rsidRPr="00FA4A40">
        <w:rPr>
          <w:rStyle w:val="mixed-citation"/>
          <w:rFonts w:ascii="Times New Roman" w:hAnsi="Times New Roman" w:cs="Times New Roman"/>
          <w:sz w:val="24"/>
          <w:lang w:val="es-PE"/>
        </w:rPr>
        <w:t xml:space="preserve"> </w:t>
      </w:r>
      <w:r w:rsidR="00B73AEC" w:rsidRPr="00FA4A40">
        <w:rPr>
          <w:rStyle w:val="mixed-citation"/>
          <w:rFonts w:ascii="Times New Roman" w:hAnsi="Times New Roman" w:cs="Times New Roman"/>
          <w:sz w:val="24"/>
          <w:lang w:val="es-PE"/>
        </w:rPr>
        <w:t>de t</w:t>
      </w:r>
      <w:r w:rsidR="007060EF" w:rsidRPr="00FA4A40">
        <w:rPr>
          <w:rStyle w:val="mixed-citation"/>
          <w:rFonts w:ascii="Times New Roman" w:hAnsi="Times New Roman" w:cs="Times New Roman"/>
          <w:sz w:val="24"/>
          <w:lang w:val="es-PE"/>
        </w:rPr>
        <w:t>rabajadores relativamente numerosos</w:t>
      </w:r>
      <w:r w:rsidR="00B353F5" w:rsidRPr="00FA4A40">
        <w:rPr>
          <w:rStyle w:val="mixed-citation"/>
          <w:rFonts w:ascii="Times New Roman" w:hAnsi="Times New Roman" w:cs="Times New Roman"/>
          <w:sz w:val="24"/>
          <w:lang w:val="es-PE"/>
        </w:rPr>
        <w:t>,</w:t>
      </w:r>
      <w:r w:rsidR="00B73AEC" w:rsidRPr="00FA4A40">
        <w:rPr>
          <w:rStyle w:val="mixed-citation"/>
          <w:rFonts w:ascii="Times New Roman" w:hAnsi="Times New Roman" w:cs="Times New Roman"/>
          <w:sz w:val="24"/>
          <w:lang w:val="es-PE"/>
        </w:rPr>
        <w:t xml:space="preserve"> </w:t>
      </w:r>
      <w:r w:rsidR="00105A17" w:rsidRPr="00FA4A40">
        <w:rPr>
          <w:rStyle w:val="mixed-citation"/>
          <w:rFonts w:ascii="Times New Roman" w:hAnsi="Times New Roman" w:cs="Times New Roman"/>
          <w:sz w:val="24"/>
          <w:lang w:val="es-PE"/>
        </w:rPr>
        <w:t xml:space="preserve">como los </w:t>
      </w:r>
      <w:r w:rsidR="00664DFB" w:rsidRPr="00FA4A40">
        <w:rPr>
          <w:rStyle w:val="mixed-citation"/>
          <w:rFonts w:ascii="Times New Roman" w:hAnsi="Times New Roman" w:cs="Times New Roman"/>
          <w:sz w:val="24"/>
          <w:lang w:val="es-PE"/>
        </w:rPr>
        <w:t xml:space="preserve">maestros </w:t>
      </w:r>
      <w:r w:rsidR="00B353F5" w:rsidRPr="00FA4A40">
        <w:rPr>
          <w:rStyle w:val="mixed-citation"/>
          <w:rFonts w:ascii="Times New Roman" w:hAnsi="Times New Roman" w:cs="Times New Roman"/>
          <w:sz w:val="24"/>
          <w:lang w:val="es-PE"/>
        </w:rPr>
        <w:t>de educación básica elemental</w:t>
      </w:r>
      <w:r w:rsidR="00FA4A40">
        <w:rPr>
          <w:rStyle w:val="mixed-citation"/>
          <w:rFonts w:ascii="Times New Roman" w:hAnsi="Times New Roman" w:cs="Times New Roman"/>
          <w:sz w:val="24"/>
          <w:lang w:val="es-PE"/>
        </w:rPr>
        <w:t xml:space="preserve"> y secundaria</w:t>
      </w:r>
      <w:r w:rsidR="00DB625F" w:rsidRPr="00FA4A40">
        <w:rPr>
          <w:rStyle w:val="mixed-citation"/>
          <w:rFonts w:ascii="Times New Roman" w:hAnsi="Times New Roman" w:cs="Times New Roman"/>
          <w:sz w:val="24"/>
          <w:lang w:val="es-PE"/>
        </w:rPr>
        <w:t xml:space="preserve">, </w:t>
      </w:r>
      <w:r w:rsidR="00FA4A40">
        <w:rPr>
          <w:rStyle w:val="mixed-citation"/>
          <w:rFonts w:ascii="Times New Roman" w:hAnsi="Times New Roman" w:cs="Times New Roman"/>
          <w:sz w:val="24"/>
          <w:lang w:val="es-PE"/>
        </w:rPr>
        <w:t xml:space="preserve">son </w:t>
      </w:r>
      <w:r w:rsidR="00664DFB" w:rsidRPr="00FA4A40">
        <w:rPr>
          <w:rStyle w:val="mixed-citation"/>
          <w:rFonts w:ascii="Times New Roman" w:hAnsi="Times New Roman" w:cs="Times New Roman"/>
          <w:sz w:val="24"/>
          <w:lang w:val="es-PE"/>
        </w:rPr>
        <w:t xml:space="preserve">considerados grupos de riesgo de salud </w:t>
      </w:r>
      <w:r w:rsidR="00A90BF4">
        <w:rPr>
          <w:rStyle w:val="mixed-citation"/>
          <w:rFonts w:ascii="Times New Roman" w:hAnsi="Times New Roman" w:cs="Times New Roman"/>
          <w:sz w:val="24"/>
          <w:lang w:val="es-PE"/>
        </w:rPr>
        <w:t xml:space="preserve">debido a los </w:t>
      </w:r>
      <w:r w:rsidR="00A90BF4" w:rsidRPr="0003433D">
        <w:rPr>
          <w:rStyle w:val="mixed-citation"/>
          <w:rFonts w:ascii="Times New Roman" w:hAnsi="Times New Roman" w:cs="Times New Roman"/>
          <w:sz w:val="24"/>
          <w:lang w:val="es-PE"/>
        </w:rPr>
        <w:t xml:space="preserve">síntomas de burnout </w:t>
      </w:r>
      <w:r w:rsidR="00664DFB" w:rsidRPr="0003433D">
        <w:rPr>
          <w:rStyle w:val="mixed-citation"/>
          <w:rFonts w:ascii="Times New Roman" w:hAnsi="Times New Roman" w:cs="Times New Roman"/>
          <w:sz w:val="24"/>
          <w:lang w:val="es-PE"/>
        </w:rPr>
        <w:t>(Fernández, 2008</w:t>
      </w:r>
      <w:r w:rsidR="000E4695" w:rsidRPr="0003433D">
        <w:rPr>
          <w:rStyle w:val="mixed-citation"/>
          <w:rFonts w:ascii="Times New Roman" w:hAnsi="Times New Roman" w:cs="Times New Roman"/>
          <w:sz w:val="24"/>
          <w:lang w:val="es-PE"/>
        </w:rPr>
        <w:t>, 2002</w:t>
      </w:r>
      <w:r w:rsidR="00A90BF4" w:rsidRPr="0003433D">
        <w:rPr>
          <w:rStyle w:val="mixed-citation"/>
          <w:rFonts w:ascii="Times New Roman" w:hAnsi="Times New Roman" w:cs="Times New Roman"/>
          <w:sz w:val="24"/>
          <w:lang w:val="es-PE"/>
        </w:rPr>
        <w:t xml:space="preserve">; </w:t>
      </w:r>
      <w:r w:rsidR="00A90BF4" w:rsidRPr="0003433D">
        <w:rPr>
          <w:rFonts w:ascii="Times New Roman" w:hAnsi="Times New Roman" w:cs="Times New Roman"/>
          <w:sz w:val="24"/>
          <w:szCs w:val="24"/>
        </w:rPr>
        <w:t>León-Rubio, León-Pérez &amp; Cantero, 2013</w:t>
      </w:r>
      <w:r w:rsidR="00664DFB" w:rsidRPr="0003433D">
        <w:rPr>
          <w:rStyle w:val="mixed-citation"/>
          <w:rFonts w:ascii="Times New Roman" w:hAnsi="Times New Roman" w:cs="Times New Roman"/>
          <w:sz w:val="24"/>
          <w:lang w:val="es-PE"/>
        </w:rPr>
        <w:t>)</w:t>
      </w:r>
      <w:r w:rsidR="00AA74C9" w:rsidRPr="0003433D">
        <w:rPr>
          <w:rStyle w:val="mixed-citation"/>
          <w:rFonts w:ascii="Times New Roman" w:hAnsi="Times New Roman" w:cs="Times New Roman"/>
          <w:sz w:val="24"/>
          <w:lang w:val="es-PE"/>
        </w:rPr>
        <w:t xml:space="preserve"> e influenciados por la percepción diferenciada de estresores respecto al género (</w:t>
      </w:r>
      <w:r w:rsidR="00AA74C9" w:rsidRPr="0003433D">
        <w:rPr>
          <w:rFonts w:ascii="Times New Roman" w:hAnsi="Times New Roman" w:cs="Times New Roman"/>
          <w:sz w:val="24"/>
          <w:szCs w:val="24"/>
        </w:rPr>
        <w:t>León-Rubio</w:t>
      </w:r>
      <w:r w:rsidR="00A90BF4" w:rsidRPr="0003433D">
        <w:rPr>
          <w:rFonts w:ascii="Times New Roman" w:hAnsi="Times New Roman" w:cs="Times New Roman"/>
          <w:sz w:val="24"/>
          <w:szCs w:val="24"/>
        </w:rPr>
        <w:t xml:space="preserve"> et al., </w:t>
      </w:r>
      <w:r w:rsidR="00AA74C9" w:rsidRPr="0003433D">
        <w:rPr>
          <w:rFonts w:ascii="Times New Roman" w:hAnsi="Times New Roman" w:cs="Times New Roman"/>
          <w:sz w:val="24"/>
          <w:szCs w:val="24"/>
        </w:rPr>
        <w:t>2013</w:t>
      </w:r>
      <w:r w:rsidR="00AA74C9" w:rsidRPr="0003433D">
        <w:rPr>
          <w:rStyle w:val="mixed-citation"/>
          <w:rFonts w:ascii="Times New Roman" w:hAnsi="Times New Roman" w:cs="Times New Roman"/>
          <w:sz w:val="24"/>
          <w:lang w:val="es-PE"/>
        </w:rPr>
        <w:t>)</w:t>
      </w:r>
      <w:r w:rsidR="00A90BF4" w:rsidRPr="0003433D">
        <w:rPr>
          <w:rStyle w:val="mixed-citation"/>
          <w:rFonts w:ascii="Times New Roman" w:hAnsi="Times New Roman" w:cs="Times New Roman"/>
          <w:sz w:val="24"/>
          <w:lang w:val="es-PE"/>
        </w:rPr>
        <w:t xml:space="preserve">. Esta situación demanda </w:t>
      </w:r>
      <w:r w:rsidR="00664DFB" w:rsidRPr="00FA4A40">
        <w:rPr>
          <w:rStyle w:val="mixed-citation"/>
          <w:rFonts w:ascii="Times New Roman" w:hAnsi="Times New Roman" w:cs="Times New Roman"/>
          <w:sz w:val="24"/>
          <w:lang w:val="es-PE"/>
        </w:rPr>
        <w:t>herra</w:t>
      </w:r>
      <w:r w:rsidR="00B73AEC" w:rsidRPr="00FA4A40">
        <w:rPr>
          <w:rStyle w:val="mixed-citation"/>
          <w:rFonts w:ascii="Times New Roman" w:hAnsi="Times New Roman" w:cs="Times New Roman"/>
          <w:sz w:val="24"/>
          <w:lang w:val="es-PE"/>
        </w:rPr>
        <w:t xml:space="preserve">mientas que </w:t>
      </w:r>
      <w:r w:rsidR="00664DFB" w:rsidRPr="00FA4A40">
        <w:rPr>
          <w:rStyle w:val="mixed-citation"/>
          <w:rFonts w:ascii="Times New Roman" w:hAnsi="Times New Roman" w:cs="Times New Roman"/>
          <w:sz w:val="24"/>
          <w:lang w:val="es-PE"/>
        </w:rPr>
        <w:t>identifi</w:t>
      </w:r>
      <w:r w:rsidR="00FA4A40">
        <w:rPr>
          <w:rStyle w:val="mixed-citation"/>
          <w:rFonts w:ascii="Times New Roman" w:hAnsi="Times New Roman" w:cs="Times New Roman"/>
          <w:sz w:val="24"/>
          <w:lang w:val="es-PE"/>
        </w:rPr>
        <w:t>quen</w:t>
      </w:r>
      <w:r w:rsidR="00B73AEC" w:rsidRPr="00FA4A40">
        <w:rPr>
          <w:rStyle w:val="mixed-citation"/>
          <w:rFonts w:ascii="Times New Roman" w:hAnsi="Times New Roman" w:cs="Times New Roman"/>
          <w:sz w:val="24"/>
          <w:lang w:val="es-PE"/>
        </w:rPr>
        <w:t xml:space="preserve"> en el más breve plazo</w:t>
      </w:r>
      <w:r w:rsidR="00FA4A40">
        <w:rPr>
          <w:rStyle w:val="mixed-citation"/>
          <w:rFonts w:ascii="Times New Roman" w:hAnsi="Times New Roman" w:cs="Times New Roman"/>
          <w:sz w:val="24"/>
          <w:lang w:val="es-PE"/>
        </w:rPr>
        <w:t xml:space="preserve"> y sensiblemente</w:t>
      </w:r>
      <w:r w:rsidR="00664DFB" w:rsidRPr="00FA4A40">
        <w:rPr>
          <w:rStyle w:val="mixed-citation"/>
          <w:rFonts w:ascii="Times New Roman" w:hAnsi="Times New Roman" w:cs="Times New Roman"/>
          <w:sz w:val="24"/>
          <w:lang w:val="es-PE"/>
        </w:rPr>
        <w:t>,</w:t>
      </w:r>
      <w:r w:rsidR="00B73AEC" w:rsidRPr="00FA4A40">
        <w:rPr>
          <w:rStyle w:val="mixed-citation"/>
          <w:rFonts w:ascii="Times New Roman" w:hAnsi="Times New Roman" w:cs="Times New Roman"/>
          <w:sz w:val="24"/>
          <w:lang w:val="es-PE"/>
        </w:rPr>
        <w:t xml:space="preserve"> a aquellos</w:t>
      </w:r>
      <w:r w:rsidR="00DB625F" w:rsidRPr="00FA4A40">
        <w:rPr>
          <w:rStyle w:val="mixed-citation"/>
          <w:rFonts w:ascii="Times New Roman" w:hAnsi="Times New Roman" w:cs="Times New Roman"/>
          <w:sz w:val="24"/>
          <w:lang w:val="es-PE"/>
        </w:rPr>
        <w:t xml:space="preserve"> </w:t>
      </w:r>
      <w:r w:rsidR="007060EF" w:rsidRPr="00FA4A40">
        <w:rPr>
          <w:rStyle w:val="mixed-citation"/>
          <w:rFonts w:ascii="Times New Roman" w:hAnsi="Times New Roman" w:cs="Times New Roman"/>
          <w:sz w:val="24"/>
          <w:lang w:val="es-PE"/>
        </w:rPr>
        <w:t xml:space="preserve">trabajadores </w:t>
      </w:r>
      <w:r w:rsidR="00DB625F" w:rsidRPr="00FA4A40">
        <w:rPr>
          <w:rStyle w:val="mixed-citation"/>
          <w:rFonts w:ascii="Times New Roman" w:hAnsi="Times New Roman" w:cs="Times New Roman"/>
          <w:sz w:val="24"/>
          <w:lang w:val="es-PE"/>
        </w:rPr>
        <w:t>que experimenta</w:t>
      </w:r>
      <w:r w:rsidR="00664DFB" w:rsidRPr="00FA4A40">
        <w:rPr>
          <w:rStyle w:val="mixed-citation"/>
          <w:rFonts w:ascii="Times New Roman" w:hAnsi="Times New Roman" w:cs="Times New Roman"/>
          <w:sz w:val="24"/>
          <w:lang w:val="es-PE"/>
        </w:rPr>
        <w:t xml:space="preserve">n estrés crónico. En ese sentido, identificar indicadores </w:t>
      </w:r>
      <w:r w:rsidR="00895D97" w:rsidRPr="00FA4A40">
        <w:rPr>
          <w:rStyle w:val="mixed-citation"/>
          <w:rFonts w:ascii="Times New Roman" w:hAnsi="Times New Roman" w:cs="Times New Roman"/>
          <w:sz w:val="24"/>
          <w:lang w:val="es-PE"/>
        </w:rPr>
        <w:t xml:space="preserve">breves y </w:t>
      </w:r>
      <w:r w:rsidR="00FA4A40">
        <w:rPr>
          <w:rStyle w:val="mixed-citation"/>
          <w:rFonts w:ascii="Times New Roman" w:hAnsi="Times New Roman" w:cs="Times New Roman"/>
          <w:sz w:val="24"/>
          <w:lang w:val="es-PE"/>
        </w:rPr>
        <w:t>eficientes</w:t>
      </w:r>
      <w:r w:rsidR="00895D97" w:rsidRPr="00FA4A40">
        <w:rPr>
          <w:rStyle w:val="mixed-citation"/>
          <w:rFonts w:ascii="Times New Roman" w:hAnsi="Times New Roman" w:cs="Times New Roman"/>
          <w:sz w:val="24"/>
          <w:lang w:val="es-PE"/>
        </w:rPr>
        <w:t xml:space="preserve">, </w:t>
      </w:r>
      <w:r w:rsidR="00664DFB" w:rsidRPr="00FA4A40">
        <w:rPr>
          <w:rStyle w:val="mixed-citation"/>
          <w:rFonts w:ascii="Times New Roman" w:hAnsi="Times New Roman" w:cs="Times New Roman"/>
          <w:sz w:val="24"/>
          <w:lang w:val="es-PE"/>
        </w:rPr>
        <w:t xml:space="preserve">asociados con </w:t>
      </w:r>
      <w:r w:rsidR="00AC136E" w:rsidRPr="00FA4A40">
        <w:rPr>
          <w:rStyle w:val="mixed-citation"/>
          <w:rFonts w:ascii="Times New Roman" w:hAnsi="Times New Roman" w:cs="Times New Roman"/>
          <w:sz w:val="24"/>
          <w:lang w:val="es-PE"/>
        </w:rPr>
        <w:t>los componentes d</w:t>
      </w:r>
      <w:r w:rsidR="00664DFB" w:rsidRPr="00FA4A40">
        <w:rPr>
          <w:rStyle w:val="mixed-citation"/>
          <w:rFonts w:ascii="Times New Roman" w:hAnsi="Times New Roman" w:cs="Times New Roman"/>
          <w:sz w:val="24"/>
          <w:lang w:val="es-PE"/>
        </w:rPr>
        <w:t>el síndrome de burnout</w:t>
      </w:r>
      <w:r w:rsidR="00AC136E" w:rsidRPr="00FA4A40">
        <w:rPr>
          <w:rStyle w:val="mixed-citation"/>
          <w:rFonts w:ascii="Times New Roman" w:hAnsi="Times New Roman" w:cs="Times New Roman"/>
          <w:sz w:val="24"/>
          <w:lang w:val="es-PE"/>
        </w:rPr>
        <w:t xml:space="preserve"> en el modelo </w:t>
      </w:r>
      <w:r w:rsidR="00B73AEC" w:rsidRPr="00FA4A40">
        <w:rPr>
          <w:rStyle w:val="mixed-citation"/>
          <w:rFonts w:ascii="Times New Roman" w:hAnsi="Times New Roman" w:cs="Times New Roman"/>
          <w:sz w:val="24"/>
          <w:lang w:val="es-PE"/>
        </w:rPr>
        <w:t xml:space="preserve">psicosocial </w:t>
      </w:r>
      <w:r w:rsidR="00AC136E" w:rsidRPr="00FA4A40">
        <w:rPr>
          <w:rStyle w:val="mixed-citation"/>
          <w:rFonts w:ascii="Times New Roman" w:hAnsi="Times New Roman" w:cs="Times New Roman"/>
          <w:sz w:val="24"/>
          <w:lang w:val="es-PE"/>
        </w:rPr>
        <w:t>de Maslach</w:t>
      </w:r>
      <w:r w:rsidR="005D7223">
        <w:rPr>
          <w:rStyle w:val="mixed-citation"/>
          <w:rFonts w:ascii="Times New Roman" w:hAnsi="Times New Roman" w:cs="Times New Roman"/>
          <w:sz w:val="24"/>
          <w:lang w:val="es-PE"/>
        </w:rPr>
        <w:t>,</w:t>
      </w:r>
      <w:r w:rsidR="00FA4A40">
        <w:rPr>
          <w:rStyle w:val="mixed-citation"/>
          <w:rFonts w:ascii="Times New Roman" w:hAnsi="Times New Roman" w:cs="Times New Roman"/>
          <w:sz w:val="24"/>
          <w:lang w:val="es-PE"/>
        </w:rPr>
        <w:t xml:space="preserve"> </w:t>
      </w:r>
      <w:r w:rsidR="00FA4A40" w:rsidRPr="005D1A72">
        <w:rPr>
          <w:rStyle w:val="mixed-citation"/>
          <w:rFonts w:ascii="Times New Roman" w:hAnsi="Times New Roman" w:cs="Times New Roman"/>
          <w:sz w:val="24"/>
        </w:rPr>
        <w:t>Jackson</w:t>
      </w:r>
      <w:r w:rsidR="005D7223">
        <w:rPr>
          <w:rStyle w:val="mixed-citation"/>
          <w:rFonts w:ascii="Times New Roman" w:hAnsi="Times New Roman" w:cs="Times New Roman"/>
          <w:sz w:val="24"/>
        </w:rPr>
        <w:t xml:space="preserve"> y </w:t>
      </w:r>
      <w:r w:rsidR="00FA4A40" w:rsidRPr="005D1A72">
        <w:rPr>
          <w:rStyle w:val="mixed-citation"/>
          <w:rFonts w:ascii="Times New Roman" w:hAnsi="Times New Roman" w:cs="Times New Roman"/>
          <w:sz w:val="24"/>
        </w:rPr>
        <w:t>Leiter</w:t>
      </w:r>
      <w:r w:rsidR="005D7223">
        <w:rPr>
          <w:rStyle w:val="mixed-citation"/>
          <w:rFonts w:ascii="Times New Roman" w:hAnsi="Times New Roman" w:cs="Times New Roman"/>
          <w:sz w:val="24"/>
        </w:rPr>
        <w:t xml:space="preserve"> (</w:t>
      </w:r>
      <w:r w:rsidR="00FA4A40" w:rsidRPr="005D1A72">
        <w:rPr>
          <w:rStyle w:val="mixed-citation"/>
          <w:rFonts w:ascii="Times New Roman" w:hAnsi="Times New Roman" w:cs="Times New Roman"/>
          <w:sz w:val="24"/>
        </w:rPr>
        <w:t>1996</w:t>
      </w:r>
      <w:r w:rsidR="00FA4A40" w:rsidRPr="005D1A72">
        <w:rPr>
          <w:rStyle w:val="mixed-citation"/>
          <w:rFonts w:ascii="Times New Roman" w:hAnsi="Times New Roman" w:cs="Times New Roman"/>
          <w:sz w:val="24"/>
          <w:lang w:val="es-PE"/>
        </w:rPr>
        <w:t>)</w:t>
      </w:r>
      <w:r w:rsidR="00664DFB" w:rsidRPr="005D1A72">
        <w:rPr>
          <w:rStyle w:val="mixed-citation"/>
          <w:rFonts w:ascii="Times New Roman" w:hAnsi="Times New Roman" w:cs="Times New Roman"/>
          <w:sz w:val="24"/>
          <w:lang w:val="es-PE"/>
        </w:rPr>
        <w:t xml:space="preserve">, </w:t>
      </w:r>
      <w:r w:rsidR="00664DFB" w:rsidRPr="0003433D">
        <w:rPr>
          <w:rStyle w:val="mixed-citation"/>
          <w:rFonts w:ascii="Times New Roman" w:hAnsi="Times New Roman" w:cs="Times New Roman"/>
          <w:sz w:val="24"/>
          <w:lang w:val="es-PE"/>
        </w:rPr>
        <w:t xml:space="preserve">puede ser una alternativa </w:t>
      </w:r>
      <w:r w:rsidR="00FA4A40" w:rsidRPr="0003433D">
        <w:rPr>
          <w:rStyle w:val="mixed-citation"/>
          <w:rFonts w:ascii="Times New Roman" w:hAnsi="Times New Roman" w:cs="Times New Roman"/>
          <w:sz w:val="24"/>
          <w:lang w:val="es-PE"/>
        </w:rPr>
        <w:t xml:space="preserve">de medición </w:t>
      </w:r>
      <w:r w:rsidR="00664DFB" w:rsidRPr="0003433D">
        <w:rPr>
          <w:rStyle w:val="mixed-citation"/>
          <w:rFonts w:ascii="Times New Roman" w:hAnsi="Times New Roman" w:cs="Times New Roman"/>
          <w:sz w:val="24"/>
          <w:lang w:val="es-PE"/>
        </w:rPr>
        <w:t>importante</w:t>
      </w:r>
      <w:r w:rsidR="007060EF" w:rsidRPr="0003433D">
        <w:rPr>
          <w:rStyle w:val="mixed-citation"/>
          <w:rFonts w:ascii="Times New Roman" w:hAnsi="Times New Roman" w:cs="Times New Roman"/>
          <w:sz w:val="24"/>
          <w:lang w:val="es-PE"/>
        </w:rPr>
        <w:t>.</w:t>
      </w:r>
    </w:p>
    <w:p w:rsidR="00895D97" w:rsidRDefault="002D39B1" w:rsidP="00B36ACD">
      <w:pPr>
        <w:spacing w:after="0" w:line="480" w:lineRule="auto"/>
        <w:ind w:firstLine="708"/>
        <w:rPr>
          <w:rStyle w:val="mixed-citation"/>
          <w:rFonts w:ascii="Times New Roman" w:hAnsi="Times New Roman" w:cs="Times New Roman"/>
          <w:sz w:val="24"/>
        </w:rPr>
      </w:pPr>
      <w:r w:rsidRPr="00FA4A40">
        <w:rPr>
          <w:rStyle w:val="mixed-citation"/>
          <w:rFonts w:ascii="Times New Roman" w:hAnsi="Times New Roman" w:cs="Times New Roman"/>
          <w:sz w:val="24"/>
        </w:rPr>
        <w:t>El presente reporte breve describe la influencia de los componentes del b</w:t>
      </w:r>
      <w:r w:rsidR="006A4FFD">
        <w:rPr>
          <w:rStyle w:val="mixed-citation"/>
          <w:rFonts w:ascii="Times New Roman" w:hAnsi="Times New Roman" w:cs="Times New Roman"/>
          <w:sz w:val="24"/>
        </w:rPr>
        <w:t xml:space="preserve">urnout sobre la expresión </w:t>
      </w:r>
      <w:proofErr w:type="spellStart"/>
      <w:r w:rsidR="006A4FFD">
        <w:rPr>
          <w:rStyle w:val="mixed-citation"/>
          <w:rFonts w:ascii="Times New Roman" w:hAnsi="Times New Roman" w:cs="Times New Roman"/>
          <w:sz w:val="24"/>
        </w:rPr>
        <w:t>auto</w:t>
      </w:r>
      <w:r w:rsidR="009A2515">
        <w:rPr>
          <w:rStyle w:val="mixed-citation"/>
          <w:rFonts w:ascii="Times New Roman" w:hAnsi="Times New Roman" w:cs="Times New Roman"/>
          <w:sz w:val="24"/>
        </w:rPr>
        <w:t>re</w:t>
      </w:r>
      <w:r w:rsidR="005D7223">
        <w:rPr>
          <w:rStyle w:val="mixed-citation"/>
          <w:rFonts w:ascii="Times New Roman" w:hAnsi="Times New Roman" w:cs="Times New Roman"/>
          <w:sz w:val="24"/>
        </w:rPr>
        <w:t>informada</w:t>
      </w:r>
      <w:proofErr w:type="spellEnd"/>
      <w:r w:rsidR="005D7223">
        <w:rPr>
          <w:rStyle w:val="mixed-citation"/>
          <w:rFonts w:ascii="Times New Roman" w:hAnsi="Times New Roman" w:cs="Times New Roman"/>
          <w:sz w:val="24"/>
        </w:rPr>
        <w:t xml:space="preserve"> </w:t>
      </w:r>
      <w:r w:rsidRPr="00FA4A40">
        <w:rPr>
          <w:rStyle w:val="mixed-citation"/>
          <w:rFonts w:ascii="Times New Roman" w:hAnsi="Times New Roman" w:cs="Times New Roman"/>
          <w:sz w:val="24"/>
        </w:rPr>
        <w:t>de la experienc</w:t>
      </w:r>
      <w:r w:rsidR="001109E3">
        <w:rPr>
          <w:rStyle w:val="mixed-citation"/>
          <w:rFonts w:ascii="Times New Roman" w:hAnsi="Times New Roman" w:cs="Times New Roman"/>
          <w:sz w:val="24"/>
        </w:rPr>
        <w:t>ia de estrés en el trabajo. E</w:t>
      </w:r>
      <w:r w:rsidR="00D7435F" w:rsidRPr="00FA4A40">
        <w:rPr>
          <w:rStyle w:val="mixed-citation"/>
          <w:rFonts w:ascii="Times New Roman" w:hAnsi="Times New Roman" w:cs="Times New Roman"/>
          <w:sz w:val="24"/>
        </w:rPr>
        <w:t>sta última</w:t>
      </w:r>
      <w:r w:rsidR="001109E3">
        <w:rPr>
          <w:rStyle w:val="mixed-citation"/>
          <w:rFonts w:ascii="Times New Roman" w:hAnsi="Times New Roman" w:cs="Times New Roman"/>
          <w:sz w:val="24"/>
        </w:rPr>
        <w:t xml:space="preserve"> se evaluó mediante un</w:t>
      </w:r>
      <w:r w:rsidRPr="00FA4A40">
        <w:rPr>
          <w:rStyle w:val="mixed-citation"/>
          <w:rFonts w:ascii="Times New Roman" w:hAnsi="Times New Roman" w:cs="Times New Roman"/>
          <w:sz w:val="24"/>
        </w:rPr>
        <w:t xml:space="preserve"> ítem</w:t>
      </w:r>
      <w:r w:rsidR="001109E3">
        <w:rPr>
          <w:rStyle w:val="mixed-citation"/>
          <w:rFonts w:ascii="Times New Roman" w:hAnsi="Times New Roman" w:cs="Times New Roman"/>
          <w:sz w:val="24"/>
        </w:rPr>
        <w:t xml:space="preserve"> único</w:t>
      </w:r>
      <w:r w:rsidRPr="00FA4A40">
        <w:rPr>
          <w:rStyle w:val="mixed-citation"/>
          <w:rFonts w:ascii="Times New Roman" w:hAnsi="Times New Roman" w:cs="Times New Roman"/>
          <w:sz w:val="24"/>
        </w:rPr>
        <w:t>, m</w:t>
      </w:r>
      <w:r w:rsidR="007060EF" w:rsidRPr="00FA4A40">
        <w:rPr>
          <w:rStyle w:val="mixed-citation"/>
          <w:rFonts w:ascii="Times New Roman" w:hAnsi="Times New Roman" w:cs="Times New Roman"/>
          <w:sz w:val="24"/>
        </w:rPr>
        <w:t xml:space="preserve">ientras que el modelo del </w:t>
      </w:r>
      <w:r w:rsidR="00580C62" w:rsidRPr="00FA4A40">
        <w:rPr>
          <w:rStyle w:val="mixed-citation"/>
          <w:rFonts w:ascii="Times New Roman" w:hAnsi="Times New Roman" w:cs="Times New Roman"/>
          <w:sz w:val="24"/>
        </w:rPr>
        <w:t>burnout (Maslach</w:t>
      </w:r>
      <w:r w:rsidR="00FA4A40">
        <w:rPr>
          <w:rStyle w:val="mixed-citation"/>
          <w:rFonts w:ascii="Times New Roman" w:hAnsi="Times New Roman" w:cs="Times New Roman"/>
          <w:sz w:val="24"/>
        </w:rPr>
        <w:t xml:space="preserve"> et al., </w:t>
      </w:r>
      <w:r w:rsidR="007060EF" w:rsidRPr="00FA4A40">
        <w:rPr>
          <w:rStyle w:val="mixed-citation"/>
          <w:rFonts w:ascii="Times New Roman" w:hAnsi="Times New Roman" w:cs="Times New Roman"/>
          <w:sz w:val="24"/>
        </w:rPr>
        <w:t>1996)</w:t>
      </w:r>
      <w:r w:rsidRPr="00FA4A40">
        <w:rPr>
          <w:rStyle w:val="mixed-citation"/>
          <w:rFonts w:ascii="Times New Roman" w:hAnsi="Times New Roman" w:cs="Times New Roman"/>
          <w:sz w:val="24"/>
        </w:rPr>
        <w:t xml:space="preserve"> </w:t>
      </w:r>
      <w:r w:rsidR="001109E3">
        <w:rPr>
          <w:rStyle w:val="mixed-citation"/>
          <w:rFonts w:ascii="Times New Roman" w:hAnsi="Times New Roman" w:cs="Times New Roman"/>
          <w:sz w:val="24"/>
        </w:rPr>
        <w:t>sirvió como marco para definir</w:t>
      </w:r>
      <w:r w:rsidRPr="00FA4A40">
        <w:rPr>
          <w:rStyle w:val="mixed-citation"/>
          <w:rFonts w:ascii="Times New Roman" w:hAnsi="Times New Roman" w:cs="Times New Roman"/>
          <w:sz w:val="24"/>
        </w:rPr>
        <w:t xml:space="preserve"> las características del burnout</w:t>
      </w:r>
      <w:r w:rsidR="00FA4A40">
        <w:rPr>
          <w:rStyle w:val="mixed-citation"/>
          <w:rFonts w:ascii="Times New Roman" w:hAnsi="Times New Roman" w:cs="Times New Roman"/>
          <w:sz w:val="24"/>
        </w:rPr>
        <w:t>, que consiste en elevado</w:t>
      </w:r>
      <w:r w:rsidRPr="00FA4A40">
        <w:rPr>
          <w:rStyle w:val="mixed-citation"/>
          <w:rFonts w:ascii="Times New Roman" w:hAnsi="Times New Roman" w:cs="Times New Roman"/>
          <w:sz w:val="24"/>
        </w:rPr>
        <w:t xml:space="preserve"> agotamiento emocional (AE)</w:t>
      </w:r>
      <w:r w:rsidR="001109E3">
        <w:rPr>
          <w:rStyle w:val="mixed-citation"/>
          <w:rFonts w:ascii="Times New Roman" w:hAnsi="Times New Roman" w:cs="Times New Roman"/>
          <w:sz w:val="24"/>
        </w:rPr>
        <w:t xml:space="preserve">, </w:t>
      </w:r>
      <w:r w:rsidR="00FA4A40" w:rsidRPr="00FA4A40">
        <w:rPr>
          <w:rStyle w:val="mixed-citation"/>
          <w:rFonts w:ascii="Times New Roman" w:hAnsi="Times New Roman" w:cs="Times New Roman"/>
          <w:sz w:val="24"/>
        </w:rPr>
        <w:t>cinismo (CIN)</w:t>
      </w:r>
      <w:r w:rsidR="00FA4A40">
        <w:rPr>
          <w:rStyle w:val="mixed-citation"/>
          <w:rFonts w:ascii="Times New Roman" w:hAnsi="Times New Roman" w:cs="Times New Roman"/>
          <w:sz w:val="24"/>
        </w:rPr>
        <w:t xml:space="preserve"> y baja </w:t>
      </w:r>
      <w:r w:rsidRPr="00FA4A40">
        <w:rPr>
          <w:rStyle w:val="mixed-citation"/>
          <w:rFonts w:ascii="Times New Roman" w:hAnsi="Times New Roman" w:cs="Times New Roman"/>
          <w:sz w:val="24"/>
        </w:rPr>
        <w:t xml:space="preserve">eficacia profesional (EP). </w:t>
      </w:r>
      <w:r w:rsidR="00FB07F3" w:rsidRPr="00FA4A40">
        <w:rPr>
          <w:rStyle w:val="mixed-citation"/>
          <w:rFonts w:ascii="Times New Roman" w:hAnsi="Times New Roman" w:cs="Times New Roman"/>
          <w:sz w:val="24"/>
        </w:rPr>
        <w:t xml:space="preserve">Debido a </w:t>
      </w:r>
      <w:r w:rsidR="00451F8B" w:rsidRPr="00FA4A40">
        <w:rPr>
          <w:rStyle w:val="mixed-citation"/>
          <w:rFonts w:ascii="Times New Roman" w:hAnsi="Times New Roman" w:cs="Times New Roman"/>
          <w:sz w:val="24"/>
        </w:rPr>
        <w:t>que estos síntomas no covarían perfectamente</w:t>
      </w:r>
      <w:r w:rsidR="00FA4A40">
        <w:rPr>
          <w:rStyle w:val="mixed-citation"/>
          <w:rFonts w:ascii="Times New Roman" w:hAnsi="Times New Roman" w:cs="Times New Roman"/>
          <w:sz w:val="24"/>
        </w:rPr>
        <w:t xml:space="preserve"> entre sí</w:t>
      </w:r>
      <w:r w:rsidR="00451F8B" w:rsidRPr="00FA4A40">
        <w:rPr>
          <w:rStyle w:val="mixed-citation"/>
          <w:rFonts w:ascii="Times New Roman" w:hAnsi="Times New Roman" w:cs="Times New Roman"/>
          <w:sz w:val="24"/>
        </w:rPr>
        <w:t xml:space="preserve">, es plausible </w:t>
      </w:r>
      <w:r w:rsidR="00FB07F3" w:rsidRPr="00FA4A40">
        <w:rPr>
          <w:rStyle w:val="mixed-citation"/>
          <w:rFonts w:ascii="Times New Roman" w:hAnsi="Times New Roman" w:cs="Times New Roman"/>
          <w:sz w:val="24"/>
        </w:rPr>
        <w:t xml:space="preserve">esperar </w:t>
      </w:r>
      <w:r w:rsidR="00451F8B" w:rsidRPr="00FA4A40">
        <w:rPr>
          <w:rStyle w:val="mixed-citation"/>
          <w:rFonts w:ascii="Times New Roman" w:hAnsi="Times New Roman" w:cs="Times New Roman"/>
          <w:sz w:val="24"/>
        </w:rPr>
        <w:t xml:space="preserve">que sus asociaciones con el estrés </w:t>
      </w:r>
      <w:r w:rsidR="00FC494A" w:rsidRPr="00D81CBC">
        <w:rPr>
          <w:rStyle w:val="mixed-citation"/>
          <w:rFonts w:ascii="Times New Roman" w:hAnsi="Times New Roman" w:cs="Times New Roman"/>
          <w:sz w:val="24"/>
        </w:rPr>
        <w:t xml:space="preserve">auto-identificado </w:t>
      </w:r>
      <w:r w:rsidR="00451F8B" w:rsidRPr="00D81CBC">
        <w:rPr>
          <w:rStyle w:val="mixed-citation"/>
          <w:rFonts w:ascii="Times New Roman" w:hAnsi="Times New Roman" w:cs="Times New Roman"/>
          <w:sz w:val="24"/>
        </w:rPr>
        <w:t xml:space="preserve">también </w:t>
      </w:r>
      <w:r w:rsidR="000E10BA" w:rsidRPr="00D81CBC">
        <w:rPr>
          <w:rStyle w:val="mixed-citation"/>
          <w:rFonts w:ascii="Times New Roman" w:hAnsi="Times New Roman" w:cs="Times New Roman"/>
          <w:sz w:val="24"/>
        </w:rPr>
        <w:t xml:space="preserve">sean diferentes. </w:t>
      </w:r>
      <w:r w:rsidR="00207BC9" w:rsidRPr="00D81CBC">
        <w:rPr>
          <w:rStyle w:val="mixed-citation"/>
          <w:rFonts w:ascii="Times New Roman" w:hAnsi="Times New Roman" w:cs="Times New Roman"/>
          <w:sz w:val="24"/>
        </w:rPr>
        <w:t xml:space="preserve">El uso de </w:t>
      </w:r>
      <w:r w:rsidR="00943C9D" w:rsidRPr="00D81CBC">
        <w:rPr>
          <w:rStyle w:val="mixed-citation"/>
          <w:rFonts w:ascii="Times New Roman" w:hAnsi="Times New Roman" w:cs="Times New Roman"/>
          <w:sz w:val="24"/>
        </w:rPr>
        <w:t>í</w:t>
      </w:r>
      <w:r w:rsidR="000E10BA" w:rsidRPr="00D81CBC">
        <w:rPr>
          <w:rStyle w:val="mixed-citation"/>
          <w:rFonts w:ascii="Times New Roman" w:hAnsi="Times New Roman" w:cs="Times New Roman"/>
          <w:sz w:val="24"/>
        </w:rPr>
        <w:t xml:space="preserve">tems únicos para medir </w:t>
      </w:r>
      <w:r w:rsidR="00B4493E">
        <w:rPr>
          <w:rStyle w:val="mixed-citation"/>
          <w:rFonts w:ascii="Times New Roman" w:hAnsi="Times New Roman" w:cs="Times New Roman"/>
          <w:sz w:val="24"/>
        </w:rPr>
        <w:t xml:space="preserve">efectos conductuales laborales, como el </w:t>
      </w:r>
      <w:r w:rsidR="00FA4A40" w:rsidRPr="00D81CBC">
        <w:rPr>
          <w:rStyle w:val="mixed-citation"/>
          <w:rFonts w:ascii="Times New Roman" w:hAnsi="Times New Roman" w:cs="Times New Roman"/>
          <w:sz w:val="24"/>
        </w:rPr>
        <w:t xml:space="preserve">estrés </w:t>
      </w:r>
      <w:r w:rsidR="00C75E51" w:rsidRPr="00D81CBC">
        <w:rPr>
          <w:rStyle w:val="mixed-citation"/>
          <w:rFonts w:ascii="Times New Roman" w:hAnsi="Times New Roman" w:cs="Times New Roman"/>
          <w:sz w:val="24"/>
        </w:rPr>
        <w:t>(</w:t>
      </w:r>
      <w:proofErr w:type="spellStart"/>
      <w:r w:rsidR="00C75E51" w:rsidRPr="00D81CBC">
        <w:rPr>
          <w:rStyle w:val="mixed-citation"/>
          <w:rFonts w:ascii="Times New Roman" w:hAnsi="Times New Roman" w:cs="Times New Roman"/>
          <w:sz w:val="24"/>
        </w:rPr>
        <w:t>Ottaviani</w:t>
      </w:r>
      <w:proofErr w:type="spellEnd"/>
      <w:r w:rsidR="00C75E51" w:rsidRPr="00D81CBC">
        <w:rPr>
          <w:rStyle w:val="mixed-citation"/>
          <w:rFonts w:ascii="Times New Roman" w:hAnsi="Times New Roman" w:cs="Times New Roman"/>
          <w:sz w:val="24"/>
        </w:rPr>
        <w:t xml:space="preserve">, Medea, </w:t>
      </w:r>
      <w:proofErr w:type="spellStart"/>
      <w:r w:rsidR="00C75E51" w:rsidRPr="00D81CBC">
        <w:rPr>
          <w:rStyle w:val="mixed-citation"/>
          <w:rFonts w:ascii="Times New Roman" w:hAnsi="Times New Roman" w:cs="Times New Roman"/>
          <w:sz w:val="24"/>
        </w:rPr>
        <w:t>Lonigro</w:t>
      </w:r>
      <w:proofErr w:type="spellEnd"/>
      <w:r w:rsidR="00C75E51" w:rsidRPr="00D81CBC">
        <w:rPr>
          <w:rStyle w:val="mixed-citation"/>
          <w:rFonts w:ascii="Times New Roman" w:hAnsi="Times New Roman" w:cs="Times New Roman"/>
          <w:sz w:val="24"/>
        </w:rPr>
        <w:t xml:space="preserve">, </w:t>
      </w:r>
      <w:proofErr w:type="spellStart"/>
      <w:r w:rsidR="00C75E51" w:rsidRPr="00D81CBC">
        <w:rPr>
          <w:rStyle w:val="mixed-citation"/>
          <w:rFonts w:ascii="Times New Roman" w:hAnsi="Times New Roman" w:cs="Times New Roman"/>
          <w:sz w:val="24"/>
        </w:rPr>
        <w:t>Tarvainen</w:t>
      </w:r>
      <w:proofErr w:type="spellEnd"/>
      <w:r w:rsidR="00C75E51" w:rsidRPr="00D81CBC">
        <w:rPr>
          <w:rStyle w:val="mixed-citation"/>
          <w:rFonts w:ascii="Times New Roman" w:hAnsi="Times New Roman" w:cs="Times New Roman"/>
          <w:sz w:val="24"/>
        </w:rPr>
        <w:t xml:space="preserve"> &amp; </w:t>
      </w:r>
      <w:proofErr w:type="spellStart"/>
      <w:r w:rsidR="00C75E51" w:rsidRPr="00D81CBC">
        <w:rPr>
          <w:rStyle w:val="mixed-citation"/>
          <w:rFonts w:ascii="Times New Roman" w:hAnsi="Times New Roman" w:cs="Times New Roman"/>
          <w:sz w:val="24"/>
        </w:rPr>
        <w:t>Couyoumdjian</w:t>
      </w:r>
      <w:proofErr w:type="spellEnd"/>
      <w:r w:rsidR="00C75E51" w:rsidRPr="00D81CBC">
        <w:rPr>
          <w:rStyle w:val="mixed-citation"/>
          <w:rFonts w:ascii="Times New Roman" w:hAnsi="Times New Roman" w:cs="Times New Roman"/>
          <w:sz w:val="24"/>
        </w:rPr>
        <w:t xml:space="preserve">, 2015; </w:t>
      </w:r>
      <w:proofErr w:type="spellStart"/>
      <w:r w:rsidR="00C75E51" w:rsidRPr="00D81CBC">
        <w:rPr>
          <w:rStyle w:val="mixed-citation"/>
          <w:rFonts w:ascii="Times New Roman" w:hAnsi="Times New Roman" w:cs="Times New Roman"/>
          <w:sz w:val="24"/>
        </w:rPr>
        <w:t>Zenk</w:t>
      </w:r>
      <w:proofErr w:type="spellEnd"/>
      <w:r w:rsidR="00C75E51" w:rsidRPr="00D81CBC">
        <w:rPr>
          <w:rStyle w:val="mixed-citation"/>
          <w:rFonts w:ascii="Times New Roman" w:hAnsi="Times New Roman" w:cs="Times New Roman"/>
          <w:sz w:val="24"/>
        </w:rPr>
        <w:t xml:space="preserve"> et al., 2014) </w:t>
      </w:r>
      <w:r w:rsidR="00FA4A40" w:rsidRPr="00D81CBC">
        <w:rPr>
          <w:rStyle w:val="mixed-citation"/>
          <w:rFonts w:ascii="Times New Roman" w:hAnsi="Times New Roman" w:cs="Times New Roman"/>
          <w:sz w:val="24"/>
        </w:rPr>
        <w:t xml:space="preserve">o </w:t>
      </w:r>
      <w:r w:rsidR="005318DB" w:rsidRPr="00D81CBC">
        <w:rPr>
          <w:rStyle w:val="mixed-citation"/>
          <w:rFonts w:ascii="Times New Roman" w:hAnsi="Times New Roman" w:cs="Times New Roman"/>
          <w:sz w:val="24"/>
        </w:rPr>
        <w:t>burnout</w:t>
      </w:r>
      <w:r w:rsidR="000E10BA" w:rsidRPr="00D81CBC">
        <w:rPr>
          <w:rStyle w:val="mixed-citation"/>
          <w:rFonts w:ascii="Times New Roman" w:hAnsi="Times New Roman" w:cs="Times New Roman"/>
          <w:sz w:val="24"/>
        </w:rPr>
        <w:t xml:space="preserve"> </w:t>
      </w:r>
      <w:r w:rsidR="0002039F" w:rsidRPr="00D81CBC">
        <w:rPr>
          <w:rStyle w:val="mixed-citation"/>
          <w:rFonts w:ascii="Times New Roman" w:hAnsi="Times New Roman" w:cs="Times New Roman"/>
          <w:sz w:val="24"/>
        </w:rPr>
        <w:t xml:space="preserve">(Hansen &amp; </w:t>
      </w:r>
      <w:proofErr w:type="spellStart"/>
      <w:r w:rsidR="0002039F" w:rsidRPr="00D81CBC">
        <w:rPr>
          <w:rStyle w:val="mixed-citation"/>
          <w:rFonts w:ascii="Times New Roman" w:hAnsi="Times New Roman" w:cs="Times New Roman"/>
          <w:sz w:val="24"/>
        </w:rPr>
        <w:t>Girgis</w:t>
      </w:r>
      <w:proofErr w:type="spellEnd"/>
      <w:r w:rsidR="0002039F" w:rsidRPr="00D81CBC">
        <w:rPr>
          <w:rStyle w:val="mixed-citation"/>
          <w:rFonts w:ascii="Times New Roman" w:hAnsi="Times New Roman" w:cs="Times New Roman"/>
          <w:sz w:val="24"/>
        </w:rPr>
        <w:t xml:space="preserve">, 2010; </w:t>
      </w:r>
      <w:proofErr w:type="spellStart"/>
      <w:r w:rsidR="0002039F" w:rsidRPr="00D81CBC">
        <w:rPr>
          <w:rStyle w:val="mixed-citation"/>
          <w:rFonts w:ascii="Times New Roman" w:hAnsi="Times New Roman" w:cs="Times New Roman"/>
          <w:sz w:val="24"/>
        </w:rPr>
        <w:t>Rohland</w:t>
      </w:r>
      <w:proofErr w:type="spellEnd"/>
      <w:r w:rsidR="0002039F" w:rsidRPr="00D81CBC">
        <w:rPr>
          <w:rStyle w:val="mixed-citation"/>
          <w:rFonts w:ascii="Times New Roman" w:hAnsi="Times New Roman" w:cs="Times New Roman"/>
          <w:sz w:val="24"/>
        </w:rPr>
        <w:t xml:space="preserve">, </w:t>
      </w:r>
      <w:proofErr w:type="spellStart"/>
      <w:r w:rsidR="0002039F" w:rsidRPr="00D81CBC">
        <w:rPr>
          <w:rStyle w:val="mixed-citation"/>
          <w:rFonts w:ascii="Times New Roman" w:hAnsi="Times New Roman" w:cs="Times New Roman"/>
          <w:sz w:val="24"/>
        </w:rPr>
        <w:t>Kruse</w:t>
      </w:r>
      <w:proofErr w:type="spellEnd"/>
      <w:r w:rsidR="0002039F" w:rsidRPr="00D81CBC">
        <w:rPr>
          <w:rStyle w:val="mixed-citation"/>
          <w:rFonts w:ascii="Times New Roman" w:hAnsi="Times New Roman" w:cs="Times New Roman"/>
          <w:sz w:val="24"/>
        </w:rPr>
        <w:t xml:space="preserve"> &amp; </w:t>
      </w:r>
      <w:proofErr w:type="spellStart"/>
      <w:r w:rsidR="0002039F" w:rsidRPr="00D81CBC">
        <w:rPr>
          <w:rStyle w:val="mixed-citation"/>
          <w:rFonts w:ascii="Times New Roman" w:hAnsi="Times New Roman" w:cs="Times New Roman"/>
          <w:sz w:val="24"/>
        </w:rPr>
        <w:t>Rohrer</w:t>
      </w:r>
      <w:proofErr w:type="spellEnd"/>
      <w:r w:rsidR="0002039F" w:rsidRPr="00D81CBC">
        <w:rPr>
          <w:rStyle w:val="mixed-citation"/>
          <w:rFonts w:ascii="Times New Roman" w:hAnsi="Times New Roman" w:cs="Times New Roman"/>
          <w:sz w:val="24"/>
        </w:rPr>
        <w:t xml:space="preserve">, 2004; </w:t>
      </w:r>
      <w:proofErr w:type="spellStart"/>
      <w:r w:rsidR="0002039F" w:rsidRPr="00D81CBC">
        <w:rPr>
          <w:rStyle w:val="mixed-citation"/>
          <w:rFonts w:ascii="Times New Roman" w:hAnsi="Times New Roman" w:cs="Times New Roman"/>
          <w:sz w:val="24"/>
        </w:rPr>
        <w:t>Schmoldt</w:t>
      </w:r>
      <w:proofErr w:type="spellEnd"/>
      <w:r w:rsidR="0002039F" w:rsidRPr="00D81CBC">
        <w:rPr>
          <w:rStyle w:val="mixed-citation"/>
          <w:rFonts w:ascii="Times New Roman" w:hAnsi="Times New Roman" w:cs="Times New Roman"/>
          <w:sz w:val="24"/>
        </w:rPr>
        <w:t xml:space="preserve">, </w:t>
      </w:r>
      <w:proofErr w:type="spellStart"/>
      <w:r w:rsidR="0002039F" w:rsidRPr="00D81CBC">
        <w:rPr>
          <w:rStyle w:val="mixed-citation"/>
          <w:rFonts w:ascii="Times New Roman" w:hAnsi="Times New Roman" w:cs="Times New Roman"/>
          <w:sz w:val="24"/>
        </w:rPr>
        <w:t>Freeborn</w:t>
      </w:r>
      <w:proofErr w:type="spellEnd"/>
      <w:r w:rsidR="0002039F" w:rsidRPr="00D81CBC">
        <w:rPr>
          <w:rStyle w:val="mixed-citation"/>
          <w:rFonts w:ascii="Times New Roman" w:hAnsi="Times New Roman" w:cs="Times New Roman"/>
          <w:sz w:val="24"/>
        </w:rPr>
        <w:t xml:space="preserve"> &amp; </w:t>
      </w:r>
      <w:proofErr w:type="spellStart"/>
      <w:r w:rsidR="0002039F" w:rsidRPr="00D81CBC">
        <w:rPr>
          <w:rStyle w:val="mixed-citation"/>
          <w:rFonts w:ascii="Times New Roman" w:hAnsi="Times New Roman" w:cs="Times New Roman"/>
          <w:sz w:val="24"/>
        </w:rPr>
        <w:t>Klevit</w:t>
      </w:r>
      <w:proofErr w:type="spellEnd"/>
      <w:r w:rsidR="0002039F" w:rsidRPr="00D81CBC">
        <w:rPr>
          <w:rStyle w:val="mixed-citation"/>
          <w:rFonts w:ascii="Times New Roman" w:hAnsi="Times New Roman" w:cs="Times New Roman"/>
          <w:sz w:val="24"/>
        </w:rPr>
        <w:t xml:space="preserve">, 1994; West, </w:t>
      </w:r>
      <w:proofErr w:type="spellStart"/>
      <w:r w:rsidR="0002039F" w:rsidRPr="00D81CBC">
        <w:rPr>
          <w:rStyle w:val="mixed-citation"/>
          <w:rFonts w:ascii="Times New Roman" w:hAnsi="Times New Roman" w:cs="Times New Roman"/>
          <w:sz w:val="24"/>
        </w:rPr>
        <w:t>Dyrbye</w:t>
      </w:r>
      <w:proofErr w:type="spellEnd"/>
      <w:r w:rsidR="0002039F" w:rsidRPr="00D81CBC">
        <w:rPr>
          <w:rStyle w:val="mixed-citation"/>
          <w:rFonts w:ascii="Times New Roman" w:hAnsi="Times New Roman" w:cs="Times New Roman"/>
          <w:sz w:val="24"/>
        </w:rPr>
        <w:t>,</w:t>
      </w:r>
      <w:r w:rsidR="0002039F" w:rsidRPr="002944F6">
        <w:rPr>
          <w:rStyle w:val="mixed-citation"/>
          <w:rFonts w:ascii="Times New Roman" w:hAnsi="Times New Roman" w:cs="Times New Roman"/>
          <w:sz w:val="24"/>
        </w:rPr>
        <w:t xml:space="preserve"> Sloan &amp; </w:t>
      </w:r>
      <w:proofErr w:type="spellStart"/>
      <w:r w:rsidR="0002039F" w:rsidRPr="002944F6">
        <w:rPr>
          <w:rStyle w:val="mixed-citation"/>
          <w:rFonts w:ascii="Times New Roman" w:hAnsi="Times New Roman" w:cs="Times New Roman"/>
          <w:sz w:val="24"/>
        </w:rPr>
        <w:t>Shanafelt</w:t>
      </w:r>
      <w:proofErr w:type="spellEnd"/>
      <w:r w:rsidR="0002039F" w:rsidRPr="002944F6">
        <w:rPr>
          <w:rStyle w:val="mixed-citation"/>
          <w:rFonts w:ascii="Times New Roman" w:hAnsi="Times New Roman" w:cs="Times New Roman"/>
          <w:sz w:val="24"/>
        </w:rPr>
        <w:t xml:space="preserve">, 2009; West, </w:t>
      </w:r>
      <w:proofErr w:type="spellStart"/>
      <w:r w:rsidR="0002039F" w:rsidRPr="002944F6">
        <w:rPr>
          <w:rStyle w:val="mixed-citation"/>
          <w:rFonts w:ascii="Times New Roman" w:hAnsi="Times New Roman" w:cs="Times New Roman"/>
          <w:sz w:val="24"/>
        </w:rPr>
        <w:t>Dyrbye</w:t>
      </w:r>
      <w:proofErr w:type="spellEnd"/>
      <w:r w:rsidR="0002039F" w:rsidRPr="002944F6">
        <w:rPr>
          <w:rStyle w:val="mixed-citation"/>
          <w:rFonts w:ascii="Times New Roman" w:hAnsi="Times New Roman" w:cs="Times New Roman"/>
          <w:sz w:val="24"/>
        </w:rPr>
        <w:t xml:space="preserve">, </w:t>
      </w:r>
      <w:proofErr w:type="spellStart"/>
      <w:r w:rsidR="0002039F" w:rsidRPr="002944F6">
        <w:rPr>
          <w:rStyle w:val="mixed-citation"/>
          <w:rFonts w:ascii="Times New Roman" w:hAnsi="Times New Roman" w:cs="Times New Roman"/>
          <w:sz w:val="24"/>
        </w:rPr>
        <w:t>Satele</w:t>
      </w:r>
      <w:proofErr w:type="spellEnd"/>
      <w:r w:rsidR="0002039F" w:rsidRPr="002944F6">
        <w:rPr>
          <w:rStyle w:val="mixed-citation"/>
          <w:rFonts w:ascii="Times New Roman" w:hAnsi="Times New Roman" w:cs="Times New Roman"/>
          <w:sz w:val="24"/>
        </w:rPr>
        <w:t xml:space="preserve">, Sloan &amp; </w:t>
      </w:r>
      <w:proofErr w:type="spellStart"/>
      <w:r w:rsidR="0002039F" w:rsidRPr="002944F6">
        <w:rPr>
          <w:rStyle w:val="mixed-citation"/>
          <w:rFonts w:ascii="Times New Roman" w:hAnsi="Times New Roman" w:cs="Times New Roman"/>
          <w:sz w:val="24"/>
        </w:rPr>
        <w:t>Shanafelt</w:t>
      </w:r>
      <w:proofErr w:type="spellEnd"/>
      <w:r w:rsidR="0002039F" w:rsidRPr="002944F6">
        <w:rPr>
          <w:rStyle w:val="mixed-citation"/>
          <w:rFonts w:ascii="Times New Roman" w:hAnsi="Times New Roman" w:cs="Times New Roman"/>
          <w:sz w:val="24"/>
        </w:rPr>
        <w:t>, 2012</w:t>
      </w:r>
      <w:r w:rsidR="0002039F">
        <w:rPr>
          <w:rStyle w:val="mixed-citation"/>
          <w:rFonts w:ascii="Times New Roman" w:hAnsi="Times New Roman" w:cs="Times New Roman"/>
          <w:sz w:val="24"/>
        </w:rPr>
        <w:t xml:space="preserve">) </w:t>
      </w:r>
      <w:r w:rsidR="000E10BA" w:rsidRPr="00FA4A40">
        <w:rPr>
          <w:rStyle w:val="mixed-citation"/>
          <w:rFonts w:ascii="Times New Roman" w:hAnsi="Times New Roman" w:cs="Times New Roman"/>
          <w:sz w:val="24"/>
        </w:rPr>
        <w:t xml:space="preserve">no es </w:t>
      </w:r>
      <w:r w:rsidR="00B4493E">
        <w:rPr>
          <w:rStyle w:val="mixed-citation"/>
          <w:rFonts w:ascii="Times New Roman" w:hAnsi="Times New Roman" w:cs="Times New Roman"/>
          <w:sz w:val="24"/>
        </w:rPr>
        <w:t xml:space="preserve">una estrategia metodológica </w:t>
      </w:r>
      <w:r w:rsidR="000E10BA" w:rsidRPr="00FA4A40">
        <w:rPr>
          <w:rStyle w:val="mixed-citation"/>
          <w:rFonts w:ascii="Times New Roman" w:hAnsi="Times New Roman" w:cs="Times New Roman"/>
          <w:sz w:val="24"/>
        </w:rPr>
        <w:t>nuev</w:t>
      </w:r>
      <w:r w:rsidR="00B4493E">
        <w:rPr>
          <w:rStyle w:val="mixed-citation"/>
          <w:rFonts w:ascii="Times New Roman" w:hAnsi="Times New Roman" w:cs="Times New Roman"/>
          <w:sz w:val="24"/>
        </w:rPr>
        <w:t>a</w:t>
      </w:r>
      <w:r w:rsidR="000E10BA" w:rsidRPr="00FA4A40">
        <w:rPr>
          <w:rStyle w:val="mixed-citation"/>
          <w:rFonts w:ascii="Times New Roman" w:hAnsi="Times New Roman" w:cs="Times New Roman"/>
          <w:sz w:val="24"/>
        </w:rPr>
        <w:t xml:space="preserve">, y </w:t>
      </w:r>
      <w:r w:rsidR="00B4493E">
        <w:rPr>
          <w:rStyle w:val="mixed-citation"/>
          <w:rFonts w:ascii="Times New Roman" w:hAnsi="Times New Roman" w:cs="Times New Roman"/>
          <w:sz w:val="24"/>
        </w:rPr>
        <w:t xml:space="preserve">ha consistido en un modo de exploración </w:t>
      </w:r>
      <w:r w:rsidR="000E10BA" w:rsidRPr="002944F6">
        <w:rPr>
          <w:rStyle w:val="mixed-citation"/>
          <w:rFonts w:ascii="Times New Roman" w:hAnsi="Times New Roman" w:cs="Times New Roman"/>
          <w:sz w:val="24"/>
        </w:rPr>
        <w:t xml:space="preserve">relevante y útil en </w:t>
      </w:r>
      <w:r w:rsidR="00943C9D" w:rsidRPr="002944F6">
        <w:rPr>
          <w:rStyle w:val="mixed-citation"/>
          <w:rFonts w:ascii="Times New Roman" w:hAnsi="Times New Roman" w:cs="Times New Roman"/>
          <w:sz w:val="24"/>
          <w:lang w:val="es-PE"/>
        </w:rPr>
        <w:t>evaluaciones</w:t>
      </w:r>
      <w:r w:rsidR="00943C9D" w:rsidRPr="002944F6">
        <w:rPr>
          <w:rStyle w:val="mixed-citation"/>
          <w:rFonts w:ascii="Times New Roman" w:hAnsi="Times New Roman" w:cs="Times New Roman"/>
          <w:sz w:val="24"/>
        </w:rPr>
        <w:t xml:space="preserve"> de despistaje y epidemiológicas</w:t>
      </w:r>
      <w:r w:rsidR="00895D97" w:rsidRPr="002944F6">
        <w:rPr>
          <w:rStyle w:val="mixed-citation"/>
          <w:rFonts w:ascii="Times New Roman" w:hAnsi="Times New Roman" w:cs="Times New Roman"/>
          <w:sz w:val="24"/>
        </w:rPr>
        <w:t xml:space="preserve">, </w:t>
      </w:r>
      <w:r w:rsidR="00207BC9">
        <w:rPr>
          <w:rStyle w:val="mixed-citation"/>
          <w:rFonts w:ascii="Times New Roman" w:hAnsi="Times New Roman" w:cs="Times New Roman"/>
          <w:sz w:val="24"/>
        </w:rPr>
        <w:t xml:space="preserve">especialmente </w:t>
      </w:r>
      <w:r w:rsidR="00FC494A">
        <w:rPr>
          <w:rStyle w:val="mixed-citation"/>
          <w:rFonts w:ascii="Times New Roman" w:hAnsi="Times New Roman" w:cs="Times New Roman"/>
          <w:sz w:val="24"/>
        </w:rPr>
        <w:t>en evaluaciones ecológicas</w:t>
      </w:r>
      <w:r w:rsidR="00214A64">
        <w:rPr>
          <w:rStyle w:val="mixed-citation"/>
          <w:rFonts w:ascii="Times New Roman" w:hAnsi="Times New Roman" w:cs="Times New Roman"/>
          <w:sz w:val="24"/>
        </w:rPr>
        <w:t xml:space="preserve"> (</w:t>
      </w:r>
      <w:proofErr w:type="spellStart"/>
      <w:r w:rsidR="00214A64" w:rsidRPr="00214A64">
        <w:rPr>
          <w:rFonts w:ascii="Times New Roman" w:hAnsi="Times New Roman" w:cs="Times New Roman"/>
          <w:sz w:val="24"/>
          <w:szCs w:val="24"/>
          <w:lang w:val="es-PE"/>
        </w:rPr>
        <w:t>Þórarinsdóttir</w:t>
      </w:r>
      <w:proofErr w:type="spellEnd"/>
      <w:r w:rsidR="00214A64" w:rsidRPr="00214A64">
        <w:rPr>
          <w:rFonts w:ascii="Times New Roman" w:hAnsi="Times New Roman" w:cs="Times New Roman"/>
          <w:sz w:val="24"/>
          <w:szCs w:val="24"/>
          <w:lang w:val="es-PE"/>
        </w:rPr>
        <w:t xml:space="preserve">, </w:t>
      </w:r>
      <w:proofErr w:type="spellStart"/>
      <w:r w:rsidR="00214A64" w:rsidRPr="00214A64">
        <w:rPr>
          <w:rFonts w:ascii="Times New Roman" w:hAnsi="Times New Roman" w:cs="Times New Roman"/>
          <w:sz w:val="24"/>
          <w:szCs w:val="24"/>
          <w:lang w:val="es-PE"/>
        </w:rPr>
        <w:t>Kessing</w:t>
      </w:r>
      <w:proofErr w:type="spellEnd"/>
      <w:r w:rsidR="00214A64">
        <w:rPr>
          <w:rFonts w:ascii="Times New Roman" w:hAnsi="Times New Roman" w:cs="Times New Roman"/>
          <w:sz w:val="24"/>
          <w:szCs w:val="24"/>
          <w:lang w:val="es-PE"/>
        </w:rPr>
        <w:t xml:space="preserve"> </w:t>
      </w:r>
      <w:r w:rsidR="00214A64" w:rsidRPr="00214A64">
        <w:rPr>
          <w:rFonts w:ascii="Times New Roman" w:hAnsi="Times New Roman" w:cs="Times New Roman"/>
          <w:sz w:val="24"/>
          <w:szCs w:val="24"/>
          <w:lang w:val="es-PE"/>
        </w:rPr>
        <w:t xml:space="preserve">&amp; </w:t>
      </w:r>
      <w:proofErr w:type="spellStart"/>
      <w:r w:rsidR="00214A64" w:rsidRPr="00214A64">
        <w:rPr>
          <w:rFonts w:ascii="Times New Roman" w:hAnsi="Times New Roman" w:cs="Times New Roman"/>
          <w:sz w:val="24"/>
          <w:szCs w:val="24"/>
          <w:lang w:val="es-PE"/>
        </w:rPr>
        <w:t>Faurholt-Jepsen</w:t>
      </w:r>
      <w:proofErr w:type="spellEnd"/>
      <w:r w:rsidR="00214A64" w:rsidRPr="00214A64">
        <w:rPr>
          <w:rFonts w:ascii="Times New Roman" w:hAnsi="Times New Roman" w:cs="Times New Roman"/>
          <w:sz w:val="24"/>
          <w:szCs w:val="24"/>
          <w:lang w:val="es-PE"/>
        </w:rPr>
        <w:t>, 2017</w:t>
      </w:r>
      <w:r w:rsidR="00214A64">
        <w:rPr>
          <w:rStyle w:val="mixed-citation"/>
          <w:rFonts w:ascii="Times New Roman" w:hAnsi="Times New Roman" w:cs="Times New Roman"/>
          <w:sz w:val="24"/>
        </w:rPr>
        <w:t>)</w:t>
      </w:r>
      <w:r w:rsidR="00943C9D" w:rsidRPr="002944F6">
        <w:rPr>
          <w:rStyle w:val="mixed-citation"/>
          <w:rFonts w:ascii="Times New Roman" w:hAnsi="Times New Roman" w:cs="Times New Roman"/>
          <w:sz w:val="24"/>
        </w:rPr>
        <w:t>.</w:t>
      </w:r>
      <w:r w:rsidR="007C44A9" w:rsidRPr="002944F6">
        <w:rPr>
          <w:rStyle w:val="mixed-citation"/>
          <w:rFonts w:ascii="Times New Roman" w:hAnsi="Times New Roman" w:cs="Times New Roman"/>
          <w:sz w:val="24"/>
        </w:rPr>
        <w:t xml:space="preserve"> </w:t>
      </w:r>
      <w:r w:rsidR="00B4493E">
        <w:rPr>
          <w:rStyle w:val="mixed-citation"/>
          <w:rFonts w:ascii="Times New Roman" w:hAnsi="Times New Roman" w:cs="Times New Roman"/>
          <w:sz w:val="24"/>
        </w:rPr>
        <w:t xml:space="preserve">En la evaluación de ambos constructos (estrés y burnout), </w:t>
      </w:r>
      <w:r w:rsidR="007C44A9" w:rsidRPr="005F5B1C">
        <w:rPr>
          <w:rStyle w:val="mixed-citation"/>
          <w:rFonts w:ascii="Times New Roman" w:hAnsi="Times New Roman" w:cs="Times New Roman"/>
          <w:sz w:val="24"/>
        </w:rPr>
        <w:t>parece no haber referencias</w:t>
      </w:r>
      <w:r w:rsidR="00895D97" w:rsidRPr="005F5B1C">
        <w:rPr>
          <w:rStyle w:val="mixed-citation"/>
          <w:rFonts w:ascii="Times New Roman" w:hAnsi="Times New Roman" w:cs="Times New Roman"/>
          <w:sz w:val="24"/>
        </w:rPr>
        <w:t xml:space="preserve"> en la literatura científica</w:t>
      </w:r>
      <w:r w:rsidR="007C44A9" w:rsidRPr="005F5B1C">
        <w:rPr>
          <w:rStyle w:val="mixed-citation"/>
          <w:rFonts w:ascii="Times New Roman" w:hAnsi="Times New Roman" w:cs="Times New Roman"/>
          <w:sz w:val="24"/>
        </w:rPr>
        <w:t xml:space="preserve"> </w:t>
      </w:r>
      <w:r w:rsidR="007C44A9" w:rsidRPr="002944F6">
        <w:rPr>
          <w:rStyle w:val="mixed-citation"/>
          <w:rFonts w:ascii="Times New Roman" w:hAnsi="Times New Roman" w:cs="Times New Roman"/>
          <w:sz w:val="24"/>
        </w:rPr>
        <w:t xml:space="preserve">sobre la </w:t>
      </w:r>
      <w:r w:rsidR="00B4493E">
        <w:rPr>
          <w:rStyle w:val="mixed-citation"/>
          <w:rFonts w:ascii="Times New Roman" w:hAnsi="Times New Roman" w:cs="Times New Roman"/>
          <w:sz w:val="24"/>
        </w:rPr>
        <w:t xml:space="preserve">asociación </w:t>
      </w:r>
      <w:r w:rsidR="00FA4A40" w:rsidRPr="002944F6">
        <w:rPr>
          <w:rStyle w:val="mixed-citation"/>
          <w:rFonts w:ascii="Times New Roman" w:hAnsi="Times New Roman" w:cs="Times New Roman"/>
          <w:sz w:val="24"/>
        </w:rPr>
        <w:t xml:space="preserve">entre la </w:t>
      </w:r>
      <w:r w:rsidR="001109E3">
        <w:rPr>
          <w:rStyle w:val="mixed-citation"/>
          <w:rFonts w:ascii="Times New Roman" w:hAnsi="Times New Roman" w:cs="Times New Roman"/>
          <w:sz w:val="24"/>
        </w:rPr>
        <w:t>expresión auto</w:t>
      </w:r>
      <w:r w:rsidR="00FD2F9C">
        <w:rPr>
          <w:rStyle w:val="mixed-citation"/>
          <w:rFonts w:ascii="Times New Roman" w:hAnsi="Times New Roman" w:cs="Times New Roman"/>
          <w:sz w:val="24"/>
        </w:rPr>
        <w:t>-</w:t>
      </w:r>
      <w:r w:rsidR="00C92ABB">
        <w:rPr>
          <w:rStyle w:val="mixed-citation"/>
          <w:rFonts w:ascii="Times New Roman" w:hAnsi="Times New Roman" w:cs="Times New Roman"/>
          <w:sz w:val="24"/>
        </w:rPr>
        <w:t xml:space="preserve">informada </w:t>
      </w:r>
      <w:r w:rsidR="007C44A9" w:rsidRPr="002944F6">
        <w:rPr>
          <w:rStyle w:val="mixed-citation"/>
          <w:rFonts w:ascii="Times New Roman" w:hAnsi="Times New Roman" w:cs="Times New Roman"/>
          <w:sz w:val="24"/>
        </w:rPr>
        <w:t>del estrés general</w:t>
      </w:r>
      <w:r w:rsidR="00C92ABB">
        <w:rPr>
          <w:rStyle w:val="mixed-citation"/>
          <w:rFonts w:ascii="Times New Roman" w:hAnsi="Times New Roman" w:cs="Times New Roman"/>
          <w:sz w:val="24"/>
        </w:rPr>
        <w:t xml:space="preserve"> </w:t>
      </w:r>
      <w:r w:rsidR="007C44A9" w:rsidRPr="002944F6">
        <w:rPr>
          <w:rStyle w:val="mixed-citation"/>
          <w:rFonts w:ascii="Times New Roman" w:hAnsi="Times New Roman" w:cs="Times New Roman"/>
          <w:sz w:val="24"/>
        </w:rPr>
        <w:t>con la potencial experiencia de</w:t>
      </w:r>
      <w:r w:rsidR="00FB07F3" w:rsidRPr="002944F6">
        <w:rPr>
          <w:rStyle w:val="mixed-citation"/>
          <w:rFonts w:ascii="Times New Roman" w:hAnsi="Times New Roman" w:cs="Times New Roman"/>
          <w:sz w:val="24"/>
        </w:rPr>
        <w:t>l</w:t>
      </w:r>
      <w:r w:rsidR="007C44A9" w:rsidRPr="002944F6">
        <w:rPr>
          <w:rStyle w:val="mixed-citation"/>
          <w:rFonts w:ascii="Times New Roman" w:hAnsi="Times New Roman" w:cs="Times New Roman"/>
          <w:sz w:val="24"/>
        </w:rPr>
        <w:t xml:space="preserve"> burnout</w:t>
      </w:r>
      <w:r w:rsidR="00C92ABB">
        <w:rPr>
          <w:rStyle w:val="mixed-citation"/>
          <w:rFonts w:ascii="Times New Roman" w:hAnsi="Times New Roman" w:cs="Times New Roman"/>
          <w:sz w:val="24"/>
        </w:rPr>
        <w:t xml:space="preserve"> </w:t>
      </w:r>
      <w:r w:rsidR="007C44A9" w:rsidRPr="00FA4A40">
        <w:rPr>
          <w:rStyle w:val="mixed-citation"/>
          <w:rFonts w:ascii="Times New Roman" w:hAnsi="Times New Roman" w:cs="Times New Roman"/>
          <w:sz w:val="24"/>
        </w:rPr>
        <w:t xml:space="preserve">en docentes de </w:t>
      </w:r>
      <w:r w:rsidR="007C44A9" w:rsidRPr="00FA4A40">
        <w:rPr>
          <w:rStyle w:val="mixed-citation"/>
          <w:rFonts w:ascii="Times New Roman" w:hAnsi="Times New Roman" w:cs="Times New Roman"/>
          <w:sz w:val="24"/>
        </w:rPr>
        <w:lastRenderedPageBreak/>
        <w:t>educación básica</w:t>
      </w:r>
      <w:r w:rsidR="00C92ABB">
        <w:rPr>
          <w:rStyle w:val="mixed-citation"/>
          <w:rFonts w:ascii="Times New Roman" w:hAnsi="Times New Roman" w:cs="Times New Roman"/>
          <w:sz w:val="24"/>
        </w:rPr>
        <w:t xml:space="preserve"> peruanos</w:t>
      </w:r>
      <w:r w:rsidR="0033004C">
        <w:rPr>
          <w:rStyle w:val="mixed-citation"/>
          <w:rFonts w:ascii="Times New Roman" w:hAnsi="Times New Roman" w:cs="Times New Roman"/>
          <w:sz w:val="24"/>
        </w:rPr>
        <w:t>.</w:t>
      </w:r>
      <w:r w:rsidR="00FA4A40" w:rsidRPr="006A18AE">
        <w:rPr>
          <w:rStyle w:val="mixed-citation"/>
          <w:rFonts w:ascii="Times New Roman" w:hAnsi="Times New Roman" w:cs="Times New Roman"/>
          <w:color w:val="FF0000"/>
          <w:sz w:val="24"/>
        </w:rPr>
        <w:t xml:space="preserve"> </w:t>
      </w:r>
      <w:r w:rsidR="00FA4A40" w:rsidRPr="0003433D">
        <w:rPr>
          <w:rStyle w:val="mixed-citation"/>
          <w:rFonts w:ascii="Times New Roman" w:hAnsi="Times New Roman" w:cs="Times New Roman"/>
          <w:sz w:val="24"/>
        </w:rPr>
        <w:t xml:space="preserve">Este </w:t>
      </w:r>
      <w:r w:rsidR="00895D97" w:rsidRPr="0003433D">
        <w:rPr>
          <w:rStyle w:val="mixed-citation"/>
          <w:rFonts w:ascii="Times New Roman" w:hAnsi="Times New Roman" w:cs="Times New Roman"/>
          <w:sz w:val="24"/>
        </w:rPr>
        <w:t xml:space="preserve">vínculo </w:t>
      </w:r>
      <w:r w:rsidR="00FA4A40" w:rsidRPr="0003433D">
        <w:rPr>
          <w:rStyle w:val="mixed-citation"/>
          <w:rFonts w:ascii="Times New Roman" w:hAnsi="Times New Roman" w:cs="Times New Roman"/>
          <w:sz w:val="24"/>
        </w:rPr>
        <w:t>fue explorado en el presente estudio</w:t>
      </w:r>
      <w:r w:rsidR="00B4493E">
        <w:rPr>
          <w:rStyle w:val="mixed-citation"/>
          <w:rFonts w:ascii="Times New Roman" w:hAnsi="Times New Roman" w:cs="Times New Roman"/>
          <w:sz w:val="24"/>
        </w:rPr>
        <w:t>, debido a sus implicancias metodológicas, de investigación y de eventual intervención psicológica</w:t>
      </w:r>
      <w:r w:rsidR="00FA4A40" w:rsidRPr="0003433D">
        <w:rPr>
          <w:rStyle w:val="mixed-citation"/>
          <w:rFonts w:ascii="Times New Roman" w:hAnsi="Times New Roman" w:cs="Times New Roman"/>
          <w:sz w:val="24"/>
        </w:rPr>
        <w:t>.</w:t>
      </w:r>
    </w:p>
    <w:p w:rsidR="00BF06FA" w:rsidRPr="00FA4A40" w:rsidRDefault="002D39B1" w:rsidP="00943C9D">
      <w:pPr>
        <w:jc w:val="center"/>
        <w:rPr>
          <w:rStyle w:val="mixed-citation"/>
          <w:rFonts w:ascii="Times New Roman" w:hAnsi="Times New Roman" w:cs="Times New Roman"/>
          <w:b/>
          <w:sz w:val="24"/>
          <w:lang w:val="es-PE"/>
        </w:rPr>
      </w:pPr>
      <w:r w:rsidRPr="00FA4A40">
        <w:rPr>
          <w:rStyle w:val="mixed-citation"/>
          <w:rFonts w:ascii="Times New Roman" w:hAnsi="Times New Roman" w:cs="Times New Roman"/>
          <w:b/>
          <w:sz w:val="24"/>
          <w:lang w:val="es-PE"/>
        </w:rPr>
        <w:t>Método</w:t>
      </w:r>
    </w:p>
    <w:p w:rsidR="005D4E33" w:rsidRPr="00FA4A40" w:rsidRDefault="005D4E33">
      <w:pPr>
        <w:rPr>
          <w:rStyle w:val="mixed-citation"/>
          <w:rFonts w:ascii="Times New Roman" w:hAnsi="Times New Roman" w:cs="Times New Roman"/>
          <w:b/>
          <w:sz w:val="24"/>
          <w:lang w:val="es-PE"/>
        </w:rPr>
      </w:pPr>
      <w:r w:rsidRPr="00FA4A40">
        <w:rPr>
          <w:rStyle w:val="mixed-citation"/>
          <w:rFonts w:ascii="Times New Roman" w:hAnsi="Times New Roman" w:cs="Times New Roman"/>
          <w:b/>
          <w:sz w:val="24"/>
          <w:lang w:val="es-PE"/>
        </w:rPr>
        <w:t>Participantes</w:t>
      </w:r>
    </w:p>
    <w:p w:rsidR="008F6861" w:rsidRPr="00FA4A40" w:rsidRDefault="00B73AEC" w:rsidP="00777196">
      <w:pPr>
        <w:spacing w:after="0" w:line="480" w:lineRule="auto"/>
        <w:ind w:firstLine="708"/>
        <w:rPr>
          <w:rStyle w:val="mixed-citation"/>
          <w:rFonts w:ascii="Times New Roman" w:hAnsi="Times New Roman" w:cs="Times New Roman"/>
          <w:sz w:val="24"/>
          <w:lang w:val="es-PE"/>
        </w:rPr>
      </w:pPr>
      <w:r w:rsidRPr="0003433D">
        <w:rPr>
          <w:rStyle w:val="mixed-citation"/>
          <w:rFonts w:ascii="Times New Roman" w:hAnsi="Times New Roman" w:cs="Times New Roman"/>
          <w:sz w:val="24"/>
          <w:lang w:val="es-PE"/>
        </w:rPr>
        <w:t>La población del estudio está constituida por</w:t>
      </w:r>
      <w:r w:rsidR="009D4D75" w:rsidRPr="0003433D">
        <w:rPr>
          <w:rStyle w:val="mixed-citation"/>
          <w:rFonts w:ascii="Times New Roman" w:hAnsi="Times New Roman" w:cs="Times New Roman"/>
          <w:sz w:val="24"/>
          <w:lang w:val="es-PE"/>
        </w:rPr>
        <w:t xml:space="preserve"> maestros de </w:t>
      </w:r>
      <w:r w:rsidR="00FA4A40" w:rsidRPr="0003433D">
        <w:rPr>
          <w:rStyle w:val="mixed-citation"/>
          <w:rFonts w:ascii="Times New Roman" w:hAnsi="Times New Roman" w:cs="Times New Roman"/>
          <w:sz w:val="24"/>
          <w:lang w:val="es-PE"/>
        </w:rPr>
        <w:t xml:space="preserve">instituciones educativas de gestión </w:t>
      </w:r>
      <w:r w:rsidR="009D4D75" w:rsidRPr="0003433D">
        <w:rPr>
          <w:rStyle w:val="mixed-citation"/>
          <w:rFonts w:ascii="Times New Roman" w:hAnsi="Times New Roman" w:cs="Times New Roman"/>
          <w:sz w:val="24"/>
          <w:lang w:val="es-PE"/>
        </w:rPr>
        <w:t>privad</w:t>
      </w:r>
      <w:r w:rsidR="00FA4A40" w:rsidRPr="0003433D">
        <w:rPr>
          <w:rStyle w:val="mixed-citation"/>
          <w:rFonts w:ascii="Times New Roman" w:hAnsi="Times New Roman" w:cs="Times New Roman"/>
          <w:sz w:val="24"/>
          <w:lang w:val="es-PE"/>
        </w:rPr>
        <w:t>a</w:t>
      </w:r>
      <w:r w:rsidR="009D4D75" w:rsidRPr="0003433D">
        <w:rPr>
          <w:rStyle w:val="mixed-citation"/>
          <w:rFonts w:ascii="Times New Roman" w:hAnsi="Times New Roman" w:cs="Times New Roman"/>
          <w:sz w:val="24"/>
          <w:lang w:val="es-PE"/>
        </w:rPr>
        <w:t xml:space="preserve"> de la ciudad de Lima</w:t>
      </w:r>
      <w:r w:rsidR="00FA4A40" w:rsidRPr="0003433D">
        <w:rPr>
          <w:rStyle w:val="mixed-citation"/>
          <w:rFonts w:ascii="Times New Roman" w:hAnsi="Times New Roman" w:cs="Times New Roman"/>
          <w:sz w:val="24"/>
          <w:lang w:val="es-PE"/>
        </w:rPr>
        <w:t xml:space="preserve"> Metropolitana (Perú), y la muestra fue seleccionada no probabilísticamente de varias instituciones, tratando de obtener </w:t>
      </w:r>
      <w:r w:rsidR="00FA4A40" w:rsidRPr="0033004C">
        <w:rPr>
          <w:rStyle w:val="mixed-citation"/>
          <w:rFonts w:ascii="Times New Roman" w:hAnsi="Times New Roman" w:cs="Times New Roman"/>
          <w:color w:val="000000" w:themeColor="text1"/>
          <w:sz w:val="24"/>
          <w:lang w:val="es-PE"/>
        </w:rPr>
        <w:t xml:space="preserve">la mayor heterogeneidad posible </w:t>
      </w:r>
      <w:r w:rsidR="00FA4A40" w:rsidRPr="0003433D">
        <w:rPr>
          <w:rStyle w:val="mixed-citation"/>
          <w:rFonts w:ascii="Times New Roman" w:hAnsi="Times New Roman" w:cs="Times New Roman"/>
          <w:sz w:val="24"/>
          <w:lang w:val="es-PE"/>
        </w:rPr>
        <w:t>respecto a las zonas de ubicación en Lima</w:t>
      </w:r>
      <w:r w:rsidR="009D4D75" w:rsidRPr="0003433D">
        <w:rPr>
          <w:rStyle w:val="mixed-citation"/>
          <w:rFonts w:ascii="Times New Roman" w:hAnsi="Times New Roman" w:cs="Times New Roman"/>
          <w:sz w:val="24"/>
          <w:lang w:val="es-PE"/>
        </w:rPr>
        <w:t xml:space="preserve">. </w:t>
      </w:r>
      <w:r w:rsidR="009D4D75" w:rsidRPr="00FA4A40">
        <w:rPr>
          <w:rStyle w:val="mixed-citation"/>
          <w:rFonts w:ascii="Times New Roman" w:hAnsi="Times New Roman" w:cs="Times New Roman"/>
          <w:sz w:val="24"/>
          <w:lang w:val="es-PE"/>
        </w:rPr>
        <w:t>Un total de 382 cuestionarios fueron respondidos por maestros de educación primaria (N=243) y secundaria (N=139)</w:t>
      </w:r>
      <w:r w:rsidR="00C63735">
        <w:rPr>
          <w:rStyle w:val="mixed-citation"/>
          <w:rFonts w:ascii="Times New Roman" w:hAnsi="Times New Roman" w:cs="Times New Roman"/>
          <w:sz w:val="24"/>
          <w:lang w:val="es-PE"/>
        </w:rPr>
        <w:t>, de los cuales el 77.5 fueron</w:t>
      </w:r>
      <w:r w:rsidR="00BA3209" w:rsidRPr="00FA4A40">
        <w:rPr>
          <w:rStyle w:val="mixed-citation"/>
          <w:rFonts w:ascii="Times New Roman" w:hAnsi="Times New Roman" w:cs="Times New Roman"/>
          <w:sz w:val="24"/>
          <w:lang w:val="es-PE"/>
        </w:rPr>
        <w:t xml:space="preserve"> mujeres</w:t>
      </w:r>
      <w:r w:rsidR="00C63735">
        <w:rPr>
          <w:rStyle w:val="mixed-citation"/>
          <w:rFonts w:ascii="Times New Roman" w:hAnsi="Times New Roman" w:cs="Times New Roman"/>
          <w:sz w:val="24"/>
          <w:lang w:val="es-PE"/>
        </w:rPr>
        <w:t xml:space="preserve">; </w:t>
      </w:r>
      <w:r w:rsidRPr="00FA4A40">
        <w:rPr>
          <w:rStyle w:val="mixed-citation"/>
          <w:rFonts w:ascii="Times New Roman" w:hAnsi="Times New Roman" w:cs="Times New Roman"/>
          <w:sz w:val="24"/>
          <w:lang w:val="es-PE"/>
        </w:rPr>
        <w:t xml:space="preserve">el </w:t>
      </w:r>
      <w:r w:rsidR="009D4D75" w:rsidRPr="00FA4A40">
        <w:rPr>
          <w:rStyle w:val="mixed-citation"/>
          <w:rFonts w:ascii="Times New Roman" w:hAnsi="Times New Roman" w:cs="Times New Roman"/>
          <w:sz w:val="24"/>
          <w:lang w:val="es-PE"/>
        </w:rPr>
        <w:t>58%</w:t>
      </w:r>
      <w:r w:rsidR="00BA3209" w:rsidRPr="00FA4A40">
        <w:rPr>
          <w:rStyle w:val="mixed-citation"/>
          <w:rFonts w:ascii="Times New Roman" w:hAnsi="Times New Roman" w:cs="Times New Roman"/>
          <w:sz w:val="24"/>
          <w:lang w:val="es-PE"/>
        </w:rPr>
        <w:t xml:space="preserve"> son solteros. </w:t>
      </w:r>
      <w:r w:rsidRPr="00FA4A40">
        <w:rPr>
          <w:rStyle w:val="mixed-citation"/>
          <w:rFonts w:ascii="Times New Roman" w:hAnsi="Times New Roman" w:cs="Times New Roman"/>
          <w:sz w:val="24"/>
          <w:lang w:val="es-PE"/>
        </w:rPr>
        <w:t xml:space="preserve">El </w:t>
      </w:r>
      <w:r w:rsidR="00BA3209" w:rsidRPr="00FA4A40">
        <w:rPr>
          <w:rStyle w:val="mixed-citation"/>
          <w:rFonts w:ascii="Times New Roman" w:hAnsi="Times New Roman" w:cs="Times New Roman"/>
          <w:sz w:val="24"/>
          <w:lang w:val="es-PE"/>
        </w:rPr>
        <w:t>80% indica haber obtenido Bachillerato o Licenciatura, 18</w:t>
      </w:r>
      <w:r w:rsidR="00C63735">
        <w:rPr>
          <w:rStyle w:val="mixed-citation"/>
          <w:rFonts w:ascii="Times New Roman" w:hAnsi="Times New Roman" w:cs="Times New Roman"/>
          <w:sz w:val="24"/>
          <w:lang w:val="es-PE"/>
        </w:rPr>
        <w:t>.</w:t>
      </w:r>
      <w:r w:rsidR="00BA3209" w:rsidRPr="00FA4A40">
        <w:rPr>
          <w:rStyle w:val="mixed-citation"/>
          <w:rFonts w:ascii="Times New Roman" w:hAnsi="Times New Roman" w:cs="Times New Roman"/>
          <w:sz w:val="24"/>
          <w:lang w:val="es-PE"/>
        </w:rPr>
        <w:t xml:space="preserve">6% Maestría y </w:t>
      </w:r>
      <w:r w:rsidR="00C63735">
        <w:rPr>
          <w:rStyle w:val="mixed-citation"/>
          <w:rFonts w:ascii="Times New Roman" w:hAnsi="Times New Roman" w:cs="Times New Roman"/>
          <w:sz w:val="24"/>
          <w:lang w:val="es-PE"/>
        </w:rPr>
        <w:t>.</w:t>
      </w:r>
      <w:r w:rsidR="00BA3209" w:rsidRPr="00FA4A40">
        <w:rPr>
          <w:rStyle w:val="mixed-citation"/>
          <w:rFonts w:ascii="Times New Roman" w:hAnsi="Times New Roman" w:cs="Times New Roman"/>
          <w:sz w:val="24"/>
          <w:lang w:val="es-PE"/>
        </w:rPr>
        <w:t>5</w:t>
      </w:r>
      <w:r w:rsidRPr="00FA4A40">
        <w:rPr>
          <w:rStyle w:val="mixed-citation"/>
          <w:rFonts w:ascii="Times New Roman" w:hAnsi="Times New Roman" w:cs="Times New Roman"/>
          <w:sz w:val="24"/>
          <w:lang w:val="es-PE"/>
        </w:rPr>
        <w:t>%</w:t>
      </w:r>
      <w:r w:rsidR="00BA3209" w:rsidRPr="00FA4A40">
        <w:rPr>
          <w:rStyle w:val="mixed-citation"/>
          <w:rFonts w:ascii="Times New Roman" w:hAnsi="Times New Roman" w:cs="Times New Roman"/>
          <w:sz w:val="24"/>
          <w:lang w:val="es-PE"/>
        </w:rPr>
        <w:t xml:space="preserve"> Doctorado. </w:t>
      </w:r>
      <w:r w:rsidRPr="00FA4A40">
        <w:rPr>
          <w:rStyle w:val="mixed-citation"/>
          <w:rFonts w:ascii="Times New Roman" w:hAnsi="Times New Roman" w:cs="Times New Roman"/>
          <w:sz w:val="24"/>
          <w:lang w:val="es-PE"/>
        </w:rPr>
        <w:t xml:space="preserve">El </w:t>
      </w:r>
      <w:r w:rsidR="00BA3209" w:rsidRPr="00FA4A40">
        <w:rPr>
          <w:rStyle w:val="mixed-citation"/>
          <w:rFonts w:ascii="Times New Roman" w:hAnsi="Times New Roman" w:cs="Times New Roman"/>
          <w:sz w:val="24"/>
          <w:lang w:val="es-PE"/>
        </w:rPr>
        <w:t>50</w:t>
      </w:r>
      <w:r w:rsidR="00C63735">
        <w:rPr>
          <w:rStyle w:val="mixed-citation"/>
          <w:rFonts w:ascii="Times New Roman" w:hAnsi="Times New Roman" w:cs="Times New Roman"/>
          <w:sz w:val="24"/>
          <w:lang w:val="es-PE"/>
        </w:rPr>
        <w:t>.</w:t>
      </w:r>
      <w:r w:rsidR="00BA3209" w:rsidRPr="00FA4A40">
        <w:rPr>
          <w:rStyle w:val="mixed-citation"/>
          <w:rFonts w:ascii="Times New Roman" w:hAnsi="Times New Roman" w:cs="Times New Roman"/>
          <w:sz w:val="24"/>
          <w:lang w:val="es-PE"/>
        </w:rPr>
        <w:t xml:space="preserve">5% tiene menos de un año laborando en </w:t>
      </w:r>
      <w:r w:rsidR="00C63735">
        <w:rPr>
          <w:rStyle w:val="mixed-citation"/>
          <w:rFonts w:ascii="Times New Roman" w:hAnsi="Times New Roman" w:cs="Times New Roman"/>
          <w:sz w:val="24"/>
          <w:lang w:val="es-PE"/>
        </w:rPr>
        <w:t>su institución</w:t>
      </w:r>
      <w:r w:rsidR="00BA3209" w:rsidRPr="00FA4A40">
        <w:rPr>
          <w:rStyle w:val="mixed-citation"/>
          <w:rFonts w:ascii="Times New Roman" w:hAnsi="Times New Roman" w:cs="Times New Roman"/>
          <w:sz w:val="24"/>
          <w:lang w:val="es-PE"/>
        </w:rPr>
        <w:t>, 16</w:t>
      </w:r>
      <w:r w:rsidR="00C63735">
        <w:rPr>
          <w:rStyle w:val="mixed-citation"/>
          <w:rFonts w:ascii="Times New Roman" w:hAnsi="Times New Roman" w:cs="Times New Roman"/>
          <w:sz w:val="24"/>
          <w:lang w:val="es-PE"/>
        </w:rPr>
        <w:t>.</w:t>
      </w:r>
      <w:r w:rsidR="00BA3209" w:rsidRPr="00FA4A40">
        <w:rPr>
          <w:rStyle w:val="mixed-citation"/>
          <w:rFonts w:ascii="Times New Roman" w:hAnsi="Times New Roman" w:cs="Times New Roman"/>
          <w:sz w:val="24"/>
          <w:lang w:val="es-PE"/>
        </w:rPr>
        <w:t>5% un año, 25</w:t>
      </w:r>
      <w:r w:rsidR="00C63735">
        <w:rPr>
          <w:rStyle w:val="mixed-citation"/>
          <w:rFonts w:ascii="Times New Roman" w:hAnsi="Times New Roman" w:cs="Times New Roman"/>
          <w:sz w:val="24"/>
          <w:lang w:val="es-PE"/>
        </w:rPr>
        <w:t>.</w:t>
      </w:r>
      <w:r w:rsidR="00BA3209" w:rsidRPr="00FA4A40">
        <w:rPr>
          <w:rStyle w:val="mixed-citation"/>
          <w:rFonts w:ascii="Times New Roman" w:hAnsi="Times New Roman" w:cs="Times New Roman"/>
          <w:sz w:val="24"/>
          <w:lang w:val="es-PE"/>
        </w:rPr>
        <w:t>7% 2 años, 4</w:t>
      </w:r>
      <w:r w:rsidR="00C63735">
        <w:rPr>
          <w:rStyle w:val="mixed-citation"/>
          <w:rFonts w:ascii="Times New Roman" w:hAnsi="Times New Roman" w:cs="Times New Roman"/>
          <w:sz w:val="24"/>
          <w:lang w:val="es-PE"/>
        </w:rPr>
        <w:t>.</w:t>
      </w:r>
      <w:r w:rsidR="00BA3209" w:rsidRPr="00FA4A40">
        <w:rPr>
          <w:rStyle w:val="mixed-citation"/>
          <w:rFonts w:ascii="Times New Roman" w:hAnsi="Times New Roman" w:cs="Times New Roman"/>
          <w:sz w:val="24"/>
          <w:lang w:val="es-PE"/>
        </w:rPr>
        <w:t>2% 3 años y 3.2% entre 4 y 11 años. El 37,2% tiene un trabajo adicional.</w:t>
      </w:r>
    </w:p>
    <w:p w:rsidR="005D4E33" w:rsidRPr="00FA4A40" w:rsidRDefault="005D4E33" w:rsidP="00777196">
      <w:pPr>
        <w:spacing w:after="0" w:line="480" w:lineRule="auto"/>
        <w:rPr>
          <w:rStyle w:val="mixed-citation"/>
          <w:rFonts w:ascii="Times New Roman" w:hAnsi="Times New Roman" w:cs="Times New Roman"/>
          <w:b/>
          <w:sz w:val="24"/>
          <w:szCs w:val="24"/>
        </w:rPr>
      </w:pPr>
      <w:r w:rsidRPr="00FA4A40">
        <w:rPr>
          <w:rStyle w:val="mixed-citation"/>
          <w:rFonts w:ascii="Times New Roman" w:hAnsi="Times New Roman" w:cs="Times New Roman"/>
          <w:b/>
          <w:sz w:val="24"/>
          <w:szCs w:val="24"/>
        </w:rPr>
        <w:t>Instrumento</w:t>
      </w:r>
    </w:p>
    <w:p w:rsidR="008F6861" w:rsidRPr="0003433D" w:rsidRDefault="00F46A21" w:rsidP="00777196">
      <w:pPr>
        <w:spacing w:after="0" w:line="480" w:lineRule="auto"/>
        <w:ind w:firstLine="708"/>
        <w:rPr>
          <w:rStyle w:val="mixed-citation"/>
          <w:rFonts w:ascii="Times New Roman" w:hAnsi="Times New Roman" w:cs="Times New Roman"/>
          <w:color w:val="FF0000"/>
          <w:sz w:val="24"/>
          <w:szCs w:val="24"/>
        </w:rPr>
      </w:pPr>
      <w:r w:rsidRPr="0003433D">
        <w:rPr>
          <w:rStyle w:val="mixed-citation"/>
          <w:rFonts w:ascii="Times New Roman" w:hAnsi="Times New Roman" w:cs="Times New Roman"/>
          <w:b/>
          <w:sz w:val="24"/>
          <w:szCs w:val="24"/>
        </w:rPr>
        <w:t>M</w:t>
      </w:r>
      <w:r w:rsidR="006B7749" w:rsidRPr="0003433D">
        <w:rPr>
          <w:rStyle w:val="mixed-citation"/>
          <w:rFonts w:ascii="Times New Roman" w:hAnsi="Times New Roman" w:cs="Times New Roman"/>
          <w:b/>
          <w:sz w:val="24"/>
          <w:szCs w:val="24"/>
        </w:rPr>
        <w:t xml:space="preserve">aslach </w:t>
      </w:r>
      <w:r w:rsidRPr="0003433D">
        <w:rPr>
          <w:rStyle w:val="mixed-citation"/>
          <w:rFonts w:ascii="Times New Roman" w:hAnsi="Times New Roman" w:cs="Times New Roman"/>
          <w:b/>
          <w:sz w:val="24"/>
          <w:szCs w:val="24"/>
        </w:rPr>
        <w:t>B</w:t>
      </w:r>
      <w:r w:rsidR="006B7749" w:rsidRPr="0003433D">
        <w:rPr>
          <w:rStyle w:val="mixed-citation"/>
          <w:rFonts w:ascii="Times New Roman" w:hAnsi="Times New Roman" w:cs="Times New Roman"/>
          <w:b/>
          <w:sz w:val="24"/>
          <w:szCs w:val="24"/>
        </w:rPr>
        <w:t xml:space="preserve">urnout </w:t>
      </w:r>
      <w:proofErr w:type="spellStart"/>
      <w:r w:rsidRPr="0003433D">
        <w:rPr>
          <w:rStyle w:val="mixed-citation"/>
          <w:rFonts w:ascii="Times New Roman" w:hAnsi="Times New Roman" w:cs="Times New Roman"/>
          <w:b/>
          <w:sz w:val="24"/>
          <w:szCs w:val="24"/>
        </w:rPr>
        <w:t>I</w:t>
      </w:r>
      <w:r w:rsidR="006B7749" w:rsidRPr="0003433D">
        <w:rPr>
          <w:rStyle w:val="mixed-citation"/>
          <w:rFonts w:ascii="Times New Roman" w:hAnsi="Times New Roman" w:cs="Times New Roman"/>
          <w:b/>
          <w:sz w:val="24"/>
          <w:szCs w:val="24"/>
        </w:rPr>
        <w:t>nventory</w:t>
      </w:r>
      <w:proofErr w:type="spellEnd"/>
      <w:r w:rsidRPr="0003433D">
        <w:rPr>
          <w:rStyle w:val="mixed-citation"/>
          <w:rFonts w:ascii="Times New Roman" w:hAnsi="Times New Roman" w:cs="Times New Roman"/>
          <w:b/>
          <w:sz w:val="24"/>
          <w:szCs w:val="24"/>
        </w:rPr>
        <w:t xml:space="preserve"> </w:t>
      </w:r>
      <w:r w:rsidR="00DE62AA" w:rsidRPr="0003433D">
        <w:rPr>
          <w:rStyle w:val="mixed-citation"/>
          <w:rFonts w:ascii="Times New Roman" w:hAnsi="Times New Roman" w:cs="Times New Roman"/>
          <w:b/>
          <w:sz w:val="24"/>
          <w:szCs w:val="24"/>
        </w:rPr>
        <w:t xml:space="preserve">-  </w:t>
      </w:r>
      <w:r w:rsidRPr="0003433D">
        <w:rPr>
          <w:rStyle w:val="mixed-citation"/>
          <w:rFonts w:ascii="Times New Roman" w:hAnsi="Times New Roman" w:cs="Times New Roman"/>
          <w:b/>
          <w:sz w:val="24"/>
          <w:szCs w:val="24"/>
        </w:rPr>
        <w:t>G</w:t>
      </w:r>
      <w:r w:rsidR="006B7749" w:rsidRPr="0003433D">
        <w:rPr>
          <w:rStyle w:val="mixed-citation"/>
          <w:rFonts w:ascii="Times New Roman" w:hAnsi="Times New Roman" w:cs="Times New Roman"/>
          <w:b/>
          <w:sz w:val="24"/>
          <w:szCs w:val="24"/>
        </w:rPr>
        <w:t xml:space="preserve">eneral </w:t>
      </w:r>
      <w:proofErr w:type="spellStart"/>
      <w:r w:rsidRPr="0003433D">
        <w:rPr>
          <w:rStyle w:val="mixed-citation"/>
          <w:rFonts w:ascii="Times New Roman" w:hAnsi="Times New Roman" w:cs="Times New Roman"/>
          <w:b/>
          <w:sz w:val="24"/>
          <w:szCs w:val="24"/>
        </w:rPr>
        <w:t>S</w:t>
      </w:r>
      <w:r w:rsidR="006B7749" w:rsidRPr="0003433D">
        <w:rPr>
          <w:rStyle w:val="mixed-citation"/>
          <w:rFonts w:ascii="Times New Roman" w:hAnsi="Times New Roman" w:cs="Times New Roman"/>
          <w:b/>
          <w:sz w:val="24"/>
          <w:szCs w:val="24"/>
        </w:rPr>
        <w:t>urvey</w:t>
      </w:r>
      <w:proofErr w:type="spellEnd"/>
      <w:r w:rsidRPr="0003433D">
        <w:rPr>
          <w:rStyle w:val="mixed-citation"/>
          <w:rFonts w:ascii="Times New Roman" w:hAnsi="Times New Roman" w:cs="Times New Roman"/>
          <w:b/>
          <w:sz w:val="24"/>
          <w:szCs w:val="24"/>
        </w:rPr>
        <w:t xml:space="preserve"> </w:t>
      </w:r>
      <w:r w:rsidR="00F52FEE" w:rsidRPr="0003433D">
        <w:rPr>
          <w:rStyle w:val="mixed-citation"/>
          <w:rFonts w:ascii="Times New Roman" w:hAnsi="Times New Roman" w:cs="Times New Roman"/>
          <w:b/>
          <w:sz w:val="24"/>
          <w:szCs w:val="24"/>
        </w:rPr>
        <w:t>(</w:t>
      </w:r>
      <w:r w:rsidR="00DE62AA" w:rsidRPr="0003433D">
        <w:rPr>
          <w:rStyle w:val="mixed-citation"/>
          <w:rFonts w:ascii="Times New Roman" w:hAnsi="Times New Roman" w:cs="Times New Roman"/>
          <w:b/>
          <w:sz w:val="24"/>
          <w:szCs w:val="24"/>
        </w:rPr>
        <w:t xml:space="preserve">MBI-GS; </w:t>
      </w:r>
      <w:r w:rsidR="00F52FEE" w:rsidRPr="0003433D">
        <w:rPr>
          <w:rStyle w:val="mixed-citation"/>
          <w:rFonts w:ascii="Times New Roman" w:hAnsi="Times New Roman" w:cs="Times New Roman"/>
          <w:b/>
          <w:sz w:val="24"/>
          <w:szCs w:val="24"/>
        </w:rPr>
        <w:t>Maslach et al., 1996)</w:t>
      </w:r>
      <w:r w:rsidR="00DE62AA" w:rsidRPr="0003433D">
        <w:rPr>
          <w:rStyle w:val="mixed-citation"/>
          <w:rFonts w:ascii="Times New Roman" w:hAnsi="Times New Roman" w:cs="Times New Roman"/>
          <w:sz w:val="24"/>
          <w:szCs w:val="24"/>
        </w:rPr>
        <w:t>.</w:t>
      </w:r>
      <w:r w:rsidR="00F52FEE" w:rsidRPr="0003433D">
        <w:rPr>
          <w:rStyle w:val="mixed-citation"/>
          <w:rFonts w:ascii="Times New Roman" w:hAnsi="Times New Roman" w:cs="Times New Roman"/>
          <w:sz w:val="24"/>
          <w:szCs w:val="24"/>
        </w:rPr>
        <w:t xml:space="preserve"> </w:t>
      </w:r>
      <w:r w:rsidR="002F4005">
        <w:rPr>
          <w:rStyle w:val="mixed-citation"/>
          <w:rFonts w:ascii="Times New Roman" w:hAnsi="Times New Roman" w:cs="Times New Roman"/>
          <w:sz w:val="24"/>
          <w:szCs w:val="24"/>
        </w:rPr>
        <w:t xml:space="preserve">Se usó la </w:t>
      </w:r>
      <w:r w:rsidR="00F52FEE" w:rsidRPr="00FA4A40">
        <w:rPr>
          <w:rStyle w:val="mixed-citation"/>
          <w:rFonts w:ascii="Times New Roman" w:hAnsi="Times New Roman" w:cs="Times New Roman"/>
          <w:sz w:val="24"/>
          <w:szCs w:val="24"/>
        </w:rPr>
        <w:t xml:space="preserve">traducción española </w:t>
      </w:r>
      <w:r w:rsidR="002F4005">
        <w:rPr>
          <w:rStyle w:val="mixed-citation"/>
          <w:rFonts w:ascii="Times New Roman" w:hAnsi="Times New Roman" w:cs="Times New Roman"/>
          <w:sz w:val="24"/>
          <w:szCs w:val="24"/>
        </w:rPr>
        <w:t xml:space="preserve">de </w:t>
      </w:r>
      <w:r w:rsidR="00F52FEE" w:rsidRPr="00FA4A40">
        <w:rPr>
          <w:rStyle w:val="mixed-citation"/>
          <w:rFonts w:ascii="Times New Roman" w:hAnsi="Times New Roman" w:cs="Times New Roman"/>
          <w:sz w:val="24"/>
          <w:szCs w:val="24"/>
        </w:rPr>
        <w:t>Juárez et al.</w:t>
      </w:r>
      <w:r w:rsidR="002F4005">
        <w:rPr>
          <w:rStyle w:val="mixed-citation"/>
          <w:rFonts w:ascii="Times New Roman" w:hAnsi="Times New Roman" w:cs="Times New Roman"/>
          <w:sz w:val="24"/>
          <w:szCs w:val="24"/>
        </w:rPr>
        <w:t xml:space="preserve"> (</w:t>
      </w:r>
      <w:r w:rsidR="00F52FEE" w:rsidRPr="00FA4A40">
        <w:rPr>
          <w:rStyle w:val="mixed-citation"/>
          <w:rFonts w:ascii="Times New Roman" w:hAnsi="Times New Roman" w:cs="Times New Roman"/>
          <w:sz w:val="24"/>
          <w:szCs w:val="24"/>
        </w:rPr>
        <w:t xml:space="preserve">2011), </w:t>
      </w:r>
      <w:r w:rsidR="0033004C" w:rsidRPr="0033004C">
        <w:rPr>
          <w:rStyle w:val="mixed-citation"/>
          <w:rFonts w:ascii="Times New Roman" w:hAnsi="Times New Roman" w:cs="Times New Roman"/>
          <w:color w:val="000000" w:themeColor="text1"/>
          <w:sz w:val="24"/>
          <w:szCs w:val="24"/>
        </w:rPr>
        <w:t>la</w:t>
      </w:r>
      <w:r w:rsidR="00F52FEE" w:rsidRPr="0033004C">
        <w:rPr>
          <w:rStyle w:val="mixed-citation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F52FEE" w:rsidRPr="00FA4A40">
        <w:rPr>
          <w:rStyle w:val="mixed-citation"/>
          <w:rFonts w:ascii="Times New Roman" w:hAnsi="Times New Roman" w:cs="Times New Roman"/>
          <w:sz w:val="24"/>
          <w:szCs w:val="24"/>
        </w:rPr>
        <w:t xml:space="preserve">cual </w:t>
      </w:r>
      <w:r w:rsidR="003F7E1C" w:rsidRPr="00FA4A40">
        <w:rPr>
          <w:rStyle w:val="mixed-citation"/>
          <w:rFonts w:ascii="Times New Roman" w:hAnsi="Times New Roman" w:cs="Times New Roman"/>
          <w:sz w:val="24"/>
          <w:szCs w:val="24"/>
        </w:rPr>
        <w:t xml:space="preserve"> </w:t>
      </w:r>
      <w:r w:rsidR="001109E3">
        <w:rPr>
          <w:rStyle w:val="mixed-citation"/>
          <w:rFonts w:ascii="Times New Roman" w:hAnsi="Times New Roman" w:cs="Times New Roman"/>
          <w:sz w:val="24"/>
          <w:szCs w:val="24"/>
        </w:rPr>
        <w:t>está</w:t>
      </w:r>
      <w:proofErr w:type="gramEnd"/>
      <w:r w:rsidR="001109E3">
        <w:rPr>
          <w:rStyle w:val="mixed-citation"/>
          <w:rFonts w:ascii="Times New Roman" w:hAnsi="Times New Roman" w:cs="Times New Roman"/>
          <w:sz w:val="24"/>
          <w:szCs w:val="24"/>
        </w:rPr>
        <w:t xml:space="preserve"> conformada</w:t>
      </w:r>
      <w:r w:rsidRPr="00FA4A40">
        <w:rPr>
          <w:rStyle w:val="mixed-citation"/>
          <w:rFonts w:ascii="Times New Roman" w:hAnsi="Times New Roman" w:cs="Times New Roman"/>
          <w:sz w:val="24"/>
          <w:szCs w:val="24"/>
        </w:rPr>
        <w:t xml:space="preserve"> por </w:t>
      </w:r>
      <w:r w:rsidR="00F52FEE" w:rsidRPr="00FA4A40">
        <w:rPr>
          <w:rStyle w:val="mixed-citation"/>
          <w:rFonts w:ascii="Times New Roman" w:hAnsi="Times New Roman" w:cs="Times New Roman"/>
          <w:sz w:val="24"/>
          <w:szCs w:val="24"/>
        </w:rPr>
        <w:t>tres subescalas: agotamiento emocional</w:t>
      </w:r>
      <w:r w:rsidR="003F7E1C" w:rsidRPr="00FA4A40">
        <w:rPr>
          <w:rStyle w:val="mixed-citation"/>
          <w:rFonts w:ascii="Times New Roman" w:hAnsi="Times New Roman" w:cs="Times New Roman"/>
          <w:sz w:val="24"/>
          <w:szCs w:val="24"/>
        </w:rPr>
        <w:t xml:space="preserve"> (</w:t>
      </w:r>
      <w:r w:rsidR="00C93F56">
        <w:rPr>
          <w:rStyle w:val="mixed-citation"/>
          <w:rFonts w:ascii="Times New Roman" w:hAnsi="Times New Roman" w:cs="Times New Roman"/>
          <w:sz w:val="24"/>
          <w:szCs w:val="24"/>
        </w:rPr>
        <w:t xml:space="preserve">AE, </w:t>
      </w:r>
      <w:r w:rsidR="003F7E1C" w:rsidRPr="00FA4A40">
        <w:rPr>
          <w:rStyle w:val="mixed-citation"/>
          <w:rFonts w:ascii="Times New Roman" w:hAnsi="Times New Roman" w:cs="Times New Roman"/>
          <w:sz w:val="24"/>
          <w:szCs w:val="24"/>
        </w:rPr>
        <w:t>cinco</w:t>
      </w:r>
      <w:r w:rsidR="00F52FEE" w:rsidRPr="00FA4A40">
        <w:rPr>
          <w:rStyle w:val="mixed-citation"/>
          <w:rFonts w:ascii="Times New Roman" w:hAnsi="Times New Roman" w:cs="Times New Roman"/>
          <w:sz w:val="24"/>
          <w:szCs w:val="24"/>
        </w:rPr>
        <w:t xml:space="preserve"> </w:t>
      </w:r>
      <w:r w:rsidR="003F7E1C" w:rsidRPr="00FA4A40">
        <w:rPr>
          <w:rStyle w:val="mixed-citation"/>
          <w:rFonts w:ascii="Times New Roman" w:hAnsi="Times New Roman" w:cs="Times New Roman"/>
          <w:sz w:val="24"/>
          <w:szCs w:val="24"/>
        </w:rPr>
        <w:t>ítems</w:t>
      </w:r>
      <w:r w:rsidR="00B36ACD">
        <w:rPr>
          <w:rStyle w:val="mixed-citation"/>
          <w:rFonts w:ascii="Times New Roman" w:hAnsi="Times New Roman" w:cs="Times New Roman"/>
          <w:sz w:val="24"/>
          <w:szCs w:val="24"/>
        </w:rPr>
        <w:t xml:space="preserve">), indiferencia </w:t>
      </w:r>
      <w:r w:rsidR="003F7E1C" w:rsidRPr="00FA4A40">
        <w:rPr>
          <w:rStyle w:val="mixed-citation"/>
          <w:rFonts w:ascii="Times New Roman" w:hAnsi="Times New Roman" w:cs="Times New Roman"/>
          <w:sz w:val="24"/>
          <w:szCs w:val="24"/>
        </w:rPr>
        <w:t>(</w:t>
      </w:r>
      <w:r w:rsidR="00C93F56">
        <w:rPr>
          <w:rStyle w:val="mixed-citation"/>
          <w:rFonts w:ascii="Times New Roman" w:hAnsi="Times New Roman" w:cs="Times New Roman"/>
          <w:sz w:val="24"/>
          <w:szCs w:val="24"/>
        </w:rPr>
        <w:t xml:space="preserve">IN, </w:t>
      </w:r>
      <w:r w:rsidR="00B36ACD">
        <w:rPr>
          <w:rStyle w:val="mixed-citation"/>
          <w:rFonts w:ascii="Times New Roman" w:hAnsi="Times New Roman" w:cs="Times New Roman"/>
          <w:sz w:val="24"/>
          <w:szCs w:val="24"/>
        </w:rPr>
        <w:t xml:space="preserve">5 </w:t>
      </w:r>
      <w:r w:rsidR="003F7E1C" w:rsidRPr="00FA4A40">
        <w:rPr>
          <w:rStyle w:val="mixed-citation"/>
          <w:rFonts w:ascii="Times New Roman" w:hAnsi="Times New Roman" w:cs="Times New Roman"/>
          <w:sz w:val="24"/>
          <w:szCs w:val="24"/>
        </w:rPr>
        <w:t>ítems</w:t>
      </w:r>
      <w:r w:rsidR="00B36ACD">
        <w:rPr>
          <w:rStyle w:val="mixed-citation"/>
          <w:rFonts w:ascii="Times New Roman" w:hAnsi="Times New Roman" w:cs="Times New Roman"/>
          <w:sz w:val="24"/>
          <w:szCs w:val="24"/>
        </w:rPr>
        <w:t xml:space="preserve">) </w:t>
      </w:r>
      <w:r w:rsidR="00F52FEE" w:rsidRPr="00FA4A40">
        <w:rPr>
          <w:rStyle w:val="mixed-citation"/>
          <w:rFonts w:ascii="Times New Roman" w:hAnsi="Times New Roman" w:cs="Times New Roman"/>
          <w:sz w:val="24"/>
          <w:szCs w:val="24"/>
        </w:rPr>
        <w:t>y eficacia profesional</w:t>
      </w:r>
      <w:r w:rsidR="00F633EF" w:rsidRPr="00FA4A40">
        <w:rPr>
          <w:rStyle w:val="mixed-citation"/>
          <w:rFonts w:ascii="Times New Roman" w:hAnsi="Times New Roman" w:cs="Times New Roman"/>
          <w:sz w:val="24"/>
          <w:szCs w:val="24"/>
        </w:rPr>
        <w:t xml:space="preserve"> (</w:t>
      </w:r>
      <w:r w:rsidR="00C93F56">
        <w:rPr>
          <w:rStyle w:val="mixed-citation"/>
          <w:rFonts w:ascii="Times New Roman" w:hAnsi="Times New Roman" w:cs="Times New Roman"/>
          <w:sz w:val="24"/>
          <w:szCs w:val="24"/>
        </w:rPr>
        <w:t xml:space="preserve">EP, </w:t>
      </w:r>
      <w:r w:rsidR="00F633EF" w:rsidRPr="00FA4A40">
        <w:rPr>
          <w:rStyle w:val="mixed-citation"/>
          <w:rFonts w:ascii="Times New Roman" w:hAnsi="Times New Roman" w:cs="Times New Roman"/>
          <w:sz w:val="24"/>
          <w:szCs w:val="24"/>
        </w:rPr>
        <w:t>seis</w:t>
      </w:r>
      <w:r w:rsidR="00F52FEE" w:rsidRPr="00FA4A40">
        <w:rPr>
          <w:rStyle w:val="mixed-citation"/>
          <w:rFonts w:ascii="Times New Roman" w:hAnsi="Times New Roman" w:cs="Times New Roman"/>
          <w:sz w:val="24"/>
          <w:szCs w:val="24"/>
        </w:rPr>
        <w:t xml:space="preserve"> </w:t>
      </w:r>
      <w:r w:rsidR="00F633EF" w:rsidRPr="00FA4A40">
        <w:rPr>
          <w:rStyle w:val="mixed-citation"/>
          <w:rFonts w:ascii="Times New Roman" w:hAnsi="Times New Roman" w:cs="Times New Roman"/>
          <w:sz w:val="24"/>
          <w:szCs w:val="24"/>
        </w:rPr>
        <w:t>ítems</w:t>
      </w:r>
      <w:r w:rsidR="00B36ACD">
        <w:rPr>
          <w:rStyle w:val="mixed-citation"/>
          <w:rFonts w:ascii="Times New Roman" w:hAnsi="Times New Roman" w:cs="Times New Roman"/>
          <w:sz w:val="24"/>
          <w:szCs w:val="24"/>
        </w:rPr>
        <w:t>)</w:t>
      </w:r>
      <w:r w:rsidR="00F52FEE" w:rsidRPr="00FA4A40">
        <w:rPr>
          <w:rStyle w:val="mixed-citation"/>
          <w:rFonts w:ascii="Times New Roman" w:hAnsi="Times New Roman" w:cs="Times New Roman"/>
          <w:sz w:val="24"/>
          <w:szCs w:val="24"/>
        </w:rPr>
        <w:t xml:space="preserve">. Los </w:t>
      </w:r>
      <w:r w:rsidR="00F633EF" w:rsidRPr="00FA4A40">
        <w:rPr>
          <w:rStyle w:val="mixed-citation"/>
          <w:rFonts w:ascii="Times New Roman" w:hAnsi="Times New Roman" w:cs="Times New Roman"/>
          <w:sz w:val="24"/>
          <w:szCs w:val="24"/>
        </w:rPr>
        <w:t>ítems p</w:t>
      </w:r>
      <w:r w:rsidR="006A18AE">
        <w:rPr>
          <w:rStyle w:val="mixed-citation"/>
          <w:rFonts w:ascii="Times New Roman" w:hAnsi="Times New Roman" w:cs="Times New Roman"/>
          <w:sz w:val="24"/>
          <w:szCs w:val="24"/>
        </w:rPr>
        <w:t>untúan en una escala ordinal</w:t>
      </w:r>
      <w:r w:rsidR="00F52FEE" w:rsidRPr="00FA4A40">
        <w:rPr>
          <w:rStyle w:val="mixed-citation"/>
          <w:rFonts w:ascii="Times New Roman" w:hAnsi="Times New Roman" w:cs="Times New Roman"/>
          <w:sz w:val="24"/>
          <w:szCs w:val="24"/>
        </w:rPr>
        <w:t xml:space="preserve"> de 7 puntos, desde (0) “nunca” hasta (6) “diariamente”.</w:t>
      </w:r>
      <w:r w:rsidR="006B7749" w:rsidRPr="00FA4A40">
        <w:rPr>
          <w:rStyle w:val="mixed-citation"/>
          <w:rFonts w:ascii="Times New Roman" w:hAnsi="Times New Roman" w:cs="Times New Roman"/>
          <w:sz w:val="24"/>
          <w:szCs w:val="24"/>
        </w:rPr>
        <w:t xml:space="preserve"> Estudios previos en Perú</w:t>
      </w:r>
      <w:r w:rsidR="004E40F3">
        <w:rPr>
          <w:rStyle w:val="mixed-citation"/>
          <w:rFonts w:ascii="Times New Roman" w:hAnsi="Times New Roman" w:cs="Times New Roman"/>
          <w:sz w:val="24"/>
          <w:szCs w:val="24"/>
        </w:rPr>
        <w:t xml:space="preserve"> (en los que se prescindió del ítem 13 debido a su deficiencia psicométrica)</w:t>
      </w:r>
      <w:r w:rsidR="002F4005">
        <w:rPr>
          <w:rStyle w:val="mixed-citation"/>
          <w:rFonts w:ascii="Times New Roman" w:hAnsi="Times New Roman" w:cs="Times New Roman"/>
          <w:sz w:val="24"/>
          <w:szCs w:val="24"/>
        </w:rPr>
        <w:t xml:space="preserve"> </w:t>
      </w:r>
      <w:r w:rsidR="002F4005" w:rsidRPr="0003433D">
        <w:rPr>
          <w:rStyle w:val="mixed-citation"/>
          <w:rFonts w:ascii="Times New Roman" w:hAnsi="Times New Roman" w:cs="Times New Roman"/>
          <w:sz w:val="24"/>
          <w:szCs w:val="24"/>
        </w:rPr>
        <w:t>sobre</w:t>
      </w:r>
      <w:r w:rsidR="002F4005" w:rsidRPr="002F4005">
        <w:rPr>
          <w:rStyle w:val="mixed-citation"/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6B7749" w:rsidRPr="00FA4A40">
        <w:rPr>
          <w:rStyle w:val="mixed-citation"/>
          <w:rFonts w:ascii="Times New Roman" w:hAnsi="Times New Roman" w:cs="Times New Roman"/>
          <w:sz w:val="24"/>
          <w:szCs w:val="24"/>
        </w:rPr>
        <w:t>su estructura fact</w:t>
      </w:r>
      <w:r w:rsidR="004E40F3">
        <w:rPr>
          <w:rStyle w:val="mixed-citation"/>
          <w:rFonts w:ascii="Times New Roman" w:hAnsi="Times New Roman" w:cs="Times New Roman"/>
          <w:sz w:val="24"/>
          <w:szCs w:val="24"/>
        </w:rPr>
        <w:t xml:space="preserve">orial, han sido satisfactorios </w:t>
      </w:r>
      <w:r w:rsidR="00BF16F1" w:rsidRPr="004E40F3">
        <w:rPr>
          <w:rStyle w:val="mixed-citation"/>
          <w:rFonts w:ascii="Times New Roman" w:hAnsi="Times New Roman" w:cs="Times New Roman"/>
          <w:sz w:val="24"/>
          <w:szCs w:val="24"/>
        </w:rPr>
        <w:t>(</w:t>
      </w:r>
      <w:r w:rsidR="009E06D4" w:rsidRPr="005A1388">
        <w:rPr>
          <w:rFonts w:ascii="Times New Roman" w:hAnsi="Times New Roman" w:cs="Times New Roman"/>
          <w:sz w:val="24"/>
        </w:rPr>
        <w:t>Fernández,</w:t>
      </w:r>
      <w:r w:rsidR="009E06D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E06D4" w:rsidRPr="005A1388">
        <w:rPr>
          <w:rFonts w:ascii="Times New Roman" w:hAnsi="Times New Roman" w:cs="Times New Roman"/>
          <w:sz w:val="24"/>
        </w:rPr>
        <w:t>Juarez</w:t>
      </w:r>
      <w:proofErr w:type="spellEnd"/>
      <w:r w:rsidR="009E06D4">
        <w:rPr>
          <w:rFonts w:ascii="Times New Roman" w:hAnsi="Times New Roman" w:cs="Times New Roman"/>
          <w:sz w:val="24"/>
        </w:rPr>
        <w:t xml:space="preserve"> </w:t>
      </w:r>
      <w:r w:rsidR="009E06D4" w:rsidRPr="005A1388">
        <w:rPr>
          <w:rFonts w:ascii="Times New Roman" w:hAnsi="Times New Roman" w:cs="Times New Roman"/>
          <w:sz w:val="24"/>
        </w:rPr>
        <w:t>&amp; Merino, 2015</w:t>
      </w:r>
      <w:r w:rsidR="009E06D4">
        <w:rPr>
          <w:rFonts w:ascii="Times New Roman" w:hAnsi="Times New Roman" w:cs="Times New Roman"/>
          <w:sz w:val="24"/>
        </w:rPr>
        <w:t xml:space="preserve">; </w:t>
      </w:r>
      <w:r w:rsidR="00BF16F1" w:rsidRPr="004E40F3">
        <w:rPr>
          <w:rStyle w:val="mixed-citation"/>
          <w:rFonts w:ascii="Times New Roman" w:hAnsi="Times New Roman" w:cs="Times New Roman"/>
          <w:sz w:val="24"/>
          <w:szCs w:val="24"/>
        </w:rPr>
        <w:t>Fernández,</w:t>
      </w:r>
      <w:r w:rsidR="005F5B1C" w:rsidRPr="004E40F3">
        <w:rPr>
          <w:rStyle w:val="mixed-citation"/>
          <w:rFonts w:ascii="Times New Roman" w:hAnsi="Times New Roman" w:cs="Times New Roman"/>
          <w:sz w:val="24"/>
          <w:szCs w:val="24"/>
        </w:rPr>
        <w:t xml:space="preserve"> Merino </w:t>
      </w:r>
      <w:r w:rsidR="009A1B3F">
        <w:rPr>
          <w:rStyle w:val="mixed-citation"/>
          <w:rFonts w:ascii="Times New Roman" w:hAnsi="Times New Roman" w:cs="Times New Roman"/>
          <w:sz w:val="24"/>
          <w:szCs w:val="24"/>
        </w:rPr>
        <w:t>&amp;</w:t>
      </w:r>
      <w:r w:rsidR="005F5B1C" w:rsidRPr="004E40F3">
        <w:rPr>
          <w:rStyle w:val="mixed-citatio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5B1C" w:rsidRPr="004E40F3">
        <w:rPr>
          <w:rStyle w:val="mixed-citation"/>
          <w:rFonts w:ascii="Times New Roman" w:hAnsi="Times New Roman" w:cs="Times New Roman"/>
          <w:sz w:val="24"/>
          <w:szCs w:val="24"/>
        </w:rPr>
        <w:t>Guimet</w:t>
      </w:r>
      <w:proofErr w:type="spellEnd"/>
      <w:r w:rsidR="005F5B1C" w:rsidRPr="004E40F3">
        <w:rPr>
          <w:rStyle w:val="mixed-citation"/>
          <w:rFonts w:ascii="Times New Roman" w:hAnsi="Times New Roman" w:cs="Times New Roman"/>
          <w:sz w:val="24"/>
          <w:szCs w:val="24"/>
        </w:rPr>
        <w:t>,</w:t>
      </w:r>
      <w:r w:rsidR="00BF16F1" w:rsidRPr="004E40F3">
        <w:rPr>
          <w:rStyle w:val="mixed-citation"/>
          <w:rFonts w:ascii="Times New Roman" w:hAnsi="Times New Roman" w:cs="Times New Roman"/>
          <w:sz w:val="24"/>
          <w:szCs w:val="24"/>
        </w:rPr>
        <w:t xml:space="preserve"> 2014).</w:t>
      </w:r>
      <w:r w:rsidR="006B7749" w:rsidRPr="004E40F3">
        <w:rPr>
          <w:rStyle w:val="mixed-citation"/>
          <w:rFonts w:ascii="Times New Roman" w:hAnsi="Times New Roman" w:cs="Times New Roman"/>
          <w:sz w:val="24"/>
          <w:szCs w:val="24"/>
        </w:rPr>
        <w:t xml:space="preserve"> </w:t>
      </w:r>
    </w:p>
    <w:p w:rsidR="00235491" w:rsidRPr="00FA4A40" w:rsidRDefault="006A4FFD" w:rsidP="00777196">
      <w:pPr>
        <w:spacing w:after="0" w:line="480" w:lineRule="auto"/>
        <w:ind w:firstLine="708"/>
        <w:rPr>
          <w:rStyle w:val="mixed-citation"/>
          <w:rFonts w:ascii="Times New Roman" w:hAnsi="Times New Roman" w:cs="Times New Roman"/>
          <w:sz w:val="24"/>
          <w:szCs w:val="24"/>
        </w:rPr>
      </w:pPr>
      <w:r w:rsidRPr="00A90914">
        <w:rPr>
          <w:rStyle w:val="mixed-citation"/>
          <w:rFonts w:ascii="Times New Roman" w:hAnsi="Times New Roman" w:cs="Times New Roman"/>
          <w:b/>
          <w:color w:val="000000" w:themeColor="text1"/>
          <w:sz w:val="24"/>
          <w:szCs w:val="24"/>
        </w:rPr>
        <w:t>Í</w:t>
      </w:r>
      <w:r w:rsidR="00235491" w:rsidRPr="00A90914">
        <w:rPr>
          <w:rStyle w:val="mixed-citation"/>
          <w:rFonts w:ascii="Times New Roman" w:hAnsi="Times New Roman" w:cs="Times New Roman"/>
          <w:b/>
          <w:color w:val="000000" w:themeColor="text1"/>
          <w:sz w:val="24"/>
          <w:szCs w:val="24"/>
        </w:rPr>
        <w:t>tem</w:t>
      </w:r>
      <w:r w:rsidR="004E40F3" w:rsidRPr="00A90914">
        <w:rPr>
          <w:rStyle w:val="mixed-citation"/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único sobre condición de estrés (</w:t>
      </w:r>
      <w:r w:rsidR="00235491" w:rsidRPr="00A90914">
        <w:rPr>
          <w:rStyle w:val="mixed-citation"/>
          <w:rFonts w:ascii="Times New Roman" w:hAnsi="Times New Roman" w:cs="Times New Roman"/>
          <w:b/>
          <w:color w:val="000000" w:themeColor="text1"/>
          <w:sz w:val="24"/>
          <w:szCs w:val="24"/>
        </w:rPr>
        <w:t>I</w:t>
      </w:r>
      <w:r w:rsidR="004E40F3" w:rsidRPr="00A90914">
        <w:rPr>
          <w:rStyle w:val="mixed-citation"/>
          <w:rFonts w:ascii="Times New Roman" w:hAnsi="Times New Roman" w:cs="Times New Roman"/>
          <w:b/>
          <w:color w:val="000000" w:themeColor="text1"/>
          <w:sz w:val="24"/>
          <w:szCs w:val="24"/>
        </w:rPr>
        <w:t>U</w:t>
      </w:r>
      <w:r w:rsidR="00235491" w:rsidRPr="00A90914">
        <w:rPr>
          <w:rStyle w:val="mixed-citation"/>
          <w:rFonts w:ascii="Times New Roman" w:hAnsi="Times New Roman" w:cs="Times New Roman"/>
          <w:b/>
          <w:color w:val="000000" w:themeColor="text1"/>
          <w:sz w:val="24"/>
          <w:szCs w:val="24"/>
        </w:rPr>
        <w:t>CE)</w:t>
      </w:r>
      <w:r w:rsidR="00235491" w:rsidRPr="0003433D">
        <w:rPr>
          <w:rStyle w:val="mixed-citation"/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A90914">
        <w:rPr>
          <w:rStyle w:val="mixed-citation"/>
          <w:rFonts w:ascii="Times New Roman" w:hAnsi="Times New Roman" w:cs="Times New Roman"/>
          <w:color w:val="000000" w:themeColor="text1"/>
          <w:sz w:val="24"/>
          <w:szCs w:val="24"/>
        </w:rPr>
        <w:t>Para este estudio s</w:t>
      </w:r>
      <w:r w:rsidR="00235491" w:rsidRPr="00FA4A40">
        <w:rPr>
          <w:rStyle w:val="mixed-citation"/>
          <w:rFonts w:ascii="Times New Roman" w:hAnsi="Times New Roman" w:cs="Times New Roman"/>
          <w:sz w:val="24"/>
          <w:szCs w:val="24"/>
        </w:rPr>
        <w:t>e elaboró la pregunta “¿</w:t>
      </w:r>
      <w:r w:rsidR="00235491" w:rsidRPr="00FA4A40">
        <w:rPr>
          <w:rStyle w:val="mixed-citation"/>
          <w:rFonts w:ascii="Times New Roman" w:hAnsi="Times New Roman" w:cs="Times New Roman"/>
          <w:i/>
          <w:sz w:val="24"/>
          <w:szCs w:val="24"/>
        </w:rPr>
        <w:t>Te sientes estresado en tu trabajo?</w:t>
      </w:r>
      <w:r w:rsidR="002D39B1" w:rsidRPr="00FA4A40">
        <w:rPr>
          <w:rStyle w:val="mixed-citation"/>
          <w:rFonts w:ascii="Times New Roman" w:hAnsi="Times New Roman" w:cs="Times New Roman"/>
          <w:sz w:val="24"/>
          <w:szCs w:val="24"/>
        </w:rPr>
        <w:t>”</w:t>
      </w:r>
      <w:r w:rsidR="00235491" w:rsidRPr="00FA4A40">
        <w:rPr>
          <w:rStyle w:val="mixed-citation"/>
          <w:rFonts w:ascii="Times New Roman" w:hAnsi="Times New Roman" w:cs="Times New Roman"/>
          <w:sz w:val="24"/>
          <w:szCs w:val="24"/>
        </w:rPr>
        <w:t xml:space="preserve"> </w:t>
      </w:r>
      <w:r w:rsidR="002D39B1" w:rsidRPr="00FA4A40">
        <w:rPr>
          <w:rStyle w:val="mixed-citation"/>
          <w:rFonts w:ascii="Times New Roman" w:hAnsi="Times New Roman" w:cs="Times New Roman"/>
          <w:sz w:val="24"/>
          <w:szCs w:val="24"/>
        </w:rPr>
        <w:t>respondida binariamente (</w:t>
      </w:r>
      <w:r w:rsidR="002D39B1" w:rsidRPr="00FA4A40">
        <w:rPr>
          <w:rStyle w:val="mixed-citation"/>
          <w:rFonts w:ascii="Times New Roman" w:hAnsi="Times New Roman" w:cs="Times New Roman"/>
          <w:i/>
          <w:sz w:val="24"/>
          <w:szCs w:val="24"/>
        </w:rPr>
        <w:t>Sí</w:t>
      </w:r>
      <w:r w:rsidR="002D39B1" w:rsidRPr="00FA4A40">
        <w:rPr>
          <w:rStyle w:val="mixed-citation"/>
          <w:rFonts w:ascii="Times New Roman" w:hAnsi="Times New Roman" w:cs="Times New Roman"/>
          <w:sz w:val="24"/>
          <w:szCs w:val="24"/>
        </w:rPr>
        <w:t xml:space="preserve">, </w:t>
      </w:r>
      <w:r w:rsidR="002D39B1" w:rsidRPr="00FA4A40">
        <w:rPr>
          <w:rStyle w:val="mixed-citation"/>
          <w:rFonts w:ascii="Times New Roman" w:hAnsi="Times New Roman" w:cs="Times New Roman"/>
          <w:i/>
          <w:sz w:val="24"/>
          <w:szCs w:val="24"/>
        </w:rPr>
        <w:t>No</w:t>
      </w:r>
      <w:r w:rsidR="002D39B1" w:rsidRPr="00FA4A40">
        <w:rPr>
          <w:rStyle w:val="mixed-citation"/>
          <w:rFonts w:ascii="Times New Roman" w:hAnsi="Times New Roman" w:cs="Times New Roman"/>
          <w:sz w:val="24"/>
          <w:szCs w:val="24"/>
        </w:rPr>
        <w:t xml:space="preserve">), </w:t>
      </w:r>
      <w:r w:rsidR="00235491" w:rsidRPr="00FA4A40">
        <w:rPr>
          <w:rStyle w:val="mixed-citation"/>
          <w:rFonts w:ascii="Times New Roman" w:hAnsi="Times New Roman" w:cs="Times New Roman"/>
          <w:sz w:val="24"/>
          <w:szCs w:val="24"/>
        </w:rPr>
        <w:t>incluid</w:t>
      </w:r>
      <w:r w:rsidR="002D39B1" w:rsidRPr="00FA4A40">
        <w:rPr>
          <w:rStyle w:val="mixed-citation"/>
          <w:rFonts w:ascii="Times New Roman" w:hAnsi="Times New Roman" w:cs="Times New Roman"/>
          <w:sz w:val="24"/>
          <w:szCs w:val="24"/>
        </w:rPr>
        <w:t>a</w:t>
      </w:r>
      <w:r w:rsidR="00235491" w:rsidRPr="00FA4A40">
        <w:rPr>
          <w:rStyle w:val="mixed-citation"/>
          <w:rFonts w:ascii="Times New Roman" w:hAnsi="Times New Roman" w:cs="Times New Roman"/>
          <w:sz w:val="24"/>
          <w:szCs w:val="24"/>
        </w:rPr>
        <w:t xml:space="preserve"> como la última pregunta en la sección de variables demográficas. Esta serviría como </w:t>
      </w:r>
      <w:proofErr w:type="gramStart"/>
      <w:r w:rsidR="00235491" w:rsidRPr="00FA4A40">
        <w:rPr>
          <w:rStyle w:val="mixed-citation"/>
          <w:rFonts w:ascii="Times New Roman" w:hAnsi="Times New Roman" w:cs="Times New Roman"/>
          <w:sz w:val="24"/>
          <w:szCs w:val="24"/>
        </w:rPr>
        <w:t xml:space="preserve">una </w:t>
      </w:r>
      <w:r w:rsidR="00235491" w:rsidRPr="005F5B1C">
        <w:rPr>
          <w:rStyle w:val="mixed-citation"/>
          <w:rFonts w:ascii="Times New Roman" w:hAnsi="Times New Roman" w:cs="Times New Roman"/>
          <w:sz w:val="24"/>
          <w:szCs w:val="24"/>
        </w:rPr>
        <w:t>proxy</w:t>
      </w:r>
      <w:proofErr w:type="gramEnd"/>
      <w:r w:rsidR="00235491" w:rsidRPr="006A18AE">
        <w:rPr>
          <w:rStyle w:val="mixed-citation"/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235491" w:rsidRPr="00FA4A40">
        <w:rPr>
          <w:rStyle w:val="mixed-citation"/>
          <w:rFonts w:ascii="Times New Roman" w:hAnsi="Times New Roman" w:cs="Times New Roman"/>
          <w:sz w:val="24"/>
          <w:szCs w:val="24"/>
        </w:rPr>
        <w:t xml:space="preserve">de la experiencia de estrés en cualquier grado de intensidad, y como un medio menos </w:t>
      </w:r>
      <w:r w:rsidR="00235491" w:rsidRPr="00DE62AA">
        <w:rPr>
          <w:rStyle w:val="mixed-citation"/>
          <w:rFonts w:ascii="Times New Roman" w:hAnsi="Times New Roman" w:cs="Times New Roman"/>
          <w:sz w:val="24"/>
          <w:lang w:val="es-PE"/>
        </w:rPr>
        <w:t>invasivo</w:t>
      </w:r>
      <w:r w:rsidR="00235491" w:rsidRPr="00FA4A40">
        <w:rPr>
          <w:rStyle w:val="mixed-citation"/>
          <w:rFonts w:ascii="Times New Roman" w:hAnsi="Times New Roman" w:cs="Times New Roman"/>
          <w:sz w:val="24"/>
          <w:szCs w:val="24"/>
        </w:rPr>
        <w:t xml:space="preserve"> para explorar esta experiencia personal</w:t>
      </w:r>
      <w:r w:rsidR="009A1B3F">
        <w:rPr>
          <w:rStyle w:val="mixed-citation"/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9A1B3F" w:rsidRPr="00D81CBC">
        <w:rPr>
          <w:rStyle w:val="mixed-citation"/>
          <w:rFonts w:ascii="Times New Roman" w:hAnsi="Times New Roman" w:cs="Times New Roman"/>
          <w:sz w:val="24"/>
        </w:rPr>
        <w:t>Ottaviani</w:t>
      </w:r>
      <w:proofErr w:type="spellEnd"/>
      <w:r w:rsidR="009A1B3F">
        <w:rPr>
          <w:rStyle w:val="mixed-citation"/>
          <w:rFonts w:ascii="Times New Roman" w:hAnsi="Times New Roman" w:cs="Times New Roman"/>
          <w:sz w:val="24"/>
        </w:rPr>
        <w:t xml:space="preserve"> et al., </w:t>
      </w:r>
      <w:r w:rsidR="009A1B3F" w:rsidRPr="00D81CBC">
        <w:rPr>
          <w:rStyle w:val="mixed-citation"/>
          <w:rFonts w:ascii="Times New Roman" w:hAnsi="Times New Roman" w:cs="Times New Roman"/>
          <w:sz w:val="24"/>
        </w:rPr>
        <w:t xml:space="preserve">2015; </w:t>
      </w:r>
      <w:proofErr w:type="spellStart"/>
      <w:r w:rsidR="009A1B3F" w:rsidRPr="00D81CBC">
        <w:rPr>
          <w:rStyle w:val="mixed-citation"/>
          <w:rFonts w:ascii="Times New Roman" w:hAnsi="Times New Roman" w:cs="Times New Roman"/>
          <w:sz w:val="24"/>
        </w:rPr>
        <w:t>Zenk</w:t>
      </w:r>
      <w:proofErr w:type="spellEnd"/>
      <w:r w:rsidR="009A1B3F" w:rsidRPr="00D81CBC">
        <w:rPr>
          <w:rStyle w:val="mixed-citation"/>
          <w:rFonts w:ascii="Times New Roman" w:hAnsi="Times New Roman" w:cs="Times New Roman"/>
          <w:sz w:val="24"/>
        </w:rPr>
        <w:t xml:space="preserve"> et al., 2014</w:t>
      </w:r>
      <w:r w:rsidR="009A1B3F">
        <w:rPr>
          <w:rStyle w:val="mixed-citation"/>
          <w:rFonts w:ascii="Times New Roman" w:hAnsi="Times New Roman" w:cs="Times New Roman"/>
          <w:sz w:val="24"/>
          <w:szCs w:val="24"/>
        </w:rPr>
        <w:t>)</w:t>
      </w:r>
      <w:r w:rsidR="00235491" w:rsidRPr="00FA4A40">
        <w:rPr>
          <w:rStyle w:val="mixed-citation"/>
          <w:rFonts w:ascii="Times New Roman" w:hAnsi="Times New Roman" w:cs="Times New Roman"/>
          <w:sz w:val="24"/>
          <w:szCs w:val="24"/>
        </w:rPr>
        <w:t>.</w:t>
      </w:r>
    </w:p>
    <w:p w:rsidR="005D4E33" w:rsidRPr="00FA4A40" w:rsidRDefault="005D4E33" w:rsidP="00777196">
      <w:pPr>
        <w:spacing w:after="0" w:line="480" w:lineRule="auto"/>
        <w:rPr>
          <w:rStyle w:val="mixed-citation"/>
          <w:rFonts w:ascii="Times New Roman" w:hAnsi="Times New Roman" w:cs="Times New Roman"/>
          <w:b/>
          <w:sz w:val="24"/>
          <w:szCs w:val="24"/>
        </w:rPr>
      </w:pPr>
      <w:r w:rsidRPr="00FA4A40">
        <w:rPr>
          <w:rStyle w:val="mixed-citation"/>
          <w:rFonts w:ascii="Times New Roman" w:hAnsi="Times New Roman" w:cs="Times New Roman"/>
          <w:b/>
          <w:sz w:val="24"/>
          <w:szCs w:val="24"/>
        </w:rPr>
        <w:lastRenderedPageBreak/>
        <w:t>Procedimiento</w:t>
      </w:r>
    </w:p>
    <w:p w:rsidR="005D4E33" w:rsidRPr="00FA4A40" w:rsidRDefault="00253B94" w:rsidP="00777196">
      <w:pPr>
        <w:spacing w:after="0" w:line="480" w:lineRule="auto"/>
        <w:ind w:firstLine="708"/>
        <w:rPr>
          <w:rStyle w:val="mixed-citation"/>
          <w:rFonts w:ascii="Times New Roman" w:hAnsi="Times New Roman" w:cs="Times New Roman"/>
          <w:sz w:val="24"/>
          <w:szCs w:val="24"/>
        </w:rPr>
      </w:pPr>
      <w:r w:rsidRPr="00FA4A40">
        <w:rPr>
          <w:rStyle w:val="mixed-citation"/>
          <w:rFonts w:ascii="Times New Roman" w:hAnsi="Times New Roman" w:cs="Times New Roman"/>
          <w:sz w:val="24"/>
          <w:szCs w:val="24"/>
        </w:rPr>
        <w:t xml:space="preserve">La aplicación se realizó en un periodo de un mes. </w:t>
      </w:r>
      <w:r w:rsidR="0033742B" w:rsidRPr="00FA4A40">
        <w:rPr>
          <w:rStyle w:val="mixed-citation"/>
          <w:rFonts w:ascii="Times New Roman" w:hAnsi="Times New Roman" w:cs="Times New Roman"/>
          <w:sz w:val="24"/>
          <w:szCs w:val="24"/>
        </w:rPr>
        <w:t>Luego de aceptar participar voluntariamente</w:t>
      </w:r>
      <w:r w:rsidR="00E21AE1">
        <w:rPr>
          <w:rStyle w:val="mixed-citation"/>
          <w:rFonts w:ascii="Times New Roman" w:hAnsi="Times New Roman" w:cs="Times New Roman"/>
          <w:sz w:val="24"/>
          <w:szCs w:val="24"/>
        </w:rPr>
        <w:t xml:space="preserve"> mediante la firma del consentimiento informado</w:t>
      </w:r>
      <w:r w:rsidR="0033742B" w:rsidRPr="00FA4A40">
        <w:rPr>
          <w:rStyle w:val="mixed-citation"/>
          <w:rFonts w:ascii="Times New Roman" w:hAnsi="Times New Roman" w:cs="Times New Roman"/>
          <w:sz w:val="24"/>
          <w:szCs w:val="24"/>
        </w:rPr>
        <w:t xml:space="preserve">, </w:t>
      </w:r>
      <w:r w:rsidR="0097517F" w:rsidRPr="00FA4A40">
        <w:rPr>
          <w:rStyle w:val="mixed-citation"/>
          <w:rFonts w:ascii="Times New Roman" w:hAnsi="Times New Roman" w:cs="Times New Roman"/>
          <w:sz w:val="24"/>
          <w:szCs w:val="24"/>
        </w:rPr>
        <w:t xml:space="preserve">los docentes llenaron el MBI-GS y la información demográfica en una página web, dentro del servidor de </w:t>
      </w:r>
      <w:r w:rsidR="002F4005">
        <w:rPr>
          <w:rStyle w:val="mixed-citation"/>
          <w:rFonts w:ascii="Times New Roman" w:hAnsi="Times New Roman" w:cs="Times New Roman"/>
          <w:sz w:val="24"/>
          <w:szCs w:val="24"/>
        </w:rPr>
        <w:t xml:space="preserve">una </w:t>
      </w:r>
      <w:r w:rsidR="0097517F" w:rsidRPr="00FA4A40">
        <w:rPr>
          <w:rStyle w:val="mixed-citation"/>
          <w:rFonts w:ascii="Times New Roman" w:hAnsi="Times New Roman" w:cs="Times New Roman"/>
          <w:sz w:val="24"/>
          <w:szCs w:val="24"/>
        </w:rPr>
        <w:t>asociación civil privada.</w:t>
      </w:r>
      <w:r w:rsidRPr="00FA4A40">
        <w:rPr>
          <w:rStyle w:val="mixed-citation"/>
          <w:rFonts w:ascii="Times New Roman" w:hAnsi="Times New Roman" w:cs="Times New Roman"/>
          <w:sz w:val="24"/>
          <w:szCs w:val="24"/>
        </w:rPr>
        <w:t xml:space="preserve"> </w:t>
      </w:r>
      <w:r w:rsidR="0033742B" w:rsidRPr="00FA4A40">
        <w:rPr>
          <w:rStyle w:val="mixed-citation"/>
          <w:rFonts w:ascii="Times New Roman" w:hAnsi="Times New Roman" w:cs="Times New Roman"/>
          <w:sz w:val="24"/>
          <w:szCs w:val="24"/>
        </w:rPr>
        <w:t xml:space="preserve">El </w:t>
      </w:r>
      <w:r w:rsidR="002F4005">
        <w:rPr>
          <w:rStyle w:val="mixed-citation"/>
          <w:rFonts w:ascii="Times New Roman" w:hAnsi="Times New Roman" w:cs="Times New Roman"/>
          <w:sz w:val="24"/>
          <w:szCs w:val="24"/>
        </w:rPr>
        <w:t xml:space="preserve">cuestionario web </w:t>
      </w:r>
      <w:r w:rsidR="0033742B" w:rsidRPr="00FA4A40">
        <w:rPr>
          <w:rStyle w:val="mixed-citation"/>
          <w:rFonts w:ascii="Times New Roman" w:hAnsi="Times New Roman" w:cs="Times New Roman"/>
          <w:sz w:val="24"/>
          <w:szCs w:val="24"/>
        </w:rPr>
        <w:t xml:space="preserve">aplicó </w:t>
      </w:r>
      <w:r w:rsidR="0097517F" w:rsidRPr="00FA4A40">
        <w:rPr>
          <w:rStyle w:val="mixed-citation"/>
          <w:rFonts w:ascii="Times New Roman" w:hAnsi="Times New Roman" w:cs="Times New Roman"/>
          <w:sz w:val="24"/>
          <w:szCs w:val="24"/>
        </w:rPr>
        <w:t>las instrucciones estandarizadas del instrumento</w:t>
      </w:r>
      <w:r w:rsidR="004F1ECC" w:rsidRPr="00FA4A40">
        <w:rPr>
          <w:rStyle w:val="mixed-citation"/>
          <w:rFonts w:ascii="Times New Roman" w:hAnsi="Times New Roman" w:cs="Times New Roman"/>
          <w:sz w:val="24"/>
          <w:szCs w:val="24"/>
        </w:rPr>
        <w:t>, controlando</w:t>
      </w:r>
      <w:r w:rsidR="0033742B" w:rsidRPr="00FA4A40">
        <w:rPr>
          <w:rStyle w:val="mixed-citation"/>
          <w:rFonts w:ascii="Times New Roman" w:hAnsi="Times New Roman" w:cs="Times New Roman"/>
          <w:sz w:val="24"/>
          <w:szCs w:val="24"/>
        </w:rPr>
        <w:t xml:space="preserve"> la ausencia de re</w:t>
      </w:r>
      <w:r w:rsidR="004F1ECC" w:rsidRPr="00FA4A40">
        <w:rPr>
          <w:rStyle w:val="mixed-citation"/>
          <w:rFonts w:ascii="Times New Roman" w:hAnsi="Times New Roman" w:cs="Times New Roman"/>
          <w:sz w:val="24"/>
          <w:szCs w:val="24"/>
        </w:rPr>
        <w:t>spuestas en alguno de los ítems, así como garantizando el anonimato y la participación voluntaria en el estudio.</w:t>
      </w:r>
    </w:p>
    <w:p w:rsidR="005D4E33" w:rsidRPr="00FA4A40" w:rsidRDefault="005D4E33" w:rsidP="00A90914">
      <w:pPr>
        <w:spacing w:after="0" w:line="480" w:lineRule="auto"/>
        <w:jc w:val="center"/>
        <w:rPr>
          <w:rStyle w:val="mixed-citation"/>
          <w:rFonts w:ascii="Times New Roman" w:hAnsi="Times New Roman" w:cs="Times New Roman"/>
          <w:b/>
          <w:sz w:val="24"/>
          <w:szCs w:val="24"/>
        </w:rPr>
      </w:pPr>
      <w:r w:rsidRPr="00FA4A40">
        <w:rPr>
          <w:rStyle w:val="mixed-citation"/>
          <w:rFonts w:ascii="Times New Roman" w:hAnsi="Times New Roman" w:cs="Times New Roman"/>
          <w:b/>
          <w:sz w:val="24"/>
          <w:szCs w:val="24"/>
        </w:rPr>
        <w:t>Resultados</w:t>
      </w:r>
    </w:p>
    <w:p w:rsidR="00235491" w:rsidRPr="00FA4A40" w:rsidRDefault="004E40F3" w:rsidP="00777196">
      <w:pPr>
        <w:spacing w:after="0" w:line="48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 examinar las respuestas al </w:t>
      </w:r>
      <w:r w:rsidR="006B7749" w:rsidRPr="00FA4A40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U</w:t>
      </w:r>
      <w:r w:rsidR="006B7749" w:rsidRPr="00FA4A40">
        <w:rPr>
          <w:rFonts w:ascii="Times New Roman" w:hAnsi="Times New Roman" w:cs="Times New Roman"/>
          <w:sz w:val="24"/>
          <w:szCs w:val="24"/>
        </w:rPr>
        <w:t xml:space="preserve">CE el </w:t>
      </w:r>
      <w:r w:rsidR="008F6861" w:rsidRPr="00FA4A40">
        <w:rPr>
          <w:rFonts w:ascii="Times New Roman" w:hAnsi="Times New Roman" w:cs="Times New Roman"/>
          <w:sz w:val="24"/>
          <w:szCs w:val="24"/>
        </w:rPr>
        <w:t>39.3% de sujetos (150</w:t>
      </w:r>
      <w:r w:rsidR="00235491" w:rsidRPr="00FA4A40">
        <w:rPr>
          <w:rFonts w:ascii="Times New Roman" w:hAnsi="Times New Roman" w:cs="Times New Roman"/>
          <w:sz w:val="24"/>
          <w:szCs w:val="24"/>
        </w:rPr>
        <w:t>) respon</w:t>
      </w:r>
      <w:r w:rsidR="006B7749" w:rsidRPr="00FA4A40">
        <w:rPr>
          <w:rFonts w:ascii="Times New Roman" w:hAnsi="Times New Roman" w:cs="Times New Roman"/>
          <w:sz w:val="24"/>
          <w:szCs w:val="24"/>
        </w:rPr>
        <w:t>dieron a la opción “Sí”</w:t>
      </w:r>
      <w:r w:rsidR="00235491" w:rsidRPr="00FA4A40">
        <w:rPr>
          <w:rFonts w:ascii="Times New Roman" w:hAnsi="Times New Roman" w:cs="Times New Roman"/>
          <w:sz w:val="24"/>
          <w:szCs w:val="24"/>
        </w:rPr>
        <w:t>. En el análisis co</w:t>
      </w:r>
      <w:r w:rsidR="005B4727">
        <w:rPr>
          <w:rFonts w:ascii="Times New Roman" w:hAnsi="Times New Roman" w:cs="Times New Roman"/>
          <w:sz w:val="24"/>
          <w:szCs w:val="24"/>
        </w:rPr>
        <w:t>n algunas variables secundarias</w:t>
      </w:r>
      <w:r w:rsidR="00235491" w:rsidRPr="00FA4A40">
        <w:rPr>
          <w:rFonts w:ascii="Times New Roman" w:hAnsi="Times New Roman" w:cs="Times New Roman"/>
          <w:sz w:val="24"/>
          <w:szCs w:val="24"/>
        </w:rPr>
        <w:t xml:space="preserve"> se halló que algunas no tuvieron la in</w:t>
      </w:r>
      <w:r>
        <w:rPr>
          <w:rFonts w:ascii="Times New Roman" w:hAnsi="Times New Roman" w:cs="Times New Roman"/>
          <w:sz w:val="24"/>
          <w:szCs w:val="24"/>
        </w:rPr>
        <w:t>fluencia estadística sobre el IU</w:t>
      </w:r>
      <w:r w:rsidR="00235491" w:rsidRPr="00FA4A40">
        <w:rPr>
          <w:rFonts w:ascii="Times New Roman" w:hAnsi="Times New Roman" w:cs="Times New Roman"/>
          <w:sz w:val="24"/>
          <w:szCs w:val="24"/>
        </w:rPr>
        <w:t xml:space="preserve">CE, como </w:t>
      </w:r>
      <w:r w:rsidR="006D31A2" w:rsidRPr="00FA4A40">
        <w:rPr>
          <w:rFonts w:ascii="Times New Roman" w:hAnsi="Times New Roman" w:cs="Times New Roman"/>
          <w:sz w:val="24"/>
          <w:szCs w:val="24"/>
        </w:rPr>
        <w:t>ejercer</w:t>
      </w:r>
      <w:r w:rsidR="00235491" w:rsidRPr="00FA4A40">
        <w:rPr>
          <w:rFonts w:ascii="Times New Roman" w:hAnsi="Times New Roman" w:cs="Times New Roman"/>
          <w:sz w:val="24"/>
          <w:szCs w:val="24"/>
        </w:rPr>
        <w:t xml:space="preserve"> otros trabajos (</w:t>
      </w:r>
      <w:r w:rsidR="00235491" w:rsidRPr="00FA4A40">
        <w:rPr>
          <w:rFonts w:ascii="Times New Roman" w:hAnsi="Times New Roman" w:cs="Times New Roman"/>
          <w:i/>
          <w:sz w:val="24"/>
          <w:szCs w:val="24"/>
        </w:rPr>
        <w:sym w:font="Symbol" w:char="F063"/>
      </w:r>
      <w:r w:rsidR="00235491" w:rsidRPr="00FA4A40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 w:rsidR="00235491" w:rsidRPr="00FA4A40">
        <w:rPr>
          <w:rFonts w:ascii="Times New Roman" w:hAnsi="Times New Roman" w:cs="Times New Roman"/>
          <w:sz w:val="24"/>
          <w:szCs w:val="24"/>
        </w:rPr>
        <w:t>[</w:t>
      </w:r>
      <w:proofErr w:type="spellStart"/>
      <w:r w:rsidR="00235491" w:rsidRPr="00FA4A40">
        <w:rPr>
          <w:rFonts w:ascii="Times New Roman" w:hAnsi="Times New Roman" w:cs="Times New Roman"/>
          <w:sz w:val="24"/>
          <w:szCs w:val="24"/>
        </w:rPr>
        <w:t>gl</w:t>
      </w:r>
      <w:proofErr w:type="spellEnd"/>
      <w:r w:rsidR="00235491" w:rsidRPr="00FA4A40">
        <w:rPr>
          <w:rFonts w:ascii="Times New Roman" w:hAnsi="Times New Roman" w:cs="Times New Roman"/>
          <w:sz w:val="24"/>
          <w:szCs w:val="24"/>
        </w:rPr>
        <w:t xml:space="preserve">: 1] = .869, </w:t>
      </w:r>
      <w:proofErr w:type="spellStart"/>
      <w:r w:rsidR="00235491" w:rsidRPr="00FA4A40">
        <w:rPr>
          <w:rFonts w:ascii="Times New Roman" w:hAnsi="Times New Roman" w:cs="Times New Roman"/>
          <w:i/>
          <w:sz w:val="24"/>
          <w:szCs w:val="24"/>
        </w:rPr>
        <w:t>V</w:t>
      </w:r>
      <w:r w:rsidR="00235491" w:rsidRPr="00FA4A40">
        <w:rPr>
          <w:rFonts w:ascii="Times New Roman" w:hAnsi="Times New Roman" w:cs="Times New Roman"/>
          <w:i/>
          <w:sz w:val="24"/>
          <w:szCs w:val="24"/>
          <w:vertAlign w:val="subscript"/>
        </w:rPr>
        <w:t>Cramer</w:t>
      </w:r>
      <w:proofErr w:type="spellEnd"/>
      <w:r w:rsidR="00235491" w:rsidRPr="00FA4A40">
        <w:rPr>
          <w:rFonts w:ascii="Times New Roman" w:hAnsi="Times New Roman" w:cs="Times New Roman"/>
          <w:sz w:val="24"/>
          <w:szCs w:val="24"/>
        </w:rPr>
        <w:t xml:space="preserve"> = .008), el estado civil (</w:t>
      </w:r>
      <w:r w:rsidR="00235491" w:rsidRPr="00FA4A40">
        <w:rPr>
          <w:rFonts w:ascii="Times New Roman" w:hAnsi="Times New Roman" w:cs="Times New Roman"/>
          <w:i/>
          <w:sz w:val="24"/>
          <w:szCs w:val="24"/>
        </w:rPr>
        <w:sym w:font="Symbol" w:char="F063"/>
      </w:r>
      <w:r w:rsidR="00235491" w:rsidRPr="00FA4A40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 w:rsidR="00235491" w:rsidRPr="00FA4A40">
        <w:rPr>
          <w:rFonts w:ascii="Times New Roman" w:hAnsi="Times New Roman" w:cs="Times New Roman"/>
          <w:sz w:val="24"/>
          <w:szCs w:val="24"/>
        </w:rPr>
        <w:t>[</w:t>
      </w:r>
      <w:proofErr w:type="spellStart"/>
      <w:r w:rsidR="00235491" w:rsidRPr="00FA4A40">
        <w:rPr>
          <w:rFonts w:ascii="Times New Roman" w:hAnsi="Times New Roman" w:cs="Times New Roman"/>
          <w:sz w:val="24"/>
          <w:szCs w:val="24"/>
        </w:rPr>
        <w:t>gl</w:t>
      </w:r>
      <w:proofErr w:type="spellEnd"/>
      <w:r w:rsidR="00235491" w:rsidRPr="00FA4A40">
        <w:rPr>
          <w:rFonts w:ascii="Times New Roman" w:hAnsi="Times New Roman" w:cs="Times New Roman"/>
          <w:sz w:val="24"/>
          <w:szCs w:val="24"/>
        </w:rPr>
        <w:t xml:space="preserve">: 1] = 3.467, </w:t>
      </w:r>
      <w:proofErr w:type="spellStart"/>
      <w:r w:rsidR="00235491" w:rsidRPr="00FA4A40">
        <w:rPr>
          <w:rFonts w:ascii="Times New Roman" w:hAnsi="Times New Roman" w:cs="Times New Roman"/>
          <w:i/>
          <w:sz w:val="24"/>
          <w:szCs w:val="24"/>
        </w:rPr>
        <w:t>V</w:t>
      </w:r>
      <w:r w:rsidR="00235491" w:rsidRPr="00FA4A40">
        <w:rPr>
          <w:rFonts w:ascii="Times New Roman" w:hAnsi="Times New Roman" w:cs="Times New Roman"/>
          <w:i/>
          <w:sz w:val="24"/>
          <w:szCs w:val="24"/>
          <w:vertAlign w:val="subscript"/>
        </w:rPr>
        <w:t>Cramer</w:t>
      </w:r>
      <w:proofErr w:type="spellEnd"/>
      <w:r w:rsidR="00235491" w:rsidRPr="00FA4A40">
        <w:rPr>
          <w:rFonts w:ascii="Times New Roman" w:hAnsi="Times New Roman" w:cs="Times New Roman"/>
          <w:sz w:val="24"/>
          <w:szCs w:val="24"/>
        </w:rPr>
        <w:t xml:space="preserve"> = .095) y el nivel de enseñanza (</w:t>
      </w:r>
      <w:r w:rsidR="00235491" w:rsidRPr="00FA4A40">
        <w:rPr>
          <w:rFonts w:ascii="Times New Roman" w:hAnsi="Times New Roman" w:cs="Times New Roman"/>
          <w:i/>
          <w:sz w:val="24"/>
          <w:szCs w:val="24"/>
        </w:rPr>
        <w:sym w:font="Symbol" w:char="F063"/>
      </w:r>
      <w:r w:rsidR="00235491" w:rsidRPr="00FA4A40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 w:rsidR="00235491" w:rsidRPr="00FA4A40">
        <w:rPr>
          <w:rFonts w:ascii="Times New Roman" w:hAnsi="Times New Roman" w:cs="Times New Roman"/>
          <w:sz w:val="24"/>
          <w:szCs w:val="24"/>
        </w:rPr>
        <w:t>[</w:t>
      </w:r>
      <w:proofErr w:type="spellStart"/>
      <w:r w:rsidR="00235491" w:rsidRPr="00FA4A40">
        <w:rPr>
          <w:rFonts w:ascii="Times New Roman" w:hAnsi="Times New Roman" w:cs="Times New Roman"/>
          <w:sz w:val="24"/>
          <w:szCs w:val="24"/>
        </w:rPr>
        <w:t>gl</w:t>
      </w:r>
      <w:proofErr w:type="spellEnd"/>
      <w:r w:rsidR="00235491" w:rsidRPr="00FA4A40">
        <w:rPr>
          <w:rFonts w:ascii="Times New Roman" w:hAnsi="Times New Roman" w:cs="Times New Roman"/>
          <w:sz w:val="24"/>
          <w:szCs w:val="24"/>
        </w:rPr>
        <w:t xml:space="preserve">: 1] = 1.477, </w:t>
      </w:r>
      <w:proofErr w:type="spellStart"/>
      <w:r w:rsidR="00235491" w:rsidRPr="00FA4A40">
        <w:rPr>
          <w:rFonts w:ascii="Times New Roman" w:hAnsi="Times New Roman" w:cs="Times New Roman"/>
          <w:i/>
          <w:sz w:val="24"/>
          <w:szCs w:val="24"/>
        </w:rPr>
        <w:t>V</w:t>
      </w:r>
      <w:r w:rsidR="00235491" w:rsidRPr="00FA4A40">
        <w:rPr>
          <w:rFonts w:ascii="Times New Roman" w:hAnsi="Times New Roman" w:cs="Times New Roman"/>
          <w:i/>
          <w:sz w:val="24"/>
          <w:szCs w:val="24"/>
          <w:vertAlign w:val="subscript"/>
        </w:rPr>
        <w:t>Cramer</w:t>
      </w:r>
      <w:proofErr w:type="spellEnd"/>
      <w:r w:rsidR="00091848" w:rsidRPr="00FA4A40">
        <w:rPr>
          <w:rFonts w:ascii="Times New Roman" w:hAnsi="Times New Roman" w:cs="Times New Roman"/>
          <w:sz w:val="24"/>
          <w:szCs w:val="24"/>
        </w:rPr>
        <w:t xml:space="preserve"> = .062); por lo que</w:t>
      </w:r>
      <w:r w:rsidR="00235491" w:rsidRPr="00FA4A40">
        <w:rPr>
          <w:rFonts w:ascii="Times New Roman" w:hAnsi="Times New Roman" w:cs="Times New Roman"/>
          <w:sz w:val="24"/>
          <w:szCs w:val="24"/>
        </w:rPr>
        <w:t xml:space="preserve"> no fueron incluidos en </w:t>
      </w:r>
      <w:r w:rsidR="00C93F56">
        <w:rPr>
          <w:rFonts w:ascii="Times New Roman" w:hAnsi="Times New Roman" w:cs="Times New Roman"/>
          <w:sz w:val="24"/>
          <w:szCs w:val="24"/>
        </w:rPr>
        <w:t xml:space="preserve">el </w:t>
      </w:r>
      <w:r w:rsidR="00235491" w:rsidRPr="00FA4A40">
        <w:rPr>
          <w:rFonts w:ascii="Times New Roman" w:hAnsi="Times New Roman" w:cs="Times New Roman"/>
          <w:sz w:val="24"/>
          <w:szCs w:val="24"/>
        </w:rPr>
        <w:t>análisis multivariado siguiente.</w:t>
      </w:r>
      <w:r w:rsidR="003B29F3" w:rsidRPr="00FA4A40">
        <w:rPr>
          <w:rFonts w:ascii="Times New Roman" w:hAnsi="Times New Roman" w:cs="Times New Roman"/>
          <w:sz w:val="24"/>
          <w:szCs w:val="24"/>
        </w:rPr>
        <w:t xml:space="preserve"> </w:t>
      </w:r>
      <w:r w:rsidR="006D31A2" w:rsidRPr="00FA4A40">
        <w:rPr>
          <w:rFonts w:ascii="Times New Roman" w:hAnsi="Times New Roman" w:cs="Times New Roman"/>
          <w:sz w:val="24"/>
          <w:szCs w:val="24"/>
        </w:rPr>
        <w:t>Por el contrario, l</w:t>
      </w:r>
      <w:r w:rsidR="006A4FFD">
        <w:rPr>
          <w:rFonts w:ascii="Times New Roman" w:hAnsi="Times New Roman" w:cs="Times New Roman"/>
          <w:sz w:val="24"/>
          <w:szCs w:val="24"/>
        </w:rPr>
        <w:t>a variabilidad de IU</w:t>
      </w:r>
      <w:r w:rsidR="003B29F3" w:rsidRPr="00FA4A40">
        <w:rPr>
          <w:rFonts w:ascii="Times New Roman" w:hAnsi="Times New Roman" w:cs="Times New Roman"/>
          <w:sz w:val="24"/>
          <w:szCs w:val="24"/>
        </w:rPr>
        <w:t xml:space="preserve">CE fue </w:t>
      </w:r>
      <w:r w:rsidR="003B29F3" w:rsidRPr="002F4005">
        <w:rPr>
          <w:rFonts w:ascii="Times New Roman" w:hAnsi="Times New Roman" w:cs="Times New Roman"/>
          <w:sz w:val="24"/>
          <w:szCs w:val="24"/>
        </w:rPr>
        <w:t>influenciada</w:t>
      </w:r>
      <w:r w:rsidR="003B29F3" w:rsidRPr="00FA4A40">
        <w:rPr>
          <w:rFonts w:ascii="Times New Roman" w:hAnsi="Times New Roman" w:cs="Times New Roman"/>
          <w:sz w:val="24"/>
          <w:szCs w:val="24"/>
        </w:rPr>
        <w:t xml:space="preserve"> por el sexo</w:t>
      </w:r>
      <w:r w:rsidR="002E4E76" w:rsidRPr="00FA4A40">
        <w:rPr>
          <w:rFonts w:ascii="Times New Roman" w:hAnsi="Times New Roman" w:cs="Times New Roman"/>
          <w:sz w:val="24"/>
          <w:szCs w:val="24"/>
        </w:rPr>
        <w:t xml:space="preserve"> </w:t>
      </w:r>
      <w:r w:rsidR="006D31A2" w:rsidRPr="00FA4A40">
        <w:rPr>
          <w:rFonts w:ascii="Times New Roman" w:hAnsi="Times New Roman" w:cs="Times New Roman"/>
          <w:sz w:val="24"/>
          <w:szCs w:val="24"/>
        </w:rPr>
        <w:t xml:space="preserve">femenino </w:t>
      </w:r>
      <w:r w:rsidR="002E4E76" w:rsidRPr="00FA4A40">
        <w:rPr>
          <w:rFonts w:ascii="Times New Roman" w:hAnsi="Times New Roman" w:cs="Times New Roman"/>
          <w:sz w:val="24"/>
          <w:szCs w:val="24"/>
        </w:rPr>
        <w:t>(</w:t>
      </w:r>
      <w:r w:rsidR="002E4E76" w:rsidRPr="00FA4A40">
        <w:rPr>
          <w:rFonts w:ascii="Times New Roman" w:hAnsi="Times New Roman" w:cs="Times New Roman"/>
          <w:i/>
          <w:sz w:val="24"/>
          <w:szCs w:val="24"/>
        </w:rPr>
        <w:sym w:font="Symbol" w:char="F063"/>
      </w:r>
      <w:r w:rsidR="002E4E76" w:rsidRPr="00FA4A40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 w:rsidR="002E4E76" w:rsidRPr="00FA4A40">
        <w:rPr>
          <w:rFonts w:ascii="Times New Roman" w:hAnsi="Times New Roman" w:cs="Times New Roman"/>
          <w:sz w:val="24"/>
          <w:szCs w:val="24"/>
        </w:rPr>
        <w:t>[</w:t>
      </w:r>
      <w:proofErr w:type="spellStart"/>
      <w:r w:rsidR="002E4E76" w:rsidRPr="00FA4A40">
        <w:rPr>
          <w:rFonts w:ascii="Times New Roman" w:hAnsi="Times New Roman" w:cs="Times New Roman"/>
          <w:sz w:val="24"/>
          <w:szCs w:val="24"/>
        </w:rPr>
        <w:t>gl</w:t>
      </w:r>
      <w:proofErr w:type="spellEnd"/>
      <w:r w:rsidR="002E4E76" w:rsidRPr="00FA4A40">
        <w:rPr>
          <w:rFonts w:ascii="Times New Roman" w:hAnsi="Times New Roman" w:cs="Times New Roman"/>
          <w:sz w:val="24"/>
          <w:szCs w:val="24"/>
        </w:rPr>
        <w:t xml:space="preserve">: 1] = 9.412, </w:t>
      </w:r>
      <w:r w:rsidR="002E4E76" w:rsidRPr="00FA4A40">
        <w:rPr>
          <w:rFonts w:ascii="Times New Roman" w:hAnsi="Times New Roman" w:cs="Times New Roman"/>
          <w:i/>
          <w:sz w:val="24"/>
          <w:szCs w:val="24"/>
        </w:rPr>
        <w:t>p</w:t>
      </w:r>
      <w:r w:rsidR="002E4E76" w:rsidRPr="00FA4A40">
        <w:rPr>
          <w:rFonts w:ascii="Times New Roman" w:hAnsi="Times New Roman" w:cs="Times New Roman"/>
          <w:sz w:val="24"/>
          <w:szCs w:val="24"/>
        </w:rPr>
        <w:t xml:space="preserve"> &lt; 0.01 </w:t>
      </w:r>
      <w:proofErr w:type="spellStart"/>
      <w:r w:rsidR="002E4E76" w:rsidRPr="00FA4A40">
        <w:rPr>
          <w:rFonts w:ascii="Times New Roman" w:hAnsi="Times New Roman" w:cs="Times New Roman"/>
          <w:i/>
          <w:sz w:val="24"/>
          <w:szCs w:val="24"/>
        </w:rPr>
        <w:t>V</w:t>
      </w:r>
      <w:r w:rsidR="002E4E76" w:rsidRPr="00FA4A40">
        <w:rPr>
          <w:rFonts w:ascii="Times New Roman" w:hAnsi="Times New Roman" w:cs="Times New Roman"/>
          <w:i/>
          <w:sz w:val="24"/>
          <w:szCs w:val="24"/>
          <w:vertAlign w:val="subscript"/>
        </w:rPr>
        <w:t>Cramer</w:t>
      </w:r>
      <w:proofErr w:type="spellEnd"/>
      <w:r w:rsidR="002E4E76" w:rsidRPr="00FA4A40">
        <w:rPr>
          <w:rFonts w:ascii="Times New Roman" w:hAnsi="Times New Roman" w:cs="Times New Roman"/>
          <w:sz w:val="24"/>
          <w:szCs w:val="24"/>
        </w:rPr>
        <w:t xml:space="preserve"> = .157), </w:t>
      </w:r>
      <w:r w:rsidR="006D31A2" w:rsidRPr="00FA4A40">
        <w:rPr>
          <w:rFonts w:ascii="Times New Roman" w:hAnsi="Times New Roman" w:cs="Times New Roman"/>
          <w:sz w:val="24"/>
          <w:szCs w:val="24"/>
        </w:rPr>
        <w:t xml:space="preserve">y </w:t>
      </w:r>
      <w:r w:rsidR="006B7749" w:rsidRPr="00FA4A40">
        <w:rPr>
          <w:rFonts w:ascii="Times New Roman" w:hAnsi="Times New Roman" w:cs="Times New Roman"/>
          <w:sz w:val="24"/>
          <w:szCs w:val="24"/>
        </w:rPr>
        <w:t>el ejercicio d</w:t>
      </w:r>
      <w:r w:rsidR="002E4E76" w:rsidRPr="00FA4A40">
        <w:rPr>
          <w:rFonts w:ascii="Times New Roman" w:hAnsi="Times New Roman" w:cs="Times New Roman"/>
          <w:sz w:val="24"/>
          <w:szCs w:val="24"/>
        </w:rPr>
        <w:t>el rol de tutor (</w:t>
      </w:r>
      <w:r w:rsidR="002E4E76" w:rsidRPr="00FA4A40">
        <w:rPr>
          <w:rFonts w:ascii="Times New Roman" w:hAnsi="Times New Roman" w:cs="Times New Roman"/>
          <w:i/>
          <w:sz w:val="24"/>
          <w:szCs w:val="24"/>
        </w:rPr>
        <w:sym w:font="Symbol" w:char="F063"/>
      </w:r>
      <w:r w:rsidR="002E4E76" w:rsidRPr="00FA4A40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 w:rsidR="002E4E76" w:rsidRPr="00FA4A40">
        <w:rPr>
          <w:rFonts w:ascii="Times New Roman" w:hAnsi="Times New Roman" w:cs="Times New Roman"/>
          <w:sz w:val="24"/>
          <w:szCs w:val="24"/>
        </w:rPr>
        <w:t>[</w:t>
      </w:r>
      <w:proofErr w:type="spellStart"/>
      <w:r w:rsidR="002E4E76" w:rsidRPr="00FA4A40">
        <w:rPr>
          <w:rFonts w:ascii="Times New Roman" w:hAnsi="Times New Roman" w:cs="Times New Roman"/>
          <w:sz w:val="24"/>
          <w:szCs w:val="24"/>
        </w:rPr>
        <w:t>gl</w:t>
      </w:r>
      <w:proofErr w:type="spellEnd"/>
      <w:r w:rsidR="002E4E76" w:rsidRPr="00FA4A40">
        <w:rPr>
          <w:rFonts w:ascii="Times New Roman" w:hAnsi="Times New Roman" w:cs="Times New Roman"/>
          <w:sz w:val="24"/>
          <w:szCs w:val="24"/>
        </w:rPr>
        <w:t xml:space="preserve">: 1] = 7.524, </w:t>
      </w:r>
      <w:r w:rsidR="002E4E76" w:rsidRPr="00FA4A40">
        <w:rPr>
          <w:rFonts w:ascii="Times New Roman" w:hAnsi="Times New Roman" w:cs="Times New Roman"/>
          <w:i/>
          <w:sz w:val="24"/>
          <w:szCs w:val="24"/>
        </w:rPr>
        <w:t>p</w:t>
      </w:r>
      <w:r w:rsidR="002E4E76" w:rsidRPr="00FA4A40">
        <w:rPr>
          <w:rFonts w:ascii="Times New Roman" w:hAnsi="Times New Roman" w:cs="Times New Roman"/>
          <w:sz w:val="24"/>
          <w:szCs w:val="24"/>
        </w:rPr>
        <w:t xml:space="preserve"> &lt; 0.01, </w:t>
      </w:r>
      <w:proofErr w:type="spellStart"/>
      <w:r w:rsidR="002E4E76" w:rsidRPr="00FA4A40">
        <w:rPr>
          <w:rFonts w:ascii="Times New Roman" w:hAnsi="Times New Roman" w:cs="Times New Roman"/>
          <w:i/>
          <w:sz w:val="24"/>
          <w:szCs w:val="24"/>
        </w:rPr>
        <w:t>V</w:t>
      </w:r>
      <w:r w:rsidR="002E4E76" w:rsidRPr="00FA4A40">
        <w:rPr>
          <w:rFonts w:ascii="Times New Roman" w:hAnsi="Times New Roman" w:cs="Times New Roman"/>
          <w:i/>
          <w:sz w:val="24"/>
          <w:szCs w:val="24"/>
          <w:vertAlign w:val="subscript"/>
        </w:rPr>
        <w:t>Cramer</w:t>
      </w:r>
      <w:proofErr w:type="spellEnd"/>
      <w:r w:rsidR="002E4E76" w:rsidRPr="00FA4A40">
        <w:rPr>
          <w:rFonts w:ascii="Times New Roman" w:hAnsi="Times New Roman" w:cs="Times New Roman"/>
          <w:sz w:val="24"/>
          <w:szCs w:val="24"/>
        </w:rPr>
        <w:t xml:space="preserve"> = .140)</w:t>
      </w:r>
      <w:r w:rsidR="006D31A2" w:rsidRPr="00FA4A40">
        <w:rPr>
          <w:rFonts w:ascii="Times New Roman" w:hAnsi="Times New Roman" w:cs="Times New Roman"/>
          <w:sz w:val="24"/>
          <w:szCs w:val="24"/>
        </w:rPr>
        <w:t xml:space="preserve">. También se detectó diferencias distribucionales (prueba </w:t>
      </w:r>
      <w:proofErr w:type="spellStart"/>
      <w:r w:rsidR="006D31A2" w:rsidRPr="00FA4A40">
        <w:rPr>
          <w:rFonts w:ascii="Times New Roman" w:hAnsi="Times New Roman" w:cs="Times New Roman"/>
          <w:sz w:val="24"/>
          <w:szCs w:val="24"/>
        </w:rPr>
        <w:t>Kolmogorov-Smirnov</w:t>
      </w:r>
      <w:proofErr w:type="spellEnd"/>
      <w:r w:rsidR="006D31A2" w:rsidRPr="00FA4A40">
        <w:rPr>
          <w:rFonts w:ascii="Times New Roman" w:hAnsi="Times New Roman" w:cs="Times New Roman"/>
          <w:sz w:val="24"/>
          <w:szCs w:val="24"/>
        </w:rPr>
        <w:t xml:space="preserve">, </w:t>
      </w:r>
      <w:r w:rsidR="006D31A2" w:rsidRPr="00FA4A40">
        <w:rPr>
          <w:rFonts w:ascii="Times New Roman" w:hAnsi="Times New Roman" w:cs="Times New Roman"/>
          <w:i/>
          <w:sz w:val="24"/>
          <w:szCs w:val="24"/>
        </w:rPr>
        <w:t>Z</w:t>
      </w:r>
      <w:r w:rsidR="006D31A2" w:rsidRPr="00FA4A40">
        <w:rPr>
          <w:rFonts w:ascii="Times New Roman" w:hAnsi="Times New Roman" w:cs="Times New Roman"/>
          <w:i/>
          <w:sz w:val="24"/>
          <w:szCs w:val="24"/>
          <w:vertAlign w:val="subscript"/>
        </w:rPr>
        <w:t>KS</w:t>
      </w:r>
      <w:r w:rsidR="006D31A2" w:rsidRPr="00FA4A40">
        <w:rPr>
          <w:rFonts w:ascii="Times New Roman" w:hAnsi="Times New Roman" w:cs="Times New Roman"/>
          <w:sz w:val="24"/>
          <w:szCs w:val="24"/>
        </w:rPr>
        <w:t xml:space="preserve">) </w:t>
      </w:r>
      <w:r w:rsidR="002F4005" w:rsidRPr="005F5B1C">
        <w:rPr>
          <w:rFonts w:ascii="Times New Roman" w:hAnsi="Times New Roman" w:cs="Times New Roman"/>
          <w:sz w:val="24"/>
          <w:szCs w:val="24"/>
        </w:rPr>
        <w:t xml:space="preserve">respecto al sexo </w:t>
      </w:r>
      <w:r w:rsidR="006D31A2" w:rsidRPr="00FA4A40">
        <w:rPr>
          <w:rFonts w:ascii="Times New Roman" w:hAnsi="Times New Roman" w:cs="Times New Roman"/>
          <w:sz w:val="24"/>
          <w:szCs w:val="24"/>
        </w:rPr>
        <w:t>en AE</w:t>
      </w:r>
      <w:r w:rsidR="0094355A" w:rsidRPr="00FA4A40">
        <w:rPr>
          <w:rFonts w:ascii="Times New Roman" w:hAnsi="Times New Roman" w:cs="Times New Roman"/>
          <w:sz w:val="24"/>
          <w:szCs w:val="24"/>
        </w:rPr>
        <w:t xml:space="preserve"> (</w:t>
      </w:r>
      <w:r w:rsidR="0094355A" w:rsidRPr="00FA4A40">
        <w:rPr>
          <w:rFonts w:ascii="Times New Roman" w:hAnsi="Times New Roman" w:cs="Times New Roman"/>
          <w:i/>
          <w:sz w:val="24"/>
          <w:szCs w:val="24"/>
        </w:rPr>
        <w:t>Z</w:t>
      </w:r>
      <w:r w:rsidR="0094355A" w:rsidRPr="00FA4A40">
        <w:rPr>
          <w:rFonts w:ascii="Times New Roman" w:hAnsi="Times New Roman" w:cs="Times New Roman"/>
          <w:i/>
          <w:sz w:val="24"/>
          <w:szCs w:val="24"/>
          <w:vertAlign w:val="subscript"/>
        </w:rPr>
        <w:t>KS</w:t>
      </w:r>
      <w:r w:rsidR="006D31A2" w:rsidRPr="00FA4A40">
        <w:rPr>
          <w:rFonts w:ascii="Times New Roman" w:hAnsi="Times New Roman" w:cs="Times New Roman"/>
          <w:sz w:val="24"/>
          <w:szCs w:val="24"/>
        </w:rPr>
        <w:t xml:space="preserve"> = </w:t>
      </w:r>
      <w:r w:rsidR="0094355A" w:rsidRPr="00FA4A40">
        <w:rPr>
          <w:rFonts w:ascii="Times New Roman" w:hAnsi="Times New Roman" w:cs="Times New Roman"/>
          <w:sz w:val="24"/>
          <w:szCs w:val="24"/>
        </w:rPr>
        <w:t xml:space="preserve">5.337, </w:t>
      </w:r>
      <w:r w:rsidR="0094355A" w:rsidRPr="00FA4A40">
        <w:rPr>
          <w:rFonts w:ascii="Times New Roman" w:hAnsi="Times New Roman" w:cs="Times New Roman"/>
          <w:i/>
          <w:sz w:val="24"/>
          <w:szCs w:val="24"/>
        </w:rPr>
        <w:t>p</w:t>
      </w:r>
      <w:r w:rsidR="0094355A" w:rsidRPr="00FA4A40">
        <w:rPr>
          <w:rFonts w:ascii="Times New Roman" w:hAnsi="Times New Roman" w:cs="Times New Roman"/>
          <w:sz w:val="24"/>
          <w:szCs w:val="24"/>
        </w:rPr>
        <w:t xml:space="preserve"> &lt; 0.01</w:t>
      </w:r>
      <w:proofErr w:type="gramStart"/>
      <w:r w:rsidR="006D31A2" w:rsidRPr="00FA4A40">
        <w:rPr>
          <w:rFonts w:ascii="Times New Roman" w:hAnsi="Times New Roman" w:cs="Times New Roman"/>
          <w:sz w:val="24"/>
          <w:szCs w:val="24"/>
        </w:rPr>
        <w:t>)</w:t>
      </w:r>
      <w:r w:rsidR="0094355A" w:rsidRPr="00FA4A40">
        <w:rPr>
          <w:rFonts w:ascii="Times New Roman" w:hAnsi="Times New Roman" w:cs="Times New Roman"/>
          <w:sz w:val="24"/>
          <w:szCs w:val="24"/>
        </w:rPr>
        <w:t>,  IN</w:t>
      </w:r>
      <w:proofErr w:type="gramEnd"/>
      <w:r w:rsidR="0094355A" w:rsidRPr="00FA4A40">
        <w:rPr>
          <w:rFonts w:ascii="Times New Roman" w:hAnsi="Times New Roman" w:cs="Times New Roman"/>
          <w:sz w:val="24"/>
          <w:szCs w:val="24"/>
        </w:rPr>
        <w:t xml:space="preserve"> (</w:t>
      </w:r>
      <w:r w:rsidR="0094355A" w:rsidRPr="00FA4A40">
        <w:rPr>
          <w:rFonts w:ascii="Times New Roman" w:hAnsi="Times New Roman" w:cs="Times New Roman"/>
          <w:i/>
          <w:sz w:val="24"/>
          <w:szCs w:val="24"/>
        </w:rPr>
        <w:t>Z</w:t>
      </w:r>
      <w:r w:rsidR="0094355A" w:rsidRPr="00FA4A40">
        <w:rPr>
          <w:rFonts w:ascii="Times New Roman" w:hAnsi="Times New Roman" w:cs="Times New Roman"/>
          <w:i/>
          <w:sz w:val="24"/>
          <w:szCs w:val="24"/>
          <w:vertAlign w:val="subscript"/>
        </w:rPr>
        <w:t>KS</w:t>
      </w:r>
      <w:r w:rsidR="0094355A" w:rsidRPr="00FA4A40">
        <w:rPr>
          <w:rFonts w:ascii="Times New Roman" w:hAnsi="Times New Roman" w:cs="Times New Roman"/>
          <w:sz w:val="24"/>
          <w:szCs w:val="24"/>
        </w:rPr>
        <w:t xml:space="preserve"> = 4.175, </w:t>
      </w:r>
      <w:r w:rsidR="0094355A" w:rsidRPr="00FA4A40">
        <w:rPr>
          <w:rFonts w:ascii="Times New Roman" w:hAnsi="Times New Roman" w:cs="Times New Roman"/>
          <w:i/>
          <w:sz w:val="24"/>
          <w:szCs w:val="24"/>
        </w:rPr>
        <w:t>p</w:t>
      </w:r>
      <w:r w:rsidR="0094355A" w:rsidRPr="00FA4A40">
        <w:rPr>
          <w:rFonts w:ascii="Times New Roman" w:hAnsi="Times New Roman" w:cs="Times New Roman"/>
          <w:sz w:val="24"/>
          <w:szCs w:val="24"/>
        </w:rPr>
        <w:t xml:space="preserve"> &lt; 0.01) y EP (</w:t>
      </w:r>
      <w:r w:rsidR="0094355A" w:rsidRPr="00FA4A40">
        <w:rPr>
          <w:rFonts w:ascii="Times New Roman" w:hAnsi="Times New Roman" w:cs="Times New Roman"/>
          <w:i/>
          <w:sz w:val="24"/>
          <w:szCs w:val="24"/>
        </w:rPr>
        <w:t>Z</w:t>
      </w:r>
      <w:r w:rsidR="0094355A" w:rsidRPr="00FA4A40">
        <w:rPr>
          <w:rFonts w:ascii="Times New Roman" w:hAnsi="Times New Roman" w:cs="Times New Roman"/>
          <w:i/>
          <w:sz w:val="24"/>
          <w:szCs w:val="24"/>
          <w:vertAlign w:val="subscript"/>
        </w:rPr>
        <w:t>KS</w:t>
      </w:r>
      <w:r w:rsidR="0094355A" w:rsidRPr="00FA4A40">
        <w:rPr>
          <w:rFonts w:ascii="Times New Roman" w:hAnsi="Times New Roman" w:cs="Times New Roman"/>
          <w:sz w:val="24"/>
          <w:szCs w:val="24"/>
        </w:rPr>
        <w:t xml:space="preserve"> = 1.385, </w:t>
      </w:r>
      <w:r w:rsidR="0094355A" w:rsidRPr="00FA4A40">
        <w:rPr>
          <w:rFonts w:ascii="Times New Roman" w:hAnsi="Times New Roman" w:cs="Times New Roman"/>
          <w:i/>
          <w:sz w:val="24"/>
          <w:szCs w:val="24"/>
        </w:rPr>
        <w:t>p</w:t>
      </w:r>
      <w:r w:rsidR="0094355A" w:rsidRPr="00FA4A40">
        <w:rPr>
          <w:rFonts w:ascii="Times New Roman" w:hAnsi="Times New Roman" w:cs="Times New Roman"/>
          <w:sz w:val="24"/>
          <w:szCs w:val="24"/>
        </w:rPr>
        <w:t xml:space="preserve"> = 0.04)</w:t>
      </w:r>
      <w:r w:rsidR="000D5E8E" w:rsidRPr="00FA4A40">
        <w:rPr>
          <w:rFonts w:ascii="Times New Roman" w:hAnsi="Times New Roman" w:cs="Times New Roman"/>
          <w:sz w:val="24"/>
          <w:szCs w:val="24"/>
        </w:rPr>
        <w:t>.</w:t>
      </w:r>
    </w:p>
    <w:p w:rsidR="00BF06FA" w:rsidRPr="00FA4A40" w:rsidRDefault="008C63DB" w:rsidP="00777196">
      <w:pPr>
        <w:spacing w:after="0" w:line="48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A4A40">
        <w:rPr>
          <w:rFonts w:ascii="Times New Roman" w:hAnsi="Times New Roman" w:cs="Times New Roman"/>
          <w:sz w:val="24"/>
          <w:szCs w:val="24"/>
        </w:rPr>
        <w:t>Con las vari</w:t>
      </w:r>
      <w:r w:rsidR="005B4727">
        <w:rPr>
          <w:rFonts w:ascii="Times New Roman" w:hAnsi="Times New Roman" w:cs="Times New Roman"/>
          <w:sz w:val="24"/>
          <w:szCs w:val="24"/>
        </w:rPr>
        <w:t>ables identificadas previamente</w:t>
      </w:r>
      <w:r w:rsidR="00C93F56">
        <w:rPr>
          <w:rFonts w:ascii="Times New Roman" w:hAnsi="Times New Roman" w:cs="Times New Roman"/>
          <w:sz w:val="24"/>
          <w:szCs w:val="24"/>
        </w:rPr>
        <w:t>,</w:t>
      </w:r>
      <w:r w:rsidRPr="00FA4A40">
        <w:rPr>
          <w:rFonts w:ascii="Times New Roman" w:hAnsi="Times New Roman" w:cs="Times New Roman"/>
          <w:sz w:val="24"/>
          <w:szCs w:val="24"/>
        </w:rPr>
        <w:t xml:space="preserve"> se </w:t>
      </w:r>
      <w:r w:rsidR="004E40F3">
        <w:rPr>
          <w:rFonts w:ascii="Times New Roman" w:hAnsi="Times New Roman" w:cs="Times New Roman"/>
          <w:sz w:val="24"/>
          <w:szCs w:val="24"/>
        </w:rPr>
        <w:t xml:space="preserve">modeló la respuesta </w:t>
      </w:r>
      <w:r w:rsidR="00CF56A7">
        <w:rPr>
          <w:rFonts w:ascii="Times New Roman" w:hAnsi="Times New Roman" w:cs="Times New Roman"/>
          <w:sz w:val="24"/>
          <w:szCs w:val="24"/>
        </w:rPr>
        <w:t xml:space="preserve">al </w:t>
      </w:r>
      <w:r w:rsidR="004E40F3">
        <w:rPr>
          <w:rFonts w:ascii="Times New Roman" w:hAnsi="Times New Roman" w:cs="Times New Roman"/>
          <w:sz w:val="24"/>
          <w:szCs w:val="24"/>
        </w:rPr>
        <w:t>IU</w:t>
      </w:r>
      <w:r w:rsidRPr="00FA4A40">
        <w:rPr>
          <w:rFonts w:ascii="Times New Roman" w:hAnsi="Times New Roman" w:cs="Times New Roman"/>
          <w:sz w:val="24"/>
          <w:szCs w:val="24"/>
        </w:rPr>
        <w:t>CE mediante regresión logística, introdu</w:t>
      </w:r>
      <w:r w:rsidR="00C11EF2" w:rsidRPr="00FA4A40">
        <w:rPr>
          <w:rFonts w:ascii="Times New Roman" w:hAnsi="Times New Roman" w:cs="Times New Roman"/>
          <w:sz w:val="24"/>
          <w:szCs w:val="24"/>
        </w:rPr>
        <w:t>ci</w:t>
      </w:r>
      <w:r w:rsidRPr="00FA4A40">
        <w:rPr>
          <w:rFonts w:ascii="Times New Roman" w:hAnsi="Times New Roman" w:cs="Times New Roman"/>
          <w:sz w:val="24"/>
          <w:szCs w:val="24"/>
        </w:rPr>
        <w:t xml:space="preserve">endo jerárquicamente dos bloques, la primera con sexo y rol de tutor, y el siguiente bloque con los puntajes de AE, </w:t>
      </w:r>
      <w:r w:rsidR="00CF56A7">
        <w:rPr>
          <w:rFonts w:ascii="Times New Roman" w:hAnsi="Times New Roman" w:cs="Times New Roman"/>
          <w:sz w:val="24"/>
          <w:szCs w:val="24"/>
        </w:rPr>
        <w:t>IN y EP (Tabla 1)</w:t>
      </w:r>
      <w:r w:rsidRPr="00FA4A40">
        <w:rPr>
          <w:rFonts w:ascii="Times New Roman" w:hAnsi="Times New Roman" w:cs="Times New Roman"/>
          <w:sz w:val="24"/>
          <w:szCs w:val="24"/>
        </w:rPr>
        <w:t xml:space="preserve">. </w:t>
      </w:r>
      <w:r w:rsidR="00C11EF2" w:rsidRPr="00FA4A40">
        <w:rPr>
          <w:rFonts w:ascii="Times New Roman" w:hAnsi="Times New Roman" w:cs="Times New Roman"/>
          <w:sz w:val="24"/>
          <w:szCs w:val="24"/>
        </w:rPr>
        <w:t>El ajuste del primer bloque fu</w:t>
      </w:r>
      <w:r w:rsidR="005B4727">
        <w:rPr>
          <w:rFonts w:ascii="Times New Roman" w:hAnsi="Times New Roman" w:cs="Times New Roman"/>
          <w:sz w:val="24"/>
          <w:szCs w:val="24"/>
        </w:rPr>
        <w:t>e estadísticamente significativo</w:t>
      </w:r>
      <w:r w:rsidR="00C11EF2" w:rsidRPr="00FA4A40">
        <w:rPr>
          <w:rFonts w:ascii="Times New Roman" w:hAnsi="Times New Roman" w:cs="Times New Roman"/>
          <w:sz w:val="24"/>
          <w:szCs w:val="24"/>
        </w:rPr>
        <w:t xml:space="preserve"> (</w:t>
      </w:r>
      <w:r w:rsidR="00C11EF2" w:rsidRPr="00FA4A40">
        <w:rPr>
          <w:rFonts w:ascii="Times New Roman" w:hAnsi="Times New Roman" w:cs="Times New Roman"/>
          <w:i/>
          <w:sz w:val="24"/>
          <w:szCs w:val="24"/>
        </w:rPr>
        <w:sym w:font="Symbol" w:char="F063"/>
      </w:r>
      <w:r w:rsidR="00C11EF2" w:rsidRPr="00FA4A40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 w:rsidR="00C11EF2" w:rsidRPr="00FA4A40">
        <w:rPr>
          <w:rFonts w:ascii="Times New Roman" w:hAnsi="Times New Roman" w:cs="Times New Roman"/>
          <w:sz w:val="24"/>
          <w:szCs w:val="24"/>
        </w:rPr>
        <w:t>[</w:t>
      </w:r>
      <w:proofErr w:type="spellStart"/>
      <w:r w:rsidR="00C11EF2" w:rsidRPr="00FA4A40">
        <w:rPr>
          <w:rFonts w:ascii="Times New Roman" w:hAnsi="Times New Roman" w:cs="Times New Roman"/>
          <w:sz w:val="24"/>
          <w:szCs w:val="24"/>
        </w:rPr>
        <w:t>gl</w:t>
      </w:r>
      <w:proofErr w:type="spellEnd"/>
      <w:r w:rsidR="00C11EF2" w:rsidRPr="00FA4A40">
        <w:rPr>
          <w:rFonts w:ascii="Times New Roman" w:hAnsi="Times New Roman" w:cs="Times New Roman"/>
          <w:sz w:val="24"/>
          <w:szCs w:val="24"/>
        </w:rPr>
        <w:t xml:space="preserve">: 5] = 13.456, </w:t>
      </w:r>
      <w:r w:rsidR="00C11EF2" w:rsidRPr="00FA4A40">
        <w:rPr>
          <w:rFonts w:ascii="Times New Roman" w:hAnsi="Times New Roman" w:cs="Times New Roman"/>
          <w:i/>
          <w:sz w:val="24"/>
          <w:szCs w:val="24"/>
        </w:rPr>
        <w:t>p</w:t>
      </w:r>
      <w:r w:rsidR="00C11EF2" w:rsidRPr="00FA4A40">
        <w:rPr>
          <w:rFonts w:ascii="Times New Roman" w:hAnsi="Times New Roman" w:cs="Times New Roman"/>
          <w:sz w:val="24"/>
          <w:szCs w:val="24"/>
        </w:rPr>
        <w:t xml:space="preserve"> &lt; 0.01; </w:t>
      </w:r>
      <w:r w:rsidR="00C11EF2" w:rsidRPr="00FA4A40">
        <w:rPr>
          <w:rFonts w:ascii="Times New Roman" w:hAnsi="Times New Roman" w:cs="Times New Roman"/>
          <w:i/>
          <w:sz w:val="24"/>
          <w:szCs w:val="24"/>
        </w:rPr>
        <w:t>R</w:t>
      </w:r>
      <w:r w:rsidR="00C11EF2" w:rsidRPr="00FA4A40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 w:rsidR="00C11EF2" w:rsidRPr="00FA4A40">
        <w:rPr>
          <w:rFonts w:ascii="Times New Roman" w:hAnsi="Times New Roman" w:cs="Times New Roman"/>
          <w:sz w:val="24"/>
          <w:szCs w:val="24"/>
        </w:rPr>
        <w:t xml:space="preserve"> Cox-Snell = .035). </w:t>
      </w:r>
      <w:r w:rsidR="004E40F3">
        <w:rPr>
          <w:rFonts w:ascii="Times New Roman" w:hAnsi="Times New Roman" w:cs="Times New Roman"/>
          <w:sz w:val="24"/>
          <w:szCs w:val="24"/>
        </w:rPr>
        <w:t>Las respuestas en IU</w:t>
      </w:r>
      <w:r w:rsidRPr="00FA4A40">
        <w:rPr>
          <w:rFonts w:ascii="Times New Roman" w:hAnsi="Times New Roman" w:cs="Times New Roman"/>
          <w:sz w:val="24"/>
          <w:szCs w:val="24"/>
        </w:rPr>
        <w:t xml:space="preserve">CE pronosticadas por </w:t>
      </w:r>
      <w:r w:rsidR="00BF06FA" w:rsidRPr="00FA4A40">
        <w:rPr>
          <w:rFonts w:ascii="Times New Roman" w:hAnsi="Times New Roman" w:cs="Times New Roman"/>
          <w:sz w:val="24"/>
          <w:szCs w:val="24"/>
        </w:rPr>
        <w:t xml:space="preserve">el </w:t>
      </w:r>
      <w:r w:rsidRPr="00FA4A40">
        <w:rPr>
          <w:rFonts w:ascii="Times New Roman" w:hAnsi="Times New Roman" w:cs="Times New Roman"/>
          <w:sz w:val="24"/>
          <w:szCs w:val="24"/>
        </w:rPr>
        <w:t>primer bloque produjeron 64.7% de clasificación correcta</w:t>
      </w:r>
      <w:r w:rsidR="003D4B09" w:rsidRPr="00FA4A40">
        <w:rPr>
          <w:rFonts w:ascii="Times New Roman" w:hAnsi="Times New Roman" w:cs="Times New Roman"/>
          <w:sz w:val="24"/>
          <w:szCs w:val="24"/>
        </w:rPr>
        <w:t xml:space="preserve"> total</w:t>
      </w:r>
      <w:r w:rsidRPr="00FA4A40">
        <w:rPr>
          <w:rFonts w:ascii="Times New Roman" w:hAnsi="Times New Roman" w:cs="Times New Roman"/>
          <w:sz w:val="24"/>
          <w:szCs w:val="24"/>
        </w:rPr>
        <w:t>, y 92% y 22% para las respuestas Sí y No</w:t>
      </w:r>
      <w:r w:rsidR="003D4B09" w:rsidRPr="00FA4A40">
        <w:rPr>
          <w:rFonts w:ascii="Times New Roman" w:hAnsi="Times New Roman" w:cs="Times New Roman"/>
          <w:sz w:val="24"/>
          <w:szCs w:val="24"/>
        </w:rPr>
        <w:t>, respectivamente</w:t>
      </w:r>
      <w:r w:rsidRPr="00FA4A40">
        <w:rPr>
          <w:rFonts w:ascii="Times New Roman" w:hAnsi="Times New Roman" w:cs="Times New Roman"/>
          <w:sz w:val="24"/>
          <w:szCs w:val="24"/>
        </w:rPr>
        <w:t>.</w:t>
      </w:r>
      <w:r w:rsidR="0027428B" w:rsidRPr="00FA4A40">
        <w:rPr>
          <w:rFonts w:ascii="Times New Roman" w:hAnsi="Times New Roman" w:cs="Times New Roman"/>
          <w:sz w:val="24"/>
          <w:szCs w:val="24"/>
        </w:rPr>
        <w:t xml:space="preserve"> </w:t>
      </w:r>
      <w:r w:rsidR="00C11EF2" w:rsidRPr="00FA4A40">
        <w:rPr>
          <w:rFonts w:ascii="Times New Roman" w:hAnsi="Times New Roman" w:cs="Times New Roman"/>
          <w:sz w:val="24"/>
          <w:szCs w:val="24"/>
        </w:rPr>
        <w:t xml:space="preserve">El ingreso del segundo bloque </w:t>
      </w:r>
      <w:r w:rsidR="00BF06FA" w:rsidRPr="00FA4A40">
        <w:rPr>
          <w:rFonts w:ascii="Times New Roman" w:hAnsi="Times New Roman" w:cs="Times New Roman"/>
          <w:sz w:val="24"/>
          <w:szCs w:val="24"/>
        </w:rPr>
        <w:t>logró</w:t>
      </w:r>
      <w:r w:rsidR="00C11EF2" w:rsidRPr="00FA4A40">
        <w:rPr>
          <w:rFonts w:ascii="Times New Roman" w:hAnsi="Times New Roman" w:cs="Times New Roman"/>
          <w:sz w:val="24"/>
          <w:szCs w:val="24"/>
        </w:rPr>
        <w:t xml:space="preserve"> un mayor ajuste </w:t>
      </w:r>
      <w:r w:rsidR="007D4D64" w:rsidRPr="00FA4A40">
        <w:rPr>
          <w:rFonts w:ascii="Times New Roman" w:hAnsi="Times New Roman" w:cs="Times New Roman"/>
          <w:sz w:val="24"/>
          <w:szCs w:val="24"/>
        </w:rPr>
        <w:t>(</w:t>
      </w:r>
      <w:r w:rsidR="007D4D64" w:rsidRPr="00FA4A40">
        <w:rPr>
          <w:rFonts w:ascii="Times New Roman" w:hAnsi="Times New Roman" w:cs="Times New Roman"/>
          <w:i/>
          <w:sz w:val="24"/>
          <w:szCs w:val="24"/>
        </w:rPr>
        <w:sym w:font="Symbol" w:char="F063"/>
      </w:r>
      <w:r w:rsidR="007D4D64" w:rsidRPr="00FA4A40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 w:rsidR="007D4D64" w:rsidRPr="00FA4A40">
        <w:rPr>
          <w:rFonts w:ascii="Times New Roman" w:hAnsi="Times New Roman" w:cs="Times New Roman"/>
          <w:sz w:val="24"/>
          <w:szCs w:val="24"/>
        </w:rPr>
        <w:t>[</w:t>
      </w:r>
      <w:proofErr w:type="spellStart"/>
      <w:r w:rsidR="007D4D64" w:rsidRPr="00FA4A40">
        <w:rPr>
          <w:rFonts w:ascii="Times New Roman" w:hAnsi="Times New Roman" w:cs="Times New Roman"/>
          <w:sz w:val="24"/>
          <w:szCs w:val="24"/>
        </w:rPr>
        <w:t>gl</w:t>
      </w:r>
      <w:proofErr w:type="spellEnd"/>
      <w:r w:rsidR="007D4D64" w:rsidRPr="00FA4A40">
        <w:rPr>
          <w:rFonts w:ascii="Times New Roman" w:hAnsi="Times New Roman" w:cs="Times New Roman"/>
          <w:sz w:val="24"/>
          <w:szCs w:val="24"/>
        </w:rPr>
        <w:t xml:space="preserve">: </w:t>
      </w:r>
      <w:r w:rsidR="008C3967" w:rsidRPr="00FA4A40">
        <w:rPr>
          <w:rFonts w:ascii="Times New Roman" w:hAnsi="Times New Roman" w:cs="Times New Roman"/>
          <w:sz w:val="24"/>
          <w:szCs w:val="24"/>
        </w:rPr>
        <w:t>3</w:t>
      </w:r>
      <w:r w:rsidR="007D4D64" w:rsidRPr="00FA4A40">
        <w:rPr>
          <w:rFonts w:ascii="Times New Roman" w:hAnsi="Times New Roman" w:cs="Times New Roman"/>
          <w:sz w:val="24"/>
          <w:szCs w:val="24"/>
        </w:rPr>
        <w:t xml:space="preserve">] = </w:t>
      </w:r>
      <w:r w:rsidR="008C3967" w:rsidRPr="00FA4A40">
        <w:rPr>
          <w:rFonts w:ascii="Times New Roman" w:hAnsi="Times New Roman" w:cs="Times New Roman"/>
          <w:sz w:val="24"/>
          <w:szCs w:val="24"/>
        </w:rPr>
        <w:t>158.997</w:t>
      </w:r>
      <w:r w:rsidR="007D4D64" w:rsidRPr="00FA4A40">
        <w:rPr>
          <w:rFonts w:ascii="Times New Roman" w:hAnsi="Times New Roman" w:cs="Times New Roman"/>
          <w:sz w:val="24"/>
          <w:szCs w:val="24"/>
        </w:rPr>
        <w:t xml:space="preserve"> </w:t>
      </w:r>
      <w:r w:rsidR="007D4D64" w:rsidRPr="00FA4A40">
        <w:rPr>
          <w:rFonts w:ascii="Times New Roman" w:hAnsi="Times New Roman" w:cs="Times New Roman"/>
          <w:i/>
          <w:sz w:val="24"/>
          <w:szCs w:val="24"/>
        </w:rPr>
        <w:t>p</w:t>
      </w:r>
      <w:r w:rsidR="007D4D64" w:rsidRPr="00FA4A40">
        <w:rPr>
          <w:rFonts w:ascii="Times New Roman" w:hAnsi="Times New Roman" w:cs="Times New Roman"/>
          <w:sz w:val="24"/>
          <w:szCs w:val="24"/>
        </w:rPr>
        <w:t xml:space="preserve"> &lt; 0.01) y varianza explicada </w:t>
      </w:r>
      <w:r w:rsidR="00C11EF2" w:rsidRPr="00FA4A40">
        <w:rPr>
          <w:rFonts w:ascii="Times New Roman" w:hAnsi="Times New Roman" w:cs="Times New Roman"/>
          <w:sz w:val="24"/>
          <w:szCs w:val="24"/>
        </w:rPr>
        <w:t>(</w:t>
      </w:r>
      <w:r w:rsidR="007D4D64" w:rsidRPr="00FA4A40">
        <w:rPr>
          <w:rFonts w:ascii="Times New Roman" w:hAnsi="Times New Roman" w:cs="Times New Roman"/>
          <w:i/>
          <w:sz w:val="24"/>
          <w:szCs w:val="24"/>
        </w:rPr>
        <w:t>R</w:t>
      </w:r>
      <w:r w:rsidR="007D4D64" w:rsidRPr="00FA4A40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 w:rsidR="007D4D64" w:rsidRPr="00FA4A40">
        <w:rPr>
          <w:rFonts w:ascii="Times New Roman" w:hAnsi="Times New Roman" w:cs="Times New Roman"/>
          <w:sz w:val="24"/>
          <w:szCs w:val="24"/>
        </w:rPr>
        <w:t xml:space="preserve"> </w:t>
      </w:r>
      <w:r w:rsidR="007D4D64" w:rsidRPr="00FA4A40">
        <w:rPr>
          <w:rFonts w:ascii="Times New Roman" w:hAnsi="Times New Roman" w:cs="Times New Roman"/>
          <w:sz w:val="24"/>
          <w:szCs w:val="24"/>
        </w:rPr>
        <w:lastRenderedPageBreak/>
        <w:t>Cox-Snell = .36</w:t>
      </w:r>
      <w:r w:rsidR="00C11EF2" w:rsidRPr="00FA4A40">
        <w:rPr>
          <w:rFonts w:ascii="Times New Roman" w:hAnsi="Times New Roman" w:cs="Times New Roman"/>
          <w:sz w:val="24"/>
          <w:szCs w:val="24"/>
        </w:rPr>
        <w:t>)</w:t>
      </w:r>
      <w:r w:rsidR="008C3967" w:rsidRPr="00FA4A40">
        <w:rPr>
          <w:rFonts w:ascii="Times New Roman" w:hAnsi="Times New Roman" w:cs="Times New Roman"/>
          <w:sz w:val="24"/>
          <w:szCs w:val="24"/>
        </w:rPr>
        <w:t xml:space="preserve">. </w:t>
      </w:r>
      <w:r w:rsidR="003D4B09" w:rsidRPr="00FA4A40">
        <w:rPr>
          <w:rFonts w:ascii="Times New Roman" w:hAnsi="Times New Roman" w:cs="Times New Roman"/>
          <w:sz w:val="24"/>
          <w:szCs w:val="24"/>
        </w:rPr>
        <w:t>Con este modelo, la clasificación co</w:t>
      </w:r>
      <w:r w:rsidR="004E40F3">
        <w:rPr>
          <w:rFonts w:ascii="Times New Roman" w:hAnsi="Times New Roman" w:cs="Times New Roman"/>
          <w:sz w:val="24"/>
          <w:szCs w:val="24"/>
        </w:rPr>
        <w:t>rrecta total de respuestas en IU</w:t>
      </w:r>
      <w:r w:rsidR="003D4B09" w:rsidRPr="00FA4A40">
        <w:rPr>
          <w:rFonts w:ascii="Times New Roman" w:hAnsi="Times New Roman" w:cs="Times New Roman"/>
          <w:sz w:val="24"/>
          <w:szCs w:val="24"/>
        </w:rPr>
        <w:t xml:space="preserve">CE fue </w:t>
      </w:r>
      <w:r w:rsidR="00CF56A7">
        <w:rPr>
          <w:rFonts w:ascii="Times New Roman" w:hAnsi="Times New Roman" w:cs="Times New Roman"/>
          <w:sz w:val="24"/>
          <w:szCs w:val="24"/>
        </w:rPr>
        <w:t xml:space="preserve">mayor: </w:t>
      </w:r>
      <w:r w:rsidR="003D4B09" w:rsidRPr="00FA4A40">
        <w:rPr>
          <w:rFonts w:ascii="Times New Roman" w:hAnsi="Times New Roman" w:cs="Times New Roman"/>
          <w:sz w:val="24"/>
          <w:szCs w:val="24"/>
        </w:rPr>
        <w:t xml:space="preserve">78.8% </w:t>
      </w:r>
      <w:r w:rsidR="00803DD2" w:rsidRPr="00FA4A40">
        <w:rPr>
          <w:rFonts w:ascii="Times New Roman" w:hAnsi="Times New Roman" w:cs="Times New Roman"/>
          <w:sz w:val="24"/>
          <w:szCs w:val="24"/>
        </w:rPr>
        <w:t xml:space="preserve">para la clasificación correcta total, </w:t>
      </w:r>
      <w:r w:rsidR="003D4B09" w:rsidRPr="00FA4A40">
        <w:rPr>
          <w:rFonts w:ascii="Times New Roman" w:hAnsi="Times New Roman" w:cs="Times New Roman"/>
          <w:sz w:val="24"/>
          <w:szCs w:val="24"/>
        </w:rPr>
        <w:t>y 80.2% y 76.7% para las respuestas Sí y No, respectivamente.</w:t>
      </w:r>
      <w:r w:rsidR="00BF06FA" w:rsidRPr="00FA4A40">
        <w:rPr>
          <w:rFonts w:ascii="Times New Roman" w:hAnsi="Times New Roman" w:cs="Times New Roman"/>
          <w:sz w:val="24"/>
          <w:szCs w:val="24"/>
        </w:rPr>
        <w:t xml:space="preserve"> </w:t>
      </w:r>
      <w:r w:rsidR="00BF06FA" w:rsidRPr="005F5B1C">
        <w:rPr>
          <w:rFonts w:ascii="Times New Roman" w:hAnsi="Times New Roman" w:cs="Times New Roman"/>
          <w:sz w:val="24"/>
          <w:szCs w:val="24"/>
        </w:rPr>
        <w:t xml:space="preserve">Los puntajes que tienen impacto </w:t>
      </w:r>
      <w:r w:rsidR="00BF06FA" w:rsidRPr="00FA4A40">
        <w:rPr>
          <w:rFonts w:ascii="Times New Roman" w:hAnsi="Times New Roman" w:cs="Times New Roman"/>
          <w:sz w:val="24"/>
          <w:szCs w:val="24"/>
        </w:rPr>
        <w:t xml:space="preserve">luego de remover el efecto del sexo y tutoría fueron AE </w:t>
      </w:r>
      <w:r w:rsidR="00CF56A7">
        <w:rPr>
          <w:rFonts w:ascii="Times New Roman" w:hAnsi="Times New Roman" w:cs="Times New Roman"/>
          <w:sz w:val="24"/>
          <w:szCs w:val="24"/>
        </w:rPr>
        <w:t>e</w:t>
      </w:r>
      <w:r w:rsidR="00BF06FA" w:rsidRPr="00FA4A40">
        <w:rPr>
          <w:rFonts w:ascii="Times New Roman" w:hAnsi="Times New Roman" w:cs="Times New Roman"/>
          <w:sz w:val="24"/>
          <w:szCs w:val="24"/>
        </w:rPr>
        <w:t xml:space="preserve"> IN, ambos de similar magnitud respecto al </w:t>
      </w:r>
      <w:proofErr w:type="spellStart"/>
      <w:r w:rsidR="00BF06FA" w:rsidRPr="00FA4A40">
        <w:rPr>
          <w:rFonts w:ascii="Times New Roman" w:hAnsi="Times New Roman" w:cs="Times New Roman"/>
          <w:sz w:val="24"/>
          <w:szCs w:val="24"/>
        </w:rPr>
        <w:t>odd</w:t>
      </w:r>
      <w:proofErr w:type="spellEnd"/>
      <w:r w:rsidR="00BF06FA" w:rsidRPr="00FA4A40">
        <w:rPr>
          <w:rFonts w:ascii="Times New Roman" w:hAnsi="Times New Roman" w:cs="Times New Roman"/>
          <w:sz w:val="24"/>
          <w:szCs w:val="24"/>
        </w:rPr>
        <w:t xml:space="preserve"> ratio de cada uno (Tabla 1).</w:t>
      </w:r>
    </w:p>
    <w:p w:rsidR="002559E9" w:rsidRPr="00FA4A40" w:rsidRDefault="002559E9" w:rsidP="002559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4A40">
        <w:rPr>
          <w:rFonts w:ascii="Times New Roman" w:hAnsi="Times New Roman" w:cs="Times New Roman"/>
          <w:sz w:val="24"/>
          <w:szCs w:val="24"/>
        </w:rPr>
        <w:t>Tabla 1</w:t>
      </w:r>
    </w:p>
    <w:p w:rsidR="002559E9" w:rsidRPr="00FA4A40" w:rsidRDefault="002559E9" w:rsidP="002559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4A40">
        <w:rPr>
          <w:rFonts w:ascii="Times New Roman" w:hAnsi="Times New Roman" w:cs="Times New Roman"/>
          <w:sz w:val="24"/>
          <w:szCs w:val="24"/>
        </w:rPr>
        <w:t>Influencia del MBI-GS y variables demográficas sobre el ítem único de estrés</w:t>
      </w:r>
    </w:p>
    <w:tbl>
      <w:tblPr>
        <w:tblStyle w:val="Tablaconcuadrcula"/>
        <w:tblW w:w="8011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75"/>
        <w:gridCol w:w="2215"/>
        <w:gridCol w:w="251"/>
        <w:gridCol w:w="1092"/>
        <w:gridCol w:w="1137"/>
        <w:gridCol w:w="1141"/>
      </w:tblGrid>
      <w:tr w:rsidR="002559E9" w:rsidRPr="00FA4A40" w:rsidTr="004A4A6B">
        <w:trPr>
          <w:trHeight w:val="596"/>
        </w:trPr>
        <w:tc>
          <w:tcPr>
            <w:tcW w:w="2175" w:type="dxa"/>
            <w:vMerge w:val="restart"/>
            <w:vAlign w:val="center"/>
          </w:tcPr>
          <w:p w:rsidR="002559E9" w:rsidRPr="00FA4A40" w:rsidRDefault="002559E9" w:rsidP="004A4A6B">
            <w:pPr>
              <w:tabs>
                <w:tab w:val="left" w:pos="171"/>
              </w:tabs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15" w:type="dxa"/>
            <w:vMerge w:val="restart"/>
            <w:vAlign w:val="center"/>
          </w:tcPr>
          <w:p w:rsidR="002559E9" w:rsidRPr="00FA4A40" w:rsidRDefault="002559E9" w:rsidP="004A4A6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A4A40">
              <w:rPr>
                <w:rFonts w:ascii="Times New Roman" w:hAnsi="Times New Roman" w:cs="Times New Roman"/>
                <w:szCs w:val="24"/>
              </w:rPr>
              <w:t>B (Wald)</w:t>
            </w:r>
          </w:p>
        </w:tc>
        <w:tc>
          <w:tcPr>
            <w:tcW w:w="251" w:type="dxa"/>
            <w:vAlign w:val="center"/>
          </w:tcPr>
          <w:p w:rsidR="002559E9" w:rsidRPr="00FA4A40" w:rsidRDefault="002559E9" w:rsidP="004A4A6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92" w:type="dxa"/>
            <w:vMerge w:val="restart"/>
            <w:vAlign w:val="center"/>
          </w:tcPr>
          <w:p w:rsidR="002559E9" w:rsidRPr="00FA4A40" w:rsidRDefault="002559E9" w:rsidP="004A4A6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FA4A40">
              <w:rPr>
                <w:rFonts w:ascii="Times New Roman" w:hAnsi="Times New Roman" w:cs="Times New Roman"/>
                <w:szCs w:val="24"/>
              </w:rPr>
              <w:t>Exp</w:t>
            </w:r>
            <w:proofErr w:type="spellEnd"/>
            <w:r w:rsidRPr="00FA4A40">
              <w:rPr>
                <w:rFonts w:ascii="Times New Roman" w:hAnsi="Times New Roman" w:cs="Times New Roman"/>
                <w:szCs w:val="24"/>
              </w:rPr>
              <w:t>(B)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59E9" w:rsidRPr="00FA4A40" w:rsidRDefault="002559E9" w:rsidP="004A4A6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A4A40">
              <w:rPr>
                <w:rFonts w:ascii="Times New Roman" w:hAnsi="Times New Roman" w:cs="Times New Roman"/>
                <w:szCs w:val="24"/>
              </w:rPr>
              <w:t xml:space="preserve">I.C. 95% </w:t>
            </w:r>
            <w:proofErr w:type="spellStart"/>
            <w:r w:rsidRPr="00FA4A40">
              <w:rPr>
                <w:rFonts w:ascii="Times New Roman" w:hAnsi="Times New Roman" w:cs="Times New Roman"/>
                <w:szCs w:val="24"/>
              </w:rPr>
              <w:t>Exp</w:t>
            </w:r>
            <w:proofErr w:type="spellEnd"/>
            <w:r w:rsidRPr="00FA4A40">
              <w:rPr>
                <w:rFonts w:ascii="Times New Roman" w:hAnsi="Times New Roman" w:cs="Times New Roman"/>
                <w:szCs w:val="24"/>
              </w:rPr>
              <w:t>(B)</w:t>
            </w:r>
          </w:p>
        </w:tc>
      </w:tr>
      <w:tr w:rsidR="002559E9" w:rsidRPr="00FA4A40" w:rsidTr="004A4A6B">
        <w:trPr>
          <w:trHeight w:val="596"/>
        </w:trPr>
        <w:tc>
          <w:tcPr>
            <w:tcW w:w="2175" w:type="dxa"/>
            <w:vMerge/>
            <w:tcBorders>
              <w:bottom w:val="single" w:sz="4" w:space="0" w:color="auto"/>
            </w:tcBorders>
            <w:vAlign w:val="center"/>
          </w:tcPr>
          <w:p w:rsidR="002559E9" w:rsidRPr="00FA4A40" w:rsidRDefault="002559E9" w:rsidP="004A4A6B">
            <w:pPr>
              <w:tabs>
                <w:tab w:val="left" w:pos="171"/>
              </w:tabs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15" w:type="dxa"/>
            <w:vMerge/>
            <w:tcBorders>
              <w:bottom w:val="single" w:sz="4" w:space="0" w:color="auto"/>
            </w:tcBorders>
            <w:vAlign w:val="center"/>
          </w:tcPr>
          <w:p w:rsidR="002559E9" w:rsidRPr="00FA4A40" w:rsidRDefault="002559E9" w:rsidP="004A4A6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vAlign w:val="center"/>
          </w:tcPr>
          <w:p w:rsidR="002559E9" w:rsidRPr="00FA4A40" w:rsidRDefault="002559E9" w:rsidP="004A4A6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92" w:type="dxa"/>
            <w:vMerge/>
            <w:tcBorders>
              <w:bottom w:val="single" w:sz="4" w:space="0" w:color="auto"/>
            </w:tcBorders>
            <w:vAlign w:val="center"/>
          </w:tcPr>
          <w:p w:rsidR="002559E9" w:rsidRPr="00FA4A40" w:rsidRDefault="002559E9" w:rsidP="004A4A6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59E9" w:rsidRPr="00FA4A40" w:rsidRDefault="002559E9" w:rsidP="004A4A6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FA4A40">
              <w:rPr>
                <w:rFonts w:ascii="Times New Roman" w:hAnsi="Times New Roman" w:cs="Times New Roman"/>
                <w:szCs w:val="24"/>
              </w:rPr>
              <w:t>Inf</w:t>
            </w:r>
            <w:proofErr w:type="spellEnd"/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59E9" w:rsidRPr="00FA4A40" w:rsidRDefault="002559E9" w:rsidP="004A4A6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FA4A40">
              <w:rPr>
                <w:rFonts w:ascii="Times New Roman" w:hAnsi="Times New Roman" w:cs="Times New Roman"/>
                <w:szCs w:val="24"/>
              </w:rPr>
              <w:t>Sup</w:t>
            </w:r>
            <w:proofErr w:type="spellEnd"/>
          </w:p>
        </w:tc>
      </w:tr>
      <w:tr w:rsidR="002559E9" w:rsidRPr="00FA4A40" w:rsidTr="004A4A6B">
        <w:trPr>
          <w:trHeight w:val="596"/>
        </w:trPr>
        <w:tc>
          <w:tcPr>
            <w:tcW w:w="2175" w:type="dxa"/>
            <w:tcBorders>
              <w:top w:val="single" w:sz="4" w:space="0" w:color="auto"/>
              <w:bottom w:val="nil"/>
            </w:tcBorders>
            <w:vAlign w:val="center"/>
          </w:tcPr>
          <w:p w:rsidR="002559E9" w:rsidRPr="00FA4A40" w:rsidRDefault="002559E9" w:rsidP="004A4A6B">
            <w:pPr>
              <w:tabs>
                <w:tab w:val="left" w:pos="171"/>
              </w:tabs>
              <w:rPr>
                <w:rFonts w:ascii="Times New Roman" w:hAnsi="Times New Roman" w:cs="Times New Roman"/>
                <w:szCs w:val="24"/>
              </w:rPr>
            </w:pPr>
            <w:r w:rsidRPr="00FA4A40">
              <w:rPr>
                <w:rFonts w:ascii="Times New Roman" w:hAnsi="Times New Roman" w:cs="Times New Roman"/>
                <w:szCs w:val="24"/>
              </w:rPr>
              <w:t>Bloque 1</w:t>
            </w:r>
            <w:r w:rsidRPr="00FA4A40">
              <w:rPr>
                <w:rFonts w:ascii="Times New Roman" w:hAnsi="Times New Roman" w:cs="Times New Roman"/>
                <w:szCs w:val="24"/>
                <w:vertAlign w:val="superscript"/>
              </w:rPr>
              <w:t>a</w:t>
            </w:r>
          </w:p>
        </w:tc>
        <w:tc>
          <w:tcPr>
            <w:tcW w:w="2215" w:type="dxa"/>
            <w:tcBorders>
              <w:top w:val="single" w:sz="4" w:space="0" w:color="auto"/>
              <w:bottom w:val="nil"/>
            </w:tcBorders>
          </w:tcPr>
          <w:p w:rsidR="002559E9" w:rsidRPr="00FA4A40" w:rsidRDefault="002559E9" w:rsidP="004A4A6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1" w:type="dxa"/>
            <w:tcBorders>
              <w:top w:val="single" w:sz="4" w:space="0" w:color="auto"/>
              <w:bottom w:val="nil"/>
            </w:tcBorders>
          </w:tcPr>
          <w:p w:rsidR="002559E9" w:rsidRPr="00FA4A40" w:rsidRDefault="002559E9" w:rsidP="004A4A6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bottom w:val="nil"/>
            </w:tcBorders>
            <w:vAlign w:val="center"/>
          </w:tcPr>
          <w:p w:rsidR="002559E9" w:rsidRPr="00FA4A40" w:rsidRDefault="002559E9" w:rsidP="004A4A6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bottom w:val="nil"/>
            </w:tcBorders>
            <w:vAlign w:val="center"/>
          </w:tcPr>
          <w:p w:rsidR="002559E9" w:rsidRPr="00FA4A40" w:rsidRDefault="002559E9" w:rsidP="004A4A6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bottom w:val="nil"/>
            </w:tcBorders>
            <w:vAlign w:val="center"/>
          </w:tcPr>
          <w:p w:rsidR="002559E9" w:rsidRPr="00FA4A40" w:rsidRDefault="002559E9" w:rsidP="004A4A6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559E9" w:rsidRPr="00FA4A40" w:rsidTr="004A4A6B">
        <w:trPr>
          <w:trHeight w:val="596"/>
        </w:trPr>
        <w:tc>
          <w:tcPr>
            <w:tcW w:w="2175" w:type="dxa"/>
            <w:tcBorders>
              <w:top w:val="nil"/>
            </w:tcBorders>
            <w:vAlign w:val="center"/>
          </w:tcPr>
          <w:p w:rsidR="002559E9" w:rsidRPr="00FA4A40" w:rsidRDefault="002559E9" w:rsidP="004A4A6B">
            <w:pPr>
              <w:tabs>
                <w:tab w:val="left" w:pos="171"/>
              </w:tabs>
              <w:rPr>
                <w:rFonts w:ascii="Times New Roman" w:hAnsi="Times New Roman" w:cs="Times New Roman"/>
                <w:szCs w:val="24"/>
              </w:rPr>
            </w:pPr>
            <w:r w:rsidRPr="00FA4A40">
              <w:rPr>
                <w:rFonts w:ascii="Times New Roman" w:hAnsi="Times New Roman" w:cs="Times New Roman"/>
                <w:szCs w:val="24"/>
              </w:rPr>
              <w:tab/>
              <w:t>Sexo (varón = 1)</w:t>
            </w:r>
          </w:p>
        </w:tc>
        <w:tc>
          <w:tcPr>
            <w:tcW w:w="2215" w:type="dxa"/>
            <w:tcBorders>
              <w:top w:val="nil"/>
            </w:tcBorders>
            <w:vAlign w:val="center"/>
          </w:tcPr>
          <w:p w:rsidR="002559E9" w:rsidRPr="00FA4A40" w:rsidRDefault="002559E9" w:rsidP="004A4A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Cs w:val="24"/>
              </w:rPr>
            </w:pPr>
            <w:r w:rsidRPr="00FA4A40">
              <w:rPr>
                <w:rFonts w:ascii="Times New Roman" w:hAnsi="Times New Roman" w:cs="Times New Roman"/>
                <w:szCs w:val="24"/>
              </w:rPr>
              <w:t>-.627 (5.989*)</w:t>
            </w:r>
          </w:p>
        </w:tc>
        <w:tc>
          <w:tcPr>
            <w:tcW w:w="251" w:type="dxa"/>
            <w:tcBorders>
              <w:top w:val="nil"/>
            </w:tcBorders>
          </w:tcPr>
          <w:p w:rsidR="002559E9" w:rsidRPr="00FA4A40" w:rsidRDefault="002559E9" w:rsidP="004A4A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92" w:type="dxa"/>
            <w:tcBorders>
              <w:top w:val="nil"/>
            </w:tcBorders>
            <w:vAlign w:val="center"/>
          </w:tcPr>
          <w:p w:rsidR="002559E9" w:rsidRPr="00FA4A40" w:rsidRDefault="002559E9" w:rsidP="004A4A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Cs w:val="24"/>
              </w:rPr>
            </w:pPr>
            <w:r w:rsidRPr="00FA4A40">
              <w:rPr>
                <w:rFonts w:ascii="Times New Roman" w:hAnsi="Times New Roman" w:cs="Times New Roman"/>
                <w:szCs w:val="24"/>
              </w:rPr>
              <w:t>.534</w:t>
            </w:r>
          </w:p>
        </w:tc>
        <w:tc>
          <w:tcPr>
            <w:tcW w:w="1137" w:type="dxa"/>
            <w:tcBorders>
              <w:top w:val="nil"/>
            </w:tcBorders>
            <w:vAlign w:val="center"/>
          </w:tcPr>
          <w:p w:rsidR="002559E9" w:rsidRPr="00FA4A40" w:rsidRDefault="002559E9" w:rsidP="004A4A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Cs w:val="24"/>
              </w:rPr>
            </w:pPr>
            <w:r w:rsidRPr="00FA4A40">
              <w:rPr>
                <w:rFonts w:ascii="Times New Roman" w:hAnsi="Times New Roman" w:cs="Times New Roman"/>
                <w:szCs w:val="24"/>
              </w:rPr>
              <w:t>.323</w:t>
            </w:r>
          </w:p>
        </w:tc>
        <w:tc>
          <w:tcPr>
            <w:tcW w:w="1140" w:type="dxa"/>
            <w:tcBorders>
              <w:top w:val="nil"/>
            </w:tcBorders>
            <w:vAlign w:val="center"/>
          </w:tcPr>
          <w:p w:rsidR="002559E9" w:rsidRPr="00FA4A40" w:rsidRDefault="002559E9" w:rsidP="004A4A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Cs w:val="24"/>
              </w:rPr>
            </w:pPr>
            <w:r w:rsidRPr="00FA4A40">
              <w:rPr>
                <w:rFonts w:ascii="Times New Roman" w:hAnsi="Times New Roman" w:cs="Times New Roman"/>
                <w:szCs w:val="24"/>
              </w:rPr>
              <w:t>.883</w:t>
            </w:r>
          </w:p>
        </w:tc>
      </w:tr>
      <w:tr w:rsidR="002559E9" w:rsidRPr="00FA4A40" w:rsidTr="004A4A6B">
        <w:trPr>
          <w:trHeight w:val="596"/>
        </w:trPr>
        <w:tc>
          <w:tcPr>
            <w:tcW w:w="2175" w:type="dxa"/>
            <w:vAlign w:val="center"/>
          </w:tcPr>
          <w:p w:rsidR="002559E9" w:rsidRPr="00FA4A40" w:rsidRDefault="002559E9" w:rsidP="004A4A6B">
            <w:pPr>
              <w:tabs>
                <w:tab w:val="left" w:pos="171"/>
              </w:tabs>
              <w:rPr>
                <w:rFonts w:ascii="Times New Roman" w:hAnsi="Times New Roman" w:cs="Times New Roman"/>
                <w:szCs w:val="24"/>
              </w:rPr>
            </w:pPr>
            <w:r w:rsidRPr="00FA4A40">
              <w:rPr>
                <w:rFonts w:ascii="Times New Roman" w:hAnsi="Times New Roman" w:cs="Times New Roman"/>
                <w:szCs w:val="24"/>
              </w:rPr>
              <w:tab/>
              <w:t>Tutor (sí = 1)</w:t>
            </w:r>
          </w:p>
        </w:tc>
        <w:tc>
          <w:tcPr>
            <w:tcW w:w="2215" w:type="dxa"/>
            <w:vAlign w:val="center"/>
          </w:tcPr>
          <w:p w:rsidR="002559E9" w:rsidRPr="00FA4A40" w:rsidRDefault="002559E9" w:rsidP="004A4A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Cs w:val="24"/>
              </w:rPr>
            </w:pPr>
            <w:r w:rsidRPr="00FA4A40">
              <w:rPr>
                <w:rFonts w:ascii="Times New Roman" w:hAnsi="Times New Roman" w:cs="Times New Roman"/>
                <w:szCs w:val="24"/>
              </w:rPr>
              <w:t>.462 (4.233*)</w:t>
            </w:r>
          </w:p>
        </w:tc>
        <w:tc>
          <w:tcPr>
            <w:tcW w:w="251" w:type="dxa"/>
          </w:tcPr>
          <w:p w:rsidR="002559E9" w:rsidRPr="00FA4A40" w:rsidRDefault="002559E9" w:rsidP="004A4A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2559E9" w:rsidRPr="00FA4A40" w:rsidRDefault="002559E9" w:rsidP="004A4A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Cs w:val="24"/>
              </w:rPr>
            </w:pPr>
            <w:r w:rsidRPr="00FA4A40">
              <w:rPr>
                <w:rFonts w:ascii="Times New Roman" w:hAnsi="Times New Roman" w:cs="Times New Roman"/>
                <w:szCs w:val="24"/>
              </w:rPr>
              <w:t>1.587</w:t>
            </w:r>
          </w:p>
        </w:tc>
        <w:tc>
          <w:tcPr>
            <w:tcW w:w="1137" w:type="dxa"/>
            <w:vAlign w:val="center"/>
          </w:tcPr>
          <w:p w:rsidR="002559E9" w:rsidRPr="00FA4A40" w:rsidRDefault="002559E9" w:rsidP="004A4A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Cs w:val="24"/>
              </w:rPr>
            </w:pPr>
            <w:r w:rsidRPr="00FA4A40">
              <w:rPr>
                <w:rFonts w:ascii="Times New Roman" w:hAnsi="Times New Roman" w:cs="Times New Roman"/>
                <w:szCs w:val="24"/>
              </w:rPr>
              <w:t>1.022</w:t>
            </w:r>
          </w:p>
        </w:tc>
        <w:tc>
          <w:tcPr>
            <w:tcW w:w="1140" w:type="dxa"/>
            <w:vAlign w:val="center"/>
          </w:tcPr>
          <w:p w:rsidR="002559E9" w:rsidRPr="00FA4A40" w:rsidRDefault="002559E9" w:rsidP="004A4A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Cs w:val="24"/>
              </w:rPr>
            </w:pPr>
            <w:r w:rsidRPr="00FA4A40">
              <w:rPr>
                <w:rFonts w:ascii="Times New Roman" w:hAnsi="Times New Roman" w:cs="Times New Roman"/>
                <w:szCs w:val="24"/>
              </w:rPr>
              <w:t>2.463</w:t>
            </w:r>
          </w:p>
        </w:tc>
      </w:tr>
      <w:tr w:rsidR="002559E9" w:rsidRPr="00FA4A40" w:rsidTr="004A4A6B">
        <w:trPr>
          <w:trHeight w:val="596"/>
        </w:trPr>
        <w:tc>
          <w:tcPr>
            <w:tcW w:w="2175" w:type="dxa"/>
            <w:vAlign w:val="center"/>
          </w:tcPr>
          <w:p w:rsidR="002559E9" w:rsidRPr="00FA4A40" w:rsidRDefault="002559E9" w:rsidP="004A4A6B">
            <w:pPr>
              <w:tabs>
                <w:tab w:val="left" w:pos="171"/>
              </w:tabs>
              <w:rPr>
                <w:rFonts w:ascii="Times New Roman" w:hAnsi="Times New Roman" w:cs="Times New Roman"/>
                <w:szCs w:val="24"/>
              </w:rPr>
            </w:pPr>
            <w:r w:rsidRPr="00FA4A40">
              <w:rPr>
                <w:rFonts w:ascii="Times New Roman" w:hAnsi="Times New Roman" w:cs="Times New Roman"/>
                <w:szCs w:val="24"/>
              </w:rPr>
              <w:t>Bloque 2</w:t>
            </w:r>
            <w:r w:rsidRPr="00FA4A40">
              <w:rPr>
                <w:rFonts w:ascii="Times New Roman" w:hAnsi="Times New Roman" w:cs="Times New Roman"/>
                <w:szCs w:val="24"/>
                <w:vertAlign w:val="superscript"/>
              </w:rPr>
              <w:t>b</w:t>
            </w:r>
          </w:p>
        </w:tc>
        <w:tc>
          <w:tcPr>
            <w:tcW w:w="2215" w:type="dxa"/>
            <w:vAlign w:val="center"/>
          </w:tcPr>
          <w:p w:rsidR="002559E9" w:rsidRPr="00FA4A40" w:rsidRDefault="002559E9" w:rsidP="004A4A6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1" w:type="dxa"/>
          </w:tcPr>
          <w:p w:rsidR="002559E9" w:rsidRPr="00FA4A40" w:rsidRDefault="002559E9" w:rsidP="004A4A6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2559E9" w:rsidRPr="00FA4A40" w:rsidRDefault="002559E9" w:rsidP="004A4A6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7" w:type="dxa"/>
            <w:vAlign w:val="center"/>
          </w:tcPr>
          <w:p w:rsidR="002559E9" w:rsidRPr="00FA4A40" w:rsidRDefault="002559E9" w:rsidP="004A4A6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40" w:type="dxa"/>
            <w:vAlign w:val="center"/>
          </w:tcPr>
          <w:p w:rsidR="002559E9" w:rsidRPr="00FA4A40" w:rsidRDefault="002559E9" w:rsidP="004A4A6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559E9" w:rsidRPr="00FA4A40" w:rsidTr="004A4A6B">
        <w:trPr>
          <w:trHeight w:val="596"/>
        </w:trPr>
        <w:tc>
          <w:tcPr>
            <w:tcW w:w="2175" w:type="dxa"/>
            <w:vAlign w:val="center"/>
          </w:tcPr>
          <w:p w:rsidR="002559E9" w:rsidRPr="00FA4A40" w:rsidRDefault="002559E9" w:rsidP="004A4A6B">
            <w:pPr>
              <w:tabs>
                <w:tab w:val="left" w:pos="171"/>
              </w:tabs>
              <w:rPr>
                <w:rFonts w:ascii="Times New Roman" w:hAnsi="Times New Roman" w:cs="Times New Roman"/>
                <w:szCs w:val="24"/>
              </w:rPr>
            </w:pPr>
            <w:r w:rsidRPr="00FA4A40">
              <w:rPr>
                <w:rFonts w:ascii="Times New Roman" w:hAnsi="Times New Roman" w:cs="Times New Roman"/>
                <w:szCs w:val="24"/>
              </w:rPr>
              <w:tab/>
              <w:t>Sexo (varón = 1)</w:t>
            </w:r>
          </w:p>
        </w:tc>
        <w:tc>
          <w:tcPr>
            <w:tcW w:w="2215" w:type="dxa"/>
            <w:vAlign w:val="center"/>
          </w:tcPr>
          <w:p w:rsidR="002559E9" w:rsidRPr="00FA4A40" w:rsidRDefault="002559E9" w:rsidP="004A4A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Cs w:val="24"/>
              </w:rPr>
            </w:pPr>
            <w:r w:rsidRPr="00FA4A40">
              <w:rPr>
                <w:rFonts w:ascii="Times New Roman" w:hAnsi="Times New Roman" w:cs="Times New Roman"/>
                <w:szCs w:val="24"/>
              </w:rPr>
              <w:t>-.597(2.898</w:t>
            </w:r>
            <w:r w:rsidRPr="00FA4A40">
              <w:rPr>
                <w:rFonts w:ascii="Times New Roman" w:hAnsi="Times New Roman" w:cs="Times New Roman"/>
                <w:szCs w:val="24"/>
                <w:vertAlign w:val="superscript"/>
              </w:rPr>
              <w:t>ns</w:t>
            </w:r>
            <w:r w:rsidRPr="00FA4A40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251" w:type="dxa"/>
          </w:tcPr>
          <w:p w:rsidR="002559E9" w:rsidRPr="00FA4A40" w:rsidRDefault="002559E9" w:rsidP="004A4A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2559E9" w:rsidRPr="00FA4A40" w:rsidRDefault="002559E9" w:rsidP="004A4A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Cs w:val="24"/>
              </w:rPr>
            </w:pPr>
            <w:r w:rsidRPr="00FA4A40">
              <w:rPr>
                <w:rFonts w:ascii="Times New Roman" w:hAnsi="Times New Roman" w:cs="Times New Roman"/>
                <w:szCs w:val="24"/>
              </w:rPr>
              <w:t>.550</w:t>
            </w:r>
          </w:p>
        </w:tc>
        <w:tc>
          <w:tcPr>
            <w:tcW w:w="1137" w:type="dxa"/>
            <w:vAlign w:val="center"/>
          </w:tcPr>
          <w:p w:rsidR="002559E9" w:rsidRPr="00FA4A40" w:rsidRDefault="002559E9" w:rsidP="004A4A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Cs w:val="24"/>
              </w:rPr>
            </w:pPr>
            <w:r w:rsidRPr="00FA4A40">
              <w:rPr>
                <w:rFonts w:ascii="Times New Roman" w:hAnsi="Times New Roman" w:cs="Times New Roman"/>
                <w:szCs w:val="24"/>
              </w:rPr>
              <w:t>.277</w:t>
            </w:r>
          </w:p>
        </w:tc>
        <w:tc>
          <w:tcPr>
            <w:tcW w:w="1140" w:type="dxa"/>
            <w:vAlign w:val="center"/>
          </w:tcPr>
          <w:p w:rsidR="002559E9" w:rsidRPr="00FA4A40" w:rsidRDefault="002559E9" w:rsidP="004A4A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Cs w:val="24"/>
              </w:rPr>
            </w:pPr>
            <w:r w:rsidRPr="00FA4A40">
              <w:rPr>
                <w:rFonts w:ascii="Times New Roman" w:hAnsi="Times New Roman" w:cs="Times New Roman"/>
                <w:szCs w:val="24"/>
              </w:rPr>
              <w:t>1.095</w:t>
            </w:r>
          </w:p>
        </w:tc>
      </w:tr>
      <w:tr w:rsidR="002559E9" w:rsidRPr="00FA4A40" w:rsidTr="004A4A6B">
        <w:trPr>
          <w:trHeight w:val="596"/>
        </w:trPr>
        <w:tc>
          <w:tcPr>
            <w:tcW w:w="2175" w:type="dxa"/>
            <w:vAlign w:val="center"/>
          </w:tcPr>
          <w:p w:rsidR="002559E9" w:rsidRPr="00FA4A40" w:rsidRDefault="002559E9" w:rsidP="004A4A6B">
            <w:pPr>
              <w:tabs>
                <w:tab w:val="left" w:pos="171"/>
              </w:tabs>
              <w:rPr>
                <w:rFonts w:ascii="Times New Roman" w:hAnsi="Times New Roman" w:cs="Times New Roman"/>
                <w:szCs w:val="24"/>
              </w:rPr>
            </w:pPr>
            <w:r w:rsidRPr="00FA4A40">
              <w:rPr>
                <w:rFonts w:ascii="Times New Roman" w:hAnsi="Times New Roman" w:cs="Times New Roman"/>
                <w:szCs w:val="24"/>
              </w:rPr>
              <w:tab/>
              <w:t>Tutor (sí = 1)</w:t>
            </w:r>
          </w:p>
        </w:tc>
        <w:tc>
          <w:tcPr>
            <w:tcW w:w="2215" w:type="dxa"/>
            <w:vAlign w:val="center"/>
          </w:tcPr>
          <w:p w:rsidR="002559E9" w:rsidRPr="00FA4A40" w:rsidRDefault="002559E9" w:rsidP="004A4A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Cs w:val="24"/>
              </w:rPr>
            </w:pPr>
            <w:r w:rsidRPr="00FA4A40">
              <w:rPr>
                <w:rFonts w:ascii="Times New Roman" w:hAnsi="Times New Roman" w:cs="Times New Roman"/>
                <w:szCs w:val="24"/>
              </w:rPr>
              <w:t>.305 (1.138</w:t>
            </w:r>
            <w:r w:rsidRPr="00FA4A40">
              <w:rPr>
                <w:rFonts w:ascii="Times New Roman" w:hAnsi="Times New Roman" w:cs="Times New Roman"/>
                <w:szCs w:val="24"/>
                <w:vertAlign w:val="superscript"/>
              </w:rPr>
              <w:t>ns</w:t>
            </w:r>
            <w:r w:rsidRPr="00FA4A40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251" w:type="dxa"/>
          </w:tcPr>
          <w:p w:rsidR="002559E9" w:rsidRPr="00FA4A40" w:rsidRDefault="002559E9" w:rsidP="004A4A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2559E9" w:rsidRPr="00FA4A40" w:rsidRDefault="002559E9" w:rsidP="004A4A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Cs w:val="24"/>
              </w:rPr>
            </w:pPr>
            <w:r w:rsidRPr="00FA4A40">
              <w:rPr>
                <w:rFonts w:ascii="Times New Roman" w:hAnsi="Times New Roman" w:cs="Times New Roman"/>
                <w:szCs w:val="24"/>
              </w:rPr>
              <w:t>1.357</w:t>
            </w:r>
          </w:p>
        </w:tc>
        <w:tc>
          <w:tcPr>
            <w:tcW w:w="1137" w:type="dxa"/>
            <w:vAlign w:val="center"/>
          </w:tcPr>
          <w:p w:rsidR="002559E9" w:rsidRPr="00FA4A40" w:rsidRDefault="002559E9" w:rsidP="004A4A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Cs w:val="24"/>
              </w:rPr>
            </w:pPr>
            <w:r w:rsidRPr="00FA4A40">
              <w:rPr>
                <w:rFonts w:ascii="Times New Roman" w:hAnsi="Times New Roman" w:cs="Times New Roman"/>
                <w:szCs w:val="24"/>
              </w:rPr>
              <w:t>.775</w:t>
            </w:r>
          </w:p>
        </w:tc>
        <w:tc>
          <w:tcPr>
            <w:tcW w:w="1140" w:type="dxa"/>
            <w:vAlign w:val="center"/>
          </w:tcPr>
          <w:p w:rsidR="002559E9" w:rsidRPr="00FA4A40" w:rsidRDefault="002559E9" w:rsidP="004A4A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Cs w:val="24"/>
              </w:rPr>
            </w:pPr>
            <w:r w:rsidRPr="00FA4A40">
              <w:rPr>
                <w:rFonts w:ascii="Times New Roman" w:hAnsi="Times New Roman" w:cs="Times New Roman"/>
                <w:szCs w:val="24"/>
              </w:rPr>
              <w:t>2.377</w:t>
            </w:r>
          </w:p>
        </w:tc>
      </w:tr>
      <w:tr w:rsidR="002559E9" w:rsidRPr="00FA4A40" w:rsidTr="004A4A6B">
        <w:trPr>
          <w:trHeight w:val="596"/>
        </w:trPr>
        <w:tc>
          <w:tcPr>
            <w:tcW w:w="2175" w:type="dxa"/>
            <w:vAlign w:val="center"/>
          </w:tcPr>
          <w:p w:rsidR="002559E9" w:rsidRPr="00FA4A40" w:rsidRDefault="002559E9" w:rsidP="004A4A6B">
            <w:pPr>
              <w:tabs>
                <w:tab w:val="left" w:pos="171"/>
              </w:tabs>
              <w:rPr>
                <w:rFonts w:ascii="Times New Roman" w:hAnsi="Times New Roman" w:cs="Times New Roman"/>
                <w:szCs w:val="24"/>
              </w:rPr>
            </w:pPr>
            <w:r w:rsidRPr="00FA4A40">
              <w:rPr>
                <w:rFonts w:ascii="Times New Roman" w:hAnsi="Times New Roman" w:cs="Times New Roman"/>
                <w:szCs w:val="24"/>
              </w:rPr>
              <w:tab/>
              <w:t>AE</w:t>
            </w:r>
          </w:p>
        </w:tc>
        <w:tc>
          <w:tcPr>
            <w:tcW w:w="2215" w:type="dxa"/>
            <w:vAlign w:val="center"/>
          </w:tcPr>
          <w:p w:rsidR="002559E9" w:rsidRPr="00FA4A40" w:rsidRDefault="002559E9" w:rsidP="004A4A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Cs w:val="24"/>
              </w:rPr>
            </w:pPr>
            <w:r w:rsidRPr="00FA4A40">
              <w:rPr>
                <w:rFonts w:ascii="Times New Roman" w:hAnsi="Times New Roman" w:cs="Times New Roman"/>
                <w:szCs w:val="24"/>
              </w:rPr>
              <w:t>.199 (45.169**)</w:t>
            </w:r>
          </w:p>
        </w:tc>
        <w:tc>
          <w:tcPr>
            <w:tcW w:w="251" w:type="dxa"/>
          </w:tcPr>
          <w:p w:rsidR="002559E9" w:rsidRPr="00FA4A40" w:rsidRDefault="002559E9" w:rsidP="004A4A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2559E9" w:rsidRPr="00FA4A40" w:rsidRDefault="002559E9" w:rsidP="004A4A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Cs w:val="24"/>
              </w:rPr>
            </w:pPr>
            <w:r w:rsidRPr="00FA4A40">
              <w:rPr>
                <w:rFonts w:ascii="Times New Roman" w:hAnsi="Times New Roman" w:cs="Times New Roman"/>
                <w:szCs w:val="24"/>
              </w:rPr>
              <w:t>1.221</w:t>
            </w:r>
          </w:p>
        </w:tc>
        <w:tc>
          <w:tcPr>
            <w:tcW w:w="1137" w:type="dxa"/>
            <w:vAlign w:val="center"/>
          </w:tcPr>
          <w:p w:rsidR="002559E9" w:rsidRPr="00FA4A40" w:rsidRDefault="002559E9" w:rsidP="004A4A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Cs w:val="24"/>
              </w:rPr>
            </w:pPr>
            <w:r w:rsidRPr="00FA4A40">
              <w:rPr>
                <w:rFonts w:ascii="Times New Roman" w:hAnsi="Times New Roman" w:cs="Times New Roman"/>
                <w:szCs w:val="24"/>
              </w:rPr>
              <w:t>1.152</w:t>
            </w:r>
          </w:p>
        </w:tc>
        <w:tc>
          <w:tcPr>
            <w:tcW w:w="1140" w:type="dxa"/>
            <w:vAlign w:val="center"/>
          </w:tcPr>
          <w:p w:rsidR="002559E9" w:rsidRPr="00FA4A40" w:rsidRDefault="002559E9" w:rsidP="004A4A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Cs w:val="24"/>
              </w:rPr>
            </w:pPr>
            <w:r w:rsidRPr="00FA4A40">
              <w:rPr>
                <w:rFonts w:ascii="Times New Roman" w:hAnsi="Times New Roman" w:cs="Times New Roman"/>
                <w:szCs w:val="24"/>
              </w:rPr>
              <w:t>1.294</w:t>
            </w:r>
          </w:p>
        </w:tc>
      </w:tr>
      <w:tr w:rsidR="002559E9" w:rsidRPr="00FA4A40" w:rsidTr="004A4A6B">
        <w:trPr>
          <w:trHeight w:val="596"/>
        </w:trPr>
        <w:tc>
          <w:tcPr>
            <w:tcW w:w="2175" w:type="dxa"/>
            <w:vAlign w:val="center"/>
          </w:tcPr>
          <w:p w:rsidR="002559E9" w:rsidRPr="00FA4A40" w:rsidRDefault="002559E9" w:rsidP="004A4A6B">
            <w:pPr>
              <w:tabs>
                <w:tab w:val="left" w:pos="171"/>
              </w:tabs>
              <w:rPr>
                <w:rFonts w:ascii="Times New Roman" w:hAnsi="Times New Roman" w:cs="Times New Roman"/>
                <w:szCs w:val="24"/>
              </w:rPr>
            </w:pPr>
            <w:r w:rsidRPr="00FA4A40">
              <w:rPr>
                <w:rFonts w:ascii="Times New Roman" w:hAnsi="Times New Roman" w:cs="Times New Roman"/>
                <w:szCs w:val="24"/>
              </w:rPr>
              <w:tab/>
              <w:t>EP</w:t>
            </w:r>
          </w:p>
        </w:tc>
        <w:tc>
          <w:tcPr>
            <w:tcW w:w="2215" w:type="dxa"/>
            <w:vAlign w:val="center"/>
          </w:tcPr>
          <w:p w:rsidR="002559E9" w:rsidRPr="00FA4A40" w:rsidRDefault="002559E9" w:rsidP="004A4A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Cs w:val="24"/>
              </w:rPr>
            </w:pPr>
            <w:r w:rsidRPr="00FA4A40">
              <w:rPr>
                <w:rFonts w:ascii="Times New Roman" w:hAnsi="Times New Roman" w:cs="Times New Roman"/>
                <w:szCs w:val="24"/>
              </w:rPr>
              <w:t>.046 (1.624)</w:t>
            </w:r>
          </w:p>
        </w:tc>
        <w:tc>
          <w:tcPr>
            <w:tcW w:w="251" w:type="dxa"/>
          </w:tcPr>
          <w:p w:rsidR="002559E9" w:rsidRPr="00FA4A40" w:rsidRDefault="002559E9" w:rsidP="004A4A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2559E9" w:rsidRPr="00FA4A40" w:rsidRDefault="002559E9" w:rsidP="004A4A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Cs w:val="24"/>
              </w:rPr>
            </w:pPr>
            <w:r w:rsidRPr="00FA4A40">
              <w:rPr>
                <w:rFonts w:ascii="Times New Roman" w:hAnsi="Times New Roman" w:cs="Times New Roman"/>
                <w:szCs w:val="24"/>
              </w:rPr>
              <w:t>1.048</w:t>
            </w:r>
          </w:p>
        </w:tc>
        <w:tc>
          <w:tcPr>
            <w:tcW w:w="1137" w:type="dxa"/>
            <w:vAlign w:val="center"/>
          </w:tcPr>
          <w:p w:rsidR="002559E9" w:rsidRPr="00FA4A40" w:rsidRDefault="002559E9" w:rsidP="004A4A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Cs w:val="24"/>
              </w:rPr>
            </w:pPr>
            <w:r w:rsidRPr="00FA4A40">
              <w:rPr>
                <w:rFonts w:ascii="Times New Roman" w:hAnsi="Times New Roman" w:cs="Times New Roman"/>
                <w:szCs w:val="24"/>
              </w:rPr>
              <w:t>.975</w:t>
            </w:r>
          </w:p>
        </w:tc>
        <w:tc>
          <w:tcPr>
            <w:tcW w:w="1140" w:type="dxa"/>
            <w:vAlign w:val="center"/>
          </w:tcPr>
          <w:p w:rsidR="002559E9" w:rsidRPr="00FA4A40" w:rsidRDefault="002559E9" w:rsidP="004A4A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Cs w:val="24"/>
              </w:rPr>
            </w:pPr>
            <w:r w:rsidRPr="00FA4A40">
              <w:rPr>
                <w:rFonts w:ascii="Times New Roman" w:hAnsi="Times New Roman" w:cs="Times New Roman"/>
                <w:szCs w:val="24"/>
              </w:rPr>
              <w:t>1.125</w:t>
            </w:r>
          </w:p>
        </w:tc>
      </w:tr>
      <w:tr w:rsidR="002559E9" w:rsidRPr="00FA4A40" w:rsidTr="004A4A6B">
        <w:trPr>
          <w:trHeight w:val="596"/>
        </w:trPr>
        <w:tc>
          <w:tcPr>
            <w:tcW w:w="2175" w:type="dxa"/>
            <w:vAlign w:val="center"/>
          </w:tcPr>
          <w:p w:rsidR="002559E9" w:rsidRPr="00FA4A40" w:rsidRDefault="002559E9" w:rsidP="004A4A6B">
            <w:pPr>
              <w:tabs>
                <w:tab w:val="left" w:pos="171"/>
              </w:tabs>
              <w:rPr>
                <w:rFonts w:ascii="Times New Roman" w:hAnsi="Times New Roman" w:cs="Times New Roman"/>
                <w:szCs w:val="24"/>
              </w:rPr>
            </w:pPr>
            <w:r w:rsidRPr="00FA4A40">
              <w:rPr>
                <w:rFonts w:ascii="Times New Roman" w:hAnsi="Times New Roman" w:cs="Times New Roman"/>
                <w:szCs w:val="24"/>
              </w:rPr>
              <w:tab/>
              <w:t>CIN</w:t>
            </w:r>
          </w:p>
        </w:tc>
        <w:tc>
          <w:tcPr>
            <w:tcW w:w="2215" w:type="dxa"/>
            <w:vAlign w:val="center"/>
          </w:tcPr>
          <w:p w:rsidR="002559E9" w:rsidRPr="00FA4A40" w:rsidRDefault="002559E9" w:rsidP="004A4A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Cs w:val="24"/>
              </w:rPr>
            </w:pPr>
            <w:r w:rsidRPr="00FA4A40">
              <w:rPr>
                <w:rFonts w:ascii="Times New Roman" w:hAnsi="Times New Roman" w:cs="Times New Roman"/>
                <w:szCs w:val="24"/>
              </w:rPr>
              <w:t>.229 (12.675**)</w:t>
            </w:r>
          </w:p>
        </w:tc>
        <w:tc>
          <w:tcPr>
            <w:tcW w:w="251" w:type="dxa"/>
          </w:tcPr>
          <w:p w:rsidR="002559E9" w:rsidRPr="00FA4A40" w:rsidRDefault="002559E9" w:rsidP="004A4A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2559E9" w:rsidRPr="00FA4A40" w:rsidRDefault="002559E9" w:rsidP="004A4A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Cs w:val="24"/>
              </w:rPr>
            </w:pPr>
            <w:r w:rsidRPr="00FA4A40">
              <w:rPr>
                <w:rFonts w:ascii="Times New Roman" w:hAnsi="Times New Roman" w:cs="Times New Roman"/>
                <w:szCs w:val="24"/>
              </w:rPr>
              <w:t>1.257</w:t>
            </w:r>
          </w:p>
        </w:tc>
        <w:tc>
          <w:tcPr>
            <w:tcW w:w="1137" w:type="dxa"/>
            <w:vAlign w:val="center"/>
          </w:tcPr>
          <w:p w:rsidR="002559E9" w:rsidRPr="00FA4A40" w:rsidRDefault="002559E9" w:rsidP="004A4A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Cs w:val="24"/>
              </w:rPr>
            </w:pPr>
            <w:r w:rsidRPr="00FA4A40">
              <w:rPr>
                <w:rFonts w:ascii="Times New Roman" w:hAnsi="Times New Roman" w:cs="Times New Roman"/>
                <w:szCs w:val="24"/>
              </w:rPr>
              <w:t>1.108</w:t>
            </w:r>
          </w:p>
        </w:tc>
        <w:tc>
          <w:tcPr>
            <w:tcW w:w="1140" w:type="dxa"/>
            <w:vAlign w:val="center"/>
          </w:tcPr>
          <w:p w:rsidR="002559E9" w:rsidRPr="00FA4A40" w:rsidRDefault="002559E9" w:rsidP="004A4A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Cs w:val="24"/>
              </w:rPr>
            </w:pPr>
            <w:r w:rsidRPr="00FA4A40">
              <w:rPr>
                <w:rFonts w:ascii="Times New Roman" w:hAnsi="Times New Roman" w:cs="Times New Roman"/>
                <w:szCs w:val="24"/>
              </w:rPr>
              <w:t>1.426</w:t>
            </w:r>
          </w:p>
        </w:tc>
      </w:tr>
    </w:tbl>
    <w:p w:rsidR="002559E9" w:rsidRPr="00FA4A40" w:rsidRDefault="002559E9" w:rsidP="002559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A4A40">
        <w:rPr>
          <w:rFonts w:ascii="Times New Roman" w:hAnsi="Times New Roman" w:cs="Times New Roman"/>
          <w:sz w:val="24"/>
          <w:szCs w:val="24"/>
          <w:vertAlign w:val="superscript"/>
        </w:rPr>
        <w:t>a</w:t>
      </w:r>
      <w:r w:rsidRPr="00FA4A40">
        <w:rPr>
          <w:rFonts w:ascii="Times New Roman" w:hAnsi="Times New Roman" w:cs="Times New Roman"/>
          <w:sz w:val="24"/>
          <w:szCs w:val="24"/>
        </w:rPr>
        <w:t>Constante</w:t>
      </w:r>
      <w:proofErr w:type="spellEnd"/>
      <w:r w:rsidRPr="00FA4A40">
        <w:rPr>
          <w:rFonts w:ascii="Times New Roman" w:hAnsi="Times New Roman" w:cs="Times New Roman"/>
          <w:sz w:val="24"/>
          <w:szCs w:val="24"/>
        </w:rPr>
        <w:t>, B = 0.298 (</w:t>
      </w:r>
      <w:r w:rsidRPr="00FA4A40">
        <w:rPr>
          <w:rFonts w:ascii="Times New Roman" w:hAnsi="Times New Roman" w:cs="Times New Roman"/>
          <w:i/>
          <w:sz w:val="24"/>
          <w:szCs w:val="24"/>
        </w:rPr>
        <w:t>p</w:t>
      </w:r>
      <w:r w:rsidRPr="00FA4A40">
        <w:rPr>
          <w:rFonts w:ascii="Times New Roman" w:hAnsi="Times New Roman" w:cs="Times New Roman"/>
          <w:sz w:val="24"/>
          <w:szCs w:val="24"/>
        </w:rPr>
        <w:t xml:space="preserve"> &gt; 0.05), </w:t>
      </w:r>
      <w:proofErr w:type="spellStart"/>
      <w:r w:rsidRPr="00FA4A40">
        <w:rPr>
          <w:rFonts w:ascii="Times New Roman" w:hAnsi="Times New Roman" w:cs="Times New Roman"/>
          <w:sz w:val="24"/>
          <w:szCs w:val="24"/>
        </w:rPr>
        <w:t>Exp</w:t>
      </w:r>
      <w:proofErr w:type="spellEnd"/>
      <w:r w:rsidRPr="00FA4A40">
        <w:rPr>
          <w:rFonts w:ascii="Times New Roman" w:hAnsi="Times New Roman" w:cs="Times New Roman"/>
          <w:sz w:val="24"/>
          <w:szCs w:val="24"/>
        </w:rPr>
        <w:t xml:space="preserve">(B) = 1.34. </w:t>
      </w:r>
      <w:proofErr w:type="spellStart"/>
      <w:r w:rsidRPr="00FA4A40">
        <w:rPr>
          <w:rFonts w:ascii="Times New Roman" w:hAnsi="Times New Roman" w:cs="Times New Roman"/>
          <w:sz w:val="24"/>
          <w:szCs w:val="24"/>
          <w:vertAlign w:val="superscript"/>
        </w:rPr>
        <w:t>b</w:t>
      </w:r>
      <w:r w:rsidRPr="00FA4A40">
        <w:rPr>
          <w:rFonts w:ascii="Times New Roman" w:hAnsi="Times New Roman" w:cs="Times New Roman"/>
          <w:sz w:val="24"/>
          <w:szCs w:val="24"/>
        </w:rPr>
        <w:t>Constante</w:t>
      </w:r>
      <w:proofErr w:type="spellEnd"/>
      <w:r w:rsidRPr="00FA4A40">
        <w:rPr>
          <w:rFonts w:ascii="Times New Roman" w:hAnsi="Times New Roman" w:cs="Times New Roman"/>
          <w:sz w:val="24"/>
          <w:szCs w:val="24"/>
        </w:rPr>
        <w:t>, B = -5.947 (</w:t>
      </w:r>
      <w:r w:rsidRPr="00FA4A40">
        <w:rPr>
          <w:rFonts w:ascii="Times New Roman" w:hAnsi="Times New Roman" w:cs="Times New Roman"/>
          <w:i/>
          <w:sz w:val="24"/>
          <w:szCs w:val="24"/>
        </w:rPr>
        <w:t>p</w:t>
      </w:r>
      <w:r w:rsidRPr="00FA4A40">
        <w:rPr>
          <w:rFonts w:ascii="Times New Roman" w:hAnsi="Times New Roman" w:cs="Times New Roman"/>
          <w:sz w:val="24"/>
          <w:szCs w:val="24"/>
        </w:rPr>
        <w:t xml:space="preserve"> &lt; 0.01), </w:t>
      </w:r>
      <w:proofErr w:type="spellStart"/>
      <w:r w:rsidRPr="00FA4A40">
        <w:rPr>
          <w:rFonts w:ascii="Times New Roman" w:hAnsi="Times New Roman" w:cs="Times New Roman"/>
          <w:sz w:val="24"/>
          <w:szCs w:val="24"/>
        </w:rPr>
        <w:t>Exp</w:t>
      </w:r>
      <w:proofErr w:type="spellEnd"/>
      <w:r w:rsidRPr="00FA4A40">
        <w:rPr>
          <w:rFonts w:ascii="Times New Roman" w:hAnsi="Times New Roman" w:cs="Times New Roman"/>
          <w:sz w:val="24"/>
          <w:szCs w:val="24"/>
        </w:rPr>
        <w:t xml:space="preserve">(B) = 0.003. </w:t>
      </w:r>
      <w:proofErr w:type="spellStart"/>
      <w:r w:rsidRPr="00FA4A40">
        <w:rPr>
          <w:rFonts w:ascii="Times New Roman" w:hAnsi="Times New Roman" w:cs="Times New Roman"/>
          <w:sz w:val="24"/>
          <w:szCs w:val="24"/>
          <w:vertAlign w:val="superscript"/>
        </w:rPr>
        <w:t>ns</w:t>
      </w:r>
      <w:r w:rsidRPr="00FA4A40">
        <w:rPr>
          <w:rFonts w:ascii="Times New Roman" w:hAnsi="Times New Roman" w:cs="Times New Roman"/>
          <w:sz w:val="24"/>
          <w:szCs w:val="24"/>
        </w:rPr>
        <w:t>No</w:t>
      </w:r>
      <w:proofErr w:type="spellEnd"/>
      <w:r w:rsidRPr="00FA4A40">
        <w:rPr>
          <w:rFonts w:ascii="Times New Roman" w:hAnsi="Times New Roman" w:cs="Times New Roman"/>
          <w:sz w:val="24"/>
          <w:szCs w:val="24"/>
        </w:rPr>
        <w:t xml:space="preserve"> estadísticamente significativo. *</w:t>
      </w:r>
      <w:r w:rsidRPr="00FA4A40">
        <w:rPr>
          <w:rFonts w:ascii="Times New Roman" w:hAnsi="Times New Roman" w:cs="Times New Roman"/>
          <w:i/>
          <w:sz w:val="24"/>
          <w:szCs w:val="24"/>
        </w:rPr>
        <w:t>p</w:t>
      </w:r>
      <w:r w:rsidRPr="00FA4A40">
        <w:rPr>
          <w:rFonts w:ascii="Times New Roman" w:hAnsi="Times New Roman" w:cs="Times New Roman"/>
          <w:sz w:val="24"/>
          <w:szCs w:val="24"/>
        </w:rPr>
        <w:t xml:space="preserve"> &lt; 0.05. **</w:t>
      </w:r>
      <w:r w:rsidRPr="00FA4A40">
        <w:rPr>
          <w:rFonts w:ascii="Times New Roman" w:hAnsi="Times New Roman" w:cs="Times New Roman"/>
          <w:i/>
          <w:sz w:val="24"/>
          <w:szCs w:val="24"/>
        </w:rPr>
        <w:t>p</w:t>
      </w:r>
      <w:r w:rsidRPr="00FA4A40">
        <w:rPr>
          <w:rFonts w:ascii="Times New Roman" w:hAnsi="Times New Roman" w:cs="Times New Roman"/>
          <w:sz w:val="24"/>
          <w:szCs w:val="24"/>
        </w:rPr>
        <w:t xml:space="preserve"> &lt; 0.01. </w:t>
      </w:r>
      <w:proofErr w:type="spellStart"/>
      <w:r w:rsidRPr="00FA4A40">
        <w:rPr>
          <w:rFonts w:ascii="Times New Roman" w:hAnsi="Times New Roman" w:cs="Times New Roman"/>
          <w:sz w:val="24"/>
          <w:szCs w:val="24"/>
        </w:rPr>
        <w:t>Exp</w:t>
      </w:r>
      <w:proofErr w:type="spellEnd"/>
      <w:r w:rsidRPr="00FA4A40">
        <w:rPr>
          <w:rFonts w:ascii="Times New Roman" w:hAnsi="Times New Roman" w:cs="Times New Roman"/>
          <w:sz w:val="24"/>
          <w:szCs w:val="24"/>
        </w:rPr>
        <w:t xml:space="preserve">(B): </w:t>
      </w:r>
      <w:proofErr w:type="spellStart"/>
      <w:r w:rsidRPr="00FA4A40">
        <w:rPr>
          <w:rFonts w:ascii="Times New Roman" w:hAnsi="Times New Roman" w:cs="Times New Roman"/>
          <w:sz w:val="24"/>
          <w:szCs w:val="24"/>
        </w:rPr>
        <w:t>odd</w:t>
      </w:r>
      <w:proofErr w:type="spellEnd"/>
      <w:r w:rsidRPr="00FA4A40">
        <w:rPr>
          <w:rFonts w:ascii="Times New Roman" w:hAnsi="Times New Roman" w:cs="Times New Roman"/>
          <w:sz w:val="24"/>
          <w:szCs w:val="24"/>
        </w:rPr>
        <w:t xml:space="preserve"> ratio de B.</w:t>
      </w:r>
    </w:p>
    <w:p w:rsidR="002559E9" w:rsidRPr="00FA4A40" w:rsidRDefault="002559E9" w:rsidP="002559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59E9" w:rsidRPr="00FA4A40" w:rsidRDefault="002559E9" w:rsidP="002559E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59E9" w:rsidRDefault="002559E9" w:rsidP="0077719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559E9" w:rsidRDefault="002559E9" w:rsidP="0077719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7428B" w:rsidRPr="00FA4A40" w:rsidRDefault="0027428B" w:rsidP="0077719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4A40">
        <w:rPr>
          <w:rFonts w:ascii="Times New Roman" w:hAnsi="Times New Roman" w:cs="Times New Roman"/>
          <w:b/>
          <w:sz w:val="24"/>
          <w:szCs w:val="24"/>
        </w:rPr>
        <w:t>Discusión</w:t>
      </w:r>
    </w:p>
    <w:p w:rsidR="004E5003" w:rsidRPr="001C47AE" w:rsidRDefault="00380B7A" w:rsidP="00777196">
      <w:pPr>
        <w:spacing w:after="0" w:line="480" w:lineRule="auto"/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47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Los resultados muestran que </w:t>
      </w:r>
      <w:r>
        <w:rPr>
          <w:rFonts w:ascii="Times New Roman" w:hAnsi="Times New Roman" w:cs="Times New Roman"/>
          <w:sz w:val="24"/>
          <w:szCs w:val="24"/>
        </w:rPr>
        <w:t>l</w:t>
      </w:r>
      <w:r w:rsidR="00136357" w:rsidRPr="00FA4A40">
        <w:rPr>
          <w:rFonts w:ascii="Times New Roman" w:hAnsi="Times New Roman" w:cs="Times New Roman"/>
          <w:sz w:val="24"/>
          <w:szCs w:val="24"/>
        </w:rPr>
        <w:t xml:space="preserve">as docentes </w:t>
      </w:r>
      <w:r w:rsidRPr="001C47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mujeres </w:t>
      </w:r>
      <w:r w:rsidR="00136357" w:rsidRPr="001C47AE">
        <w:rPr>
          <w:rFonts w:ascii="Times New Roman" w:hAnsi="Times New Roman" w:cs="Times New Roman"/>
          <w:color w:val="000000" w:themeColor="text1"/>
          <w:sz w:val="24"/>
          <w:szCs w:val="24"/>
        </w:rPr>
        <w:t>q</w:t>
      </w:r>
      <w:r w:rsidR="00136357" w:rsidRPr="00FA4A40">
        <w:rPr>
          <w:rFonts w:ascii="Times New Roman" w:hAnsi="Times New Roman" w:cs="Times New Roman"/>
          <w:sz w:val="24"/>
          <w:szCs w:val="24"/>
        </w:rPr>
        <w:t>ue manifiestan experimen</w:t>
      </w:r>
      <w:r w:rsidR="005B4727">
        <w:rPr>
          <w:rFonts w:ascii="Times New Roman" w:hAnsi="Times New Roman" w:cs="Times New Roman"/>
          <w:sz w:val="24"/>
          <w:szCs w:val="24"/>
        </w:rPr>
        <w:t xml:space="preserve">tar </w:t>
      </w:r>
      <w:proofErr w:type="gramStart"/>
      <w:r w:rsidR="005B4727">
        <w:rPr>
          <w:rFonts w:ascii="Times New Roman" w:hAnsi="Times New Roman" w:cs="Times New Roman"/>
          <w:sz w:val="24"/>
          <w:szCs w:val="24"/>
        </w:rPr>
        <w:t>estrés</w:t>
      </w:r>
      <w:proofErr w:type="gramEnd"/>
      <w:r w:rsidR="005B4727">
        <w:rPr>
          <w:rFonts w:ascii="Times New Roman" w:hAnsi="Times New Roman" w:cs="Times New Roman"/>
          <w:sz w:val="24"/>
          <w:szCs w:val="24"/>
        </w:rPr>
        <w:t xml:space="preserve"> así como aquellos</w:t>
      </w:r>
      <w:r w:rsidR="00136357" w:rsidRPr="00FA4A40">
        <w:rPr>
          <w:rFonts w:ascii="Times New Roman" w:hAnsi="Times New Roman" w:cs="Times New Roman"/>
          <w:sz w:val="24"/>
          <w:szCs w:val="24"/>
        </w:rPr>
        <w:t xml:space="preserve"> </w:t>
      </w:r>
      <w:r w:rsidR="005B4727">
        <w:rPr>
          <w:rFonts w:ascii="Times New Roman" w:hAnsi="Times New Roman" w:cs="Times New Roman"/>
          <w:sz w:val="24"/>
          <w:szCs w:val="24"/>
        </w:rPr>
        <w:t xml:space="preserve">docentes (tanto hombres como mujeres) que </w:t>
      </w:r>
      <w:r w:rsidR="00136357" w:rsidRPr="00FA4A40">
        <w:rPr>
          <w:rFonts w:ascii="Times New Roman" w:hAnsi="Times New Roman" w:cs="Times New Roman"/>
          <w:sz w:val="24"/>
          <w:szCs w:val="24"/>
        </w:rPr>
        <w:t xml:space="preserve">son responsables de los programas de tutoría en los </w:t>
      </w:r>
      <w:r w:rsidR="00136357" w:rsidRPr="00380B7A">
        <w:rPr>
          <w:rFonts w:ascii="Times New Roman" w:hAnsi="Times New Roman" w:cs="Times New Roman"/>
          <w:sz w:val="24"/>
          <w:szCs w:val="24"/>
        </w:rPr>
        <w:t>centros</w:t>
      </w:r>
      <w:r w:rsidR="00136357" w:rsidRPr="00FA4A40">
        <w:rPr>
          <w:rFonts w:ascii="Times New Roman" w:hAnsi="Times New Roman" w:cs="Times New Roman"/>
          <w:sz w:val="24"/>
          <w:szCs w:val="24"/>
        </w:rPr>
        <w:t xml:space="preserve"> educativos de educación básica, podrían estar </w:t>
      </w:r>
      <w:r w:rsidR="00136357" w:rsidRPr="00FA4A40">
        <w:rPr>
          <w:rFonts w:ascii="Times New Roman" w:hAnsi="Times New Roman" w:cs="Times New Roman"/>
          <w:sz w:val="24"/>
          <w:szCs w:val="24"/>
        </w:rPr>
        <w:lastRenderedPageBreak/>
        <w:t>manifestando síntomas de agotamiento emocional y cinismo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C47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propios </w:t>
      </w:r>
      <w:r w:rsidR="00136357" w:rsidRPr="001C47AE">
        <w:rPr>
          <w:rFonts w:ascii="Times New Roman" w:hAnsi="Times New Roman" w:cs="Times New Roman"/>
          <w:color w:val="000000" w:themeColor="text1"/>
          <w:sz w:val="24"/>
          <w:szCs w:val="24"/>
        </w:rPr>
        <w:t>del burnout.</w:t>
      </w:r>
      <w:r w:rsidRPr="001C47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F5B1C">
        <w:rPr>
          <w:rFonts w:ascii="Times New Roman" w:hAnsi="Times New Roman" w:cs="Times New Roman"/>
          <w:sz w:val="24"/>
          <w:szCs w:val="24"/>
        </w:rPr>
        <w:t>Sin embargo</w:t>
      </w:r>
      <w:r w:rsidRPr="001C47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e</w:t>
      </w:r>
      <w:r w:rsidR="004E5003" w:rsidRPr="00FA4A40">
        <w:rPr>
          <w:rFonts w:ascii="Times New Roman" w:hAnsi="Times New Roman" w:cs="Times New Roman"/>
          <w:sz w:val="24"/>
          <w:szCs w:val="24"/>
        </w:rPr>
        <w:t xml:space="preserve">l sexo y el ejercicio de la </w:t>
      </w:r>
      <w:r w:rsidR="004E5003" w:rsidRPr="00380B7A">
        <w:rPr>
          <w:rFonts w:ascii="Times New Roman" w:hAnsi="Times New Roman" w:cs="Times New Roman"/>
          <w:sz w:val="24"/>
          <w:szCs w:val="24"/>
        </w:rPr>
        <w:t>tutoría</w:t>
      </w:r>
      <w:r w:rsidR="004E5003" w:rsidRPr="00FA4A40">
        <w:rPr>
          <w:rFonts w:ascii="Times New Roman" w:hAnsi="Times New Roman" w:cs="Times New Roman"/>
          <w:sz w:val="24"/>
          <w:szCs w:val="24"/>
        </w:rPr>
        <w:t xml:space="preserve"> </w:t>
      </w:r>
      <w:r w:rsidR="004E5003" w:rsidRPr="005F5B1C">
        <w:rPr>
          <w:rFonts w:ascii="Times New Roman" w:hAnsi="Times New Roman" w:cs="Times New Roman"/>
          <w:sz w:val="24"/>
          <w:szCs w:val="24"/>
        </w:rPr>
        <w:t xml:space="preserve">produjeron solo una pequeña </w:t>
      </w:r>
      <w:r w:rsidR="004E40F3">
        <w:rPr>
          <w:rFonts w:ascii="Times New Roman" w:hAnsi="Times New Roman" w:cs="Times New Roman"/>
          <w:sz w:val="24"/>
          <w:szCs w:val="24"/>
        </w:rPr>
        <w:t>variabilidad en IU</w:t>
      </w:r>
      <w:r w:rsidR="005B4727">
        <w:rPr>
          <w:rFonts w:ascii="Times New Roman" w:hAnsi="Times New Roman" w:cs="Times New Roman"/>
          <w:sz w:val="24"/>
          <w:szCs w:val="24"/>
        </w:rPr>
        <w:t>CE, más aún cuando se toma</w:t>
      </w:r>
      <w:r w:rsidR="004E5003" w:rsidRPr="00FA4A40">
        <w:rPr>
          <w:rFonts w:ascii="Times New Roman" w:hAnsi="Times New Roman" w:cs="Times New Roman"/>
          <w:sz w:val="24"/>
          <w:szCs w:val="24"/>
        </w:rPr>
        <w:t xml:space="preserve"> en cuenta otras variables directamente relacionadas con el burnout. La literatura reporta diferencias de sexo relacionadas con mayor puntuaci</w:t>
      </w:r>
      <w:r w:rsidR="00136357" w:rsidRPr="00FA4A40">
        <w:rPr>
          <w:rFonts w:ascii="Times New Roman" w:hAnsi="Times New Roman" w:cs="Times New Roman"/>
          <w:sz w:val="24"/>
          <w:szCs w:val="24"/>
        </w:rPr>
        <w:t>ón en agotamiento emocional en docentes mujeres (Fernández, 200</w:t>
      </w:r>
      <w:r w:rsidR="00AA74C9">
        <w:rPr>
          <w:rFonts w:ascii="Times New Roman" w:hAnsi="Times New Roman" w:cs="Times New Roman"/>
          <w:sz w:val="24"/>
          <w:szCs w:val="24"/>
        </w:rPr>
        <w:t>8</w:t>
      </w:r>
      <w:r w:rsidR="00136357" w:rsidRPr="00FA4A40">
        <w:rPr>
          <w:rFonts w:ascii="Times New Roman" w:hAnsi="Times New Roman" w:cs="Times New Roman"/>
          <w:sz w:val="24"/>
          <w:szCs w:val="24"/>
        </w:rPr>
        <w:t xml:space="preserve">); </w:t>
      </w:r>
      <w:r w:rsidRPr="001C47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 </w:t>
      </w:r>
      <w:r w:rsidR="00136357" w:rsidRPr="001C47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en ese sentido </w:t>
      </w:r>
      <w:r w:rsidRPr="001C47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nuestros resultados muestran parcial </w:t>
      </w:r>
      <w:r w:rsidR="005B4727">
        <w:rPr>
          <w:rFonts w:ascii="Times New Roman" w:hAnsi="Times New Roman" w:cs="Times New Roman"/>
          <w:color w:val="000000" w:themeColor="text1"/>
          <w:sz w:val="24"/>
          <w:szCs w:val="24"/>
        </w:rPr>
        <w:t>consistencia co</w:t>
      </w:r>
      <w:r w:rsidR="004E5003" w:rsidRPr="001C47AE">
        <w:rPr>
          <w:rFonts w:ascii="Times New Roman" w:hAnsi="Times New Roman" w:cs="Times New Roman"/>
          <w:color w:val="000000" w:themeColor="text1"/>
          <w:sz w:val="24"/>
          <w:szCs w:val="24"/>
        </w:rPr>
        <w:t>n tales hallazgos</w:t>
      </w:r>
      <w:r w:rsidR="00136357" w:rsidRPr="001C47AE">
        <w:rPr>
          <w:rFonts w:ascii="Times New Roman" w:hAnsi="Times New Roman" w:cs="Times New Roman"/>
          <w:color w:val="000000" w:themeColor="text1"/>
          <w:sz w:val="24"/>
          <w:szCs w:val="24"/>
        </w:rPr>
        <w:t>, aun</w:t>
      </w:r>
      <w:r w:rsidR="004E5003" w:rsidRPr="001C47AE">
        <w:rPr>
          <w:rFonts w:ascii="Times New Roman" w:hAnsi="Times New Roman" w:cs="Times New Roman"/>
          <w:color w:val="000000" w:themeColor="text1"/>
          <w:sz w:val="24"/>
          <w:szCs w:val="24"/>
        </w:rPr>
        <w:t>que las diferencias</w:t>
      </w:r>
      <w:r w:rsidR="00803DD2" w:rsidRPr="001C47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son más bien pequeñas comparada</w:t>
      </w:r>
      <w:r w:rsidR="004E5003" w:rsidRPr="001C47AE">
        <w:rPr>
          <w:rFonts w:ascii="Times New Roman" w:hAnsi="Times New Roman" w:cs="Times New Roman"/>
          <w:color w:val="000000" w:themeColor="text1"/>
          <w:sz w:val="24"/>
          <w:szCs w:val="24"/>
        </w:rPr>
        <w:t>s con variables</w:t>
      </w:r>
      <w:r w:rsidRPr="001C47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que definen bien el burnout (agotamiento emocional y cinismo), frente a las cuales se reduce fuertemente la m</w:t>
      </w:r>
      <w:r w:rsidR="004E40F3">
        <w:rPr>
          <w:rFonts w:ascii="Times New Roman" w:hAnsi="Times New Roman" w:cs="Times New Roman"/>
          <w:color w:val="000000" w:themeColor="text1"/>
          <w:sz w:val="24"/>
          <w:szCs w:val="24"/>
        </w:rPr>
        <w:t>agnitud de su efecto sobre el IU</w:t>
      </w:r>
      <w:r w:rsidRPr="001C47AE">
        <w:rPr>
          <w:rFonts w:ascii="Times New Roman" w:hAnsi="Times New Roman" w:cs="Times New Roman"/>
          <w:color w:val="000000" w:themeColor="text1"/>
          <w:sz w:val="24"/>
          <w:szCs w:val="24"/>
        </w:rPr>
        <w:t>CE.</w:t>
      </w:r>
    </w:p>
    <w:p w:rsidR="004C02DB" w:rsidRPr="00FA4A40" w:rsidRDefault="0030658C" w:rsidP="00777196">
      <w:pPr>
        <w:spacing w:after="0" w:line="48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A4A40">
        <w:rPr>
          <w:rFonts w:ascii="Times New Roman" w:hAnsi="Times New Roman" w:cs="Times New Roman"/>
          <w:sz w:val="24"/>
          <w:szCs w:val="24"/>
        </w:rPr>
        <w:t xml:space="preserve">El presente estudio concluye que </w:t>
      </w:r>
      <w:r w:rsidR="007C44A9" w:rsidRPr="00FA4A40">
        <w:rPr>
          <w:rFonts w:ascii="Times New Roman" w:hAnsi="Times New Roman" w:cs="Times New Roman"/>
          <w:sz w:val="24"/>
          <w:szCs w:val="24"/>
        </w:rPr>
        <w:t>hay una influencia diferencial de los síntomas de burnout sobre el sentimiento de estrés general</w:t>
      </w:r>
      <w:r w:rsidR="006A4FFD">
        <w:rPr>
          <w:rFonts w:ascii="Times New Roman" w:hAnsi="Times New Roman" w:cs="Times New Roman"/>
          <w:sz w:val="24"/>
          <w:szCs w:val="24"/>
        </w:rPr>
        <w:t xml:space="preserve"> expresada por un</w:t>
      </w:r>
      <w:r w:rsidR="00380B7A">
        <w:rPr>
          <w:rFonts w:ascii="Times New Roman" w:hAnsi="Times New Roman" w:cs="Times New Roman"/>
          <w:sz w:val="24"/>
          <w:szCs w:val="24"/>
        </w:rPr>
        <w:t xml:space="preserve"> ítem</w:t>
      </w:r>
      <w:r w:rsidR="006A4FFD">
        <w:rPr>
          <w:rFonts w:ascii="Times New Roman" w:hAnsi="Times New Roman" w:cs="Times New Roman"/>
          <w:sz w:val="24"/>
          <w:szCs w:val="24"/>
        </w:rPr>
        <w:t xml:space="preserve"> único</w:t>
      </w:r>
      <w:r w:rsidR="007C44A9" w:rsidRPr="00FA4A40">
        <w:rPr>
          <w:rFonts w:ascii="Times New Roman" w:hAnsi="Times New Roman" w:cs="Times New Roman"/>
          <w:sz w:val="24"/>
          <w:szCs w:val="24"/>
        </w:rPr>
        <w:t xml:space="preserve">; específicamente, </w:t>
      </w:r>
      <w:r w:rsidRPr="00FA4A40">
        <w:rPr>
          <w:rFonts w:ascii="Times New Roman" w:hAnsi="Times New Roman" w:cs="Times New Roman"/>
          <w:sz w:val="24"/>
          <w:szCs w:val="24"/>
        </w:rPr>
        <w:t xml:space="preserve">la experiencia de indiferencia y agotamiento emocional, reconocidos como los signos </w:t>
      </w:r>
      <w:r w:rsidR="007C44A9" w:rsidRPr="00FA4A40">
        <w:rPr>
          <w:rFonts w:ascii="Times New Roman" w:hAnsi="Times New Roman" w:cs="Times New Roman"/>
          <w:sz w:val="24"/>
          <w:szCs w:val="24"/>
        </w:rPr>
        <w:t>principales</w:t>
      </w:r>
      <w:r w:rsidRPr="00FA4A40">
        <w:rPr>
          <w:rFonts w:ascii="Times New Roman" w:hAnsi="Times New Roman" w:cs="Times New Roman"/>
          <w:sz w:val="24"/>
          <w:szCs w:val="24"/>
        </w:rPr>
        <w:t xml:space="preserve"> del burnout (</w:t>
      </w:r>
      <w:r w:rsidR="00AA74C9">
        <w:rPr>
          <w:rFonts w:ascii="Times New Roman" w:hAnsi="Times New Roman" w:cs="Times New Roman"/>
          <w:sz w:val="24"/>
          <w:szCs w:val="24"/>
        </w:rPr>
        <w:t>León-Rubio et al., 2013</w:t>
      </w:r>
      <w:r w:rsidRPr="00FA4A40">
        <w:rPr>
          <w:rFonts w:ascii="Times New Roman" w:hAnsi="Times New Roman" w:cs="Times New Roman"/>
          <w:sz w:val="24"/>
          <w:szCs w:val="24"/>
        </w:rPr>
        <w:t xml:space="preserve">) </w:t>
      </w:r>
      <w:r w:rsidR="007C44A9" w:rsidRPr="00FA4A40">
        <w:rPr>
          <w:rFonts w:ascii="Times New Roman" w:hAnsi="Times New Roman" w:cs="Times New Roman"/>
          <w:sz w:val="24"/>
          <w:szCs w:val="24"/>
        </w:rPr>
        <w:t xml:space="preserve">contribuyen a </w:t>
      </w:r>
      <w:r w:rsidRPr="00FA4A40">
        <w:rPr>
          <w:rFonts w:ascii="Times New Roman" w:hAnsi="Times New Roman" w:cs="Times New Roman"/>
          <w:sz w:val="24"/>
          <w:szCs w:val="24"/>
        </w:rPr>
        <w:t>explica</w:t>
      </w:r>
      <w:r w:rsidR="007C44A9" w:rsidRPr="00FA4A40">
        <w:rPr>
          <w:rFonts w:ascii="Times New Roman" w:hAnsi="Times New Roman" w:cs="Times New Roman"/>
          <w:sz w:val="24"/>
          <w:szCs w:val="24"/>
        </w:rPr>
        <w:t>r</w:t>
      </w:r>
      <w:r w:rsidRPr="00FA4A40">
        <w:rPr>
          <w:rFonts w:ascii="Times New Roman" w:hAnsi="Times New Roman" w:cs="Times New Roman"/>
          <w:sz w:val="24"/>
          <w:szCs w:val="24"/>
        </w:rPr>
        <w:t xml:space="preserve"> sustancialmente el reconocimiento</w:t>
      </w:r>
      <w:r w:rsidR="006A4F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4FFD">
        <w:rPr>
          <w:rFonts w:ascii="Times New Roman" w:hAnsi="Times New Roman" w:cs="Times New Roman"/>
          <w:sz w:val="24"/>
          <w:szCs w:val="24"/>
        </w:rPr>
        <w:t>autorr</w:t>
      </w:r>
      <w:r w:rsidRPr="00FA4A40">
        <w:rPr>
          <w:rFonts w:ascii="Times New Roman" w:hAnsi="Times New Roman" w:cs="Times New Roman"/>
          <w:sz w:val="24"/>
          <w:szCs w:val="24"/>
        </w:rPr>
        <w:t>eportado</w:t>
      </w:r>
      <w:proofErr w:type="spellEnd"/>
      <w:r w:rsidRPr="00FA4A40">
        <w:rPr>
          <w:rFonts w:ascii="Times New Roman" w:hAnsi="Times New Roman" w:cs="Times New Roman"/>
          <w:sz w:val="24"/>
          <w:szCs w:val="24"/>
        </w:rPr>
        <w:t xml:space="preserve"> del estrés </w:t>
      </w:r>
      <w:r w:rsidR="007C44A9" w:rsidRPr="00FA4A40">
        <w:rPr>
          <w:rFonts w:ascii="Times New Roman" w:hAnsi="Times New Roman" w:cs="Times New Roman"/>
          <w:sz w:val="24"/>
          <w:szCs w:val="24"/>
        </w:rPr>
        <w:t xml:space="preserve">general </w:t>
      </w:r>
      <w:r w:rsidRPr="00FA4A40">
        <w:rPr>
          <w:rFonts w:ascii="Times New Roman" w:hAnsi="Times New Roman" w:cs="Times New Roman"/>
          <w:sz w:val="24"/>
          <w:szCs w:val="24"/>
        </w:rPr>
        <w:t>e</w:t>
      </w:r>
      <w:r w:rsidR="007C44A9" w:rsidRPr="00FA4A40">
        <w:rPr>
          <w:rFonts w:ascii="Times New Roman" w:hAnsi="Times New Roman" w:cs="Times New Roman"/>
          <w:sz w:val="24"/>
          <w:szCs w:val="24"/>
        </w:rPr>
        <w:t>n el trabajo. La percepción de eficacia profesional no tiene un papel importante en este</w:t>
      </w:r>
      <w:r w:rsidR="006A4FFD">
        <w:rPr>
          <w:rFonts w:ascii="Times New Roman" w:hAnsi="Times New Roman" w:cs="Times New Roman"/>
          <w:sz w:val="24"/>
          <w:szCs w:val="24"/>
        </w:rPr>
        <w:t xml:space="preserve"> proceso. Por lo tanto, un</w:t>
      </w:r>
      <w:r w:rsidR="007C44A9" w:rsidRPr="00FA4A40">
        <w:rPr>
          <w:rFonts w:ascii="Times New Roman" w:hAnsi="Times New Roman" w:cs="Times New Roman"/>
          <w:sz w:val="24"/>
          <w:szCs w:val="24"/>
        </w:rPr>
        <w:t xml:space="preserve"> ítem</w:t>
      </w:r>
      <w:r w:rsidR="006A4FFD">
        <w:rPr>
          <w:rFonts w:ascii="Times New Roman" w:hAnsi="Times New Roman" w:cs="Times New Roman"/>
          <w:sz w:val="24"/>
          <w:szCs w:val="24"/>
        </w:rPr>
        <w:t xml:space="preserve"> único</w:t>
      </w:r>
      <w:r w:rsidR="007C44A9" w:rsidRPr="00FA4A40">
        <w:rPr>
          <w:rFonts w:ascii="Times New Roman" w:hAnsi="Times New Roman" w:cs="Times New Roman"/>
          <w:sz w:val="24"/>
          <w:szCs w:val="24"/>
        </w:rPr>
        <w:t xml:space="preserve"> sobre estrés general puede ayudar a identificar síntomas de </w:t>
      </w:r>
      <w:r w:rsidR="005F5B1C">
        <w:rPr>
          <w:rFonts w:ascii="Times New Roman" w:hAnsi="Times New Roman" w:cs="Times New Roman"/>
          <w:sz w:val="24"/>
          <w:szCs w:val="24"/>
        </w:rPr>
        <w:t xml:space="preserve">burnout, </w:t>
      </w:r>
      <w:r w:rsidR="00803DD2" w:rsidRPr="005F5B1C">
        <w:rPr>
          <w:rFonts w:ascii="Times New Roman" w:hAnsi="Times New Roman" w:cs="Times New Roman"/>
          <w:color w:val="000000" w:themeColor="text1"/>
          <w:sz w:val="24"/>
          <w:szCs w:val="24"/>
        </w:rPr>
        <w:t>un problema que pone en riesgo la salud del docente</w:t>
      </w:r>
      <w:r w:rsidR="005F5B1C" w:rsidRPr="005F5B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 el desempeño laboral</w:t>
      </w:r>
      <w:r w:rsidR="00803DD2" w:rsidRPr="005F5B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03DD2" w:rsidRPr="00FA4A40">
        <w:rPr>
          <w:rFonts w:ascii="Times New Roman" w:hAnsi="Times New Roman" w:cs="Times New Roman"/>
          <w:sz w:val="24"/>
          <w:szCs w:val="24"/>
        </w:rPr>
        <w:t>(</w:t>
      </w:r>
      <w:r w:rsidR="00136357" w:rsidRPr="00FA4A40">
        <w:rPr>
          <w:rFonts w:ascii="Times New Roman" w:hAnsi="Times New Roman" w:cs="Times New Roman"/>
          <w:sz w:val="24"/>
          <w:szCs w:val="24"/>
        </w:rPr>
        <w:t>Fernández</w:t>
      </w:r>
      <w:r w:rsidR="00803DD2" w:rsidRPr="00FA4A40">
        <w:rPr>
          <w:rFonts w:ascii="Times New Roman" w:hAnsi="Times New Roman" w:cs="Times New Roman"/>
          <w:sz w:val="24"/>
          <w:szCs w:val="24"/>
        </w:rPr>
        <w:t xml:space="preserve">, </w:t>
      </w:r>
      <w:r w:rsidR="000E4695">
        <w:rPr>
          <w:rFonts w:ascii="Times New Roman" w:hAnsi="Times New Roman" w:cs="Times New Roman"/>
          <w:sz w:val="24"/>
          <w:szCs w:val="24"/>
        </w:rPr>
        <w:t xml:space="preserve">2002, </w:t>
      </w:r>
      <w:r w:rsidR="00803DD2" w:rsidRPr="00FA4A40">
        <w:rPr>
          <w:rFonts w:ascii="Times New Roman" w:hAnsi="Times New Roman" w:cs="Times New Roman"/>
          <w:sz w:val="24"/>
          <w:szCs w:val="24"/>
        </w:rPr>
        <w:t>2008</w:t>
      </w:r>
      <w:r w:rsidR="004E5003" w:rsidRPr="00FA4A40">
        <w:rPr>
          <w:rFonts w:ascii="Times New Roman" w:hAnsi="Times New Roman" w:cs="Times New Roman"/>
          <w:sz w:val="24"/>
          <w:szCs w:val="24"/>
        </w:rPr>
        <w:t>)</w:t>
      </w:r>
      <w:r w:rsidR="00803DD2" w:rsidRPr="00FA4A40">
        <w:rPr>
          <w:rFonts w:ascii="Times New Roman" w:hAnsi="Times New Roman" w:cs="Times New Roman"/>
          <w:sz w:val="24"/>
          <w:szCs w:val="24"/>
        </w:rPr>
        <w:t>.</w:t>
      </w:r>
      <w:r w:rsidR="00380B7A">
        <w:rPr>
          <w:rFonts w:ascii="Times New Roman" w:hAnsi="Times New Roman" w:cs="Times New Roman"/>
          <w:sz w:val="24"/>
          <w:szCs w:val="24"/>
        </w:rPr>
        <w:t xml:space="preserve"> </w:t>
      </w:r>
      <w:r w:rsidR="00380B7A" w:rsidRPr="001C47AE">
        <w:rPr>
          <w:rFonts w:ascii="Times New Roman" w:hAnsi="Times New Roman" w:cs="Times New Roman"/>
          <w:color w:val="000000" w:themeColor="text1"/>
          <w:sz w:val="24"/>
          <w:szCs w:val="24"/>
        </w:rPr>
        <w:t>Pero</w:t>
      </w:r>
      <w:r w:rsidR="00380B7A">
        <w:rPr>
          <w:rFonts w:ascii="Times New Roman" w:hAnsi="Times New Roman" w:cs="Times New Roman"/>
          <w:sz w:val="24"/>
          <w:szCs w:val="24"/>
        </w:rPr>
        <w:t>, a</w:t>
      </w:r>
      <w:r w:rsidR="00136357" w:rsidRPr="00FA4A40">
        <w:rPr>
          <w:rFonts w:ascii="Times New Roman" w:hAnsi="Times New Roman" w:cs="Times New Roman"/>
          <w:sz w:val="24"/>
          <w:szCs w:val="24"/>
        </w:rPr>
        <w:t xml:space="preserve">unque </w:t>
      </w:r>
      <w:r w:rsidR="00380B7A" w:rsidRPr="001C47AE">
        <w:rPr>
          <w:rFonts w:ascii="Times New Roman" w:hAnsi="Times New Roman" w:cs="Times New Roman"/>
          <w:color w:val="000000" w:themeColor="text1"/>
          <w:sz w:val="24"/>
          <w:szCs w:val="24"/>
        </w:rPr>
        <w:t>este</w:t>
      </w:r>
      <w:r w:rsidR="00136357" w:rsidRPr="00FA4A40">
        <w:rPr>
          <w:rFonts w:ascii="Times New Roman" w:hAnsi="Times New Roman" w:cs="Times New Roman"/>
          <w:sz w:val="24"/>
          <w:szCs w:val="24"/>
        </w:rPr>
        <w:t xml:space="preserve"> </w:t>
      </w:r>
      <w:r w:rsidR="00380B7A" w:rsidRPr="00FA4A40">
        <w:rPr>
          <w:rFonts w:ascii="Times New Roman" w:hAnsi="Times New Roman" w:cs="Times New Roman"/>
          <w:sz w:val="24"/>
          <w:szCs w:val="24"/>
        </w:rPr>
        <w:t>ítem</w:t>
      </w:r>
      <w:r w:rsidR="006A4FFD">
        <w:rPr>
          <w:rFonts w:ascii="Times New Roman" w:hAnsi="Times New Roman" w:cs="Times New Roman"/>
          <w:sz w:val="24"/>
          <w:szCs w:val="24"/>
        </w:rPr>
        <w:t xml:space="preserve"> único</w:t>
      </w:r>
      <w:r w:rsidR="004C02DB" w:rsidRPr="00FA4A40">
        <w:rPr>
          <w:rFonts w:ascii="Times New Roman" w:hAnsi="Times New Roman" w:cs="Times New Roman"/>
          <w:sz w:val="24"/>
          <w:szCs w:val="24"/>
        </w:rPr>
        <w:t xml:space="preserve"> sobre estrés general parece se</w:t>
      </w:r>
      <w:r w:rsidR="00136357" w:rsidRPr="00FA4A40">
        <w:rPr>
          <w:rFonts w:ascii="Times New Roman" w:hAnsi="Times New Roman" w:cs="Times New Roman"/>
          <w:sz w:val="24"/>
          <w:szCs w:val="24"/>
        </w:rPr>
        <w:t>r útil para detectar síntomas d</w:t>
      </w:r>
      <w:r w:rsidR="004C02DB" w:rsidRPr="00FA4A40">
        <w:rPr>
          <w:rFonts w:ascii="Times New Roman" w:hAnsi="Times New Roman" w:cs="Times New Roman"/>
          <w:sz w:val="24"/>
          <w:szCs w:val="24"/>
        </w:rPr>
        <w:t>e burnout</w:t>
      </w:r>
      <w:r w:rsidR="00380B7A">
        <w:rPr>
          <w:rFonts w:ascii="Times New Roman" w:hAnsi="Times New Roman" w:cs="Times New Roman"/>
          <w:sz w:val="24"/>
          <w:szCs w:val="24"/>
        </w:rPr>
        <w:t>,</w:t>
      </w:r>
      <w:r w:rsidR="004C02DB" w:rsidRPr="00FA4A40">
        <w:rPr>
          <w:rFonts w:ascii="Times New Roman" w:hAnsi="Times New Roman" w:cs="Times New Roman"/>
          <w:sz w:val="24"/>
          <w:szCs w:val="24"/>
        </w:rPr>
        <w:t xml:space="preserve"> el hallazgo presentado aquí debe </w:t>
      </w:r>
      <w:r w:rsidR="004C02DB" w:rsidRPr="00DE62AA">
        <w:rPr>
          <w:rStyle w:val="mixed-citation"/>
          <w:lang w:val="es-PE"/>
        </w:rPr>
        <w:t>ser</w:t>
      </w:r>
      <w:r w:rsidR="004C02DB" w:rsidRPr="00FA4A40">
        <w:rPr>
          <w:rFonts w:ascii="Times New Roman" w:hAnsi="Times New Roman" w:cs="Times New Roman"/>
          <w:sz w:val="24"/>
          <w:szCs w:val="24"/>
        </w:rPr>
        <w:t xml:space="preserve"> replicado y contrastado con variables que informen de su validez discriminativa.</w:t>
      </w:r>
    </w:p>
    <w:p w:rsidR="00B57011" w:rsidRPr="00FA4A40" w:rsidRDefault="00B57011" w:rsidP="00777196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s-PE"/>
        </w:rPr>
      </w:pPr>
      <w:r w:rsidRPr="00FA4A40">
        <w:rPr>
          <w:rFonts w:ascii="Times New Roman" w:hAnsi="Times New Roman" w:cs="Times New Roman"/>
          <w:b/>
          <w:sz w:val="24"/>
          <w:szCs w:val="24"/>
          <w:lang w:val="es-PE"/>
        </w:rPr>
        <w:t>Referencias</w:t>
      </w:r>
    </w:p>
    <w:p w:rsidR="005A1388" w:rsidRPr="009901E5" w:rsidRDefault="005A1388" w:rsidP="00D1252D">
      <w:pPr>
        <w:widowControl w:val="0"/>
        <w:spacing w:after="0" w:line="480" w:lineRule="auto"/>
        <w:ind w:left="1416" w:hanging="1416"/>
        <w:rPr>
          <w:rFonts w:ascii="Times New Roman" w:hAnsi="Times New Roman" w:cs="Times New Roman"/>
          <w:sz w:val="24"/>
          <w:szCs w:val="24"/>
        </w:rPr>
      </w:pPr>
      <w:r w:rsidRPr="009901E5">
        <w:rPr>
          <w:rFonts w:ascii="Times New Roman" w:hAnsi="Times New Roman" w:cs="Times New Roman"/>
          <w:sz w:val="24"/>
          <w:szCs w:val="24"/>
          <w:lang w:val="es-ES_tradnl"/>
        </w:rPr>
        <w:t xml:space="preserve">Fernández, M. (2002). Desgaste psíquico en profesores de primaria de Lima Metropolitana.  </w:t>
      </w:r>
      <w:r w:rsidRPr="009901E5">
        <w:rPr>
          <w:rFonts w:ascii="Times New Roman" w:hAnsi="Times New Roman" w:cs="Times New Roman"/>
          <w:i/>
          <w:sz w:val="24"/>
          <w:szCs w:val="24"/>
        </w:rPr>
        <w:t>Persona</w:t>
      </w:r>
      <w:r w:rsidRPr="009901E5">
        <w:rPr>
          <w:rFonts w:ascii="Times New Roman" w:hAnsi="Times New Roman" w:cs="Times New Roman"/>
          <w:sz w:val="24"/>
          <w:szCs w:val="24"/>
        </w:rPr>
        <w:t xml:space="preserve">, </w:t>
      </w:r>
      <w:r w:rsidRPr="009901E5">
        <w:rPr>
          <w:rFonts w:ascii="Times New Roman" w:hAnsi="Times New Roman" w:cs="Times New Roman"/>
          <w:i/>
          <w:sz w:val="24"/>
          <w:szCs w:val="24"/>
        </w:rPr>
        <w:t>5</w:t>
      </w:r>
      <w:r w:rsidRPr="009901E5">
        <w:rPr>
          <w:rFonts w:ascii="Times New Roman" w:hAnsi="Times New Roman" w:cs="Times New Roman"/>
          <w:sz w:val="24"/>
          <w:szCs w:val="24"/>
        </w:rPr>
        <w:t>, 27-66.</w:t>
      </w:r>
    </w:p>
    <w:p w:rsidR="005A1388" w:rsidRPr="009901E5" w:rsidRDefault="005A1388" w:rsidP="00D1252D">
      <w:pPr>
        <w:widowControl w:val="0"/>
        <w:spacing w:after="0" w:line="480" w:lineRule="auto"/>
        <w:ind w:left="709" w:hanging="709"/>
        <w:rPr>
          <w:rFonts w:ascii="Times New Roman" w:hAnsi="Times New Roman" w:cs="Times New Roman"/>
          <w:sz w:val="24"/>
          <w:szCs w:val="24"/>
          <w:lang w:val="es-PE"/>
        </w:rPr>
      </w:pPr>
      <w:r w:rsidRPr="009901E5">
        <w:rPr>
          <w:rFonts w:ascii="Times New Roman" w:hAnsi="Times New Roman" w:cs="Times New Roman"/>
          <w:sz w:val="24"/>
          <w:szCs w:val="24"/>
        </w:rPr>
        <w:t xml:space="preserve">Fernández, M. (2008). Burnout, autoeficacia y estrés en maestros peruanos: tres estudios fácticos. </w:t>
      </w:r>
      <w:r w:rsidRPr="009901E5">
        <w:rPr>
          <w:rFonts w:ascii="Times New Roman" w:hAnsi="Times New Roman" w:cs="Times New Roman"/>
          <w:i/>
          <w:sz w:val="24"/>
          <w:szCs w:val="24"/>
          <w:lang w:val="es-PE"/>
        </w:rPr>
        <w:t>Ciencia &amp; Trabajo</w:t>
      </w:r>
      <w:r w:rsidRPr="009901E5">
        <w:rPr>
          <w:rFonts w:ascii="Times New Roman" w:hAnsi="Times New Roman" w:cs="Times New Roman"/>
          <w:sz w:val="24"/>
          <w:szCs w:val="24"/>
          <w:lang w:val="es-PE"/>
        </w:rPr>
        <w:t xml:space="preserve">, Año 10, </w:t>
      </w:r>
      <w:proofErr w:type="spellStart"/>
      <w:r w:rsidRPr="009901E5">
        <w:rPr>
          <w:rFonts w:ascii="Times New Roman" w:hAnsi="Times New Roman" w:cs="Times New Roman"/>
          <w:sz w:val="24"/>
          <w:szCs w:val="24"/>
          <w:lang w:val="es-PE"/>
        </w:rPr>
        <w:t>Nº</w:t>
      </w:r>
      <w:proofErr w:type="spellEnd"/>
      <w:r w:rsidRPr="009901E5">
        <w:rPr>
          <w:rFonts w:ascii="Times New Roman" w:hAnsi="Times New Roman" w:cs="Times New Roman"/>
          <w:sz w:val="24"/>
          <w:szCs w:val="24"/>
          <w:lang w:val="es-PE"/>
        </w:rPr>
        <w:t xml:space="preserve"> 30, 120-125.</w:t>
      </w:r>
    </w:p>
    <w:p w:rsidR="009D430A" w:rsidRPr="009901E5" w:rsidRDefault="009D430A" w:rsidP="00D1252D">
      <w:pPr>
        <w:widowControl w:val="0"/>
        <w:spacing w:after="0" w:line="480" w:lineRule="auto"/>
        <w:ind w:left="709" w:hanging="709"/>
        <w:rPr>
          <w:rFonts w:ascii="Times New Roman" w:hAnsi="Times New Roman" w:cs="Times New Roman"/>
          <w:color w:val="000000"/>
          <w:sz w:val="24"/>
          <w:szCs w:val="24"/>
          <w:lang w:val="es-PE"/>
        </w:rPr>
      </w:pPr>
      <w:proofErr w:type="spellStart"/>
      <w:r w:rsidRPr="009901E5">
        <w:rPr>
          <w:rFonts w:ascii="Times New Roman" w:hAnsi="Times New Roman" w:cs="Times New Roman"/>
          <w:sz w:val="24"/>
          <w:szCs w:val="24"/>
          <w:lang w:val="es-PE"/>
        </w:rPr>
        <w:t>Fernandez</w:t>
      </w:r>
      <w:proofErr w:type="spellEnd"/>
      <w:r w:rsidRPr="009901E5">
        <w:rPr>
          <w:rFonts w:ascii="Times New Roman" w:hAnsi="Times New Roman" w:cs="Times New Roman"/>
          <w:color w:val="000000"/>
          <w:sz w:val="24"/>
          <w:szCs w:val="24"/>
          <w:lang w:val="es-PE"/>
        </w:rPr>
        <w:t xml:space="preserve">, M., Merino, C., &amp; </w:t>
      </w:r>
      <w:proofErr w:type="spellStart"/>
      <w:r w:rsidRPr="009901E5">
        <w:rPr>
          <w:rFonts w:ascii="Times New Roman" w:hAnsi="Times New Roman" w:cs="Times New Roman"/>
          <w:color w:val="000000"/>
          <w:sz w:val="24"/>
          <w:szCs w:val="24"/>
          <w:lang w:val="es-PE"/>
        </w:rPr>
        <w:t>Guimet</w:t>
      </w:r>
      <w:proofErr w:type="spellEnd"/>
      <w:r w:rsidRPr="009901E5">
        <w:rPr>
          <w:rFonts w:ascii="Times New Roman" w:hAnsi="Times New Roman" w:cs="Times New Roman"/>
          <w:color w:val="000000"/>
          <w:sz w:val="24"/>
          <w:szCs w:val="24"/>
          <w:lang w:val="es-PE"/>
        </w:rPr>
        <w:t>, M</w:t>
      </w:r>
      <w:r w:rsidR="000B31F0" w:rsidRPr="009901E5">
        <w:rPr>
          <w:rFonts w:ascii="Times New Roman" w:hAnsi="Times New Roman" w:cs="Times New Roman"/>
          <w:color w:val="000000"/>
          <w:sz w:val="24"/>
          <w:szCs w:val="24"/>
          <w:lang w:val="es-PE"/>
        </w:rPr>
        <w:t xml:space="preserve">. </w:t>
      </w:r>
      <w:r w:rsidRPr="009901E5">
        <w:rPr>
          <w:rFonts w:ascii="Times New Roman" w:hAnsi="Times New Roman" w:cs="Times New Roman"/>
          <w:color w:val="000000"/>
          <w:sz w:val="24"/>
          <w:szCs w:val="24"/>
          <w:lang w:val="es-PE"/>
        </w:rPr>
        <w:t xml:space="preserve">(2015). Propiedades psicométricas del Maslach </w:t>
      </w:r>
      <w:r w:rsidRPr="009901E5">
        <w:rPr>
          <w:rFonts w:ascii="Times New Roman" w:hAnsi="Times New Roman" w:cs="Times New Roman"/>
          <w:color w:val="000000"/>
          <w:sz w:val="24"/>
          <w:szCs w:val="24"/>
          <w:lang w:val="es-PE"/>
        </w:rPr>
        <w:lastRenderedPageBreak/>
        <w:t xml:space="preserve">Burnout </w:t>
      </w:r>
      <w:proofErr w:type="spellStart"/>
      <w:r w:rsidRPr="009901E5">
        <w:rPr>
          <w:rFonts w:ascii="Times New Roman" w:hAnsi="Times New Roman" w:cs="Times New Roman"/>
          <w:color w:val="000000"/>
          <w:sz w:val="24"/>
          <w:szCs w:val="24"/>
          <w:lang w:val="es-PE"/>
        </w:rPr>
        <w:t>Inventory</w:t>
      </w:r>
      <w:proofErr w:type="spellEnd"/>
      <w:r w:rsidRPr="009901E5">
        <w:rPr>
          <w:rFonts w:ascii="Times New Roman" w:hAnsi="Times New Roman" w:cs="Times New Roman"/>
          <w:color w:val="000000"/>
          <w:sz w:val="24"/>
          <w:szCs w:val="24"/>
          <w:lang w:val="es-PE"/>
        </w:rPr>
        <w:t xml:space="preserve">-General </w:t>
      </w:r>
      <w:proofErr w:type="spellStart"/>
      <w:r w:rsidRPr="009901E5">
        <w:rPr>
          <w:rFonts w:ascii="Times New Roman" w:hAnsi="Times New Roman" w:cs="Times New Roman"/>
          <w:color w:val="000000"/>
          <w:sz w:val="24"/>
          <w:szCs w:val="24"/>
          <w:lang w:val="es-PE"/>
        </w:rPr>
        <w:t>Survey</w:t>
      </w:r>
      <w:proofErr w:type="spellEnd"/>
      <w:r w:rsidRPr="009901E5">
        <w:rPr>
          <w:rFonts w:ascii="Times New Roman" w:hAnsi="Times New Roman" w:cs="Times New Roman"/>
          <w:color w:val="000000"/>
          <w:sz w:val="24"/>
          <w:szCs w:val="24"/>
          <w:lang w:val="es-PE"/>
        </w:rPr>
        <w:t xml:space="preserve"> en una muestra de docentes de Lima, Perú. En R. León (ed.), </w:t>
      </w:r>
      <w:r w:rsidRPr="009901E5">
        <w:rPr>
          <w:rFonts w:ascii="Times New Roman" w:hAnsi="Times New Roman" w:cs="Times New Roman"/>
          <w:i/>
          <w:color w:val="000000"/>
          <w:sz w:val="24"/>
          <w:szCs w:val="24"/>
          <w:lang w:val="es-PE"/>
        </w:rPr>
        <w:t>Homenaje a Reynaldo Alarcón</w:t>
      </w:r>
      <w:r w:rsidRPr="009901E5">
        <w:rPr>
          <w:rFonts w:ascii="Times New Roman" w:hAnsi="Times New Roman" w:cs="Times New Roman"/>
          <w:color w:val="000000"/>
          <w:sz w:val="24"/>
          <w:szCs w:val="24"/>
          <w:lang w:val="es-PE"/>
        </w:rPr>
        <w:t xml:space="preserve"> (pp. 371-391). Lima: Editorial Universitaria.</w:t>
      </w:r>
    </w:p>
    <w:p w:rsidR="005A1388" w:rsidRPr="009901E5" w:rsidRDefault="005A1388" w:rsidP="00D1252D">
      <w:pPr>
        <w:widowControl w:val="0"/>
        <w:spacing w:after="0" w:line="480" w:lineRule="auto"/>
        <w:ind w:left="709" w:hanging="709"/>
        <w:rPr>
          <w:rFonts w:ascii="Times New Roman" w:hAnsi="Times New Roman" w:cs="Times New Roman"/>
          <w:sz w:val="24"/>
          <w:szCs w:val="24"/>
          <w:lang w:val="en-US"/>
        </w:rPr>
      </w:pPr>
      <w:r w:rsidRPr="009901E5">
        <w:rPr>
          <w:rFonts w:ascii="Times New Roman" w:hAnsi="Times New Roman" w:cs="Times New Roman"/>
          <w:sz w:val="24"/>
          <w:szCs w:val="24"/>
        </w:rPr>
        <w:t xml:space="preserve">Fernández, M., </w:t>
      </w:r>
      <w:proofErr w:type="spellStart"/>
      <w:r w:rsidRPr="009901E5">
        <w:rPr>
          <w:rFonts w:ascii="Times New Roman" w:hAnsi="Times New Roman" w:cs="Times New Roman"/>
          <w:sz w:val="24"/>
          <w:szCs w:val="24"/>
        </w:rPr>
        <w:t>Juarez</w:t>
      </w:r>
      <w:proofErr w:type="spellEnd"/>
      <w:r w:rsidRPr="009901E5">
        <w:rPr>
          <w:rFonts w:ascii="Times New Roman" w:hAnsi="Times New Roman" w:cs="Times New Roman"/>
          <w:sz w:val="24"/>
          <w:szCs w:val="24"/>
        </w:rPr>
        <w:t xml:space="preserve">, A. &amp; Merino, C. (2015). Invarianza de medición y estructural del MBI-GS en una muestra </w:t>
      </w:r>
      <w:proofErr w:type="spellStart"/>
      <w:r w:rsidRPr="009901E5">
        <w:rPr>
          <w:rFonts w:ascii="Times New Roman" w:hAnsi="Times New Roman" w:cs="Times New Roman"/>
          <w:sz w:val="24"/>
          <w:szCs w:val="24"/>
        </w:rPr>
        <w:t>multiocupacional</w:t>
      </w:r>
      <w:proofErr w:type="spellEnd"/>
      <w:r w:rsidRPr="009901E5">
        <w:rPr>
          <w:rFonts w:ascii="Times New Roman" w:hAnsi="Times New Roman" w:cs="Times New Roman"/>
          <w:sz w:val="24"/>
          <w:szCs w:val="24"/>
        </w:rPr>
        <w:t xml:space="preserve"> peruana. </w:t>
      </w:r>
      <w:proofErr w:type="spellStart"/>
      <w:r w:rsidRPr="009901E5">
        <w:rPr>
          <w:rFonts w:ascii="Times New Roman" w:hAnsi="Times New Roman" w:cs="Times New Roman"/>
          <w:i/>
          <w:sz w:val="24"/>
          <w:szCs w:val="24"/>
          <w:lang w:val="en-US"/>
        </w:rPr>
        <w:t>Liberabit</w:t>
      </w:r>
      <w:proofErr w:type="spellEnd"/>
      <w:r w:rsidRPr="009901E5">
        <w:rPr>
          <w:rFonts w:ascii="Times New Roman" w:hAnsi="Times New Roman" w:cs="Times New Roman"/>
          <w:i/>
          <w:sz w:val="24"/>
          <w:szCs w:val="24"/>
          <w:lang w:val="en-US"/>
        </w:rPr>
        <w:t>, 21</w:t>
      </w:r>
      <w:r w:rsidRPr="009901E5">
        <w:rPr>
          <w:rFonts w:ascii="Times New Roman" w:hAnsi="Times New Roman" w:cs="Times New Roman"/>
          <w:sz w:val="24"/>
          <w:szCs w:val="24"/>
          <w:lang w:val="en-US"/>
        </w:rPr>
        <w:t>, 9-20</w:t>
      </w:r>
    </w:p>
    <w:p w:rsidR="005A1388" w:rsidRPr="009901E5" w:rsidRDefault="005A1388" w:rsidP="00D1252D">
      <w:pPr>
        <w:spacing w:after="0" w:line="480" w:lineRule="auto"/>
        <w:ind w:left="709" w:hanging="709"/>
        <w:rPr>
          <w:rStyle w:val="mixed-citation"/>
          <w:rFonts w:ascii="Times New Roman" w:hAnsi="Times New Roman" w:cs="Times New Roman"/>
          <w:sz w:val="24"/>
          <w:szCs w:val="24"/>
          <w:lang w:val="es-PE"/>
        </w:rPr>
      </w:pPr>
      <w:r w:rsidRPr="009901E5">
        <w:rPr>
          <w:rStyle w:val="mixed-citation"/>
          <w:rFonts w:ascii="Times New Roman" w:hAnsi="Times New Roman" w:cs="Times New Roman"/>
          <w:sz w:val="24"/>
          <w:szCs w:val="24"/>
          <w:lang w:val="en-US"/>
        </w:rPr>
        <w:t xml:space="preserve">Hansen, V. &amp; Girgis, A. (2010). Can a single question effectively screen for burnout in Australian cancer care workers? </w:t>
      </w:r>
      <w:r w:rsidRPr="00CD42BF">
        <w:rPr>
          <w:rStyle w:val="mixed-citation"/>
          <w:rFonts w:ascii="Times New Roman" w:hAnsi="Times New Roman" w:cs="Times New Roman"/>
          <w:i/>
          <w:sz w:val="24"/>
          <w:szCs w:val="24"/>
          <w:lang w:val="es-PE"/>
        </w:rPr>
        <w:t xml:space="preserve">BMC </w:t>
      </w:r>
      <w:proofErr w:type="spellStart"/>
      <w:r w:rsidRPr="00CD42BF">
        <w:rPr>
          <w:rStyle w:val="mixed-citation"/>
          <w:rFonts w:ascii="Times New Roman" w:hAnsi="Times New Roman" w:cs="Times New Roman"/>
          <w:i/>
          <w:sz w:val="24"/>
          <w:szCs w:val="24"/>
          <w:lang w:val="es-PE"/>
        </w:rPr>
        <w:t>Health</w:t>
      </w:r>
      <w:proofErr w:type="spellEnd"/>
      <w:r w:rsidRPr="00CD42BF">
        <w:rPr>
          <w:rStyle w:val="mixed-citation"/>
          <w:rFonts w:ascii="Times New Roman" w:hAnsi="Times New Roman" w:cs="Times New Roman"/>
          <w:i/>
          <w:sz w:val="24"/>
          <w:szCs w:val="24"/>
          <w:lang w:val="es-PE"/>
        </w:rPr>
        <w:t xml:space="preserve"> </w:t>
      </w:r>
      <w:proofErr w:type="spellStart"/>
      <w:r w:rsidRPr="00CD42BF">
        <w:rPr>
          <w:rStyle w:val="mixed-citation"/>
          <w:rFonts w:ascii="Times New Roman" w:hAnsi="Times New Roman" w:cs="Times New Roman"/>
          <w:i/>
          <w:sz w:val="24"/>
          <w:szCs w:val="24"/>
          <w:lang w:val="es-PE"/>
        </w:rPr>
        <w:t>Services</w:t>
      </w:r>
      <w:proofErr w:type="spellEnd"/>
      <w:r w:rsidRPr="00CD42BF">
        <w:rPr>
          <w:rStyle w:val="mixed-citation"/>
          <w:rFonts w:ascii="Times New Roman" w:hAnsi="Times New Roman" w:cs="Times New Roman"/>
          <w:i/>
          <w:sz w:val="24"/>
          <w:szCs w:val="24"/>
          <w:lang w:val="es-PE"/>
        </w:rPr>
        <w:t xml:space="preserve"> </w:t>
      </w:r>
      <w:proofErr w:type="spellStart"/>
      <w:r w:rsidRPr="00CD42BF">
        <w:rPr>
          <w:rStyle w:val="mixed-citation"/>
          <w:rFonts w:ascii="Times New Roman" w:hAnsi="Times New Roman" w:cs="Times New Roman"/>
          <w:i/>
          <w:sz w:val="24"/>
          <w:szCs w:val="24"/>
          <w:lang w:val="es-PE"/>
        </w:rPr>
        <w:t>Research</w:t>
      </w:r>
      <w:proofErr w:type="spellEnd"/>
      <w:r w:rsidRPr="00CD42BF">
        <w:rPr>
          <w:rStyle w:val="mixed-citation"/>
          <w:rFonts w:ascii="Times New Roman" w:hAnsi="Times New Roman" w:cs="Times New Roman"/>
          <w:i/>
          <w:sz w:val="24"/>
          <w:szCs w:val="24"/>
          <w:lang w:val="es-PE"/>
        </w:rPr>
        <w:t>, 10</w:t>
      </w:r>
      <w:r w:rsidRPr="00CD42BF">
        <w:rPr>
          <w:rStyle w:val="mixed-citation"/>
          <w:rFonts w:ascii="Times New Roman" w:hAnsi="Times New Roman" w:cs="Times New Roman"/>
          <w:sz w:val="24"/>
          <w:szCs w:val="24"/>
          <w:lang w:val="es-PE"/>
        </w:rPr>
        <w:t xml:space="preserve">, 341. </w:t>
      </w:r>
      <w:hyperlink r:id="rId4" w:history="1">
        <w:r w:rsidR="001808EF" w:rsidRPr="009901E5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https://doi.org/10.1186/1472-6963-10-341 </w:t>
        </w:r>
      </w:hyperlink>
    </w:p>
    <w:p w:rsidR="005A1388" w:rsidRPr="009901E5" w:rsidRDefault="005A1388" w:rsidP="00D1252D">
      <w:pPr>
        <w:spacing w:after="0" w:line="480" w:lineRule="auto"/>
        <w:ind w:left="709" w:hanging="709"/>
        <w:rPr>
          <w:rStyle w:val="mixed-citation"/>
          <w:rFonts w:ascii="Times New Roman" w:hAnsi="Times New Roman" w:cs="Times New Roman"/>
          <w:sz w:val="24"/>
          <w:szCs w:val="24"/>
          <w:lang w:val="es-PE"/>
        </w:rPr>
      </w:pPr>
      <w:r w:rsidRPr="009901E5">
        <w:rPr>
          <w:rStyle w:val="mixed-citation"/>
          <w:rFonts w:ascii="Times New Roman" w:hAnsi="Times New Roman" w:cs="Times New Roman"/>
          <w:sz w:val="24"/>
          <w:szCs w:val="24"/>
          <w:lang w:val="es-PE"/>
        </w:rPr>
        <w:t xml:space="preserve">Juárez-García, A., García, J., Camacho, A., Gómez, V., Vera, A., Fernández, M. &amp; García, I. (2011). </w:t>
      </w:r>
      <w:r w:rsidRPr="009901E5">
        <w:rPr>
          <w:rStyle w:val="mixed-citation"/>
          <w:rFonts w:ascii="Times New Roman" w:hAnsi="Times New Roman" w:cs="Times New Roman"/>
          <w:i/>
          <w:sz w:val="24"/>
          <w:szCs w:val="24"/>
          <w:lang w:val="es-PE"/>
        </w:rPr>
        <w:t>Traducción y adaptación del MBI GS en Población latina</w:t>
      </w:r>
      <w:r w:rsidRPr="009901E5">
        <w:rPr>
          <w:rStyle w:val="mixed-citation"/>
          <w:rFonts w:ascii="Times New Roman" w:hAnsi="Times New Roman" w:cs="Times New Roman"/>
          <w:sz w:val="24"/>
          <w:szCs w:val="24"/>
          <w:lang w:val="es-PE"/>
        </w:rPr>
        <w:t xml:space="preserve">. Manuscrito </w:t>
      </w:r>
      <w:r w:rsidR="005206E5" w:rsidRPr="009901E5">
        <w:rPr>
          <w:rStyle w:val="mixed-citation"/>
          <w:rFonts w:ascii="Times New Roman" w:hAnsi="Times New Roman" w:cs="Times New Roman"/>
          <w:sz w:val="24"/>
          <w:szCs w:val="24"/>
          <w:lang w:val="es-PE"/>
        </w:rPr>
        <w:t>no publicado</w:t>
      </w:r>
      <w:r w:rsidRPr="009901E5">
        <w:rPr>
          <w:rStyle w:val="mixed-citation"/>
          <w:rFonts w:ascii="Times New Roman" w:hAnsi="Times New Roman" w:cs="Times New Roman"/>
          <w:sz w:val="24"/>
          <w:szCs w:val="24"/>
          <w:lang w:val="es-PE"/>
        </w:rPr>
        <w:t>.</w:t>
      </w:r>
    </w:p>
    <w:p w:rsidR="005A1388" w:rsidRPr="009901E5" w:rsidRDefault="005A1388" w:rsidP="00D1252D">
      <w:pPr>
        <w:widowControl w:val="0"/>
        <w:spacing w:after="0" w:line="48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 w:rsidRPr="009901E5">
        <w:rPr>
          <w:rFonts w:ascii="Times New Roman" w:hAnsi="Times New Roman" w:cs="Times New Roman"/>
          <w:sz w:val="24"/>
          <w:szCs w:val="24"/>
        </w:rPr>
        <w:t xml:space="preserve">León-Rubio, J., León-Pérez, J. &amp; Cantero, F. J. (2013). Prevalencia y factores predictivos del burnout en docentes de la enseñanza pública: el papel del género. </w:t>
      </w:r>
      <w:r w:rsidRPr="009901E5">
        <w:rPr>
          <w:rFonts w:ascii="Times New Roman" w:hAnsi="Times New Roman" w:cs="Times New Roman"/>
          <w:i/>
          <w:sz w:val="24"/>
          <w:szCs w:val="24"/>
        </w:rPr>
        <w:t>Ansiedad y Estrés, 19</w:t>
      </w:r>
      <w:r w:rsidRPr="009901E5">
        <w:rPr>
          <w:rFonts w:ascii="Times New Roman" w:hAnsi="Times New Roman" w:cs="Times New Roman"/>
          <w:sz w:val="24"/>
          <w:szCs w:val="24"/>
        </w:rPr>
        <w:t>, 11-25.</w:t>
      </w:r>
    </w:p>
    <w:p w:rsidR="005A1388" w:rsidRPr="009901E5" w:rsidRDefault="005A1388" w:rsidP="00D1252D">
      <w:pPr>
        <w:spacing w:after="0" w:line="480" w:lineRule="auto"/>
        <w:ind w:left="709" w:hanging="709"/>
        <w:rPr>
          <w:rStyle w:val="mixed-citation"/>
          <w:rFonts w:ascii="Times New Roman" w:hAnsi="Times New Roman" w:cs="Times New Roman"/>
          <w:sz w:val="24"/>
          <w:szCs w:val="24"/>
          <w:lang w:val="en-US"/>
        </w:rPr>
      </w:pPr>
      <w:r w:rsidRPr="00B4493E">
        <w:rPr>
          <w:rStyle w:val="mixed-citation"/>
          <w:rFonts w:ascii="Times New Roman" w:hAnsi="Times New Roman" w:cs="Times New Roman"/>
          <w:sz w:val="24"/>
          <w:szCs w:val="24"/>
          <w:lang w:val="es-PE"/>
        </w:rPr>
        <w:t xml:space="preserve">Maslach, C, Jackson, S. E. &amp; Leiter, M. P. (1996). </w:t>
      </w:r>
      <w:r w:rsidRPr="009901E5">
        <w:rPr>
          <w:rStyle w:val="mixed-citation"/>
          <w:rFonts w:ascii="Times New Roman" w:hAnsi="Times New Roman" w:cs="Times New Roman"/>
          <w:i/>
          <w:sz w:val="24"/>
          <w:szCs w:val="24"/>
          <w:lang w:val="en-US"/>
        </w:rPr>
        <w:t>Maslach Burnout Inventory Manual (3rd ed.).</w:t>
      </w:r>
      <w:r w:rsidRPr="009901E5">
        <w:rPr>
          <w:rStyle w:val="mixed-citation"/>
          <w:rFonts w:ascii="Times New Roman" w:hAnsi="Times New Roman" w:cs="Times New Roman"/>
          <w:sz w:val="24"/>
          <w:szCs w:val="24"/>
          <w:lang w:val="en-US"/>
        </w:rPr>
        <w:t xml:space="preserve"> Palo Alto, CA: Consulting Psychologists Press.</w:t>
      </w:r>
    </w:p>
    <w:p w:rsidR="005A1388" w:rsidRPr="009901E5" w:rsidRDefault="005A1388" w:rsidP="00D1252D">
      <w:pPr>
        <w:spacing w:after="0" w:line="480" w:lineRule="auto"/>
        <w:ind w:left="709" w:hanging="709"/>
        <w:rPr>
          <w:rFonts w:ascii="Times New Roman" w:hAnsi="Times New Roman" w:cs="Times New Roman"/>
          <w:sz w:val="24"/>
          <w:szCs w:val="24"/>
          <w:lang w:val="en-US"/>
        </w:rPr>
      </w:pPr>
      <w:r w:rsidRPr="009901E5">
        <w:rPr>
          <w:rFonts w:ascii="Times New Roman" w:hAnsi="Times New Roman" w:cs="Times New Roman"/>
          <w:sz w:val="24"/>
          <w:szCs w:val="24"/>
          <w:lang w:val="en-US"/>
        </w:rPr>
        <w:t xml:space="preserve">Ottaviani, C., Medea, B., </w:t>
      </w:r>
      <w:proofErr w:type="spellStart"/>
      <w:r w:rsidRPr="009901E5">
        <w:rPr>
          <w:rFonts w:ascii="Times New Roman" w:hAnsi="Times New Roman" w:cs="Times New Roman"/>
          <w:sz w:val="24"/>
          <w:szCs w:val="24"/>
          <w:lang w:val="en-US"/>
        </w:rPr>
        <w:t>Lonigro</w:t>
      </w:r>
      <w:proofErr w:type="spellEnd"/>
      <w:r w:rsidRPr="009901E5">
        <w:rPr>
          <w:rFonts w:ascii="Times New Roman" w:hAnsi="Times New Roman" w:cs="Times New Roman"/>
          <w:sz w:val="24"/>
          <w:szCs w:val="24"/>
          <w:lang w:val="en-US"/>
        </w:rPr>
        <w:t xml:space="preserve">, A., </w:t>
      </w:r>
      <w:proofErr w:type="spellStart"/>
      <w:r w:rsidRPr="009901E5">
        <w:rPr>
          <w:rFonts w:ascii="Times New Roman" w:hAnsi="Times New Roman" w:cs="Times New Roman"/>
          <w:sz w:val="24"/>
          <w:szCs w:val="24"/>
          <w:lang w:val="en-US"/>
        </w:rPr>
        <w:t>Tarvainen</w:t>
      </w:r>
      <w:proofErr w:type="spellEnd"/>
      <w:r w:rsidRPr="009901E5">
        <w:rPr>
          <w:rFonts w:ascii="Times New Roman" w:hAnsi="Times New Roman" w:cs="Times New Roman"/>
          <w:sz w:val="24"/>
          <w:szCs w:val="24"/>
          <w:lang w:val="en-US"/>
        </w:rPr>
        <w:t xml:space="preserve">, M., &amp; </w:t>
      </w:r>
      <w:proofErr w:type="spellStart"/>
      <w:r w:rsidRPr="009901E5">
        <w:rPr>
          <w:rFonts w:ascii="Times New Roman" w:hAnsi="Times New Roman" w:cs="Times New Roman"/>
          <w:sz w:val="24"/>
          <w:szCs w:val="24"/>
          <w:lang w:val="en-US"/>
        </w:rPr>
        <w:t>Couyoumdjian</w:t>
      </w:r>
      <w:proofErr w:type="spellEnd"/>
      <w:r w:rsidRPr="009901E5">
        <w:rPr>
          <w:rFonts w:ascii="Times New Roman" w:hAnsi="Times New Roman" w:cs="Times New Roman"/>
          <w:sz w:val="24"/>
          <w:szCs w:val="24"/>
          <w:lang w:val="en-US"/>
        </w:rPr>
        <w:t xml:space="preserve">, A. (2015). Cognitive rigidity is mirrored by autonomic inflexibility in daily life perseverative cognition. </w:t>
      </w:r>
      <w:r w:rsidRPr="009901E5">
        <w:rPr>
          <w:rFonts w:ascii="Times New Roman" w:hAnsi="Times New Roman" w:cs="Times New Roman"/>
          <w:i/>
          <w:sz w:val="24"/>
          <w:szCs w:val="24"/>
          <w:lang w:val="en-US"/>
        </w:rPr>
        <w:t>Biological Psychology, 107</w:t>
      </w:r>
      <w:r w:rsidRPr="009901E5">
        <w:rPr>
          <w:rFonts w:ascii="Times New Roman" w:hAnsi="Times New Roman" w:cs="Times New Roman"/>
          <w:sz w:val="24"/>
          <w:szCs w:val="24"/>
          <w:lang w:val="en-US"/>
        </w:rPr>
        <w:t xml:space="preserve">, 24–30. </w:t>
      </w:r>
      <w:hyperlink r:id="rId5" w:history="1">
        <w:r w:rsidR="005206E5" w:rsidRPr="009901E5">
          <w:rPr>
            <w:rStyle w:val="Hipervnculo"/>
            <w:rFonts w:ascii="Times New Roman" w:hAnsi="Times New Roman" w:cs="Times New Roman"/>
            <w:sz w:val="24"/>
            <w:szCs w:val="24"/>
            <w:lang w:val="en-US"/>
          </w:rPr>
          <w:t>https://doi.org/10.1016/j.biopsycho.2015.02.011</w:t>
        </w:r>
      </w:hyperlink>
      <w:r w:rsidR="005206E5" w:rsidRPr="009901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5A1388" w:rsidRPr="009901E5" w:rsidRDefault="005A1388" w:rsidP="00D1252D">
      <w:pPr>
        <w:spacing w:after="0" w:line="480" w:lineRule="auto"/>
        <w:ind w:left="709" w:hanging="709"/>
        <w:rPr>
          <w:rStyle w:val="mixed-citation"/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901E5">
        <w:rPr>
          <w:rStyle w:val="mixed-citation"/>
          <w:rFonts w:ascii="Times New Roman" w:hAnsi="Times New Roman" w:cs="Times New Roman"/>
          <w:sz w:val="24"/>
          <w:szCs w:val="24"/>
          <w:lang w:val="en-US"/>
        </w:rPr>
        <w:t>Rohland</w:t>
      </w:r>
      <w:proofErr w:type="spellEnd"/>
      <w:r w:rsidRPr="009901E5">
        <w:rPr>
          <w:rStyle w:val="mixed-citation"/>
          <w:rFonts w:ascii="Times New Roman" w:hAnsi="Times New Roman" w:cs="Times New Roman"/>
          <w:sz w:val="24"/>
          <w:szCs w:val="24"/>
          <w:lang w:val="en-US"/>
        </w:rPr>
        <w:t xml:space="preserve">, B., Kruse, G. &amp; Rohrer J. (2004). Validation of a single-item measure of burnout against the Maslach Burnout Inventory among physicians. </w:t>
      </w:r>
      <w:r w:rsidRPr="009901E5">
        <w:rPr>
          <w:rStyle w:val="mixed-citation"/>
          <w:rFonts w:ascii="Times New Roman" w:hAnsi="Times New Roman" w:cs="Times New Roman"/>
          <w:i/>
          <w:sz w:val="24"/>
          <w:szCs w:val="24"/>
          <w:lang w:val="en-US"/>
        </w:rPr>
        <w:t>Stress Health, 20</w:t>
      </w:r>
      <w:r w:rsidRPr="009901E5">
        <w:rPr>
          <w:rStyle w:val="mixed-citation"/>
          <w:rFonts w:ascii="Times New Roman" w:hAnsi="Times New Roman" w:cs="Times New Roman"/>
          <w:sz w:val="24"/>
          <w:szCs w:val="24"/>
          <w:lang w:val="en-US"/>
        </w:rPr>
        <w:t>(2), 75–79.</w:t>
      </w:r>
      <w:r w:rsidR="005206E5" w:rsidRPr="009901E5">
        <w:rPr>
          <w:rStyle w:val="mixed-citation"/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6" w:history="1">
        <w:r w:rsidR="005206E5" w:rsidRPr="00CD42BF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 xml:space="preserve">https://doi.org/10.1002/smi.1002 </w:t>
        </w:r>
      </w:hyperlink>
    </w:p>
    <w:p w:rsidR="005A1388" w:rsidRPr="009901E5" w:rsidRDefault="005A1388" w:rsidP="00D1252D">
      <w:pPr>
        <w:spacing w:after="0" w:line="480" w:lineRule="auto"/>
        <w:ind w:left="709" w:hanging="709"/>
        <w:rPr>
          <w:rStyle w:val="mixed-citation"/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901E5">
        <w:rPr>
          <w:rStyle w:val="mixed-citation"/>
          <w:rFonts w:ascii="Times New Roman" w:hAnsi="Times New Roman" w:cs="Times New Roman"/>
          <w:sz w:val="24"/>
          <w:szCs w:val="24"/>
          <w:lang w:val="en-US"/>
        </w:rPr>
        <w:t>Schmoldt</w:t>
      </w:r>
      <w:proofErr w:type="spellEnd"/>
      <w:r w:rsidRPr="009901E5">
        <w:rPr>
          <w:rStyle w:val="mixed-citation"/>
          <w:rFonts w:ascii="Times New Roman" w:hAnsi="Times New Roman" w:cs="Times New Roman"/>
          <w:sz w:val="24"/>
          <w:szCs w:val="24"/>
          <w:lang w:val="en-US"/>
        </w:rPr>
        <w:t xml:space="preserve">, R. A., Freeborn, D. K. &amp; </w:t>
      </w:r>
      <w:proofErr w:type="spellStart"/>
      <w:r w:rsidRPr="009901E5">
        <w:rPr>
          <w:rStyle w:val="mixed-citation"/>
          <w:rFonts w:ascii="Times New Roman" w:hAnsi="Times New Roman" w:cs="Times New Roman"/>
          <w:sz w:val="24"/>
          <w:szCs w:val="24"/>
          <w:lang w:val="en-US"/>
        </w:rPr>
        <w:t>Klevit</w:t>
      </w:r>
      <w:proofErr w:type="spellEnd"/>
      <w:r w:rsidRPr="009901E5">
        <w:rPr>
          <w:rStyle w:val="mixed-citation"/>
          <w:rFonts w:ascii="Times New Roman" w:hAnsi="Times New Roman" w:cs="Times New Roman"/>
          <w:sz w:val="24"/>
          <w:szCs w:val="24"/>
          <w:lang w:val="en-US"/>
        </w:rPr>
        <w:t xml:space="preserve">, H. D. (1994). Physician burnout: Recommendations for HMO managers. </w:t>
      </w:r>
      <w:r w:rsidRPr="009901E5">
        <w:rPr>
          <w:rStyle w:val="mixed-citation"/>
          <w:rFonts w:ascii="Times New Roman" w:hAnsi="Times New Roman" w:cs="Times New Roman"/>
          <w:i/>
          <w:sz w:val="24"/>
          <w:szCs w:val="24"/>
          <w:lang w:val="en-US"/>
        </w:rPr>
        <w:t>HMO Practice/HMO Group, 8</w:t>
      </w:r>
      <w:r w:rsidRPr="009901E5">
        <w:rPr>
          <w:rStyle w:val="mixed-citation"/>
          <w:rFonts w:ascii="Times New Roman" w:hAnsi="Times New Roman" w:cs="Times New Roman"/>
          <w:sz w:val="24"/>
          <w:szCs w:val="24"/>
          <w:lang w:val="en-US"/>
        </w:rPr>
        <w:t>, 58-63.</w:t>
      </w:r>
    </w:p>
    <w:p w:rsidR="005A1388" w:rsidRPr="009901E5" w:rsidRDefault="005A1388" w:rsidP="00D1252D">
      <w:pPr>
        <w:spacing w:after="0" w:line="480" w:lineRule="auto"/>
        <w:ind w:left="709" w:hanging="709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proofErr w:type="spellStart"/>
      <w:r w:rsidRPr="009901E5">
        <w:rPr>
          <w:rFonts w:ascii="Times New Roman" w:hAnsi="Times New Roman" w:cs="Times New Roman"/>
          <w:sz w:val="24"/>
          <w:szCs w:val="24"/>
          <w:lang w:val="en-US"/>
        </w:rPr>
        <w:lastRenderedPageBreak/>
        <w:t>Þórarinsdóttir</w:t>
      </w:r>
      <w:proofErr w:type="spellEnd"/>
      <w:r w:rsidRPr="009901E5">
        <w:rPr>
          <w:rFonts w:ascii="Times New Roman" w:hAnsi="Times New Roman" w:cs="Times New Roman"/>
          <w:sz w:val="24"/>
          <w:szCs w:val="24"/>
          <w:lang w:val="en-US"/>
        </w:rPr>
        <w:t xml:space="preserve">, H., Kessing, L.V., &amp; </w:t>
      </w:r>
      <w:proofErr w:type="spellStart"/>
      <w:r w:rsidRPr="009901E5">
        <w:rPr>
          <w:rFonts w:ascii="Times New Roman" w:hAnsi="Times New Roman" w:cs="Times New Roman"/>
          <w:sz w:val="24"/>
          <w:szCs w:val="24"/>
          <w:lang w:val="en-US"/>
        </w:rPr>
        <w:t>Faurholt</w:t>
      </w:r>
      <w:proofErr w:type="spellEnd"/>
      <w:r w:rsidRPr="009901E5">
        <w:rPr>
          <w:rFonts w:ascii="Times New Roman" w:hAnsi="Times New Roman" w:cs="Times New Roman"/>
          <w:sz w:val="24"/>
          <w:szCs w:val="24"/>
          <w:lang w:val="en-US"/>
        </w:rPr>
        <w:t xml:space="preserve">-Jepsen, M. (2017). Smartphone-based self-assessment of stress in healthy adult individuals: a systematic review. </w:t>
      </w:r>
      <w:r w:rsidRPr="009901E5">
        <w:rPr>
          <w:rFonts w:ascii="Times New Roman" w:eastAsia="TimesNewRomanPSMT" w:hAnsi="Times New Roman" w:cs="Times New Roman"/>
          <w:sz w:val="24"/>
          <w:szCs w:val="24"/>
          <w:lang w:val="en-US"/>
        </w:rPr>
        <w:t>J</w:t>
      </w:r>
      <w:r w:rsidRPr="009901E5">
        <w:rPr>
          <w:rFonts w:ascii="Times New Roman" w:eastAsia="TimesNewRomanPSMT" w:hAnsi="Times New Roman" w:cs="Times New Roman"/>
          <w:i/>
          <w:sz w:val="24"/>
          <w:szCs w:val="24"/>
          <w:lang w:val="en-US"/>
        </w:rPr>
        <w:t>ournal of Medical Internet Research, 19</w:t>
      </w:r>
      <w:r w:rsidRPr="009901E5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(2), e41. Disponible </w:t>
      </w:r>
      <w:proofErr w:type="spellStart"/>
      <w:r w:rsidRPr="009901E5">
        <w:rPr>
          <w:rFonts w:ascii="Times New Roman" w:eastAsia="TimesNewRomanPSMT" w:hAnsi="Times New Roman" w:cs="Times New Roman"/>
          <w:sz w:val="24"/>
          <w:szCs w:val="24"/>
          <w:lang w:val="en-US"/>
        </w:rPr>
        <w:t>en</w:t>
      </w:r>
      <w:proofErr w:type="spellEnd"/>
      <w:r w:rsidRPr="009901E5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: </w:t>
      </w:r>
      <w:hyperlink r:id="rId7" w:history="1">
        <w:r w:rsidRPr="009901E5">
          <w:rPr>
            <w:rStyle w:val="Hipervnculo"/>
            <w:rFonts w:ascii="Times New Roman" w:eastAsia="TimesNewRomanPSMT" w:hAnsi="Times New Roman" w:cs="Times New Roman"/>
            <w:sz w:val="24"/>
            <w:szCs w:val="24"/>
            <w:lang w:val="en-US"/>
          </w:rPr>
          <w:t>http://www.jmir.org/article/viewFile/jmir_v19i2e41/2</w:t>
        </w:r>
      </w:hyperlink>
      <w:r w:rsidRPr="009901E5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</w:p>
    <w:p w:rsidR="005A1388" w:rsidRPr="009901E5" w:rsidRDefault="005A1388" w:rsidP="00D1252D">
      <w:pPr>
        <w:spacing w:after="0" w:line="480" w:lineRule="auto"/>
        <w:ind w:left="709" w:hanging="709"/>
        <w:rPr>
          <w:rStyle w:val="mixed-citation"/>
          <w:rFonts w:ascii="Times New Roman" w:hAnsi="Times New Roman" w:cs="Times New Roman"/>
          <w:sz w:val="24"/>
          <w:szCs w:val="24"/>
          <w:lang w:val="en-US"/>
        </w:rPr>
      </w:pPr>
      <w:r w:rsidRPr="009901E5">
        <w:rPr>
          <w:rStyle w:val="mixed-citation"/>
          <w:rFonts w:ascii="Times New Roman" w:hAnsi="Times New Roman" w:cs="Times New Roman"/>
          <w:sz w:val="24"/>
          <w:szCs w:val="24"/>
          <w:lang w:val="en-US"/>
        </w:rPr>
        <w:t xml:space="preserve">West, C. P, </w:t>
      </w:r>
      <w:proofErr w:type="spellStart"/>
      <w:r w:rsidRPr="009901E5">
        <w:rPr>
          <w:rStyle w:val="mixed-citation"/>
          <w:rFonts w:ascii="Times New Roman" w:hAnsi="Times New Roman" w:cs="Times New Roman"/>
          <w:sz w:val="24"/>
          <w:szCs w:val="24"/>
          <w:lang w:val="en-US"/>
        </w:rPr>
        <w:t>Dyrbye</w:t>
      </w:r>
      <w:proofErr w:type="spellEnd"/>
      <w:r w:rsidRPr="009901E5">
        <w:rPr>
          <w:rStyle w:val="mixed-citation"/>
          <w:rFonts w:ascii="Times New Roman" w:hAnsi="Times New Roman" w:cs="Times New Roman"/>
          <w:sz w:val="24"/>
          <w:szCs w:val="24"/>
          <w:lang w:val="en-US"/>
        </w:rPr>
        <w:t xml:space="preserve">, L. N, Sloan, J. A. &amp; </w:t>
      </w:r>
      <w:proofErr w:type="spellStart"/>
      <w:r w:rsidRPr="009901E5">
        <w:rPr>
          <w:rStyle w:val="mixed-citation"/>
          <w:rFonts w:ascii="Times New Roman" w:hAnsi="Times New Roman" w:cs="Times New Roman"/>
          <w:sz w:val="24"/>
          <w:szCs w:val="24"/>
          <w:lang w:val="en-US"/>
        </w:rPr>
        <w:t>Shanafelt</w:t>
      </w:r>
      <w:proofErr w:type="spellEnd"/>
      <w:r w:rsidRPr="009901E5">
        <w:rPr>
          <w:rStyle w:val="mixed-citation"/>
          <w:rFonts w:ascii="Times New Roman" w:hAnsi="Times New Roman" w:cs="Times New Roman"/>
          <w:sz w:val="24"/>
          <w:szCs w:val="24"/>
          <w:lang w:val="en-US"/>
        </w:rPr>
        <w:t xml:space="preserve">, T. D. (2009). Single item measures of emotional exhaustion and depersonalization are useful for assessing burnout in medical professionals. </w:t>
      </w:r>
      <w:r w:rsidRPr="009901E5">
        <w:rPr>
          <w:rStyle w:val="mixed-citation"/>
          <w:rFonts w:ascii="Times New Roman" w:hAnsi="Times New Roman" w:cs="Times New Roman"/>
          <w:i/>
          <w:sz w:val="24"/>
          <w:szCs w:val="24"/>
          <w:lang w:val="en-US"/>
        </w:rPr>
        <w:t>Journal of General Internal Medicine, 24</w:t>
      </w:r>
      <w:r w:rsidRPr="009901E5">
        <w:rPr>
          <w:rStyle w:val="mixed-citation"/>
          <w:rFonts w:ascii="Times New Roman" w:hAnsi="Times New Roman" w:cs="Times New Roman"/>
          <w:sz w:val="24"/>
          <w:szCs w:val="24"/>
          <w:lang w:val="en-US"/>
        </w:rPr>
        <w:t>, 1318–1321.</w:t>
      </w:r>
      <w:r w:rsidR="005206E5" w:rsidRPr="009901E5">
        <w:rPr>
          <w:rStyle w:val="mixed-citation"/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8" w:history="1">
        <w:r w:rsidR="005206E5" w:rsidRPr="00CD42BF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 xml:space="preserve">https://doi.org/10.1007/s11606-009-1129-z </w:t>
        </w:r>
      </w:hyperlink>
    </w:p>
    <w:p w:rsidR="005A1388" w:rsidRPr="009901E5" w:rsidRDefault="005A1388" w:rsidP="00D1252D">
      <w:pPr>
        <w:spacing w:after="0" w:line="480" w:lineRule="auto"/>
        <w:ind w:left="709" w:hanging="709"/>
        <w:rPr>
          <w:rStyle w:val="mixed-citation"/>
          <w:rFonts w:ascii="Times New Roman" w:hAnsi="Times New Roman" w:cs="Times New Roman"/>
          <w:sz w:val="24"/>
          <w:szCs w:val="24"/>
          <w:lang w:val="en-US"/>
        </w:rPr>
      </w:pPr>
      <w:r w:rsidRPr="009901E5">
        <w:rPr>
          <w:rStyle w:val="mixed-citation"/>
          <w:rFonts w:ascii="Times New Roman" w:hAnsi="Times New Roman" w:cs="Times New Roman"/>
          <w:sz w:val="24"/>
          <w:szCs w:val="24"/>
          <w:lang w:val="en-US"/>
        </w:rPr>
        <w:t xml:space="preserve">West, C. P., </w:t>
      </w:r>
      <w:proofErr w:type="spellStart"/>
      <w:r w:rsidRPr="009901E5">
        <w:rPr>
          <w:rStyle w:val="mixed-citation"/>
          <w:rFonts w:ascii="Times New Roman" w:hAnsi="Times New Roman" w:cs="Times New Roman"/>
          <w:sz w:val="24"/>
          <w:szCs w:val="24"/>
          <w:lang w:val="en-US"/>
        </w:rPr>
        <w:t>Dyrbye</w:t>
      </w:r>
      <w:proofErr w:type="spellEnd"/>
      <w:r w:rsidRPr="009901E5">
        <w:rPr>
          <w:rStyle w:val="mixed-citation"/>
          <w:rFonts w:ascii="Times New Roman" w:hAnsi="Times New Roman" w:cs="Times New Roman"/>
          <w:sz w:val="24"/>
          <w:szCs w:val="24"/>
          <w:lang w:val="en-US"/>
        </w:rPr>
        <w:t xml:space="preserve">, L. N., </w:t>
      </w:r>
      <w:proofErr w:type="spellStart"/>
      <w:r w:rsidRPr="009901E5">
        <w:rPr>
          <w:rStyle w:val="mixed-citation"/>
          <w:rFonts w:ascii="Times New Roman" w:hAnsi="Times New Roman" w:cs="Times New Roman"/>
          <w:sz w:val="24"/>
          <w:szCs w:val="24"/>
          <w:lang w:val="en-US"/>
        </w:rPr>
        <w:t>Satele</w:t>
      </w:r>
      <w:proofErr w:type="spellEnd"/>
      <w:r w:rsidRPr="009901E5">
        <w:rPr>
          <w:rStyle w:val="mixed-citation"/>
          <w:rFonts w:ascii="Times New Roman" w:hAnsi="Times New Roman" w:cs="Times New Roman"/>
          <w:sz w:val="24"/>
          <w:szCs w:val="24"/>
          <w:lang w:val="en-US"/>
        </w:rPr>
        <w:t xml:space="preserve">, D. V., Sloan, J. A. &amp; </w:t>
      </w:r>
      <w:proofErr w:type="spellStart"/>
      <w:r w:rsidRPr="009901E5">
        <w:rPr>
          <w:rStyle w:val="mixed-citation"/>
          <w:rFonts w:ascii="Times New Roman" w:hAnsi="Times New Roman" w:cs="Times New Roman"/>
          <w:sz w:val="24"/>
          <w:szCs w:val="24"/>
          <w:lang w:val="en-US"/>
        </w:rPr>
        <w:t>Shanafelt</w:t>
      </w:r>
      <w:proofErr w:type="spellEnd"/>
      <w:r w:rsidRPr="009901E5">
        <w:rPr>
          <w:rStyle w:val="mixed-citation"/>
          <w:rFonts w:ascii="Times New Roman" w:hAnsi="Times New Roman" w:cs="Times New Roman"/>
          <w:sz w:val="24"/>
          <w:szCs w:val="24"/>
          <w:lang w:val="en-US"/>
        </w:rPr>
        <w:t xml:space="preserve">, T. D. (2012). Concurrent validity of single-item measures of emotional exhaustion and depersonalization in burnout assessment. </w:t>
      </w:r>
      <w:r w:rsidRPr="009901E5">
        <w:rPr>
          <w:rStyle w:val="mixed-citation"/>
          <w:rFonts w:ascii="Times New Roman" w:hAnsi="Times New Roman" w:cs="Times New Roman"/>
          <w:i/>
          <w:sz w:val="24"/>
          <w:szCs w:val="24"/>
          <w:lang w:val="en-US"/>
        </w:rPr>
        <w:t>Journal of General Internal Medicine, 27</w:t>
      </w:r>
      <w:r w:rsidRPr="009901E5">
        <w:rPr>
          <w:rStyle w:val="mixed-citation"/>
          <w:rFonts w:ascii="Times New Roman" w:hAnsi="Times New Roman" w:cs="Times New Roman"/>
          <w:sz w:val="24"/>
          <w:szCs w:val="24"/>
          <w:lang w:val="en-US"/>
        </w:rPr>
        <w:t>(11), 1445-1452.</w:t>
      </w:r>
      <w:r w:rsidR="004625F0" w:rsidRPr="009901E5">
        <w:rPr>
          <w:rStyle w:val="mixed-citation"/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9" w:history="1">
        <w:r w:rsidR="004625F0" w:rsidRPr="00CD42BF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 xml:space="preserve">https://doi.org/10.1007/s11606-012-2015-7 </w:t>
        </w:r>
      </w:hyperlink>
    </w:p>
    <w:p w:rsidR="005A1388" w:rsidRPr="009901E5" w:rsidRDefault="005A1388" w:rsidP="00D1252D">
      <w:pPr>
        <w:spacing w:after="0" w:line="480" w:lineRule="auto"/>
        <w:ind w:left="709" w:hanging="709"/>
        <w:rPr>
          <w:rFonts w:ascii="Times New Roman" w:hAnsi="Times New Roman" w:cs="Times New Roman"/>
          <w:sz w:val="24"/>
          <w:szCs w:val="24"/>
          <w:lang w:val="es-PE"/>
        </w:rPr>
      </w:pPr>
      <w:proofErr w:type="spellStart"/>
      <w:r w:rsidRPr="009901E5">
        <w:rPr>
          <w:rFonts w:ascii="Times New Roman" w:hAnsi="Times New Roman" w:cs="Times New Roman"/>
          <w:sz w:val="24"/>
          <w:szCs w:val="24"/>
          <w:lang w:val="en-US"/>
        </w:rPr>
        <w:t>Zenk</w:t>
      </w:r>
      <w:proofErr w:type="spellEnd"/>
      <w:r w:rsidRPr="009901E5">
        <w:rPr>
          <w:rFonts w:ascii="Times New Roman" w:hAnsi="Times New Roman" w:cs="Times New Roman"/>
          <w:sz w:val="24"/>
          <w:szCs w:val="24"/>
          <w:lang w:val="en-US"/>
        </w:rPr>
        <w:t xml:space="preserve">, S. N., </w:t>
      </w:r>
      <w:proofErr w:type="spellStart"/>
      <w:r w:rsidRPr="009901E5">
        <w:rPr>
          <w:rFonts w:ascii="Times New Roman" w:hAnsi="Times New Roman" w:cs="Times New Roman"/>
          <w:sz w:val="24"/>
          <w:szCs w:val="24"/>
          <w:lang w:val="en-US"/>
        </w:rPr>
        <w:t>Horoi</w:t>
      </w:r>
      <w:proofErr w:type="spellEnd"/>
      <w:r w:rsidRPr="009901E5">
        <w:rPr>
          <w:rFonts w:ascii="Times New Roman" w:hAnsi="Times New Roman" w:cs="Times New Roman"/>
          <w:sz w:val="24"/>
          <w:szCs w:val="24"/>
          <w:lang w:val="en-US"/>
        </w:rPr>
        <w:t xml:space="preserve">, I., McDonald, A., Corte, C., Riley, B., &amp; </w:t>
      </w:r>
      <w:proofErr w:type="spellStart"/>
      <w:r w:rsidRPr="009901E5">
        <w:rPr>
          <w:rFonts w:ascii="Times New Roman" w:hAnsi="Times New Roman" w:cs="Times New Roman"/>
          <w:sz w:val="24"/>
          <w:szCs w:val="24"/>
          <w:lang w:val="en-US"/>
        </w:rPr>
        <w:t>Odoms</w:t>
      </w:r>
      <w:proofErr w:type="spellEnd"/>
      <w:r w:rsidRPr="009901E5">
        <w:rPr>
          <w:rFonts w:ascii="Times New Roman" w:hAnsi="Times New Roman" w:cs="Times New Roman"/>
          <w:sz w:val="24"/>
          <w:szCs w:val="24"/>
          <w:lang w:val="en-US"/>
        </w:rPr>
        <w:t xml:space="preserve">-Young, A. M. (2014). Ecological momentary assessment of environmental and personal factors and snack food intake in African American women. </w:t>
      </w:r>
      <w:proofErr w:type="spellStart"/>
      <w:r w:rsidRPr="009901E5">
        <w:rPr>
          <w:rFonts w:ascii="Times New Roman" w:hAnsi="Times New Roman" w:cs="Times New Roman"/>
          <w:i/>
          <w:sz w:val="24"/>
          <w:szCs w:val="24"/>
          <w:lang w:val="es-PE"/>
        </w:rPr>
        <w:t>Appetite</w:t>
      </w:r>
      <w:proofErr w:type="spellEnd"/>
      <w:r w:rsidRPr="009901E5">
        <w:rPr>
          <w:rFonts w:ascii="Times New Roman" w:hAnsi="Times New Roman" w:cs="Times New Roman"/>
          <w:i/>
          <w:sz w:val="24"/>
          <w:szCs w:val="24"/>
          <w:lang w:val="es-PE"/>
        </w:rPr>
        <w:t>, 83</w:t>
      </w:r>
      <w:r w:rsidRPr="009901E5">
        <w:rPr>
          <w:rFonts w:ascii="Times New Roman" w:hAnsi="Times New Roman" w:cs="Times New Roman"/>
          <w:sz w:val="24"/>
          <w:szCs w:val="24"/>
          <w:lang w:val="es-PE"/>
        </w:rPr>
        <w:t xml:space="preserve">, 333–341. </w:t>
      </w:r>
      <w:hyperlink r:id="rId10" w:history="1">
        <w:r w:rsidR="004625F0" w:rsidRPr="009901E5">
          <w:rPr>
            <w:rStyle w:val="Hipervnculo"/>
            <w:rFonts w:ascii="Times New Roman" w:hAnsi="Times New Roman" w:cs="Times New Roman"/>
            <w:sz w:val="24"/>
            <w:szCs w:val="24"/>
            <w:lang w:val="es-PE"/>
          </w:rPr>
          <w:t>https://doi.org/10.1016/j.appet.2014.09.008</w:t>
        </w:r>
      </w:hyperlink>
      <w:r w:rsidR="004625F0" w:rsidRPr="009901E5">
        <w:rPr>
          <w:rFonts w:ascii="Times New Roman" w:hAnsi="Times New Roman" w:cs="Times New Roman"/>
          <w:sz w:val="24"/>
          <w:szCs w:val="24"/>
          <w:lang w:val="es-PE"/>
        </w:rPr>
        <w:t xml:space="preserve"> </w:t>
      </w:r>
    </w:p>
    <w:p w:rsidR="00D81CBC" w:rsidRPr="00B36ACD" w:rsidRDefault="00D81CBC" w:rsidP="00777196">
      <w:pPr>
        <w:spacing w:after="0" w:line="480" w:lineRule="auto"/>
        <w:ind w:left="709" w:hanging="709"/>
        <w:rPr>
          <w:rStyle w:val="mixed-citation"/>
          <w:rFonts w:ascii="Times New Roman" w:hAnsi="Times New Roman" w:cs="Times New Roman"/>
          <w:sz w:val="24"/>
          <w:szCs w:val="24"/>
          <w:lang w:val="es-PE"/>
        </w:rPr>
      </w:pPr>
    </w:p>
    <w:sectPr w:rsidR="00D81CBC" w:rsidRPr="00B36ACD" w:rsidSect="004C35E2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MS Minch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activeWritingStyle w:appName="MSWord" w:lang="pt-BR" w:vendorID="64" w:dllVersion="6" w:nlCheck="1" w:checkStyle="0"/>
  <w:activeWritingStyle w:appName="MSWord" w:lang="es-ES" w:vendorID="64" w:dllVersion="6" w:nlCheck="1" w:checkStyle="1"/>
  <w:activeWritingStyle w:appName="MSWord" w:lang="en-US" w:vendorID="64" w:dllVersion="6" w:nlCheck="1" w:checkStyle="1"/>
  <w:activeWritingStyle w:appName="MSWord" w:lang="es-PE" w:vendorID="64" w:dllVersion="6" w:nlCheck="1" w:checkStyle="1"/>
  <w:activeWritingStyle w:appName="MSWord" w:lang="es-ES_tradnl" w:vendorID="64" w:dllVersion="6" w:nlCheck="1" w:checkStyle="1"/>
  <w:activeWritingStyle w:appName="MSWord" w:lang="es-PE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s-ES_tradnl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33E2"/>
    <w:rsid w:val="0002039F"/>
    <w:rsid w:val="0003433D"/>
    <w:rsid w:val="00057D4B"/>
    <w:rsid w:val="00091848"/>
    <w:rsid w:val="000B31F0"/>
    <w:rsid w:val="000C345E"/>
    <w:rsid w:val="000D5E8E"/>
    <w:rsid w:val="000E10BA"/>
    <w:rsid w:val="000E3030"/>
    <w:rsid w:val="000E4695"/>
    <w:rsid w:val="001011D2"/>
    <w:rsid w:val="00104509"/>
    <w:rsid w:val="00105A17"/>
    <w:rsid w:val="001109E3"/>
    <w:rsid w:val="001111D5"/>
    <w:rsid w:val="00136357"/>
    <w:rsid w:val="001405B1"/>
    <w:rsid w:val="001413BF"/>
    <w:rsid w:val="00145237"/>
    <w:rsid w:val="00146216"/>
    <w:rsid w:val="001808EF"/>
    <w:rsid w:val="001A69E6"/>
    <w:rsid w:val="001C47AE"/>
    <w:rsid w:val="001E0AF5"/>
    <w:rsid w:val="00207BC9"/>
    <w:rsid w:val="00214A64"/>
    <w:rsid w:val="00222889"/>
    <w:rsid w:val="00224AD0"/>
    <w:rsid w:val="00235491"/>
    <w:rsid w:val="002522D9"/>
    <w:rsid w:val="00253B94"/>
    <w:rsid w:val="002559E9"/>
    <w:rsid w:val="0027428B"/>
    <w:rsid w:val="00277A3A"/>
    <w:rsid w:val="00285C8C"/>
    <w:rsid w:val="002944F6"/>
    <w:rsid w:val="002949BE"/>
    <w:rsid w:val="002D39B1"/>
    <w:rsid w:val="002E4E76"/>
    <w:rsid w:val="002F4005"/>
    <w:rsid w:val="0030658C"/>
    <w:rsid w:val="0033004C"/>
    <w:rsid w:val="0033742B"/>
    <w:rsid w:val="00341C8A"/>
    <w:rsid w:val="003739DD"/>
    <w:rsid w:val="00380B7A"/>
    <w:rsid w:val="003B29F3"/>
    <w:rsid w:val="003C1657"/>
    <w:rsid w:val="003D4B09"/>
    <w:rsid w:val="003F7E1C"/>
    <w:rsid w:val="00437F8D"/>
    <w:rsid w:val="00451B02"/>
    <w:rsid w:val="00451F8B"/>
    <w:rsid w:val="004625F0"/>
    <w:rsid w:val="00494B79"/>
    <w:rsid w:val="004C02DB"/>
    <w:rsid w:val="004C35E2"/>
    <w:rsid w:val="004E40F3"/>
    <w:rsid w:val="004E5003"/>
    <w:rsid w:val="004F1ECC"/>
    <w:rsid w:val="00501E87"/>
    <w:rsid w:val="005057E9"/>
    <w:rsid w:val="005206E5"/>
    <w:rsid w:val="005318DB"/>
    <w:rsid w:val="00580C62"/>
    <w:rsid w:val="00596D8A"/>
    <w:rsid w:val="005A1388"/>
    <w:rsid w:val="005B4727"/>
    <w:rsid w:val="005B6E00"/>
    <w:rsid w:val="005B7DF6"/>
    <w:rsid w:val="005D1A72"/>
    <w:rsid w:val="005D4E33"/>
    <w:rsid w:val="005D7223"/>
    <w:rsid w:val="005E5FF9"/>
    <w:rsid w:val="005F5B1C"/>
    <w:rsid w:val="005F7596"/>
    <w:rsid w:val="006460BF"/>
    <w:rsid w:val="0065040D"/>
    <w:rsid w:val="00664DFB"/>
    <w:rsid w:val="00674629"/>
    <w:rsid w:val="00675147"/>
    <w:rsid w:val="00694ADE"/>
    <w:rsid w:val="006A18AE"/>
    <w:rsid w:val="006A4FFD"/>
    <w:rsid w:val="006B7749"/>
    <w:rsid w:val="006D31A2"/>
    <w:rsid w:val="006E2C56"/>
    <w:rsid w:val="006E48A9"/>
    <w:rsid w:val="007060EF"/>
    <w:rsid w:val="007131EF"/>
    <w:rsid w:val="00721237"/>
    <w:rsid w:val="00777196"/>
    <w:rsid w:val="007C44A9"/>
    <w:rsid w:val="007C4D5D"/>
    <w:rsid w:val="007D493E"/>
    <w:rsid w:val="007D4D64"/>
    <w:rsid w:val="007F5111"/>
    <w:rsid w:val="00803DD2"/>
    <w:rsid w:val="00812B56"/>
    <w:rsid w:val="00836AC9"/>
    <w:rsid w:val="0084259C"/>
    <w:rsid w:val="008722C6"/>
    <w:rsid w:val="008867E4"/>
    <w:rsid w:val="00895D97"/>
    <w:rsid w:val="008A47C0"/>
    <w:rsid w:val="008C3967"/>
    <w:rsid w:val="008C3B11"/>
    <w:rsid w:val="008C63DB"/>
    <w:rsid w:val="008F17D0"/>
    <w:rsid w:val="008F28FB"/>
    <w:rsid w:val="008F6861"/>
    <w:rsid w:val="00922947"/>
    <w:rsid w:val="0094355A"/>
    <w:rsid w:val="00943C9D"/>
    <w:rsid w:val="009544C9"/>
    <w:rsid w:val="0097517F"/>
    <w:rsid w:val="00983031"/>
    <w:rsid w:val="009901E5"/>
    <w:rsid w:val="009A1B3F"/>
    <w:rsid w:val="009A2515"/>
    <w:rsid w:val="009D430A"/>
    <w:rsid w:val="009D4D75"/>
    <w:rsid w:val="009E06D4"/>
    <w:rsid w:val="00A90914"/>
    <w:rsid w:val="00A90BF4"/>
    <w:rsid w:val="00AA5328"/>
    <w:rsid w:val="00AA74C9"/>
    <w:rsid w:val="00AC136E"/>
    <w:rsid w:val="00AF3929"/>
    <w:rsid w:val="00B353F5"/>
    <w:rsid w:val="00B36ACD"/>
    <w:rsid w:val="00B4493E"/>
    <w:rsid w:val="00B4521D"/>
    <w:rsid w:val="00B57011"/>
    <w:rsid w:val="00B73AEC"/>
    <w:rsid w:val="00B771D5"/>
    <w:rsid w:val="00B851CB"/>
    <w:rsid w:val="00BA3209"/>
    <w:rsid w:val="00BA7E6E"/>
    <w:rsid w:val="00BB19E9"/>
    <w:rsid w:val="00BF06FA"/>
    <w:rsid w:val="00BF16F1"/>
    <w:rsid w:val="00BF40EA"/>
    <w:rsid w:val="00C01A16"/>
    <w:rsid w:val="00C022CD"/>
    <w:rsid w:val="00C11EF2"/>
    <w:rsid w:val="00C1708C"/>
    <w:rsid w:val="00C50AE1"/>
    <w:rsid w:val="00C63735"/>
    <w:rsid w:val="00C66E04"/>
    <w:rsid w:val="00C75E51"/>
    <w:rsid w:val="00C92ABB"/>
    <w:rsid w:val="00C93F56"/>
    <w:rsid w:val="00CA160B"/>
    <w:rsid w:val="00CA77B4"/>
    <w:rsid w:val="00CB3F01"/>
    <w:rsid w:val="00CD42BF"/>
    <w:rsid w:val="00CE75C9"/>
    <w:rsid w:val="00CF56A7"/>
    <w:rsid w:val="00D1252D"/>
    <w:rsid w:val="00D12AEB"/>
    <w:rsid w:val="00D672C4"/>
    <w:rsid w:val="00D7435F"/>
    <w:rsid w:val="00D77C7B"/>
    <w:rsid w:val="00D81CBC"/>
    <w:rsid w:val="00DA6505"/>
    <w:rsid w:val="00DB5827"/>
    <w:rsid w:val="00DB625F"/>
    <w:rsid w:val="00DD0563"/>
    <w:rsid w:val="00DE62AA"/>
    <w:rsid w:val="00DE77E9"/>
    <w:rsid w:val="00DF0A91"/>
    <w:rsid w:val="00DF62AB"/>
    <w:rsid w:val="00E10C15"/>
    <w:rsid w:val="00E21AE1"/>
    <w:rsid w:val="00E311BF"/>
    <w:rsid w:val="00E42191"/>
    <w:rsid w:val="00E64294"/>
    <w:rsid w:val="00E804B2"/>
    <w:rsid w:val="00E93597"/>
    <w:rsid w:val="00E96C01"/>
    <w:rsid w:val="00EA0A09"/>
    <w:rsid w:val="00EB0C42"/>
    <w:rsid w:val="00EC3C83"/>
    <w:rsid w:val="00EF36F7"/>
    <w:rsid w:val="00F15F2A"/>
    <w:rsid w:val="00F333E2"/>
    <w:rsid w:val="00F33AC4"/>
    <w:rsid w:val="00F46A21"/>
    <w:rsid w:val="00F52935"/>
    <w:rsid w:val="00F52FEE"/>
    <w:rsid w:val="00F633EF"/>
    <w:rsid w:val="00FA2A70"/>
    <w:rsid w:val="00FA4A40"/>
    <w:rsid w:val="00FB07F3"/>
    <w:rsid w:val="00FC494A"/>
    <w:rsid w:val="00FD14BA"/>
    <w:rsid w:val="00FD2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D219FE"/>
  <w15:docId w15:val="{D6899697-EC49-4507-97F4-FCF31FFD3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APA">
    <w:name w:val="APA"/>
    <w:basedOn w:val="Tablanormal"/>
    <w:uiPriority w:val="99"/>
    <w:rsid w:val="007F5111"/>
    <w:pPr>
      <w:spacing w:after="0" w:line="240" w:lineRule="auto"/>
    </w:pPr>
    <w:rPr>
      <w:rFonts w:ascii="Times New Roman" w:hAnsi="Times New Roman"/>
      <w:lang w:val="es-PE"/>
    </w:rPr>
    <w:tblPr>
      <w:tblBorders>
        <w:top w:val="single" w:sz="4" w:space="0" w:color="auto"/>
        <w:bottom w:val="single" w:sz="4" w:space="0" w:color="auto"/>
      </w:tblBorders>
    </w:tblPr>
    <w:tblStylePr w:type="firstRow">
      <w:rPr>
        <w:rFonts w:ascii="Times New Roman" w:hAnsi="Times New Roman"/>
      </w:rPr>
      <w:tblPr/>
      <w:tcPr>
        <w:tcBorders>
          <w:bottom w:val="single" w:sz="4" w:space="0" w:color="auto"/>
        </w:tcBorders>
      </w:tcPr>
    </w:tblStylePr>
  </w:style>
  <w:style w:type="character" w:styleId="Hipervnculo">
    <w:name w:val="Hyperlink"/>
    <w:basedOn w:val="Fuentedeprrafopredeter"/>
    <w:uiPriority w:val="99"/>
    <w:unhideWhenUsed/>
    <w:rsid w:val="00CA77B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A77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fasis">
    <w:name w:val="Emphasis"/>
    <w:basedOn w:val="Fuentedeprrafopredeter"/>
    <w:uiPriority w:val="20"/>
    <w:qFormat/>
    <w:rsid w:val="00CA77B4"/>
    <w:rPr>
      <w:i/>
      <w:iCs/>
    </w:rPr>
  </w:style>
  <w:style w:type="character" w:customStyle="1" w:styleId="mixed-citation">
    <w:name w:val="mixed-citation"/>
    <w:basedOn w:val="Fuentedeprrafopredeter"/>
    <w:rsid w:val="00222889"/>
  </w:style>
  <w:style w:type="character" w:customStyle="1" w:styleId="ref-journal">
    <w:name w:val="ref-journal"/>
    <w:basedOn w:val="Fuentedeprrafopredeter"/>
    <w:rsid w:val="00222889"/>
  </w:style>
  <w:style w:type="table" w:styleId="Tablaconcuadrcula">
    <w:name w:val="Table Grid"/>
    <w:basedOn w:val="Tablanormal"/>
    <w:uiPriority w:val="39"/>
    <w:rsid w:val="000D5E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353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353F5"/>
    <w:rPr>
      <w:rFonts w:ascii="Tahoma" w:hAnsi="Tahoma" w:cs="Tahoma"/>
      <w:sz w:val="16"/>
      <w:szCs w:val="16"/>
    </w:rPr>
  </w:style>
  <w:style w:type="character" w:customStyle="1" w:styleId="hps">
    <w:name w:val="hps"/>
    <w:basedOn w:val="Fuentedeprrafopredeter"/>
    <w:rsid w:val="001E0A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00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0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47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46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679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944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74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417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209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8777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6350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701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45336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2260584">
                                                          <w:marLeft w:val="0"/>
                                                          <w:marRight w:val="0"/>
                                                          <w:marTop w:val="332"/>
                                                          <w:marBottom w:val="332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07/s11606-009-1129-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jmir.org/article/viewFile/jmir_v19i2e41/2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1002/smi.1002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doi.org/10.1016/j.biopsycho.2015.02.011" TargetMode="External"/><Relationship Id="rId10" Type="http://schemas.openxmlformats.org/officeDocument/2006/relationships/hyperlink" Target="https://doi.org/10.1016/j.appet.2014.09.008" TargetMode="External"/><Relationship Id="rId4" Type="http://schemas.openxmlformats.org/officeDocument/2006/relationships/hyperlink" Target="https://doi.org/10.1186/1472-6963-10-341" TargetMode="External"/><Relationship Id="rId9" Type="http://schemas.openxmlformats.org/officeDocument/2006/relationships/hyperlink" Target="https://doi.org/10.1007/s11606-012-2015-7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8</Pages>
  <Words>2273</Words>
  <Characters>12504</Characters>
  <Application>Microsoft Office Word</Application>
  <DocSecurity>0</DocSecurity>
  <Lines>104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usmp</Company>
  <LinksUpToDate>false</LinksUpToDate>
  <CharactersWithSpaces>14748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CAMS</dc:creator>
  <cp:lastModifiedBy>Cesar A</cp:lastModifiedBy>
  <cp:revision>64</cp:revision>
  <cp:lastPrinted>2014-08-12T21:20:00Z</cp:lastPrinted>
  <dcterms:created xsi:type="dcterms:W3CDTF">2014-08-13T16:11:00Z</dcterms:created>
  <dcterms:modified xsi:type="dcterms:W3CDTF">2018-06-24T22:30:00Z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