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4EFB1" w14:textId="25DF46B5" w:rsidR="00E270DD" w:rsidRPr="00CF2A1D" w:rsidRDefault="003C2047" w:rsidP="00C541BF">
      <w:pPr>
        <w:jc w:val="center"/>
        <w:rPr>
          <w:b/>
          <w:sz w:val="28"/>
          <w:szCs w:val="28"/>
        </w:rPr>
      </w:pPr>
      <w:r w:rsidRPr="00CF2A1D">
        <w:rPr>
          <w:b/>
          <w:sz w:val="28"/>
          <w:szCs w:val="28"/>
        </w:rPr>
        <w:t>O TECNOESTRESSE E A EXAUSTÃO NO TRABALHO</w:t>
      </w:r>
    </w:p>
    <w:p w14:paraId="01A84C06" w14:textId="77777777" w:rsidR="003C2047" w:rsidRDefault="003C2047" w:rsidP="00C541BF">
      <w:pPr>
        <w:jc w:val="center"/>
        <w:rPr>
          <w:b/>
        </w:rPr>
      </w:pPr>
    </w:p>
    <w:p w14:paraId="40C452D4" w14:textId="77777777" w:rsidR="001E1440" w:rsidRDefault="001E1440" w:rsidP="00E270DD">
      <w:pPr>
        <w:rPr>
          <w:i/>
        </w:rPr>
      </w:pPr>
    </w:p>
    <w:p w14:paraId="4932210F" w14:textId="77777777" w:rsidR="003C2047" w:rsidRDefault="003C2047" w:rsidP="00E270DD">
      <w:pPr>
        <w:rPr>
          <w:i/>
        </w:rPr>
      </w:pPr>
    </w:p>
    <w:p w14:paraId="3BAE4E56" w14:textId="77777777" w:rsidR="003C2047" w:rsidRDefault="003C2047" w:rsidP="003C2047">
      <w:pPr>
        <w:rPr>
          <w:b/>
        </w:rPr>
      </w:pPr>
      <w:r w:rsidRPr="00D80FEC">
        <w:rPr>
          <w:b/>
        </w:rPr>
        <w:t>RESUMO</w:t>
      </w:r>
    </w:p>
    <w:p w14:paraId="29000047" w14:textId="77777777" w:rsidR="003C2047" w:rsidRPr="00E270DD" w:rsidRDefault="003C2047" w:rsidP="003C2047">
      <w:pPr>
        <w:jc w:val="both"/>
        <w:rPr>
          <w:b/>
        </w:rPr>
      </w:pPr>
      <w:r>
        <w:t xml:space="preserve">Além dos seus benefícios à produtividade, a intensa utilização </w:t>
      </w:r>
      <w:r w:rsidRPr="00B60DD9">
        <w:t>das tecnologias no ambiente de trabalho</w:t>
      </w:r>
      <w:r>
        <w:t xml:space="preserve"> também gera </w:t>
      </w:r>
      <w:r w:rsidRPr="00B60DD9">
        <w:t xml:space="preserve">o estresse tecnológico, </w:t>
      </w:r>
      <w:r>
        <w:t xml:space="preserve">ou </w:t>
      </w:r>
      <w:proofErr w:type="spellStart"/>
      <w:r w:rsidRPr="00B60DD9">
        <w:t>tecnoestresse</w:t>
      </w:r>
      <w:proofErr w:type="spellEnd"/>
      <w:r>
        <w:t xml:space="preserve">, nos trabalhadores. O objetivo desse estudo foi analisar o </w:t>
      </w:r>
      <w:proofErr w:type="spellStart"/>
      <w:r>
        <w:t>tecnoestresse</w:t>
      </w:r>
      <w:proofErr w:type="spellEnd"/>
      <w:r>
        <w:t xml:space="preserve"> em conjunto com outros </w:t>
      </w:r>
      <w:r w:rsidRPr="00D80FEC">
        <w:t>fatores que influenciam</w:t>
      </w:r>
      <w:r>
        <w:t>, positiva e negativamente,</w:t>
      </w:r>
      <w:r w:rsidRPr="00D80FEC">
        <w:t xml:space="preserve"> a exaustão no trabalho. </w:t>
      </w:r>
      <w:r>
        <w:t xml:space="preserve">Por meio dos dados de </w:t>
      </w:r>
      <w:r w:rsidRPr="00D80FEC">
        <w:t xml:space="preserve">273 </w:t>
      </w:r>
      <w:r>
        <w:t xml:space="preserve">participantes e </w:t>
      </w:r>
      <w:r w:rsidRPr="00D80FEC">
        <w:t>análise de equações estruturais</w:t>
      </w:r>
      <w:r>
        <w:t xml:space="preserve">, confirmou-se que o </w:t>
      </w:r>
      <w:proofErr w:type="spellStart"/>
      <w:r>
        <w:t>t</w:t>
      </w:r>
      <w:r w:rsidRPr="00D80FEC">
        <w:t>ecnoestresse</w:t>
      </w:r>
      <w:proofErr w:type="spellEnd"/>
      <w:r w:rsidRPr="00D80FEC">
        <w:t xml:space="preserve"> </w:t>
      </w:r>
      <w:r>
        <w:t>ob</w:t>
      </w:r>
      <w:r w:rsidRPr="00D80FEC">
        <w:t xml:space="preserve">teve o maior efeito </w:t>
      </w:r>
      <w:r>
        <w:t xml:space="preserve">positivo sobre a </w:t>
      </w:r>
      <w:r w:rsidRPr="00D80FEC">
        <w:t>exaustão no trabalho</w:t>
      </w:r>
      <w:r>
        <w:t xml:space="preserve"> comparado aos outros fatores</w:t>
      </w:r>
      <w:r w:rsidRPr="00D80FEC">
        <w:t xml:space="preserve">.  </w:t>
      </w:r>
      <w:r>
        <w:t xml:space="preserve">Além disso, os resultados também mostraram que </w:t>
      </w:r>
      <w:r w:rsidRPr="00D80FEC">
        <w:t>o conflito de papéis</w:t>
      </w:r>
      <w:r>
        <w:t xml:space="preserve"> tem um efeito positivo ao cansaço dos trabalhadores e oposto à </w:t>
      </w:r>
      <w:r w:rsidRPr="00D80FEC">
        <w:t>justiça distributiva</w:t>
      </w:r>
      <w:r>
        <w:t>. Finalmente, a</w:t>
      </w:r>
      <w:r w:rsidRPr="00D80FEC">
        <w:t xml:space="preserve"> confiança na gestão não foi confirmada como um fator </w:t>
      </w:r>
      <w:r>
        <w:t xml:space="preserve">significante </w:t>
      </w:r>
      <w:r w:rsidRPr="00D80FEC">
        <w:t xml:space="preserve">que influencia </w:t>
      </w:r>
      <w:r>
        <w:t>a exaustão dos profissionais nesse estudo</w:t>
      </w:r>
      <w:r w:rsidRPr="00D80FEC">
        <w:t>.</w:t>
      </w:r>
    </w:p>
    <w:p w14:paraId="00175EC4" w14:textId="77777777" w:rsidR="003C2047" w:rsidRPr="00D80FEC" w:rsidRDefault="003C2047" w:rsidP="003C2047">
      <w:pPr>
        <w:tabs>
          <w:tab w:val="left" w:pos="5775"/>
        </w:tabs>
        <w:jc w:val="both"/>
      </w:pPr>
      <w:r>
        <w:tab/>
      </w:r>
    </w:p>
    <w:p w14:paraId="1B9B36CF" w14:textId="77777777" w:rsidR="003C2047" w:rsidRDefault="003C2047" w:rsidP="003C2047">
      <w:pPr>
        <w:jc w:val="both"/>
        <w:rPr>
          <w:b/>
        </w:rPr>
      </w:pPr>
      <w:r w:rsidRPr="00D80FEC">
        <w:rPr>
          <w:b/>
        </w:rPr>
        <w:t>Palavras-chave</w:t>
      </w:r>
    </w:p>
    <w:p w14:paraId="2C92601E" w14:textId="08172802" w:rsidR="003C2047" w:rsidRPr="00D80FEC" w:rsidRDefault="00365D17" w:rsidP="003C2047">
      <w:pPr>
        <w:jc w:val="both"/>
        <w:rPr>
          <w:lang w:val="en-US"/>
        </w:rPr>
      </w:pPr>
      <w:r>
        <w:t>E</w:t>
      </w:r>
      <w:r w:rsidR="003C2047" w:rsidRPr="00D80FEC">
        <w:t>xaustão</w:t>
      </w:r>
      <w:r>
        <w:t xml:space="preserve"> no trabalho</w:t>
      </w:r>
      <w:r w:rsidR="003C2047">
        <w:t>,</w:t>
      </w:r>
      <w:r w:rsidR="003C2047" w:rsidRPr="00D80FEC">
        <w:t xml:space="preserve"> </w:t>
      </w:r>
      <w:proofErr w:type="spellStart"/>
      <w:r w:rsidR="003C2047">
        <w:t>t</w:t>
      </w:r>
      <w:r w:rsidR="003C2047" w:rsidRPr="00D80FEC">
        <w:t>ecnoestresse</w:t>
      </w:r>
      <w:proofErr w:type="spellEnd"/>
      <w:r w:rsidR="003C2047">
        <w:t>, c</w:t>
      </w:r>
      <w:r w:rsidR="003C2047" w:rsidRPr="00D80FEC">
        <w:t>onflito de papéis</w:t>
      </w:r>
      <w:r w:rsidR="003C2047">
        <w:t>,</w:t>
      </w:r>
      <w:r w:rsidR="003C2047" w:rsidRPr="00D80FEC">
        <w:t xml:space="preserve"> </w:t>
      </w:r>
      <w:r w:rsidR="003C2047">
        <w:t>j</w:t>
      </w:r>
      <w:proofErr w:type="spellStart"/>
      <w:r w:rsidR="003C2047" w:rsidRPr="00D80FEC">
        <w:rPr>
          <w:lang w:val="en-US"/>
        </w:rPr>
        <w:t>ustiça</w:t>
      </w:r>
      <w:proofErr w:type="spellEnd"/>
      <w:r w:rsidR="003C2047" w:rsidRPr="00D80FEC">
        <w:rPr>
          <w:lang w:val="en-US"/>
        </w:rPr>
        <w:t xml:space="preserve"> </w:t>
      </w:r>
      <w:proofErr w:type="spellStart"/>
      <w:r w:rsidR="003C2047" w:rsidRPr="00D80FEC">
        <w:rPr>
          <w:lang w:val="en-US"/>
        </w:rPr>
        <w:t>distributiva</w:t>
      </w:r>
      <w:proofErr w:type="spellEnd"/>
      <w:r w:rsidR="003C2047" w:rsidRPr="00D80FEC">
        <w:rPr>
          <w:lang w:val="en-US"/>
        </w:rPr>
        <w:t>.</w:t>
      </w:r>
    </w:p>
    <w:p w14:paraId="067E39DD" w14:textId="77777777" w:rsidR="003C2047" w:rsidRPr="00D80FEC" w:rsidRDefault="003C2047" w:rsidP="003C2047">
      <w:pPr>
        <w:jc w:val="center"/>
        <w:rPr>
          <w:b/>
          <w:lang w:val="en-US"/>
        </w:rPr>
      </w:pPr>
    </w:p>
    <w:p w14:paraId="337E9A65" w14:textId="77777777" w:rsidR="003C2047" w:rsidRPr="00BD4981" w:rsidRDefault="003C2047" w:rsidP="003C2047">
      <w:pPr>
        <w:rPr>
          <w:rStyle w:val="tlid-translation"/>
          <w:b/>
          <w:lang w:val="en-US"/>
        </w:rPr>
      </w:pPr>
      <w:r w:rsidRPr="00D80FEC">
        <w:rPr>
          <w:rStyle w:val="tlid-translation"/>
          <w:b/>
          <w:lang w:val="en-US"/>
        </w:rPr>
        <w:t>ABSTRACT</w:t>
      </w:r>
    </w:p>
    <w:p w14:paraId="1AF5D6A2" w14:textId="408DC904" w:rsidR="003C2047" w:rsidRPr="008E5C4E" w:rsidRDefault="003C2047" w:rsidP="003C2047">
      <w:pPr>
        <w:pStyle w:val="Pr-formataoHTML"/>
        <w:jc w:val="both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Besides the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benefits to productivity, the intense use of technology in the workplace also generates technological stress, or technostress. The objective of this study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was to analyze the technostress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as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>other factors that positively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,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and negatively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,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influence the work</w:t>
      </w:r>
      <w:r w:rsidR="00365D17" w:rsidRPr="00365D17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r w:rsidR="00365D17"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>exhaustion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>. Through the data of 273 participants and structural equations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modeling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tecnoestress</w:t>
      </w:r>
      <w:proofErr w:type="spellEnd"/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obtained the greatest positive effect on </w:t>
      </w:r>
      <w:r w:rsidR="00365D17"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work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exhaustion compared to the other factors.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Moreover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, the results also showed that role conflict has a positive effect on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workers´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fatigue and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contrary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to distributive justice. Finally, trust in management </w:t>
      </w:r>
      <w:proofErr w:type="gramStart"/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>was not confirmed</w:t>
      </w:r>
      <w:proofErr w:type="gramEnd"/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as a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significant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factor that influences the 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profess</w:t>
      </w:r>
      <w:r w:rsidR="00365D17">
        <w:rPr>
          <w:rFonts w:ascii="Times New Roman" w:hAnsi="Times New Roman" w:cs="Times New Roman"/>
          <w:color w:val="212121"/>
          <w:sz w:val="24"/>
          <w:szCs w:val="24"/>
          <w:lang w:val="en"/>
        </w:rPr>
        <w:t>i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onals´ </w:t>
      </w:r>
      <w:r w:rsidRPr="008E20C1">
        <w:rPr>
          <w:rFonts w:ascii="Times New Roman" w:hAnsi="Times New Roman" w:cs="Times New Roman"/>
          <w:color w:val="212121"/>
          <w:sz w:val="24"/>
          <w:szCs w:val="24"/>
          <w:lang w:val="en"/>
        </w:rPr>
        <w:t>exhaustion</w:t>
      </w:r>
      <w:r>
        <w:rPr>
          <w:rFonts w:ascii="Times New Roman" w:hAnsi="Times New Roman" w:cs="Times New Roman"/>
          <w:color w:val="212121"/>
          <w:sz w:val="24"/>
          <w:szCs w:val="24"/>
          <w:lang w:val="en"/>
        </w:rPr>
        <w:t>.</w:t>
      </w:r>
    </w:p>
    <w:p w14:paraId="6437B255" w14:textId="77777777" w:rsidR="003C2047" w:rsidRPr="00D80FEC" w:rsidRDefault="003C2047" w:rsidP="003C2047">
      <w:pPr>
        <w:pStyle w:val="Pr-formataoHTML"/>
        <w:jc w:val="both"/>
        <w:rPr>
          <w:rFonts w:ascii="Times New Roman" w:hAnsi="Times New Roman" w:cs="Times New Roman"/>
          <w:color w:val="222222"/>
          <w:sz w:val="24"/>
          <w:szCs w:val="24"/>
          <w:lang w:val="en"/>
        </w:rPr>
      </w:pPr>
    </w:p>
    <w:p w14:paraId="47C14A89" w14:textId="77777777" w:rsidR="003C2047" w:rsidRDefault="003C2047" w:rsidP="003C2047">
      <w:pPr>
        <w:jc w:val="both"/>
        <w:rPr>
          <w:b/>
          <w:color w:val="222222"/>
          <w:lang w:val="en"/>
        </w:rPr>
      </w:pPr>
      <w:r w:rsidRPr="00D80FEC">
        <w:rPr>
          <w:b/>
          <w:color w:val="222222"/>
          <w:lang w:val="en"/>
        </w:rPr>
        <w:t>Keywords</w:t>
      </w:r>
    </w:p>
    <w:p w14:paraId="5D553393" w14:textId="2148656D" w:rsidR="003C2047" w:rsidRPr="00DB33F6" w:rsidRDefault="00365D17" w:rsidP="003C2047">
      <w:pPr>
        <w:jc w:val="both"/>
        <w:rPr>
          <w:b/>
        </w:rPr>
      </w:pPr>
      <w:proofErr w:type="gramStart"/>
      <w:r>
        <w:rPr>
          <w:color w:val="222222"/>
          <w:lang w:val="en"/>
        </w:rPr>
        <w:t>work</w:t>
      </w:r>
      <w:proofErr w:type="gramEnd"/>
      <w:r>
        <w:rPr>
          <w:color w:val="222222"/>
          <w:lang w:val="en"/>
        </w:rPr>
        <w:t xml:space="preserve"> e</w:t>
      </w:r>
      <w:r w:rsidR="003C2047" w:rsidRPr="00D80FEC">
        <w:rPr>
          <w:color w:val="222222"/>
          <w:lang w:val="en"/>
        </w:rPr>
        <w:t>xhaustion</w:t>
      </w:r>
      <w:r w:rsidR="003C2047">
        <w:rPr>
          <w:color w:val="222222"/>
          <w:lang w:val="en"/>
        </w:rPr>
        <w:t>, t</w:t>
      </w:r>
      <w:r w:rsidR="003C2047" w:rsidRPr="00D80FEC">
        <w:rPr>
          <w:color w:val="222222"/>
          <w:lang w:val="en"/>
        </w:rPr>
        <w:t>echnostress</w:t>
      </w:r>
      <w:r w:rsidR="003C2047">
        <w:rPr>
          <w:color w:val="222222"/>
          <w:lang w:val="en"/>
        </w:rPr>
        <w:t>, r</w:t>
      </w:r>
      <w:r w:rsidR="003C2047" w:rsidRPr="00D80FEC">
        <w:rPr>
          <w:color w:val="222222"/>
          <w:lang w:val="en"/>
        </w:rPr>
        <w:t>ole</w:t>
      </w:r>
      <w:r w:rsidR="003C2047">
        <w:rPr>
          <w:color w:val="222222"/>
          <w:lang w:val="en"/>
        </w:rPr>
        <w:t xml:space="preserve"> conflict, d</w:t>
      </w:r>
      <w:proofErr w:type="spellStart"/>
      <w:r w:rsidR="003C2047" w:rsidRPr="00D80FEC">
        <w:rPr>
          <w:color w:val="222222"/>
        </w:rPr>
        <w:t>istributive</w:t>
      </w:r>
      <w:proofErr w:type="spellEnd"/>
      <w:r w:rsidR="003C2047" w:rsidRPr="00D80FEC">
        <w:rPr>
          <w:color w:val="222222"/>
        </w:rPr>
        <w:t xml:space="preserve"> justice.</w:t>
      </w:r>
    </w:p>
    <w:p w14:paraId="6A5EC928" w14:textId="77777777" w:rsidR="0026621F" w:rsidRDefault="0026621F" w:rsidP="00BD4981">
      <w:pPr>
        <w:rPr>
          <w:b/>
        </w:rPr>
      </w:pPr>
    </w:p>
    <w:p w14:paraId="5157EF21" w14:textId="77777777" w:rsidR="0026621F" w:rsidRDefault="0026621F" w:rsidP="00BD4981">
      <w:pPr>
        <w:rPr>
          <w:b/>
        </w:rPr>
      </w:pPr>
    </w:p>
    <w:p w14:paraId="357D9889" w14:textId="77777777" w:rsidR="0026621F" w:rsidRDefault="0026621F" w:rsidP="00BD4981">
      <w:pPr>
        <w:rPr>
          <w:b/>
        </w:rPr>
      </w:pPr>
    </w:p>
    <w:p w14:paraId="2E51878D" w14:textId="77777777" w:rsidR="0026621F" w:rsidRDefault="0026621F" w:rsidP="00BD4981">
      <w:pPr>
        <w:rPr>
          <w:b/>
        </w:rPr>
      </w:pPr>
    </w:p>
    <w:p w14:paraId="08CA0684" w14:textId="77777777" w:rsidR="0026621F" w:rsidRDefault="0026621F" w:rsidP="00BD4981">
      <w:pPr>
        <w:rPr>
          <w:b/>
        </w:rPr>
      </w:pPr>
    </w:p>
    <w:p w14:paraId="4968A4B5" w14:textId="77777777" w:rsidR="0026621F" w:rsidRDefault="0026621F" w:rsidP="00BD4981">
      <w:pPr>
        <w:rPr>
          <w:b/>
        </w:rPr>
      </w:pPr>
    </w:p>
    <w:p w14:paraId="4E839AC8" w14:textId="77777777" w:rsidR="0026621F" w:rsidRDefault="0026621F" w:rsidP="00BD4981">
      <w:pPr>
        <w:rPr>
          <w:b/>
        </w:rPr>
      </w:pPr>
    </w:p>
    <w:p w14:paraId="29D5BB22" w14:textId="77777777" w:rsidR="0026621F" w:rsidRDefault="0026621F" w:rsidP="00BD4981">
      <w:pPr>
        <w:rPr>
          <w:b/>
        </w:rPr>
      </w:pPr>
    </w:p>
    <w:p w14:paraId="0778BDFA" w14:textId="77777777" w:rsidR="0026621F" w:rsidRDefault="0026621F" w:rsidP="00BD4981">
      <w:pPr>
        <w:rPr>
          <w:b/>
        </w:rPr>
      </w:pPr>
    </w:p>
    <w:p w14:paraId="07F37747" w14:textId="77777777" w:rsidR="0026621F" w:rsidRPr="00E216C9" w:rsidRDefault="0026621F" w:rsidP="00BD4981">
      <w:pPr>
        <w:rPr>
          <w:b/>
        </w:rPr>
        <w:sectPr w:rsidR="0026621F" w:rsidRPr="00E216C9" w:rsidSect="00427E17">
          <w:headerReference w:type="default" r:id="rId8"/>
          <w:footerReference w:type="default" r:id="rId9"/>
          <w:pgSz w:w="11907" w:h="16840" w:code="9"/>
          <w:pgMar w:top="1701" w:right="1134" w:bottom="1134" w:left="1701" w:header="709" w:footer="709" w:gutter="0"/>
          <w:pgNumType w:start="5"/>
          <w:cols w:space="708"/>
          <w:docGrid w:linePitch="360"/>
        </w:sectPr>
      </w:pPr>
    </w:p>
    <w:p w14:paraId="7AC902B5" w14:textId="77777777" w:rsidR="003C2047" w:rsidRDefault="003C2047">
      <w:pPr>
        <w:rPr>
          <w:b/>
          <w:bCs/>
          <w:kern w:val="32"/>
          <w:szCs w:val="32"/>
        </w:rPr>
      </w:pPr>
      <w:r>
        <w:br w:type="page"/>
      </w:r>
    </w:p>
    <w:p w14:paraId="612AB6FC" w14:textId="06FF5590" w:rsidR="00365D17" w:rsidRDefault="000C4EA5" w:rsidP="00365D17">
      <w:pPr>
        <w:jc w:val="center"/>
      </w:pPr>
      <w:r>
        <w:lastRenderedPageBreak/>
        <w:t>TECHNO</w:t>
      </w:r>
      <w:r w:rsidR="00365D17" w:rsidRPr="00365D17">
        <w:t>STRESS AND WORK</w:t>
      </w:r>
      <w:r w:rsidR="00365D17">
        <w:t xml:space="preserve"> EXHAUSTION</w:t>
      </w:r>
    </w:p>
    <w:p w14:paraId="3EBABD7C" w14:textId="77777777" w:rsidR="00365D17" w:rsidRDefault="00365D17" w:rsidP="00F83779"/>
    <w:p w14:paraId="73B0ABDA" w14:textId="68EE7B76" w:rsidR="00B222D1" w:rsidRDefault="00625599" w:rsidP="00541A30">
      <w:pPr>
        <w:autoSpaceDE w:val="0"/>
        <w:autoSpaceDN w:val="0"/>
        <w:adjustRightInd w:val="0"/>
        <w:ind w:firstLine="720"/>
        <w:jc w:val="both"/>
        <w:rPr>
          <w:lang w:val="pt-PT"/>
        </w:rPr>
      </w:pPr>
      <w:r w:rsidRPr="00625599">
        <w:rPr>
          <w:lang w:val="pt-PT"/>
        </w:rPr>
        <w:t>O estresse no trabalho pode ser definido como “um processo em que o indivíduo percebe demandas do trabalho como estressores, os quais, ao exceder sua capacidade de enfrentamento, provocam no sujeito reações negativas” (Paschoal &amp; Tamayo, 2004, p. 46). Os elementos que estressam</w:t>
      </w:r>
      <w:r w:rsidR="003A2109">
        <w:rPr>
          <w:lang w:val="pt-PT"/>
        </w:rPr>
        <w:t>,</w:t>
      </w:r>
      <w:r w:rsidRPr="00625599">
        <w:rPr>
          <w:lang w:val="pt-PT"/>
        </w:rPr>
        <w:t xml:space="preserve"> ou </w:t>
      </w:r>
      <w:r w:rsidR="00C71C82">
        <w:rPr>
          <w:lang w:val="pt-PT"/>
        </w:rPr>
        <w:t>estressores</w:t>
      </w:r>
      <w:r w:rsidR="003A2109">
        <w:rPr>
          <w:lang w:val="pt-PT"/>
        </w:rPr>
        <w:t>,</w:t>
      </w:r>
      <w:r w:rsidRPr="00625599">
        <w:rPr>
          <w:lang w:val="pt-PT"/>
        </w:rPr>
        <w:t xml:space="preserve"> </w:t>
      </w:r>
      <w:r w:rsidR="003A2109">
        <w:rPr>
          <w:lang w:val="pt-PT"/>
        </w:rPr>
        <w:t>são</w:t>
      </w:r>
      <w:r w:rsidRPr="00625599">
        <w:rPr>
          <w:lang w:val="pt-PT"/>
        </w:rPr>
        <w:t xml:space="preserve"> as variáveis principais </w:t>
      </w:r>
      <w:r w:rsidR="00C71C82">
        <w:rPr>
          <w:lang w:val="pt-PT"/>
        </w:rPr>
        <w:t>como geradores do esresse</w:t>
      </w:r>
      <w:r w:rsidRPr="00625599">
        <w:rPr>
          <w:lang w:val="pt-PT"/>
        </w:rPr>
        <w:t xml:space="preserve"> </w:t>
      </w:r>
      <w:r w:rsidR="00C71C82">
        <w:rPr>
          <w:lang w:val="pt-PT"/>
        </w:rPr>
        <w:t>no</w:t>
      </w:r>
      <w:r w:rsidRPr="00625599">
        <w:rPr>
          <w:lang w:val="pt-PT"/>
        </w:rPr>
        <w:t xml:space="preserve"> trabalho</w:t>
      </w:r>
      <w:r w:rsidR="003A2109">
        <w:rPr>
          <w:lang w:val="pt-PT"/>
        </w:rPr>
        <w:t>;</w:t>
      </w:r>
      <w:r w:rsidRPr="00625599">
        <w:rPr>
          <w:lang w:val="pt-PT"/>
        </w:rPr>
        <w:t xml:space="preserve"> a resistência </w:t>
      </w:r>
      <w:r w:rsidR="003A2109">
        <w:rPr>
          <w:lang w:val="pt-PT"/>
        </w:rPr>
        <w:t xml:space="preserve">é </w:t>
      </w:r>
      <w:r w:rsidRPr="00625599">
        <w:rPr>
          <w:lang w:val="pt-PT"/>
        </w:rPr>
        <w:t xml:space="preserve">a capacidade de enfrentamento do funcionário ou resiliência, e a exaustão </w:t>
      </w:r>
      <w:r w:rsidR="003A2109">
        <w:rPr>
          <w:lang w:val="pt-PT"/>
        </w:rPr>
        <w:t xml:space="preserve">é </w:t>
      </w:r>
      <w:r w:rsidR="00601A27">
        <w:rPr>
          <w:lang w:val="pt-PT"/>
        </w:rPr>
        <w:t>uma potencial</w:t>
      </w:r>
      <w:r w:rsidRPr="00625599">
        <w:rPr>
          <w:lang w:val="pt-PT"/>
        </w:rPr>
        <w:t xml:space="preserve"> reação negativa decorrente do processo que faz parte de demandas estressoras, percepções e reações do trabalhador</w:t>
      </w:r>
      <w:r>
        <w:rPr>
          <w:lang w:val="pt-PT"/>
        </w:rPr>
        <w:t>.</w:t>
      </w:r>
    </w:p>
    <w:p w14:paraId="38404EB0" w14:textId="2DA17FB8" w:rsidR="00F926BA" w:rsidRDefault="00F926BA" w:rsidP="00F926BA">
      <w:pPr>
        <w:pStyle w:val="Default"/>
        <w:ind w:firstLine="709"/>
        <w:jc w:val="both"/>
      </w:pPr>
      <w:r>
        <w:t>O avanço das Tecnologias de Informação e Comunicação – TIC organizacionais possibilitou a conexão permanente dos funcionários aos sistemas e equipe de trabalho</w:t>
      </w:r>
      <w:r w:rsidRPr="00D80FEC">
        <w:t xml:space="preserve">. </w:t>
      </w:r>
      <w:r>
        <w:t>Assim, as</w:t>
      </w:r>
      <w:r w:rsidRPr="00D80FEC">
        <w:t xml:space="preserve"> tecnologia</w:t>
      </w:r>
      <w:r>
        <w:t>s</w:t>
      </w:r>
      <w:r w:rsidRPr="00D80FEC">
        <w:t xml:space="preserve"> </w:t>
      </w:r>
      <w:r>
        <w:t xml:space="preserve">contribuem </w:t>
      </w:r>
      <w:r w:rsidRPr="00D80FEC">
        <w:t xml:space="preserve">com </w:t>
      </w:r>
      <w:r>
        <w:t>diversos benefícios</w:t>
      </w:r>
      <w:r w:rsidRPr="00D80FEC">
        <w:t xml:space="preserve"> </w:t>
      </w:r>
      <w:r>
        <w:t>à organização;</w:t>
      </w:r>
      <w:r w:rsidRPr="00D80FEC">
        <w:t xml:space="preserve"> porém, como consequência, podem surgir os resultados negativos</w:t>
      </w:r>
      <w:r>
        <w:t xml:space="preserve"> aos usuários</w:t>
      </w:r>
      <w:r w:rsidRPr="00D80FEC">
        <w:t xml:space="preserve">, como consequências para a saúde mental do trabalhador, o que pode ser constatado pelos casos de desequilíbrios psicossomáticos e doenças ocupacionais </w:t>
      </w:r>
      <w:r>
        <w:t xml:space="preserve">relatados em outros estudos associados ao estresse no trabalho </w:t>
      </w:r>
      <w:r w:rsidRPr="00D80FEC">
        <w:t xml:space="preserve">(Pocinho &amp; Garcia, 2008; Ferreira, 2006; Souto, 2006; </w:t>
      </w:r>
      <w:proofErr w:type="spellStart"/>
      <w:r w:rsidRPr="00D80FEC">
        <w:t>Korunka</w:t>
      </w:r>
      <w:proofErr w:type="spellEnd"/>
      <w:r w:rsidRPr="00D80FEC">
        <w:t xml:space="preserve">, 2002; Valle, 1996). </w:t>
      </w:r>
    </w:p>
    <w:p w14:paraId="2814E1E8" w14:textId="5D28A8E1" w:rsidR="00E74473" w:rsidRDefault="00F926BA" w:rsidP="00541A3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>
        <w:t>Desta forma, c</w:t>
      </w:r>
      <w:r w:rsidR="00601A27" w:rsidRPr="00D80FEC">
        <w:t xml:space="preserve">om </w:t>
      </w:r>
      <w:r w:rsidR="00601A27">
        <w:t xml:space="preserve">o uso intensivo </w:t>
      </w:r>
      <w:r>
        <w:t xml:space="preserve">desses recursos digitais </w:t>
      </w:r>
      <w:r w:rsidR="00601A27" w:rsidRPr="00D80FEC">
        <w:t xml:space="preserve">no ambiente de trabalho, os funcionários estão propensos ao estresse tecnológico, </w:t>
      </w:r>
      <w:r w:rsidR="00601A27" w:rsidRPr="000C4EA5">
        <w:t xml:space="preserve">ou </w:t>
      </w:r>
      <w:proofErr w:type="spellStart"/>
      <w:r w:rsidR="00601A27" w:rsidRPr="000C4EA5">
        <w:t>tecnoestresse</w:t>
      </w:r>
      <w:proofErr w:type="spellEnd"/>
      <w:r w:rsidR="00601A27" w:rsidRPr="00D80FEC">
        <w:t xml:space="preserve">. </w:t>
      </w:r>
      <w:r w:rsidR="00601A27">
        <w:t xml:space="preserve">O </w:t>
      </w:r>
      <w:proofErr w:type="spellStart"/>
      <w:r w:rsidR="00C71C82" w:rsidRPr="00C71C82">
        <w:t>tecnoestresse</w:t>
      </w:r>
      <w:proofErr w:type="spellEnd"/>
      <w:r w:rsidR="00C71C82" w:rsidRPr="00C71C82">
        <w:t xml:space="preserve"> está diretamente relacionado aos efeitos psicossociais negativos do uso das </w:t>
      </w:r>
      <w:r>
        <w:t>TIC</w:t>
      </w:r>
      <w:r w:rsidR="00C71C82" w:rsidRPr="00C71C82">
        <w:t xml:space="preserve">. </w:t>
      </w:r>
      <w:r w:rsidR="00601A27">
        <w:t xml:space="preserve"> O</w:t>
      </w:r>
      <w:r w:rsidR="00C71C82" w:rsidRPr="00C71C82">
        <w:t xml:space="preserve"> </w:t>
      </w:r>
      <w:proofErr w:type="spellStart"/>
      <w:r w:rsidR="00C71C82" w:rsidRPr="00C71C82">
        <w:t>tecnoestresse</w:t>
      </w:r>
      <w:proofErr w:type="spellEnd"/>
      <w:r w:rsidR="00C71C82" w:rsidRPr="00C71C82">
        <w:t xml:space="preserve"> </w:t>
      </w:r>
      <w:r w:rsidR="00601A27">
        <w:t xml:space="preserve">pode ser definido </w:t>
      </w:r>
      <w:r w:rsidR="00C71C82" w:rsidRPr="00C71C82">
        <w:t>como o impacto negativo às atitudes, pensamentos, comportamentos ou fisiologia causado pela utilização de tecnologias</w:t>
      </w:r>
      <w:r w:rsidR="00601A27">
        <w:t xml:space="preserve"> (</w:t>
      </w:r>
      <w:proofErr w:type="spellStart"/>
      <w:r w:rsidR="00601A27">
        <w:t>Brod</w:t>
      </w:r>
      <w:proofErr w:type="spellEnd"/>
      <w:r w:rsidR="00601A27">
        <w:t xml:space="preserve">, 1984; </w:t>
      </w:r>
      <w:proofErr w:type="spellStart"/>
      <w:r w:rsidR="00601A27">
        <w:t>Weil</w:t>
      </w:r>
      <w:proofErr w:type="spellEnd"/>
      <w:r w:rsidR="00601A27">
        <w:t xml:space="preserve"> &amp; </w:t>
      </w:r>
      <w:proofErr w:type="spellStart"/>
      <w:r w:rsidR="00601A27">
        <w:t>Rosen</w:t>
      </w:r>
      <w:proofErr w:type="spellEnd"/>
      <w:r w:rsidR="00601A27">
        <w:t>, 1997)</w:t>
      </w:r>
      <w:r w:rsidR="00C71C82" w:rsidRPr="00C71C82">
        <w:t>.</w:t>
      </w:r>
      <w:r w:rsidR="00601A27">
        <w:t xml:space="preserve"> </w:t>
      </w:r>
    </w:p>
    <w:p w14:paraId="4E625794" w14:textId="77777777" w:rsidR="00F83779" w:rsidRPr="00D80FEC" w:rsidRDefault="00F83779" w:rsidP="00F83779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Logicamente, o </w:t>
      </w:r>
      <w:proofErr w:type="spellStart"/>
      <w:r w:rsidRPr="00D80FEC">
        <w:rPr>
          <w:color w:val="000000"/>
        </w:rPr>
        <w:t>tecnoestresse</w:t>
      </w:r>
      <w:proofErr w:type="spellEnd"/>
      <w:r w:rsidRPr="00D80FEC">
        <w:rPr>
          <w:color w:val="000000"/>
        </w:rPr>
        <w:t xml:space="preserve"> </w:t>
      </w:r>
      <w:r>
        <w:rPr>
          <w:color w:val="000000"/>
        </w:rPr>
        <w:t xml:space="preserve">pode ser considerado um dos fatores </w:t>
      </w:r>
      <w:r w:rsidRPr="00D80FEC">
        <w:rPr>
          <w:color w:val="000000"/>
        </w:rPr>
        <w:t>que causa estresse no âmbito organizacional</w:t>
      </w:r>
      <w:r w:rsidRPr="00D80FEC">
        <w:rPr>
          <w:rStyle w:val="Refdecomentrio"/>
          <w:bCs/>
          <w:sz w:val="24"/>
          <w:szCs w:val="24"/>
        </w:rPr>
        <w:t xml:space="preserve"> e </w:t>
      </w:r>
      <w:r>
        <w:rPr>
          <w:rStyle w:val="Refdecomentrio"/>
          <w:bCs/>
          <w:sz w:val="24"/>
          <w:szCs w:val="24"/>
        </w:rPr>
        <w:t xml:space="preserve">é </w:t>
      </w:r>
      <w:r w:rsidRPr="00D80FEC">
        <w:rPr>
          <w:rStyle w:val="Refdecomentrio"/>
          <w:bCs/>
          <w:sz w:val="24"/>
          <w:szCs w:val="24"/>
        </w:rPr>
        <w:t>li</w:t>
      </w:r>
      <w:r>
        <w:rPr>
          <w:color w:val="000000"/>
        </w:rPr>
        <w:t>gado</w:t>
      </w:r>
      <w:r w:rsidRPr="00D80FEC">
        <w:rPr>
          <w:color w:val="000000"/>
        </w:rPr>
        <w:t xml:space="preserve"> </w:t>
      </w:r>
      <w:r>
        <w:rPr>
          <w:color w:val="000000"/>
        </w:rPr>
        <w:t>à</w:t>
      </w:r>
      <w:r w:rsidRPr="00D80FEC">
        <w:rPr>
          <w:color w:val="000000"/>
        </w:rPr>
        <w:t xml:space="preserve"> função de um </w:t>
      </w:r>
      <w:r>
        <w:rPr>
          <w:color w:val="000000"/>
        </w:rPr>
        <w:t>trabalhador</w:t>
      </w:r>
      <w:r w:rsidRPr="00D80FEC">
        <w:rPr>
          <w:color w:val="000000"/>
        </w:rPr>
        <w:t xml:space="preserve"> associado com a</w:t>
      </w:r>
      <w:r>
        <w:rPr>
          <w:color w:val="000000"/>
        </w:rPr>
        <w:t>s</w:t>
      </w:r>
      <w:r w:rsidRPr="00D80FEC">
        <w:rPr>
          <w:color w:val="000000"/>
        </w:rPr>
        <w:t xml:space="preserve"> tecnologia</w:t>
      </w:r>
      <w:r>
        <w:rPr>
          <w:color w:val="000000"/>
        </w:rPr>
        <w:t>s</w:t>
      </w:r>
      <w:r w:rsidRPr="00D80FEC">
        <w:rPr>
          <w:color w:val="000000"/>
        </w:rPr>
        <w:t xml:space="preserve"> utilizadas </w:t>
      </w:r>
      <w:r>
        <w:rPr>
          <w:color w:val="000000"/>
        </w:rPr>
        <w:t xml:space="preserve">à execução das tarefas </w:t>
      </w:r>
      <w:r w:rsidRPr="00D80FEC">
        <w:rPr>
          <w:color w:val="000000"/>
        </w:rPr>
        <w:t>(</w:t>
      </w:r>
      <w:proofErr w:type="spellStart"/>
      <w:r w:rsidRPr="00D80FEC">
        <w:rPr>
          <w:color w:val="000000"/>
        </w:rPr>
        <w:t>Srivastava</w:t>
      </w:r>
      <w:proofErr w:type="spellEnd"/>
      <w:r w:rsidRPr="00D80FEC">
        <w:rPr>
          <w:color w:val="000000"/>
        </w:rPr>
        <w:t xml:space="preserve">, </w:t>
      </w:r>
      <w:proofErr w:type="spellStart"/>
      <w:r w:rsidRPr="00D80FEC">
        <w:rPr>
          <w:color w:val="000000"/>
        </w:rPr>
        <w:t>Mansimov</w:t>
      </w:r>
      <w:proofErr w:type="spellEnd"/>
      <w:r w:rsidRPr="00D80FEC">
        <w:rPr>
          <w:color w:val="000000"/>
        </w:rPr>
        <w:t xml:space="preserve"> &amp; </w:t>
      </w:r>
      <w:proofErr w:type="spellStart"/>
      <w:r w:rsidRPr="00D80FEC">
        <w:rPr>
          <w:color w:val="000000"/>
        </w:rPr>
        <w:t>Salakhutdinov</w:t>
      </w:r>
      <w:proofErr w:type="spellEnd"/>
      <w:r w:rsidRPr="00D80FEC">
        <w:rPr>
          <w:color w:val="000000"/>
        </w:rPr>
        <w:t xml:space="preserve">, 2015). Esses aspectos de criação de estresse </w:t>
      </w:r>
      <w:r>
        <w:rPr>
          <w:color w:val="000000"/>
        </w:rPr>
        <w:t xml:space="preserve">pela TIC são relativos </w:t>
      </w:r>
      <w:r w:rsidRPr="00D80FEC">
        <w:rPr>
          <w:color w:val="000000"/>
        </w:rPr>
        <w:t xml:space="preserve">à multitarefa, sobrecarga de informações, comunicações constantes, </w:t>
      </w:r>
      <w:r>
        <w:rPr>
          <w:color w:val="000000"/>
        </w:rPr>
        <w:t xml:space="preserve">entre outros dissabores percebidos </w:t>
      </w:r>
      <w:r w:rsidRPr="00D80FEC">
        <w:rPr>
          <w:color w:val="000000"/>
        </w:rPr>
        <w:t>(</w:t>
      </w:r>
      <w:proofErr w:type="spellStart"/>
      <w:r w:rsidRPr="00D80FEC">
        <w:rPr>
          <w:color w:val="000000"/>
        </w:rPr>
        <w:t>Tarafdar</w:t>
      </w:r>
      <w:proofErr w:type="spellEnd"/>
      <w:r w:rsidRPr="00D80FEC">
        <w:rPr>
          <w:color w:val="000000"/>
        </w:rPr>
        <w:t xml:space="preserve">, Tu, Ragu-Nathan &amp; Ragu-Nathan, 2007). </w:t>
      </w:r>
    </w:p>
    <w:p w14:paraId="04D32563" w14:textId="2DC6ACA5" w:rsidR="008E6859" w:rsidRDefault="008E6859" w:rsidP="00601A27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8E6859">
        <w:rPr>
          <w:color w:val="000000"/>
        </w:rPr>
        <w:t xml:space="preserve">Ragu-Nathan, </w:t>
      </w:r>
      <w:proofErr w:type="spellStart"/>
      <w:r w:rsidRPr="008E6859">
        <w:rPr>
          <w:color w:val="000000"/>
        </w:rPr>
        <w:t>Tarafdar</w:t>
      </w:r>
      <w:proofErr w:type="spellEnd"/>
      <w:r w:rsidRPr="008E6859">
        <w:rPr>
          <w:color w:val="000000"/>
        </w:rPr>
        <w:t>, &amp; Ragu-Nat</w:t>
      </w:r>
      <w:r>
        <w:rPr>
          <w:color w:val="000000"/>
        </w:rPr>
        <w:t>han (2008) mencionam</w:t>
      </w:r>
      <w:r w:rsidRPr="008E6859">
        <w:rPr>
          <w:color w:val="000000"/>
        </w:rPr>
        <w:t xml:space="preserve"> </w:t>
      </w:r>
      <w:r>
        <w:rPr>
          <w:color w:val="000000"/>
        </w:rPr>
        <w:t xml:space="preserve">fatores </w:t>
      </w:r>
      <w:r w:rsidR="00F83779">
        <w:rPr>
          <w:color w:val="000000"/>
        </w:rPr>
        <w:t xml:space="preserve">de </w:t>
      </w:r>
      <w:proofErr w:type="spellStart"/>
      <w:r>
        <w:rPr>
          <w:color w:val="000000"/>
        </w:rPr>
        <w:t>tecnoestresse</w:t>
      </w:r>
      <w:proofErr w:type="spellEnd"/>
      <w:r>
        <w:rPr>
          <w:color w:val="000000"/>
        </w:rPr>
        <w:t xml:space="preserve"> manifestados pelos trabalhadores no uso das tecnologias organizacionais e que estão apresentado</w:t>
      </w:r>
      <w:r w:rsidRPr="008E6859">
        <w:rPr>
          <w:color w:val="000000"/>
        </w:rPr>
        <w:t xml:space="preserve">s na </w:t>
      </w:r>
      <w:r>
        <w:rPr>
          <w:color w:val="000000"/>
        </w:rPr>
        <w:t>Figura 1</w:t>
      </w:r>
      <w:r w:rsidRPr="008E6859">
        <w:rPr>
          <w:color w:val="000000"/>
        </w:rPr>
        <w:t>.</w:t>
      </w:r>
    </w:p>
    <w:p w14:paraId="5D878763" w14:textId="2085D4C3" w:rsidR="008E6859" w:rsidRPr="00B34EAB" w:rsidRDefault="008E6859" w:rsidP="008E6859">
      <w:pPr>
        <w:jc w:val="both"/>
        <w:rPr>
          <w:i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8E6859" w:rsidRPr="00D80FEC" w14:paraId="6BEFEAE0" w14:textId="77777777" w:rsidTr="006A0B75">
        <w:trPr>
          <w:trHeight w:val="309"/>
        </w:trPr>
        <w:tc>
          <w:tcPr>
            <w:tcW w:w="2802" w:type="dxa"/>
            <w:shd w:val="clear" w:color="auto" w:fill="auto"/>
          </w:tcPr>
          <w:p w14:paraId="444E9644" w14:textId="5EAB1221" w:rsidR="008E6859" w:rsidRPr="00D80FEC" w:rsidRDefault="008E6859" w:rsidP="006A0B7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15E777E9" w14:textId="77777777" w:rsidR="008E6859" w:rsidRPr="00D80FEC" w:rsidRDefault="008E6859" w:rsidP="006A0B75">
            <w:pPr>
              <w:jc w:val="center"/>
              <w:rPr>
                <w:b/>
                <w:sz w:val="22"/>
                <w:szCs w:val="22"/>
              </w:rPr>
            </w:pPr>
            <w:r w:rsidRPr="00D80FEC">
              <w:rPr>
                <w:b/>
                <w:sz w:val="22"/>
                <w:szCs w:val="22"/>
              </w:rPr>
              <w:t>Definições</w:t>
            </w:r>
          </w:p>
        </w:tc>
      </w:tr>
      <w:tr w:rsidR="008E6859" w:rsidRPr="00D80FEC" w14:paraId="49B2D135" w14:textId="77777777" w:rsidTr="00B54DD0">
        <w:trPr>
          <w:trHeight w:val="1058"/>
        </w:trPr>
        <w:tc>
          <w:tcPr>
            <w:tcW w:w="2802" w:type="dxa"/>
            <w:shd w:val="clear" w:color="auto" w:fill="auto"/>
            <w:vAlign w:val="center"/>
          </w:tcPr>
          <w:p w14:paraId="6E128D48" w14:textId="77777777" w:rsidR="008E6859" w:rsidRPr="00D80FEC" w:rsidRDefault="008E6859" w:rsidP="00B54DD0">
            <w:pPr>
              <w:jc w:val="center"/>
              <w:rPr>
                <w:sz w:val="22"/>
                <w:szCs w:val="22"/>
              </w:rPr>
            </w:pPr>
            <w:proofErr w:type="spellStart"/>
            <w:r w:rsidRPr="00D80FEC">
              <w:rPr>
                <w:sz w:val="22"/>
                <w:szCs w:val="22"/>
              </w:rPr>
              <w:t>Tecnosobrecarga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14:paraId="58C2F160" w14:textId="02374489" w:rsidR="008E6859" w:rsidRPr="00D80FEC" w:rsidRDefault="008E6859" w:rsidP="00B54DD0">
            <w:pPr>
              <w:jc w:val="center"/>
              <w:rPr>
                <w:sz w:val="22"/>
                <w:szCs w:val="22"/>
              </w:rPr>
            </w:pPr>
            <w:r w:rsidRPr="00D80FEC">
              <w:rPr>
                <w:sz w:val="22"/>
                <w:szCs w:val="22"/>
              </w:rPr>
              <w:t xml:space="preserve">Refere-se ao uso das TIC que forçam </w:t>
            </w:r>
            <w:r w:rsidR="00B54DD0">
              <w:rPr>
                <w:sz w:val="22"/>
                <w:szCs w:val="22"/>
              </w:rPr>
              <w:t xml:space="preserve">o indivíduo </w:t>
            </w:r>
            <w:r w:rsidRPr="00D80FEC">
              <w:rPr>
                <w:sz w:val="22"/>
                <w:szCs w:val="22"/>
              </w:rPr>
              <w:t>a trabalhar mais rápido</w:t>
            </w:r>
            <w:r w:rsidR="00B54DD0">
              <w:rPr>
                <w:sz w:val="22"/>
                <w:szCs w:val="22"/>
              </w:rPr>
              <w:t xml:space="preserve">, além do </w:t>
            </w:r>
            <w:r w:rsidRPr="00D80FEC">
              <w:rPr>
                <w:sz w:val="22"/>
                <w:szCs w:val="22"/>
              </w:rPr>
              <w:t>alto volume de informação</w:t>
            </w:r>
            <w:r w:rsidR="00B54DD0">
              <w:rPr>
                <w:sz w:val="22"/>
                <w:szCs w:val="22"/>
              </w:rPr>
              <w:t xml:space="preserve"> e</w:t>
            </w:r>
            <w:r w:rsidRPr="00D80FEC">
              <w:rPr>
                <w:sz w:val="22"/>
                <w:szCs w:val="22"/>
              </w:rPr>
              <w:t xml:space="preserve"> que</w:t>
            </w:r>
            <w:r w:rsidR="00B54DD0">
              <w:rPr>
                <w:sz w:val="22"/>
                <w:szCs w:val="22"/>
              </w:rPr>
              <w:t xml:space="preserve"> o</w:t>
            </w:r>
            <w:r w:rsidRPr="00D80FEC">
              <w:rPr>
                <w:sz w:val="22"/>
                <w:szCs w:val="22"/>
              </w:rPr>
              <w:t xml:space="preserve"> </w:t>
            </w:r>
            <w:r w:rsidR="00B54DD0">
              <w:rPr>
                <w:sz w:val="22"/>
                <w:szCs w:val="22"/>
              </w:rPr>
              <w:t>leva à fadiga</w:t>
            </w:r>
            <w:r w:rsidRPr="00D80FEC">
              <w:rPr>
                <w:sz w:val="22"/>
                <w:szCs w:val="22"/>
              </w:rPr>
              <w:t>.</w:t>
            </w:r>
          </w:p>
        </w:tc>
      </w:tr>
      <w:tr w:rsidR="008E6859" w:rsidRPr="00D80FEC" w14:paraId="13E67887" w14:textId="77777777" w:rsidTr="00B54DD0">
        <w:tc>
          <w:tcPr>
            <w:tcW w:w="2802" w:type="dxa"/>
            <w:shd w:val="clear" w:color="auto" w:fill="auto"/>
            <w:vAlign w:val="center"/>
          </w:tcPr>
          <w:p w14:paraId="6C10B638" w14:textId="77777777" w:rsidR="008E6859" w:rsidRPr="00D80FEC" w:rsidRDefault="008E6859" w:rsidP="00B54DD0">
            <w:pPr>
              <w:jc w:val="center"/>
              <w:rPr>
                <w:sz w:val="22"/>
                <w:szCs w:val="22"/>
              </w:rPr>
            </w:pPr>
            <w:proofErr w:type="spellStart"/>
            <w:r w:rsidRPr="00D80FEC">
              <w:rPr>
                <w:sz w:val="22"/>
                <w:szCs w:val="22"/>
              </w:rPr>
              <w:t>Tecnoinvasão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14:paraId="582B659F" w14:textId="18F1E595" w:rsidR="008E6859" w:rsidRPr="00D80FEC" w:rsidRDefault="00B54DD0" w:rsidP="00F8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E6859" w:rsidRPr="00D80FEC">
              <w:rPr>
                <w:sz w:val="22"/>
                <w:szCs w:val="22"/>
              </w:rPr>
              <w:t xml:space="preserve">esenvolvimento de frustração </w:t>
            </w:r>
            <w:r w:rsidR="00F83779">
              <w:rPr>
                <w:sz w:val="22"/>
                <w:szCs w:val="22"/>
              </w:rPr>
              <w:t xml:space="preserve">e sentimento de invasão da vida pessoal </w:t>
            </w:r>
            <w:r w:rsidR="008E6859" w:rsidRPr="00D80FEC">
              <w:rPr>
                <w:sz w:val="22"/>
                <w:szCs w:val="22"/>
              </w:rPr>
              <w:t xml:space="preserve">devido à necessidade de que os profissionais estejam sempre conectados. </w:t>
            </w:r>
          </w:p>
        </w:tc>
      </w:tr>
      <w:tr w:rsidR="008E6859" w:rsidRPr="00D80FEC" w14:paraId="59A7CAC4" w14:textId="77777777" w:rsidTr="00B54DD0">
        <w:trPr>
          <w:trHeight w:val="928"/>
        </w:trPr>
        <w:tc>
          <w:tcPr>
            <w:tcW w:w="2802" w:type="dxa"/>
            <w:shd w:val="clear" w:color="auto" w:fill="auto"/>
            <w:vAlign w:val="center"/>
          </w:tcPr>
          <w:p w14:paraId="0BAA9EE0" w14:textId="77777777" w:rsidR="008E6859" w:rsidRPr="00D80FEC" w:rsidRDefault="008E6859" w:rsidP="00B54DD0">
            <w:pPr>
              <w:jc w:val="center"/>
              <w:rPr>
                <w:sz w:val="22"/>
                <w:szCs w:val="22"/>
              </w:rPr>
            </w:pPr>
            <w:proofErr w:type="spellStart"/>
            <w:r w:rsidRPr="00D80FEC">
              <w:rPr>
                <w:sz w:val="22"/>
                <w:szCs w:val="22"/>
              </w:rPr>
              <w:t>Tecnocomplexidade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14:paraId="2B9DA3F5" w14:textId="793CC8F3" w:rsidR="008E6859" w:rsidRPr="00D80FEC" w:rsidRDefault="00B54DD0" w:rsidP="00B54DD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Associada a</w:t>
            </w:r>
            <w:r w:rsidR="008E6859" w:rsidRPr="00D80FEC">
              <w:rPr>
                <w:sz w:val="22"/>
                <w:szCs w:val="22"/>
              </w:rPr>
              <w:t xml:space="preserve">o tempo e o esforço desprendido pelos profissionais em aprender </w:t>
            </w:r>
            <w:r>
              <w:rPr>
                <w:sz w:val="22"/>
                <w:szCs w:val="22"/>
              </w:rPr>
              <w:t xml:space="preserve">a utilizar as </w:t>
            </w:r>
            <w:r w:rsidR="008E6859" w:rsidRPr="00D80FEC">
              <w:rPr>
                <w:sz w:val="22"/>
                <w:szCs w:val="22"/>
              </w:rPr>
              <w:t xml:space="preserve">TIC sobrepondo-se às tarefas </w:t>
            </w:r>
            <w:r>
              <w:rPr>
                <w:sz w:val="22"/>
                <w:szCs w:val="22"/>
              </w:rPr>
              <w:t>já existentes, além da percepção de inabilidade pela complexidade e sofisticação dos recursos</w:t>
            </w:r>
            <w:r w:rsidR="008E6859" w:rsidRPr="00D80FEC">
              <w:rPr>
                <w:sz w:val="22"/>
                <w:szCs w:val="22"/>
              </w:rPr>
              <w:t>.</w:t>
            </w:r>
          </w:p>
        </w:tc>
      </w:tr>
      <w:tr w:rsidR="008E6859" w:rsidRPr="00D80FEC" w14:paraId="023D1ABB" w14:textId="77777777" w:rsidTr="00B54DD0">
        <w:tc>
          <w:tcPr>
            <w:tcW w:w="2802" w:type="dxa"/>
            <w:shd w:val="clear" w:color="auto" w:fill="auto"/>
            <w:vAlign w:val="center"/>
          </w:tcPr>
          <w:p w14:paraId="151A961A" w14:textId="77777777" w:rsidR="008E6859" w:rsidRPr="00D80FEC" w:rsidRDefault="008E6859" w:rsidP="00B54DD0">
            <w:pPr>
              <w:jc w:val="center"/>
              <w:rPr>
                <w:sz w:val="22"/>
                <w:szCs w:val="22"/>
              </w:rPr>
            </w:pPr>
            <w:proofErr w:type="spellStart"/>
            <w:r w:rsidRPr="00D80FEC">
              <w:rPr>
                <w:sz w:val="22"/>
                <w:szCs w:val="22"/>
              </w:rPr>
              <w:t>Tecnoinsegurança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14:paraId="37FD0F34" w14:textId="65FC5935" w:rsidR="008E6859" w:rsidRPr="00D80FEC" w:rsidRDefault="00F83779" w:rsidP="00F8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Sentimento de ameaça </w:t>
            </w:r>
            <w:r w:rsidR="008E6859" w:rsidRPr="00D80FEC">
              <w:rPr>
                <w:sz w:val="22"/>
                <w:szCs w:val="22"/>
              </w:rPr>
              <w:t>pela perda de posições de trabalho para outros</w:t>
            </w:r>
            <w:r>
              <w:rPr>
                <w:sz w:val="22"/>
                <w:szCs w:val="22"/>
              </w:rPr>
              <w:t xml:space="preserve"> profissionais mais competentes no uso das</w:t>
            </w:r>
            <w:r w:rsidR="008E6859" w:rsidRPr="00D80FEC">
              <w:rPr>
                <w:sz w:val="22"/>
                <w:szCs w:val="22"/>
              </w:rPr>
              <w:t xml:space="preserve"> TIC.</w:t>
            </w:r>
          </w:p>
        </w:tc>
      </w:tr>
      <w:tr w:rsidR="008E6859" w:rsidRPr="00D80FEC" w14:paraId="72F6695D" w14:textId="77777777" w:rsidTr="00B54DD0">
        <w:trPr>
          <w:trHeight w:val="887"/>
        </w:trPr>
        <w:tc>
          <w:tcPr>
            <w:tcW w:w="2802" w:type="dxa"/>
            <w:shd w:val="clear" w:color="auto" w:fill="auto"/>
            <w:vAlign w:val="center"/>
          </w:tcPr>
          <w:p w14:paraId="7D372D6E" w14:textId="77777777" w:rsidR="008E6859" w:rsidRPr="00D80FEC" w:rsidRDefault="008E6859" w:rsidP="00B54DD0">
            <w:pPr>
              <w:jc w:val="center"/>
              <w:rPr>
                <w:sz w:val="22"/>
                <w:szCs w:val="22"/>
              </w:rPr>
            </w:pPr>
            <w:proofErr w:type="spellStart"/>
            <w:r w:rsidRPr="00D80FEC">
              <w:rPr>
                <w:sz w:val="22"/>
                <w:szCs w:val="22"/>
              </w:rPr>
              <w:t>Tecnoincerteza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14:paraId="48D6C954" w14:textId="787A4FA6" w:rsidR="008E6859" w:rsidRPr="00D80FEC" w:rsidRDefault="008E6859" w:rsidP="00B54DD0">
            <w:pPr>
              <w:keepNext/>
              <w:jc w:val="center"/>
              <w:rPr>
                <w:sz w:val="22"/>
                <w:szCs w:val="22"/>
              </w:rPr>
            </w:pPr>
            <w:r w:rsidRPr="00D80FEC">
              <w:rPr>
                <w:sz w:val="22"/>
                <w:szCs w:val="22"/>
              </w:rPr>
              <w:t>Gera frustração e ansiedade devido à necessidade de ada</w:t>
            </w:r>
            <w:r w:rsidR="00B54DD0">
              <w:rPr>
                <w:sz w:val="22"/>
                <w:szCs w:val="22"/>
              </w:rPr>
              <w:t>ptação contínua às</w:t>
            </w:r>
            <w:r w:rsidRPr="00D80FEC">
              <w:rPr>
                <w:sz w:val="22"/>
                <w:szCs w:val="22"/>
              </w:rPr>
              <w:t xml:space="preserve"> novas TIC</w:t>
            </w:r>
            <w:r w:rsidR="00B54DD0">
              <w:rPr>
                <w:sz w:val="22"/>
                <w:szCs w:val="22"/>
              </w:rPr>
              <w:t xml:space="preserve"> organizacionais</w:t>
            </w:r>
            <w:r w:rsidRPr="00D80FEC">
              <w:rPr>
                <w:sz w:val="22"/>
                <w:szCs w:val="22"/>
              </w:rPr>
              <w:t>.</w:t>
            </w:r>
          </w:p>
        </w:tc>
      </w:tr>
    </w:tbl>
    <w:p w14:paraId="1E1A606D" w14:textId="029AEC25" w:rsidR="008E6859" w:rsidRDefault="008E6859" w:rsidP="008E6859">
      <w:pPr>
        <w:jc w:val="both"/>
        <w:rPr>
          <w:color w:val="000000"/>
        </w:rPr>
      </w:pPr>
      <w:r w:rsidRPr="008E6859">
        <w:rPr>
          <w:i/>
        </w:rPr>
        <w:t>Figura 1</w:t>
      </w:r>
      <w:r>
        <w:rPr>
          <w:i/>
        </w:rPr>
        <w:t xml:space="preserve">. </w:t>
      </w:r>
      <w:r w:rsidRPr="008E6859">
        <w:t xml:space="preserve">Componentes do </w:t>
      </w:r>
      <w:proofErr w:type="spellStart"/>
      <w:r w:rsidRPr="008E6859">
        <w:t>tecnoestresse</w:t>
      </w:r>
      <w:proofErr w:type="spellEnd"/>
      <w:r>
        <w:t>.</w:t>
      </w:r>
      <w:r>
        <w:rPr>
          <w:color w:val="000000"/>
        </w:rPr>
        <w:t xml:space="preserve"> </w:t>
      </w:r>
    </w:p>
    <w:p w14:paraId="502EE280" w14:textId="74F1FD9A" w:rsidR="008E6859" w:rsidRDefault="008E6859" w:rsidP="008E6859">
      <w:pPr>
        <w:jc w:val="both"/>
        <w:rPr>
          <w:color w:val="000000"/>
        </w:rPr>
      </w:pPr>
      <w:r>
        <w:rPr>
          <w:color w:val="000000"/>
        </w:rPr>
        <w:t xml:space="preserve">Fonte: </w:t>
      </w:r>
      <w:r w:rsidRPr="008E6859">
        <w:rPr>
          <w:color w:val="000000"/>
        </w:rPr>
        <w:t xml:space="preserve">Ragu-Nathan, </w:t>
      </w:r>
      <w:proofErr w:type="spellStart"/>
      <w:r w:rsidRPr="008E6859">
        <w:rPr>
          <w:color w:val="000000"/>
        </w:rPr>
        <w:t>Tarafdar</w:t>
      </w:r>
      <w:proofErr w:type="spellEnd"/>
      <w:r w:rsidRPr="008E6859">
        <w:rPr>
          <w:color w:val="000000"/>
        </w:rPr>
        <w:t>, &amp; Ragu-Nat</w:t>
      </w:r>
      <w:r>
        <w:rPr>
          <w:color w:val="000000"/>
        </w:rPr>
        <w:t>han (2008)</w:t>
      </w:r>
    </w:p>
    <w:p w14:paraId="31B425F0" w14:textId="77777777" w:rsidR="008E6859" w:rsidRDefault="008E6859" w:rsidP="00601A27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14:paraId="09E34776" w14:textId="77777777" w:rsidR="006E5DB4" w:rsidRDefault="00601A27" w:rsidP="00F926BA">
      <w:pPr>
        <w:pStyle w:val="Default"/>
        <w:ind w:firstLine="709"/>
        <w:jc w:val="both"/>
      </w:pPr>
      <w:r>
        <w:lastRenderedPageBreak/>
        <w:t xml:space="preserve">O </w:t>
      </w:r>
      <w:proofErr w:type="spellStart"/>
      <w:r>
        <w:t>tecnoestresse</w:t>
      </w:r>
      <w:proofErr w:type="spellEnd"/>
      <w:r>
        <w:t xml:space="preserve"> </w:t>
      </w:r>
      <w:r w:rsidR="00777E03" w:rsidRPr="00D80FEC">
        <w:t xml:space="preserve">pode </w:t>
      </w:r>
      <w:r>
        <w:t xml:space="preserve">gerar </w:t>
      </w:r>
      <w:r w:rsidR="005006E2" w:rsidRPr="00D80FEC">
        <w:t>consequências</w:t>
      </w:r>
      <w:r w:rsidR="005D1B20" w:rsidRPr="00D80FEC">
        <w:t xml:space="preserve"> </w:t>
      </w:r>
      <w:r>
        <w:t>negativas à saúde do trabalhador</w:t>
      </w:r>
      <w:r w:rsidR="005D1B20" w:rsidRPr="00D80FEC">
        <w:t>, tais como problemas no sono, dores de cabeça, dores musculares, transtornos gastrointestinais, bem como danos organizacionais, como o absenteísmo e a redução do desempenho no trabalho</w:t>
      </w:r>
      <w:r w:rsidR="005006E2" w:rsidRPr="00D80FEC">
        <w:t xml:space="preserve"> </w:t>
      </w:r>
      <w:r w:rsidR="005D1B20" w:rsidRPr="00D80FEC">
        <w:t>(</w:t>
      </w:r>
      <w:r w:rsidR="00B81C2F" w:rsidRPr="00D80FEC">
        <w:t xml:space="preserve">Nelson &amp; </w:t>
      </w:r>
      <w:proofErr w:type="spellStart"/>
      <w:r w:rsidR="00B81C2F" w:rsidRPr="00D80FEC">
        <w:t>Simmons</w:t>
      </w:r>
      <w:proofErr w:type="spellEnd"/>
      <w:r w:rsidR="00B81C2F" w:rsidRPr="00D80FEC">
        <w:t xml:space="preserve">, 2013; </w:t>
      </w:r>
      <w:proofErr w:type="spellStart"/>
      <w:r w:rsidR="00B81C2F" w:rsidRPr="00D80FEC">
        <w:t>Salanova</w:t>
      </w:r>
      <w:proofErr w:type="spellEnd"/>
      <w:r w:rsidR="00B81C2F" w:rsidRPr="00D80FEC">
        <w:t xml:space="preserve"> </w:t>
      </w:r>
      <w:r w:rsidR="00B81C2F" w:rsidRPr="00D80FEC">
        <w:rPr>
          <w:i/>
        </w:rPr>
        <w:t>et al</w:t>
      </w:r>
      <w:r w:rsidR="00B81C2F" w:rsidRPr="00D80FEC">
        <w:t>.</w:t>
      </w:r>
      <w:r w:rsidR="00BC49F8" w:rsidRPr="00D80FEC">
        <w:t xml:space="preserve">, 2004, 2007; </w:t>
      </w:r>
      <w:proofErr w:type="spellStart"/>
      <w:r>
        <w:t>Tacy</w:t>
      </w:r>
      <w:proofErr w:type="spellEnd"/>
      <w:r>
        <w:t>, 2016</w:t>
      </w:r>
      <w:r w:rsidR="00BC49F8" w:rsidRPr="00D80FEC">
        <w:t>).</w:t>
      </w:r>
      <w:r w:rsidR="00BB27E5" w:rsidRPr="00D80FEC">
        <w:t xml:space="preserve"> </w:t>
      </w:r>
    </w:p>
    <w:p w14:paraId="4DC2A6EB" w14:textId="6F392B18" w:rsidR="004807D3" w:rsidRPr="00F926BA" w:rsidRDefault="00F926BA" w:rsidP="00F926BA">
      <w:pPr>
        <w:pStyle w:val="Default"/>
        <w:ind w:firstLine="709"/>
        <w:jc w:val="both"/>
        <w:rPr>
          <w:i/>
        </w:rPr>
      </w:pPr>
      <w:r>
        <w:t>A</w:t>
      </w:r>
      <w:r w:rsidR="001178D4" w:rsidRPr="00D80FEC">
        <w:t>ssim, elabora-se</w:t>
      </w:r>
      <w:r w:rsidR="00BC49F8" w:rsidRPr="00D80FEC">
        <w:t xml:space="preserve"> a primeira hipótese</w:t>
      </w:r>
      <w:r w:rsidR="00695727">
        <w:t xml:space="preserve"> (H1)</w:t>
      </w:r>
      <w:r w:rsidR="00BC49F8" w:rsidRPr="00D80FEC">
        <w:t xml:space="preserve"> deste estudo</w:t>
      </w:r>
      <w:r w:rsidR="00BC49F8" w:rsidRPr="00F926BA">
        <w:t>:</w:t>
      </w:r>
      <w:r w:rsidR="00695727" w:rsidRPr="00F926BA">
        <w:t xml:space="preserve"> </w:t>
      </w:r>
      <w:r w:rsidRPr="00F926BA">
        <w:rPr>
          <w:i/>
        </w:rPr>
        <w:t>o</w:t>
      </w:r>
      <w:r w:rsidR="00BC49F8" w:rsidRPr="00F926BA">
        <w:rPr>
          <w:i/>
        </w:rPr>
        <w:t xml:space="preserve"> </w:t>
      </w:r>
      <w:proofErr w:type="spellStart"/>
      <w:r w:rsidR="004737F6" w:rsidRPr="00F926BA">
        <w:rPr>
          <w:i/>
        </w:rPr>
        <w:t>tecnoestresse</w:t>
      </w:r>
      <w:proofErr w:type="spellEnd"/>
      <w:r w:rsidR="004737F6" w:rsidRPr="00F926BA">
        <w:rPr>
          <w:i/>
        </w:rPr>
        <w:t xml:space="preserve"> </w:t>
      </w:r>
      <w:r w:rsidR="00BC49F8" w:rsidRPr="00F926BA">
        <w:rPr>
          <w:i/>
        </w:rPr>
        <w:t>influ</w:t>
      </w:r>
      <w:r w:rsidR="004737F6" w:rsidRPr="00F926BA">
        <w:rPr>
          <w:i/>
        </w:rPr>
        <w:t>e</w:t>
      </w:r>
      <w:r w:rsidR="00BC49F8" w:rsidRPr="00F926BA">
        <w:rPr>
          <w:i/>
        </w:rPr>
        <w:t>ncia positivamente a exaustão no trabalho.</w:t>
      </w:r>
    </w:p>
    <w:p w14:paraId="1BA7A7F6" w14:textId="77777777" w:rsidR="006E5DB4" w:rsidRDefault="006E5DB4" w:rsidP="006C2B08">
      <w:pPr>
        <w:ind w:firstLine="720"/>
        <w:jc w:val="both"/>
      </w:pPr>
    </w:p>
    <w:p w14:paraId="3B1A24CA" w14:textId="503E161D" w:rsidR="00814C64" w:rsidRPr="00D80FEC" w:rsidRDefault="00531E68" w:rsidP="006C2B08">
      <w:pPr>
        <w:ind w:firstLine="720"/>
        <w:jc w:val="both"/>
      </w:pPr>
      <w:r w:rsidRPr="00D80FEC">
        <w:t xml:space="preserve">Além disso, </w:t>
      </w:r>
      <w:r w:rsidR="00814C64" w:rsidRPr="00D80FEC">
        <w:t xml:space="preserve">relações de poder desenvolvidas dentro das organizações e a diversidade de interesses </w:t>
      </w:r>
      <w:r w:rsidR="004978C8" w:rsidRPr="00D80FEC">
        <w:t>pode</w:t>
      </w:r>
      <w:r w:rsidR="001502CA" w:rsidRPr="00D80FEC">
        <w:t>m</w:t>
      </w:r>
      <w:r w:rsidR="004978C8" w:rsidRPr="00D80FEC">
        <w:t xml:space="preserve"> gerar</w:t>
      </w:r>
      <w:r w:rsidR="00814C64" w:rsidRPr="00D80FEC">
        <w:t xml:space="preserve"> conflitos</w:t>
      </w:r>
      <w:r w:rsidR="00342A0E">
        <w:t xml:space="preserve"> na medida das diferentes necessidades dos </w:t>
      </w:r>
      <w:r w:rsidR="008E618A" w:rsidRPr="00D80FEC">
        <w:t>colaboradores</w:t>
      </w:r>
      <w:r w:rsidR="00342A0E" w:rsidRPr="00D80FEC">
        <w:t xml:space="preserve"> </w:t>
      </w:r>
      <w:r w:rsidR="00342A0E">
        <w:t xml:space="preserve">e, por consequência, </w:t>
      </w:r>
      <w:r w:rsidR="00342A0E" w:rsidRPr="00D80FEC">
        <w:t xml:space="preserve">não </w:t>
      </w:r>
      <w:r w:rsidR="00342A0E">
        <w:t xml:space="preserve">atuarem </w:t>
      </w:r>
      <w:proofErr w:type="spellStart"/>
      <w:r w:rsidR="00342A0E">
        <w:t>colaborativamente</w:t>
      </w:r>
      <w:proofErr w:type="spellEnd"/>
      <w:r w:rsidR="00342A0E">
        <w:t xml:space="preserve"> com seus pares </w:t>
      </w:r>
      <w:r w:rsidR="00814C64" w:rsidRPr="00D80FEC">
        <w:t>(</w:t>
      </w:r>
      <w:proofErr w:type="spellStart"/>
      <w:r w:rsidR="00F25BAC" w:rsidRPr="00D80FEC">
        <w:t>Adizes</w:t>
      </w:r>
      <w:proofErr w:type="spellEnd"/>
      <w:r w:rsidR="00F25BAC" w:rsidRPr="00D80FEC">
        <w:t>, 2002; Motta</w:t>
      </w:r>
      <w:r w:rsidR="00814C64" w:rsidRPr="00D80FEC">
        <w:t>, 200</w:t>
      </w:r>
      <w:r w:rsidR="00AB789E" w:rsidRPr="00D80FEC">
        <w:t>4</w:t>
      </w:r>
      <w:r w:rsidR="00814C64" w:rsidRPr="00D80FEC">
        <w:t>).</w:t>
      </w:r>
    </w:p>
    <w:p w14:paraId="0C037122" w14:textId="0BD9DE50" w:rsidR="00CC100B" w:rsidRPr="00D80FEC" w:rsidRDefault="00CC100B" w:rsidP="00AD67D9">
      <w:pPr>
        <w:autoSpaceDE w:val="0"/>
        <w:autoSpaceDN w:val="0"/>
        <w:adjustRightInd w:val="0"/>
        <w:ind w:firstLine="720"/>
        <w:jc w:val="both"/>
      </w:pPr>
      <w:r w:rsidRPr="00D80FEC">
        <w:t>O conflito de papéis pode ocorrer quando os funcionários não possuem uma definição</w:t>
      </w:r>
      <w:r w:rsidR="00A02A49" w:rsidRPr="00D80FEC">
        <w:t xml:space="preserve"> </w:t>
      </w:r>
      <w:r w:rsidRPr="00D80FEC">
        <w:t xml:space="preserve">da formação de um papel, </w:t>
      </w:r>
      <w:r w:rsidR="00056B87" w:rsidRPr="00D80FEC">
        <w:t xml:space="preserve">o que </w:t>
      </w:r>
      <w:r w:rsidRPr="00D80FEC">
        <w:t>gera conflito social causado por assumir papéis distintos e incompatíveis (</w:t>
      </w:r>
      <w:proofErr w:type="spellStart"/>
      <w:r w:rsidR="00F25BAC" w:rsidRPr="00D80FEC">
        <w:t>Biddle</w:t>
      </w:r>
      <w:proofErr w:type="spellEnd"/>
      <w:r w:rsidR="005F6DB6" w:rsidRPr="00D80FEC">
        <w:t xml:space="preserve">, Bank, Anderson, </w:t>
      </w:r>
      <w:proofErr w:type="spellStart"/>
      <w:r w:rsidR="005F6DB6" w:rsidRPr="00D80FEC">
        <w:t>Hauge</w:t>
      </w:r>
      <w:proofErr w:type="spellEnd"/>
      <w:r w:rsidR="005F6DB6" w:rsidRPr="00D80FEC">
        <w:t xml:space="preserve"> &amp; </w:t>
      </w:r>
      <w:proofErr w:type="spellStart"/>
      <w:r w:rsidR="005F6DB6" w:rsidRPr="00D80FEC">
        <w:t>Keats</w:t>
      </w:r>
      <w:proofErr w:type="spellEnd"/>
      <w:r w:rsidR="005F6DB6" w:rsidRPr="00D80FEC">
        <w:t xml:space="preserve">, </w:t>
      </w:r>
      <w:r w:rsidRPr="00D80FEC">
        <w:t>198</w:t>
      </w:r>
      <w:r w:rsidR="008447A6" w:rsidRPr="00D80FEC">
        <w:t>5</w:t>
      </w:r>
      <w:r w:rsidRPr="00D80FEC">
        <w:t xml:space="preserve">). </w:t>
      </w:r>
    </w:p>
    <w:p w14:paraId="5DC64499" w14:textId="77777777" w:rsidR="00BC49F8" w:rsidRPr="00D80FEC" w:rsidRDefault="00BC49F8" w:rsidP="00807BEB">
      <w:pPr>
        <w:autoSpaceDE w:val="0"/>
        <w:autoSpaceDN w:val="0"/>
        <w:adjustRightInd w:val="0"/>
        <w:ind w:firstLine="720"/>
        <w:jc w:val="both"/>
      </w:pPr>
      <w:r w:rsidRPr="00D80FEC">
        <w:t xml:space="preserve">O conhecimento dos tipos de conflitos de papéis é importante para </w:t>
      </w:r>
      <w:r w:rsidR="00D80F6B" w:rsidRPr="00D80FEC">
        <w:t xml:space="preserve">a </w:t>
      </w:r>
      <w:r w:rsidRPr="00D80FEC">
        <w:t>gestão organizacional. É fundamental que atitudes sejam estabelecidas e processos internos</w:t>
      </w:r>
      <w:r w:rsidR="00D80F6B" w:rsidRPr="00D80FEC">
        <w:t xml:space="preserve"> sejam priorizados</w:t>
      </w:r>
      <w:r w:rsidRPr="00D80FEC">
        <w:t xml:space="preserve"> dentro da organização, </w:t>
      </w:r>
      <w:r w:rsidR="00056B87" w:rsidRPr="00D80FEC">
        <w:t xml:space="preserve">para se </w:t>
      </w:r>
      <w:r w:rsidRPr="00D80FEC">
        <w:t>preven</w:t>
      </w:r>
      <w:r w:rsidR="00056B87" w:rsidRPr="00D80FEC">
        <w:t>ir</w:t>
      </w:r>
      <w:r w:rsidRPr="00D80FEC">
        <w:t xml:space="preserve"> sentimentos de raiva, tensão ou intolerância </w:t>
      </w:r>
      <w:r w:rsidR="00D158FF" w:rsidRPr="00D80FEC">
        <w:t>pela troca ou discussões</w:t>
      </w:r>
      <w:r w:rsidR="00D80F6B" w:rsidRPr="00D80FEC">
        <w:t>,</w:t>
      </w:r>
      <w:r w:rsidR="00D158FF" w:rsidRPr="00D80FEC">
        <w:t xml:space="preserve"> tarefas desnecessária</w:t>
      </w:r>
      <w:r w:rsidR="00D80F6B" w:rsidRPr="00D80FEC">
        <w:t>s</w:t>
      </w:r>
      <w:r w:rsidR="00D158FF" w:rsidRPr="00D80FEC">
        <w:t xml:space="preserve"> por falta de planejamento adequado na gestão organizacional</w:t>
      </w:r>
      <w:r w:rsidRPr="00D80FEC">
        <w:t xml:space="preserve"> (</w:t>
      </w:r>
      <w:r w:rsidR="00F25BAC" w:rsidRPr="00D80FEC">
        <w:t>Silva &amp; Puente-</w:t>
      </w:r>
      <w:proofErr w:type="spellStart"/>
      <w:r w:rsidR="00F25BAC" w:rsidRPr="00D80FEC">
        <w:t>Palacios</w:t>
      </w:r>
      <w:proofErr w:type="spellEnd"/>
      <w:r w:rsidRPr="00D80FEC">
        <w:t>, 2010).</w:t>
      </w:r>
    </w:p>
    <w:p w14:paraId="208B3E8F" w14:textId="54ECED52" w:rsidR="00BC49F8" w:rsidRPr="00D80FEC" w:rsidRDefault="00BC49F8" w:rsidP="00807BEB">
      <w:pPr>
        <w:tabs>
          <w:tab w:val="left" w:pos="6946"/>
        </w:tabs>
        <w:autoSpaceDE w:val="0"/>
        <w:autoSpaceDN w:val="0"/>
        <w:adjustRightInd w:val="0"/>
        <w:ind w:firstLine="720"/>
        <w:jc w:val="both"/>
      </w:pPr>
      <w:r w:rsidRPr="00D80FEC">
        <w:t xml:space="preserve">O conflito </w:t>
      </w:r>
      <w:r w:rsidR="00DD3EE1">
        <w:t xml:space="preserve">de papéis </w:t>
      </w:r>
      <w:r w:rsidRPr="00D80FEC">
        <w:t xml:space="preserve">pode ser funcional quando </w:t>
      </w:r>
      <w:r w:rsidR="00DD3EE1">
        <w:t xml:space="preserve">gera </w:t>
      </w:r>
      <w:r w:rsidRPr="00D80FEC">
        <w:t xml:space="preserve">atitudes </w:t>
      </w:r>
      <w:r w:rsidR="00DD3EE1">
        <w:t>e resultados positivo</w:t>
      </w:r>
      <w:r w:rsidRPr="00D80FEC">
        <w:t xml:space="preserve">s </w:t>
      </w:r>
      <w:r w:rsidR="00DD3EE1">
        <w:t>pelos</w:t>
      </w:r>
      <w:r w:rsidRPr="00D80FEC">
        <w:t xml:space="preserve"> envolvidos</w:t>
      </w:r>
      <w:r w:rsidR="00DD3EE1">
        <w:t xml:space="preserve"> e </w:t>
      </w:r>
      <w:r w:rsidRPr="00D80FEC">
        <w:t xml:space="preserve">que atuam de forma construtiva </w:t>
      </w:r>
      <w:r w:rsidR="00056B87" w:rsidRPr="00D80FEC">
        <w:t xml:space="preserve">para </w:t>
      </w:r>
      <w:r w:rsidRPr="00D80FEC">
        <w:t>apoia</w:t>
      </w:r>
      <w:r w:rsidR="00056B87" w:rsidRPr="00D80FEC">
        <w:t>r</w:t>
      </w:r>
      <w:r w:rsidRPr="00D80FEC">
        <w:t xml:space="preserve"> os objetivos da equipe e melhora</w:t>
      </w:r>
      <w:r w:rsidR="00056B87" w:rsidRPr="00D80FEC">
        <w:t>r</w:t>
      </w:r>
      <w:r w:rsidRPr="00D80FEC">
        <w:t xml:space="preserve"> o desempenho organizacional; ou disfuncional, quando causa atitudes negativas, sentimentos desagradáveis e comportamento</w:t>
      </w:r>
      <w:r w:rsidR="00DD3EE1">
        <w:t>s</w:t>
      </w:r>
      <w:r w:rsidRPr="00D80FEC">
        <w:t xml:space="preserve"> constrangedor</w:t>
      </w:r>
      <w:r w:rsidR="00DD3EE1">
        <w:t>es</w:t>
      </w:r>
      <w:r w:rsidRPr="00D80FEC">
        <w:t xml:space="preserve"> no local de trabalho, sendo </w:t>
      </w:r>
      <w:r w:rsidR="00903944" w:rsidRPr="00D80FEC">
        <w:t xml:space="preserve">necessária a interferência </w:t>
      </w:r>
      <w:r w:rsidR="00DD3EE1">
        <w:t xml:space="preserve">dos </w:t>
      </w:r>
      <w:r w:rsidR="0019304F">
        <w:t xml:space="preserve">líderes das equipes de trabalhos </w:t>
      </w:r>
      <w:r w:rsidRPr="00D80FEC">
        <w:t>(</w:t>
      </w:r>
      <w:proofErr w:type="spellStart"/>
      <w:r w:rsidR="0051397A" w:rsidRPr="00D80FEC">
        <w:t>Dubrin</w:t>
      </w:r>
      <w:proofErr w:type="spellEnd"/>
      <w:r w:rsidR="0019304F">
        <w:t>, 200</w:t>
      </w:r>
      <w:r w:rsidR="008128E2">
        <w:t>3</w:t>
      </w:r>
      <w:r w:rsidRPr="00D80FEC">
        <w:t>).</w:t>
      </w:r>
    </w:p>
    <w:p w14:paraId="512EC6D1" w14:textId="77777777" w:rsidR="0019304F" w:rsidRPr="00D80FEC" w:rsidRDefault="0019304F" w:rsidP="0019304F">
      <w:pPr>
        <w:autoSpaceDE w:val="0"/>
        <w:autoSpaceDN w:val="0"/>
        <w:adjustRightInd w:val="0"/>
        <w:ind w:firstLine="720"/>
        <w:contextualSpacing/>
        <w:jc w:val="both"/>
      </w:pPr>
      <w:r w:rsidRPr="00D80FEC">
        <w:t xml:space="preserve">Por outro lado, à compreensão de conflito de papel, há </w:t>
      </w:r>
      <w:r>
        <w:t xml:space="preserve">autores </w:t>
      </w:r>
      <w:r w:rsidRPr="00D80FEC">
        <w:t xml:space="preserve">que </w:t>
      </w:r>
      <w:r>
        <w:t xml:space="preserve">recomendam </w:t>
      </w:r>
      <w:r w:rsidRPr="00D80FEC">
        <w:t xml:space="preserve">que a performance de múltiplos papéis </w:t>
      </w:r>
      <w:r>
        <w:t>por um trabalhador seja acompanhada de gratificações</w:t>
      </w:r>
      <w:r w:rsidRPr="00D80FEC">
        <w:t xml:space="preserve"> e vantagens </w:t>
      </w:r>
      <w:r>
        <w:t xml:space="preserve">individuais </w:t>
      </w:r>
      <w:r w:rsidRPr="00D80FEC">
        <w:t xml:space="preserve">à sua </w:t>
      </w:r>
      <w:r>
        <w:t xml:space="preserve">continuidade com objetivo também de reduzir </w:t>
      </w:r>
      <w:r w:rsidRPr="00D80FEC">
        <w:t xml:space="preserve">os efeitos negativos </w:t>
      </w:r>
      <w:r>
        <w:t>das múltiplas funções</w:t>
      </w:r>
      <w:r w:rsidRPr="00D80FEC">
        <w:t xml:space="preserve"> e</w:t>
      </w:r>
      <w:r>
        <w:t>, simultaneamente,</w:t>
      </w:r>
      <w:r w:rsidRPr="00D80FEC">
        <w:t xml:space="preserve"> estimular </w:t>
      </w:r>
      <w:r>
        <w:t xml:space="preserve">esse </w:t>
      </w:r>
      <w:r w:rsidRPr="00D80FEC">
        <w:t>colaborador (</w:t>
      </w:r>
      <w:proofErr w:type="spellStart"/>
      <w:r w:rsidRPr="00D80FEC">
        <w:t>Grzywacz</w:t>
      </w:r>
      <w:proofErr w:type="spellEnd"/>
      <w:r w:rsidRPr="00D80FEC">
        <w:t xml:space="preserve"> &amp; </w:t>
      </w:r>
      <w:proofErr w:type="spellStart"/>
      <w:r w:rsidRPr="00D80FEC">
        <w:t>Marks</w:t>
      </w:r>
      <w:proofErr w:type="spellEnd"/>
      <w:r w:rsidRPr="00D80FEC">
        <w:t xml:space="preserve">, 2000). </w:t>
      </w:r>
    </w:p>
    <w:p w14:paraId="522CAA89" w14:textId="58E0A830" w:rsidR="00BC49F8" w:rsidRPr="00D80FEC" w:rsidRDefault="00BC49F8" w:rsidP="00807BEB">
      <w:pPr>
        <w:autoSpaceDE w:val="0"/>
        <w:autoSpaceDN w:val="0"/>
        <w:adjustRightInd w:val="0"/>
        <w:ind w:firstLine="720"/>
        <w:contextualSpacing/>
        <w:jc w:val="both"/>
      </w:pPr>
      <w:r w:rsidRPr="00D80FEC">
        <w:t>O conflito entre papéis é uma forma de incompatibilidade quando as pressões exercidas por um papel são discordantes com as pressões exercidas por outro</w:t>
      </w:r>
      <w:r w:rsidR="0019304F">
        <w:t xml:space="preserve"> ator</w:t>
      </w:r>
      <w:r w:rsidRPr="00D80FEC">
        <w:t>.</w:t>
      </w:r>
      <w:r w:rsidR="0019304F">
        <w:t xml:space="preserve"> </w:t>
      </w:r>
      <w:r w:rsidRPr="00D80FEC">
        <w:t>Ten</w:t>
      </w:r>
      <w:r w:rsidR="0019304F">
        <w:t>do como ponto de vista dessa tensão</w:t>
      </w:r>
      <w:r w:rsidRPr="00D80FEC">
        <w:t xml:space="preserve">, os riscos de incompatibilidade </w:t>
      </w:r>
      <w:r w:rsidR="009C0C30" w:rsidRPr="00D80FEC">
        <w:t>são</w:t>
      </w:r>
      <w:r w:rsidRPr="00D80FEC">
        <w:t xml:space="preserve"> proporciona</w:t>
      </w:r>
      <w:r w:rsidR="009C0C30" w:rsidRPr="00D80FEC">
        <w:t>is</w:t>
      </w:r>
      <w:r w:rsidRPr="00D80FEC">
        <w:t xml:space="preserve"> </w:t>
      </w:r>
      <w:r w:rsidR="0019304F">
        <w:t xml:space="preserve">ao acumulo e diversidade </w:t>
      </w:r>
      <w:r w:rsidRPr="00D80FEC">
        <w:t>de papéis</w:t>
      </w:r>
      <w:r w:rsidR="0019304F">
        <w:t xml:space="preserve">, onde certo trabalhador </w:t>
      </w:r>
      <w:r w:rsidRPr="00D80FEC">
        <w:t>pessoa não con</w:t>
      </w:r>
      <w:r w:rsidR="00D44BE4" w:rsidRPr="00D80FEC">
        <w:t xml:space="preserve">segue atender </w:t>
      </w:r>
      <w:r w:rsidR="0019304F">
        <w:t>as distintas demandas organizacionais exigida</w:t>
      </w:r>
      <w:r w:rsidRPr="00D80FEC">
        <w:t>s e</w:t>
      </w:r>
      <w:r w:rsidR="000F0B7B" w:rsidRPr="00D80FEC">
        <w:t>,</w:t>
      </w:r>
      <w:r w:rsidRPr="00D80FEC">
        <w:t xml:space="preserve"> consequentemente</w:t>
      </w:r>
      <w:r w:rsidR="000F0B7B" w:rsidRPr="00D80FEC">
        <w:t>,</w:t>
      </w:r>
      <w:r w:rsidR="0019304F">
        <w:t xml:space="preserve"> surge o conflito </w:t>
      </w:r>
      <w:r w:rsidRPr="00D80FEC">
        <w:t>(</w:t>
      </w:r>
      <w:proofErr w:type="spellStart"/>
      <w:r w:rsidR="000F0B7B" w:rsidRPr="00D80FEC">
        <w:t>Voydanoff</w:t>
      </w:r>
      <w:proofErr w:type="spellEnd"/>
      <w:r w:rsidRPr="00D80FEC">
        <w:t>, 2002).</w:t>
      </w:r>
    </w:p>
    <w:p w14:paraId="009AB640" w14:textId="77777777" w:rsidR="006E5DB4" w:rsidRDefault="0019304F" w:rsidP="00CA0C30">
      <w:pPr>
        <w:pStyle w:val="Default"/>
        <w:ind w:firstLine="720"/>
        <w:contextualSpacing/>
        <w:jc w:val="both"/>
        <w:rPr>
          <w:rFonts w:cs="Apple Garamond Light"/>
        </w:rPr>
      </w:pPr>
      <w:r>
        <w:t>De qualquer forma, o</w:t>
      </w:r>
      <w:r w:rsidR="00704870" w:rsidRPr="00D80FEC">
        <w:t xml:space="preserve"> conflito de </w:t>
      </w:r>
      <w:r w:rsidR="00F43267" w:rsidRPr="00D80FEC">
        <w:t xml:space="preserve">papéis </w:t>
      </w:r>
      <w:r w:rsidR="00704870" w:rsidRPr="00D80FEC">
        <w:rPr>
          <w:rFonts w:cs="Arial"/>
          <w:color w:val="232323"/>
          <w:lang w:val="pt-PT"/>
        </w:rPr>
        <w:t>é um tipo de conflito social causado por um indivíduo que está sendo forçado a assumir papéis distintos e incompatíveis</w:t>
      </w:r>
      <w:r w:rsidR="00E36DB8" w:rsidRPr="00D80FEC">
        <w:t xml:space="preserve"> no trabalho</w:t>
      </w:r>
      <w:r>
        <w:t xml:space="preserve"> e que </w:t>
      </w:r>
      <w:r w:rsidR="00E36DB8" w:rsidRPr="00D80FEC">
        <w:t xml:space="preserve">pode levar o colaborador à exaustão emocional </w:t>
      </w:r>
      <w:r w:rsidR="0037436A" w:rsidRPr="00D80FEC">
        <w:t>e</w:t>
      </w:r>
      <w:r w:rsidR="00E36DB8" w:rsidRPr="00D80FEC">
        <w:t xml:space="preserve"> o desenvolvimento de </w:t>
      </w:r>
      <w:r w:rsidR="000F12EC" w:rsidRPr="00D80FEC">
        <w:t xml:space="preserve">ansiedade, depressão </w:t>
      </w:r>
      <w:r w:rsidR="004E012A" w:rsidRPr="00D80FEC">
        <w:t xml:space="preserve">e </w:t>
      </w:r>
      <w:r>
        <w:t xml:space="preserve">a </w:t>
      </w:r>
      <w:r w:rsidR="004E012A" w:rsidRPr="00D80FEC">
        <w:t xml:space="preserve">diminuição do </w:t>
      </w:r>
      <w:r w:rsidR="0037436A" w:rsidRPr="00D80FEC">
        <w:t xml:space="preserve">seu </w:t>
      </w:r>
      <w:r w:rsidR="004E012A" w:rsidRPr="00D80FEC">
        <w:t xml:space="preserve">bem-estar </w:t>
      </w:r>
      <w:r w:rsidR="00E36DB8" w:rsidRPr="00D80FEC">
        <w:t>(</w:t>
      </w:r>
      <w:proofErr w:type="spellStart"/>
      <w:r w:rsidR="00E36DB8" w:rsidRPr="00D80FEC">
        <w:t>Nordenmark</w:t>
      </w:r>
      <w:proofErr w:type="spellEnd"/>
      <w:r w:rsidR="00E36DB8" w:rsidRPr="00D80FEC">
        <w:t xml:space="preserve">, 2002; </w:t>
      </w:r>
      <w:proofErr w:type="spellStart"/>
      <w:r w:rsidR="00E36DB8" w:rsidRPr="00D80FEC">
        <w:t>Simbula</w:t>
      </w:r>
      <w:proofErr w:type="spellEnd"/>
      <w:r w:rsidR="00E36DB8" w:rsidRPr="00D80FEC">
        <w:t>, 2010)</w:t>
      </w:r>
      <w:r w:rsidR="004E012A" w:rsidRPr="00D80FEC">
        <w:t>.</w:t>
      </w:r>
      <w:r w:rsidR="00F905FC">
        <w:rPr>
          <w:rFonts w:cs="Apple Garamond Light"/>
        </w:rPr>
        <w:t xml:space="preserve"> </w:t>
      </w:r>
    </w:p>
    <w:p w14:paraId="552C4097" w14:textId="4A4E784F" w:rsidR="0019304F" w:rsidRDefault="0019304F" w:rsidP="00CA0C30">
      <w:pPr>
        <w:pStyle w:val="Default"/>
        <w:ind w:firstLine="720"/>
        <w:contextualSpacing/>
        <w:jc w:val="both"/>
        <w:rPr>
          <w:i/>
        </w:rPr>
      </w:pPr>
      <w:r>
        <w:rPr>
          <w:rFonts w:cs="Apple Garamond Light"/>
        </w:rPr>
        <w:t xml:space="preserve">Assim, </w:t>
      </w:r>
      <w:r w:rsidR="00CA0C30">
        <w:t>formula</w:t>
      </w:r>
      <w:r w:rsidR="00BC49F8" w:rsidRPr="00D80FEC">
        <w:t>-se a segunda hipótese</w:t>
      </w:r>
      <w:r w:rsidR="00695727">
        <w:t xml:space="preserve"> (H2)</w:t>
      </w:r>
      <w:r w:rsidR="00BC49F8" w:rsidRPr="00D80FEC">
        <w:t>:</w:t>
      </w:r>
      <w:r w:rsidR="00695727">
        <w:t xml:space="preserve"> </w:t>
      </w:r>
      <w:r>
        <w:t>o</w:t>
      </w:r>
      <w:r w:rsidR="00BC49F8" w:rsidRPr="0019304F">
        <w:rPr>
          <w:i/>
        </w:rPr>
        <w:t xml:space="preserve"> </w:t>
      </w:r>
      <w:r w:rsidR="000F0B7B" w:rsidRPr="0019304F">
        <w:rPr>
          <w:i/>
        </w:rPr>
        <w:t xml:space="preserve">conflito de papéis influencia positivamente a exaustão </w:t>
      </w:r>
      <w:r w:rsidR="00BC49F8" w:rsidRPr="0019304F">
        <w:rPr>
          <w:i/>
        </w:rPr>
        <w:t>no trabalho.</w:t>
      </w:r>
    </w:p>
    <w:p w14:paraId="6EB22DA2" w14:textId="77777777" w:rsidR="006E5DB4" w:rsidRDefault="006E5DB4" w:rsidP="00CA0C30">
      <w:pPr>
        <w:autoSpaceDE w:val="0"/>
        <w:autoSpaceDN w:val="0"/>
        <w:adjustRightInd w:val="0"/>
        <w:ind w:firstLine="720"/>
        <w:contextualSpacing/>
        <w:jc w:val="both"/>
      </w:pPr>
    </w:p>
    <w:p w14:paraId="2EE60D6A" w14:textId="5734E404" w:rsidR="00CA0C30" w:rsidRDefault="00703A5D" w:rsidP="00CA0C30">
      <w:pPr>
        <w:autoSpaceDE w:val="0"/>
        <w:autoSpaceDN w:val="0"/>
        <w:adjustRightInd w:val="0"/>
        <w:ind w:firstLine="720"/>
        <w:contextualSpacing/>
        <w:jc w:val="both"/>
      </w:pPr>
      <w:r>
        <w:t>Recomenda-se que o</w:t>
      </w:r>
      <w:r w:rsidR="00CA0C30" w:rsidRPr="00D80FEC">
        <w:t xml:space="preserve"> clima organizacional </w:t>
      </w:r>
      <w:r>
        <w:t xml:space="preserve">seja </w:t>
      </w:r>
      <w:r w:rsidR="00CA0C30" w:rsidRPr="00D80FEC">
        <w:t>favorável e incentiv</w:t>
      </w:r>
      <w:r>
        <w:t>e</w:t>
      </w:r>
      <w:r w:rsidR="00CA0C30" w:rsidRPr="00D80FEC">
        <w:t xml:space="preserve"> o bom desempenho das atividades laborais. Quando o clima organizacional é equilibrado, os funcionários sentem-se mais confiantes e, consequentemente, </w:t>
      </w:r>
      <w:r>
        <w:t xml:space="preserve">geram </w:t>
      </w:r>
      <w:r w:rsidR="00CA0C30" w:rsidRPr="00D80FEC">
        <w:t xml:space="preserve">impacto positivo no desenvolvimento de suas atividades (Barroso, 2013). </w:t>
      </w:r>
    </w:p>
    <w:p w14:paraId="2C73CEE7" w14:textId="77777777" w:rsidR="0036129E" w:rsidRDefault="0036129E" w:rsidP="00703A5D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</w:rPr>
      </w:pPr>
      <w:r w:rsidRPr="00D80FEC">
        <w:rPr>
          <w:color w:val="000000"/>
        </w:rPr>
        <w:t xml:space="preserve">A confiança do colaborador na organização </w:t>
      </w:r>
      <w:r>
        <w:rPr>
          <w:color w:val="000000"/>
        </w:rPr>
        <w:t xml:space="preserve">pode ser considerada como o </w:t>
      </w:r>
      <w:r w:rsidRPr="00D80FEC">
        <w:rPr>
          <w:color w:val="000000"/>
        </w:rPr>
        <w:t xml:space="preserve">conjunto de cognições interdependentes que agrega </w:t>
      </w:r>
      <w:r>
        <w:rPr>
          <w:color w:val="000000"/>
        </w:rPr>
        <w:t xml:space="preserve">crenças positivas </w:t>
      </w:r>
      <w:r w:rsidRPr="00D80FEC">
        <w:rPr>
          <w:color w:val="000000"/>
        </w:rPr>
        <w:t xml:space="preserve">sobre os padrões éticos, a informação verdadeira, e, por sua vez, a capacidade do reconhecimento do empregado pela empresa (Oliveira, 2004). </w:t>
      </w:r>
    </w:p>
    <w:p w14:paraId="2B9E71F5" w14:textId="4A6F2AC6" w:rsidR="00703A5D" w:rsidRPr="00D023CB" w:rsidRDefault="00703A5D" w:rsidP="00703A5D">
      <w:pPr>
        <w:autoSpaceDE w:val="0"/>
        <w:autoSpaceDN w:val="0"/>
        <w:adjustRightInd w:val="0"/>
        <w:ind w:firstLine="720"/>
        <w:contextualSpacing/>
        <w:jc w:val="both"/>
      </w:pPr>
      <w:r w:rsidRPr="00D80FEC">
        <w:lastRenderedPageBreak/>
        <w:t xml:space="preserve">A confiança </w:t>
      </w:r>
      <w:r w:rsidR="00D568A6">
        <w:t xml:space="preserve">também se manifesta </w:t>
      </w:r>
      <w:r w:rsidRPr="00D80FEC">
        <w:t xml:space="preserve">quando o </w:t>
      </w:r>
      <w:r w:rsidR="00D568A6">
        <w:t xml:space="preserve">indivíduo entende que pode </w:t>
      </w:r>
      <w:r w:rsidRPr="00D80FEC">
        <w:t>contar com outra parte</w:t>
      </w:r>
      <w:r w:rsidR="00D568A6">
        <w:t xml:space="preserve"> sem quaisquer dúvidas de comportamentos negativos resultantes dessa compreensão</w:t>
      </w:r>
      <w:r w:rsidRPr="00D80FEC">
        <w:t>. Portanto, pressupõe</w:t>
      </w:r>
      <w:r>
        <w:t>-se</w:t>
      </w:r>
      <w:r w:rsidRPr="00D80FEC">
        <w:t xml:space="preserve"> </w:t>
      </w:r>
      <w:r w:rsidR="0036129E">
        <w:t xml:space="preserve">atitudes positivas </w:t>
      </w:r>
      <w:r w:rsidRPr="00D80FEC">
        <w:t xml:space="preserve">sobre a benevolência, competência e honestidade da outra parte e que essa se comportará de forma previsível </w:t>
      </w:r>
      <w:r>
        <w:t xml:space="preserve">e responsável </w:t>
      </w:r>
      <w:r w:rsidRPr="00D80FEC">
        <w:t>em uma dada situação (</w:t>
      </w:r>
      <w:proofErr w:type="spellStart"/>
      <w:r w:rsidRPr="00D80FEC">
        <w:t>Mcknight</w:t>
      </w:r>
      <w:proofErr w:type="spellEnd"/>
      <w:r w:rsidRPr="00D80FEC">
        <w:t xml:space="preserve"> &amp; </w:t>
      </w:r>
      <w:proofErr w:type="spellStart"/>
      <w:r w:rsidRPr="00D80FEC">
        <w:t>Chervany</w:t>
      </w:r>
      <w:proofErr w:type="spellEnd"/>
      <w:r w:rsidRPr="00D80FEC">
        <w:t>, 1998).</w:t>
      </w:r>
      <w:r>
        <w:t xml:space="preserve"> </w:t>
      </w:r>
    </w:p>
    <w:p w14:paraId="62ED9293" w14:textId="7469421F" w:rsidR="00CA0C30" w:rsidRPr="00563B3D" w:rsidRDefault="00CA0C30" w:rsidP="00CA0C30">
      <w:pPr>
        <w:autoSpaceDE w:val="0"/>
        <w:autoSpaceDN w:val="0"/>
        <w:adjustRightInd w:val="0"/>
        <w:ind w:firstLine="720"/>
        <w:contextualSpacing/>
        <w:jc w:val="both"/>
        <w:rPr>
          <w:szCs w:val="22"/>
        </w:rPr>
      </w:pPr>
      <w:r w:rsidRPr="00D80FEC">
        <w:rPr>
          <w:lang w:eastAsia="en-US"/>
        </w:rPr>
        <w:t xml:space="preserve">Quando </w:t>
      </w:r>
      <w:r>
        <w:rPr>
          <w:lang w:eastAsia="en-US"/>
        </w:rPr>
        <w:t xml:space="preserve">existem </w:t>
      </w:r>
      <w:r w:rsidRPr="00D80FEC">
        <w:rPr>
          <w:lang w:eastAsia="en-US"/>
        </w:rPr>
        <w:t xml:space="preserve">relações de confiança na gestão </w:t>
      </w:r>
      <w:r>
        <w:rPr>
          <w:lang w:eastAsia="en-US"/>
        </w:rPr>
        <w:t xml:space="preserve">entre os membros da equipe, </w:t>
      </w:r>
      <w:r w:rsidRPr="00D80FEC">
        <w:rPr>
          <w:lang w:eastAsia="en-US"/>
        </w:rPr>
        <w:t xml:space="preserve">os colaboradores </w:t>
      </w:r>
      <w:r w:rsidRPr="00D80FEC">
        <w:t xml:space="preserve">não </w:t>
      </w:r>
      <w:r w:rsidR="00703A5D">
        <w:t>possue</w:t>
      </w:r>
      <w:r w:rsidRPr="00D80FEC">
        <w:t>m medo de expor as suas ações porque sentem confiança que seus</w:t>
      </w:r>
      <w:r>
        <w:t xml:space="preserve"> direitos e interesses não </w:t>
      </w:r>
      <w:r w:rsidR="00703A5D">
        <w:t>serão</w:t>
      </w:r>
      <w:r w:rsidRPr="00D80FEC">
        <w:t xml:space="preserve"> prejudicados, e, desta forma, </w:t>
      </w:r>
      <w:r w:rsidR="00703A5D">
        <w:t xml:space="preserve">acresce </w:t>
      </w:r>
      <w:r w:rsidR="00703A5D" w:rsidRPr="00D80FEC">
        <w:t xml:space="preserve">a satisfação e </w:t>
      </w:r>
      <w:r w:rsidR="00703A5D">
        <w:t xml:space="preserve">o </w:t>
      </w:r>
      <w:r w:rsidR="00703A5D" w:rsidRPr="00D80FEC">
        <w:t xml:space="preserve">comprometimento </w:t>
      </w:r>
      <w:r w:rsidR="00703A5D">
        <w:t xml:space="preserve">no trabalho, além de </w:t>
      </w:r>
      <w:r w:rsidRPr="00D80FEC">
        <w:t>reduz</w:t>
      </w:r>
      <w:r w:rsidR="00703A5D">
        <w:t xml:space="preserve">ir o </w:t>
      </w:r>
      <w:r w:rsidRPr="00D80FEC">
        <w:t>esgotamento emocional (</w:t>
      </w:r>
      <w:proofErr w:type="spellStart"/>
      <w:r w:rsidRPr="00D80FEC">
        <w:t>Migueles</w:t>
      </w:r>
      <w:proofErr w:type="spellEnd"/>
      <w:r w:rsidRPr="00D80FEC">
        <w:t xml:space="preserve"> &amp; </w:t>
      </w:r>
      <w:proofErr w:type="spellStart"/>
      <w:r w:rsidRPr="00D80FEC">
        <w:t>Zanini</w:t>
      </w:r>
      <w:proofErr w:type="spellEnd"/>
      <w:r w:rsidRPr="00D80FEC">
        <w:t xml:space="preserve">, 2014). </w:t>
      </w:r>
    </w:p>
    <w:p w14:paraId="6BCF8355" w14:textId="676FDD6A" w:rsidR="00811329" w:rsidRPr="00D80FEC" w:rsidRDefault="00BC49F8" w:rsidP="00CA0C30">
      <w:pPr>
        <w:pStyle w:val="Default"/>
        <w:ind w:firstLine="720"/>
        <w:contextualSpacing/>
        <w:jc w:val="both"/>
      </w:pPr>
      <w:r w:rsidRPr="00D80FEC">
        <w:t xml:space="preserve">Existem cinco </w:t>
      </w:r>
      <w:r w:rsidR="00E840DF" w:rsidRPr="00D80FEC">
        <w:t>características</w:t>
      </w:r>
      <w:r w:rsidRPr="00D80FEC">
        <w:t xml:space="preserve"> que </w:t>
      </w:r>
      <w:r w:rsidR="00E135EE" w:rsidRPr="00D80FEC">
        <w:t>definem o conceito de confiança</w:t>
      </w:r>
      <w:r w:rsidR="00703A5D">
        <w:t xml:space="preserve"> pelo trabalhador</w:t>
      </w:r>
      <w:r w:rsidR="0087569B" w:rsidRPr="00D80FEC">
        <w:t>:</w:t>
      </w:r>
      <w:r w:rsidR="00E135EE" w:rsidRPr="00D80FEC">
        <w:t xml:space="preserve"> a</w:t>
      </w:r>
      <w:r w:rsidRPr="00D80FEC">
        <w:t xml:space="preserve"> integridade </w:t>
      </w:r>
      <w:r w:rsidR="0087569B" w:rsidRPr="00D80FEC">
        <w:t xml:space="preserve">– </w:t>
      </w:r>
      <w:r w:rsidRPr="00D80FEC">
        <w:t xml:space="preserve">com base na honestidade e confiabilidade; competência </w:t>
      </w:r>
      <w:r w:rsidR="0087569B" w:rsidRPr="00D80FEC">
        <w:t>–</w:t>
      </w:r>
      <w:r w:rsidR="00703A5D">
        <w:t xml:space="preserve"> </w:t>
      </w:r>
      <w:r w:rsidRPr="00D80FEC">
        <w:t xml:space="preserve">habilidades e conhecimentos técnicos e interpessoais; consistência </w:t>
      </w:r>
      <w:r w:rsidR="0087569B" w:rsidRPr="00D80FEC">
        <w:t>–</w:t>
      </w:r>
      <w:r w:rsidRPr="00D80FEC">
        <w:t xml:space="preserve">associada </w:t>
      </w:r>
      <w:r w:rsidR="00703A5D">
        <w:t>à</w:t>
      </w:r>
      <w:r w:rsidRPr="00D80FEC">
        <w:t xml:space="preserve"> segurança, previsibilidade e julgamento na administração das situações; lealdade </w:t>
      </w:r>
      <w:r w:rsidR="0087569B" w:rsidRPr="00D80FEC">
        <w:t>–</w:t>
      </w:r>
      <w:r w:rsidR="00703A5D">
        <w:t xml:space="preserve"> </w:t>
      </w:r>
      <w:r w:rsidRPr="00D80FEC">
        <w:t xml:space="preserve">disposição de proteger e defender outra pessoa; abertura </w:t>
      </w:r>
      <w:r w:rsidR="0087569B" w:rsidRPr="00D80FEC">
        <w:t xml:space="preserve">– </w:t>
      </w:r>
      <w:r w:rsidRPr="00D80FEC">
        <w:t xml:space="preserve">admitir que a outra pessoa </w:t>
      </w:r>
      <w:r w:rsidR="00E840DF" w:rsidRPr="00D80FEC">
        <w:t>tenha</w:t>
      </w:r>
      <w:r w:rsidRPr="00D80FEC">
        <w:t xml:space="preserve"> confiança em você (</w:t>
      </w:r>
      <w:r w:rsidR="0087569B" w:rsidRPr="00D80FEC">
        <w:t>Robbins</w:t>
      </w:r>
      <w:r w:rsidRPr="00D80FEC">
        <w:t>, 2009).</w:t>
      </w:r>
      <w:r w:rsidR="008E0DF4">
        <w:t xml:space="preserve"> </w:t>
      </w:r>
    </w:p>
    <w:p w14:paraId="22952184" w14:textId="2F68B608" w:rsidR="0036129E" w:rsidRPr="00563B3D" w:rsidRDefault="0036129E" w:rsidP="0036129E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0FEC">
        <w:rPr>
          <w:rFonts w:cs="HAHEGM+TimesNewRoman"/>
        </w:rPr>
        <w:t>A confiança na gestão assume um papel de extrema relevância</w:t>
      </w:r>
      <w:r>
        <w:rPr>
          <w:rFonts w:cs="HAHEGM+TimesNewRoman"/>
        </w:rPr>
        <w:t xml:space="preserve"> no cotidiano do trabalho</w:t>
      </w:r>
      <w:r w:rsidRPr="00D80FEC">
        <w:rPr>
          <w:rFonts w:cs="HAHEGM+TimesNewRoman"/>
        </w:rPr>
        <w:t xml:space="preserve"> que é o de facilitar as relações de trabalho e, consequentemente, </w:t>
      </w:r>
      <w:r>
        <w:rPr>
          <w:rFonts w:cs="HAHEGM+TimesNewRoman"/>
        </w:rPr>
        <w:t xml:space="preserve">atingir os </w:t>
      </w:r>
      <w:r w:rsidRPr="00D80FEC">
        <w:rPr>
          <w:rFonts w:cs="HAHEGM+TimesNewRoman"/>
        </w:rPr>
        <w:t xml:space="preserve">objetivos </w:t>
      </w:r>
      <w:r>
        <w:rPr>
          <w:rFonts w:cs="HAHEGM+TimesNewRoman"/>
        </w:rPr>
        <w:t xml:space="preserve">da empresa com maior eficiência </w:t>
      </w:r>
      <w:r w:rsidRPr="00D80FEC">
        <w:rPr>
          <w:rFonts w:cs="HAHEGM+TimesNewRoman"/>
        </w:rPr>
        <w:t>(Williamson, 1985).</w:t>
      </w:r>
      <w:r>
        <w:rPr>
          <w:b/>
        </w:rPr>
        <w:t xml:space="preserve"> </w:t>
      </w:r>
    </w:p>
    <w:p w14:paraId="463AC3C3" w14:textId="1632A71B" w:rsidR="00703A5D" w:rsidRDefault="00703A5D" w:rsidP="00703A5D">
      <w:pPr>
        <w:autoSpaceDE w:val="0"/>
        <w:autoSpaceDN w:val="0"/>
        <w:adjustRightInd w:val="0"/>
        <w:ind w:firstLine="709"/>
        <w:jc w:val="both"/>
        <w:rPr>
          <w:szCs w:val="22"/>
        </w:rPr>
      </w:pPr>
      <w:r>
        <w:t>Nesse sentido, a</w:t>
      </w:r>
      <w:r w:rsidR="00526838" w:rsidRPr="00D80FEC">
        <w:t xml:space="preserve"> relação interpessoal </w:t>
      </w:r>
      <w:r>
        <w:t xml:space="preserve">entre os membros da equipe e seus líderes </w:t>
      </w:r>
      <w:r w:rsidR="00526838" w:rsidRPr="00D80FEC">
        <w:t>é</w:t>
      </w:r>
      <w:r w:rsidR="00EE08E0" w:rsidRPr="00D80FEC">
        <w:t xml:space="preserve"> de extrema importância</w:t>
      </w:r>
      <w:r w:rsidR="00526838" w:rsidRPr="00D80FEC">
        <w:t xml:space="preserve">, </w:t>
      </w:r>
      <w:r>
        <w:t xml:space="preserve">pois costuma resultar </w:t>
      </w:r>
      <w:r w:rsidR="00B458A2" w:rsidRPr="00D80FEC">
        <w:t>no</w:t>
      </w:r>
      <w:r w:rsidR="00EE08E0" w:rsidRPr="00D80FEC">
        <w:t xml:space="preserve"> aumento de produtividade</w:t>
      </w:r>
      <w:r w:rsidR="00526838" w:rsidRPr="00D80FEC">
        <w:t xml:space="preserve"> </w:t>
      </w:r>
      <w:r w:rsidR="00CE7A5F" w:rsidRPr="00D80FEC">
        <w:t xml:space="preserve">no qual os </w:t>
      </w:r>
      <w:r w:rsidR="00526838" w:rsidRPr="00D80FEC">
        <w:t xml:space="preserve">colaboradores </w:t>
      </w:r>
      <w:r>
        <w:t xml:space="preserve">deixam </w:t>
      </w:r>
      <w:r w:rsidR="00EE08E0" w:rsidRPr="00D80FEC">
        <w:t>fluir suas potencialidades</w:t>
      </w:r>
      <w:r>
        <w:t xml:space="preserve"> e contribui à </w:t>
      </w:r>
      <w:r w:rsidR="00AA1AE2" w:rsidRPr="00D80FEC">
        <w:t>redução da exaustão no trabalho</w:t>
      </w:r>
      <w:r w:rsidR="00EE08E0" w:rsidRPr="00D80FEC">
        <w:t xml:space="preserve"> </w:t>
      </w:r>
      <w:r w:rsidR="005434A6" w:rsidRPr="00D80FEC">
        <w:t>(Almeida</w:t>
      </w:r>
      <w:r w:rsidR="00EE08E0" w:rsidRPr="00D80FEC">
        <w:t xml:space="preserve"> &amp; </w:t>
      </w:r>
      <w:proofErr w:type="spellStart"/>
      <w:r w:rsidR="00EE08E0" w:rsidRPr="00D80FEC">
        <w:t>Z</w:t>
      </w:r>
      <w:r w:rsidR="005434A6" w:rsidRPr="00D80FEC">
        <w:t>anini</w:t>
      </w:r>
      <w:proofErr w:type="spellEnd"/>
      <w:r w:rsidR="00EE08E0" w:rsidRPr="00D80FEC">
        <w:t xml:space="preserve">, 2009). </w:t>
      </w:r>
      <w:r w:rsidRPr="00D80FEC">
        <w:rPr>
          <w:szCs w:val="22"/>
        </w:rPr>
        <w:t xml:space="preserve">A confiança está relacionada ao bem-estar do colaborador e isso pode contribuir para o seu desenvolvimento dentro do ambiente de trabalho e, dessa forma, reduzir o estresse (Araújo &amp; Oliveira, 2008; Baptiste, 2008). </w:t>
      </w:r>
    </w:p>
    <w:p w14:paraId="1B0B4165" w14:textId="557D258B" w:rsidR="00F905FC" w:rsidRPr="00703A5D" w:rsidRDefault="00EE08E0" w:rsidP="00695727">
      <w:pPr>
        <w:autoSpaceDE w:val="0"/>
        <w:autoSpaceDN w:val="0"/>
        <w:adjustRightInd w:val="0"/>
        <w:ind w:firstLine="709"/>
        <w:jc w:val="both"/>
        <w:rPr>
          <w:i/>
        </w:rPr>
      </w:pPr>
      <w:r w:rsidRPr="00D80FEC">
        <w:t>Desta forma, elabora-se a terceira hipótese</w:t>
      </w:r>
      <w:r w:rsidR="00695727">
        <w:t xml:space="preserve"> (H3)</w:t>
      </w:r>
      <w:r w:rsidRPr="00D80FEC">
        <w:t>:</w:t>
      </w:r>
      <w:r w:rsidR="00695727">
        <w:t xml:space="preserve"> </w:t>
      </w:r>
      <w:r w:rsidR="00B86673" w:rsidRPr="00703A5D">
        <w:rPr>
          <w:i/>
        </w:rPr>
        <w:t xml:space="preserve">A confiança na gestão influencia negativamente a exaustão no </w:t>
      </w:r>
      <w:r w:rsidR="00BC49F8" w:rsidRPr="00703A5D">
        <w:rPr>
          <w:i/>
        </w:rPr>
        <w:t>trabalho.</w:t>
      </w:r>
      <w:r w:rsidR="00F905FC" w:rsidRPr="00703A5D">
        <w:rPr>
          <w:i/>
        </w:rPr>
        <w:t xml:space="preserve"> </w:t>
      </w:r>
    </w:p>
    <w:p w14:paraId="057EEAA7" w14:textId="77777777" w:rsidR="006E5DB4" w:rsidRDefault="006E5DB4" w:rsidP="008129A2">
      <w:pPr>
        <w:autoSpaceDE w:val="0"/>
        <w:autoSpaceDN w:val="0"/>
        <w:adjustRightInd w:val="0"/>
        <w:ind w:firstLine="720"/>
        <w:jc w:val="both"/>
      </w:pPr>
    </w:p>
    <w:p w14:paraId="1D872562" w14:textId="76C4208B" w:rsidR="008129A2" w:rsidRPr="00D80FEC" w:rsidRDefault="008129A2" w:rsidP="008129A2">
      <w:pPr>
        <w:autoSpaceDE w:val="0"/>
        <w:autoSpaceDN w:val="0"/>
        <w:adjustRightInd w:val="0"/>
        <w:ind w:firstLine="720"/>
        <w:jc w:val="both"/>
      </w:pPr>
      <w:r w:rsidRPr="00D80FEC">
        <w:t>Os colaboradores enfrentam as ações e decisões tomadas pela gestão organizacional constantemente. O entendimento do colaborador em relação às tais decisões, como sendo justas ou injustas, pode influenciar atitudes e comportamentos do colaborador. A justiça organizacional na tomada de decisão pode estimular a aceitação dos colaboradores para muitas decisões organizacionais. Compreender a justiça organizacional é importante para as empresas devido à sua associação com a satisfação dos colaboradores no emprego</w:t>
      </w:r>
      <w:r>
        <w:t xml:space="preserve"> e</w:t>
      </w:r>
      <w:r w:rsidRPr="00D80FEC">
        <w:t xml:space="preserve"> com </w:t>
      </w:r>
      <w:r>
        <w:t xml:space="preserve">o </w:t>
      </w:r>
      <w:r w:rsidRPr="00D80FEC">
        <w:t>comprometimento organizacional (</w:t>
      </w:r>
      <w:proofErr w:type="spellStart"/>
      <w:r w:rsidRPr="00D80FEC">
        <w:t>Owolabi</w:t>
      </w:r>
      <w:proofErr w:type="spellEnd"/>
      <w:r w:rsidRPr="00D80FEC">
        <w:t xml:space="preserve">, 2012; </w:t>
      </w:r>
      <w:proofErr w:type="spellStart"/>
      <w:r w:rsidRPr="00D80FEC">
        <w:t>Sudin</w:t>
      </w:r>
      <w:proofErr w:type="spellEnd"/>
      <w:r w:rsidRPr="00D80FEC">
        <w:t>, 2011).</w:t>
      </w:r>
    </w:p>
    <w:p w14:paraId="17C750F2" w14:textId="169F9DA7" w:rsidR="008129A2" w:rsidRPr="00D80FEC" w:rsidRDefault="008129A2" w:rsidP="008129A2">
      <w:pPr>
        <w:autoSpaceDE w:val="0"/>
        <w:autoSpaceDN w:val="0"/>
        <w:adjustRightInd w:val="0"/>
        <w:ind w:firstLine="720"/>
        <w:jc w:val="both"/>
        <w:rPr>
          <w:rFonts w:cs="MinionPro-Regular"/>
          <w:szCs w:val="26"/>
        </w:rPr>
      </w:pPr>
      <w:r w:rsidRPr="00D80FEC">
        <w:rPr>
          <w:rFonts w:cs="MinionPro-Regular"/>
          <w:szCs w:val="26"/>
        </w:rPr>
        <w:t>O bom desempenho da empresa</w:t>
      </w:r>
      <w:r>
        <w:rPr>
          <w:rFonts w:cs="MinionPro-Regular"/>
          <w:szCs w:val="26"/>
        </w:rPr>
        <w:t>, muitas vezes,</w:t>
      </w:r>
      <w:r w:rsidRPr="00D80FEC">
        <w:rPr>
          <w:rFonts w:cs="MinionPro-Regular"/>
          <w:szCs w:val="26"/>
        </w:rPr>
        <w:t xml:space="preserve"> é refletido no clima de justiça organizacional que atua como fator contra a </w:t>
      </w:r>
      <w:r w:rsidRPr="00D80FEC">
        <w:rPr>
          <w:rFonts w:cs="MinionPro-Regular"/>
          <w:color w:val="000000"/>
          <w:szCs w:val="26"/>
        </w:rPr>
        <w:t xml:space="preserve">insegurança </w:t>
      </w:r>
      <w:r>
        <w:rPr>
          <w:rFonts w:cs="MinionPro-Regular"/>
          <w:color w:val="000000"/>
          <w:szCs w:val="26"/>
        </w:rPr>
        <w:t>pelos trabalhadores</w:t>
      </w:r>
      <w:r w:rsidRPr="00D80FEC">
        <w:rPr>
          <w:rFonts w:cs="MinionPro-Regular"/>
          <w:color w:val="000000"/>
          <w:szCs w:val="26"/>
        </w:rPr>
        <w:t xml:space="preserve">, </w:t>
      </w:r>
      <w:r>
        <w:rPr>
          <w:rFonts w:cs="MinionPro-Regular"/>
          <w:color w:val="000000"/>
          <w:szCs w:val="26"/>
        </w:rPr>
        <w:t xml:space="preserve">onde a </w:t>
      </w:r>
      <w:r w:rsidRPr="00D80FEC">
        <w:rPr>
          <w:rFonts w:cs="MinionPro-Regular"/>
          <w:color w:val="000000"/>
          <w:szCs w:val="26"/>
        </w:rPr>
        <w:t xml:space="preserve">percepção de </w:t>
      </w:r>
      <w:r>
        <w:rPr>
          <w:rFonts w:cs="MinionPro-Regular"/>
          <w:color w:val="000000"/>
          <w:szCs w:val="26"/>
        </w:rPr>
        <w:t xml:space="preserve">uma organização justa </w:t>
      </w:r>
      <w:r w:rsidRPr="00D80FEC">
        <w:rPr>
          <w:rFonts w:cs="MinionPro-Regular"/>
          <w:color w:val="000000"/>
          <w:szCs w:val="26"/>
        </w:rPr>
        <w:t xml:space="preserve">pode melhorar </w:t>
      </w:r>
      <w:r>
        <w:rPr>
          <w:rFonts w:cs="MinionPro-Regular"/>
          <w:color w:val="000000"/>
          <w:szCs w:val="26"/>
        </w:rPr>
        <w:t xml:space="preserve">o </w:t>
      </w:r>
      <w:r w:rsidRPr="00D80FEC">
        <w:rPr>
          <w:rFonts w:cs="MinionPro-Regular"/>
          <w:color w:val="000000"/>
          <w:szCs w:val="26"/>
        </w:rPr>
        <w:t xml:space="preserve">clima organizacional </w:t>
      </w:r>
      <w:r>
        <w:rPr>
          <w:rFonts w:cs="MinionPro-Regular"/>
          <w:color w:val="000000"/>
          <w:szCs w:val="26"/>
        </w:rPr>
        <w:t xml:space="preserve">e </w:t>
      </w:r>
      <w:r w:rsidRPr="00D80FEC">
        <w:rPr>
          <w:rFonts w:cs="MinionPro-Regular"/>
          <w:color w:val="000000"/>
          <w:szCs w:val="26"/>
        </w:rPr>
        <w:t xml:space="preserve">contribuir para melhorar o </w:t>
      </w:r>
      <w:r>
        <w:rPr>
          <w:rFonts w:cs="MinionPro-Regular"/>
          <w:color w:val="000000"/>
          <w:szCs w:val="26"/>
        </w:rPr>
        <w:t xml:space="preserve">desempenho individual </w:t>
      </w:r>
      <w:r w:rsidRPr="00D80FEC">
        <w:rPr>
          <w:rFonts w:cs="MinionPro-Regular"/>
          <w:color w:val="000000"/>
          <w:szCs w:val="26"/>
        </w:rPr>
        <w:t xml:space="preserve">(Sora, </w:t>
      </w:r>
      <w:proofErr w:type="spellStart"/>
      <w:r w:rsidRPr="00D80FEC">
        <w:rPr>
          <w:rFonts w:cs="MinionPro-Regular"/>
          <w:color w:val="000000"/>
          <w:szCs w:val="26"/>
        </w:rPr>
        <w:t>Caballer</w:t>
      </w:r>
      <w:proofErr w:type="spellEnd"/>
      <w:r w:rsidRPr="00D80FEC">
        <w:rPr>
          <w:rFonts w:cs="MinionPro-Regular"/>
          <w:color w:val="000000"/>
          <w:szCs w:val="26"/>
        </w:rPr>
        <w:t xml:space="preserve">, </w:t>
      </w:r>
      <w:proofErr w:type="spellStart"/>
      <w:r w:rsidRPr="00D80FEC">
        <w:rPr>
          <w:rFonts w:cs="MinionPro-Regular"/>
          <w:color w:val="000000"/>
          <w:szCs w:val="26"/>
        </w:rPr>
        <w:t>Peiró</w:t>
      </w:r>
      <w:proofErr w:type="spellEnd"/>
      <w:r w:rsidRPr="00D80FEC">
        <w:rPr>
          <w:rFonts w:cs="MinionPro-Regular"/>
          <w:color w:val="000000"/>
          <w:szCs w:val="26"/>
        </w:rPr>
        <w:t xml:space="preserve">, </w:t>
      </w:r>
      <w:proofErr w:type="spellStart"/>
      <w:r w:rsidRPr="00D80FEC">
        <w:rPr>
          <w:rFonts w:cs="MinionPro-Regular"/>
          <w:color w:val="000000"/>
          <w:szCs w:val="26"/>
        </w:rPr>
        <w:t>Silla</w:t>
      </w:r>
      <w:proofErr w:type="spellEnd"/>
      <w:r w:rsidRPr="00D80FEC">
        <w:rPr>
          <w:rFonts w:cs="MinionPro-Regular"/>
          <w:color w:val="000000"/>
          <w:szCs w:val="26"/>
        </w:rPr>
        <w:t xml:space="preserve"> &amp; </w:t>
      </w:r>
      <w:proofErr w:type="spellStart"/>
      <w:r w:rsidRPr="00D80FEC">
        <w:rPr>
          <w:rFonts w:cs="MinionPro-Regular"/>
          <w:color w:val="000000"/>
          <w:szCs w:val="26"/>
        </w:rPr>
        <w:t>Gracia</w:t>
      </w:r>
      <w:proofErr w:type="spellEnd"/>
      <w:r w:rsidRPr="00D80FEC">
        <w:rPr>
          <w:rFonts w:cs="MinionPro-Regular"/>
          <w:color w:val="000000"/>
          <w:szCs w:val="26"/>
        </w:rPr>
        <w:t>, 2010).</w:t>
      </w:r>
    </w:p>
    <w:p w14:paraId="51668D5F" w14:textId="56B3F675" w:rsidR="00DB18B8" w:rsidRPr="00D80FEC" w:rsidRDefault="00DB18B8" w:rsidP="00DB18B8">
      <w:pPr>
        <w:autoSpaceDE w:val="0"/>
        <w:autoSpaceDN w:val="0"/>
        <w:adjustRightInd w:val="0"/>
        <w:ind w:firstLine="720"/>
        <w:jc w:val="both"/>
      </w:pPr>
      <w:r w:rsidRPr="00D80FEC">
        <w:t xml:space="preserve">A justiça </w:t>
      </w:r>
      <w:r w:rsidR="008129A2">
        <w:t>organizacional</w:t>
      </w:r>
      <w:r w:rsidRPr="00D80FEC">
        <w:t xml:space="preserve"> </w:t>
      </w:r>
      <w:r>
        <w:t xml:space="preserve">pode ser definida </w:t>
      </w:r>
      <w:r w:rsidRPr="00D80FEC">
        <w:t xml:space="preserve">por meio de três </w:t>
      </w:r>
      <w:r w:rsidR="008129A2">
        <w:t>dimensões</w:t>
      </w:r>
      <w:r w:rsidRPr="00D80FEC">
        <w:t xml:space="preserve">: justiça distributiva – justiça da distribuição dos resultados ou alocações de recursos; justiça procedimental – justiça dos procedimentos utilizados para determinar </w:t>
      </w:r>
      <w:r>
        <w:t xml:space="preserve">as </w:t>
      </w:r>
      <w:r w:rsidRPr="00D80FEC">
        <w:t>alocações</w:t>
      </w:r>
      <w:r>
        <w:t xml:space="preserve"> e regras</w:t>
      </w:r>
      <w:r w:rsidRPr="00D80FEC">
        <w:t>; e justiça interacional – justiça que focaliza a qualidade do tratamento interpessoal (</w:t>
      </w:r>
      <w:proofErr w:type="spellStart"/>
      <w:r w:rsidRPr="00D80FEC">
        <w:t>Assmar</w:t>
      </w:r>
      <w:proofErr w:type="spellEnd"/>
      <w:r w:rsidRPr="00D80FEC">
        <w:t xml:space="preserve">, 1997; Hassan &amp; </w:t>
      </w:r>
      <w:proofErr w:type="spellStart"/>
      <w:r w:rsidRPr="00D80FEC">
        <w:t>Hashim</w:t>
      </w:r>
      <w:proofErr w:type="spellEnd"/>
      <w:r w:rsidRPr="00D80FEC">
        <w:t xml:space="preserve">, 2011; Schuster, Dias &amp; </w:t>
      </w:r>
      <w:proofErr w:type="spellStart"/>
      <w:r w:rsidRPr="00D80FEC">
        <w:t>Battistella</w:t>
      </w:r>
      <w:proofErr w:type="spellEnd"/>
      <w:r w:rsidRPr="00D80FEC">
        <w:t>, 2013).</w:t>
      </w:r>
    </w:p>
    <w:p w14:paraId="12899A21" w14:textId="1C466A3D" w:rsidR="000359B3" w:rsidRPr="00D80FEC" w:rsidRDefault="0071532E" w:rsidP="000359B3">
      <w:pPr>
        <w:autoSpaceDE w:val="0"/>
        <w:autoSpaceDN w:val="0"/>
        <w:adjustRightInd w:val="0"/>
        <w:ind w:firstLine="720"/>
        <w:jc w:val="both"/>
        <w:rPr>
          <w:rFonts w:cs="MinionPro-Regular"/>
          <w:color w:val="000000"/>
          <w:szCs w:val="26"/>
        </w:rPr>
      </w:pPr>
      <w:r w:rsidRPr="00D80FEC">
        <w:t xml:space="preserve">Dentro do contexto organizacional, a justiça distributiva </w:t>
      </w:r>
      <w:r w:rsidR="00DB18B8">
        <w:t xml:space="preserve">se refere à percepção do trabalhador </w:t>
      </w:r>
      <w:r w:rsidRPr="00D80FEC">
        <w:t>como justas as distribuições de recursos</w:t>
      </w:r>
      <w:r w:rsidR="00DB18B8">
        <w:t xml:space="preserve"> dentro das </w:t>
      </w:r>
      <w:r w:rsidRPr="00D80FEC">
        <w:t xml:space="preserve">relações políticas e interpessoais (Mendonça &amp; </w:t>
      </w:r>
      <w:proofErr w:type="spellStart"/>
      <w:r w:rsidRPr="00D80FEC">
        <w:t>Tamayo</w:t>
      </w:r>
      <w:proofErr w:type="spellEnd"/>
      <w:r w:rsidRPr="00D80FEC">
        <w:t>, 2004</w:t>
      </w:r>
      <w:r w:rsidR="008129A2">
        <w:t>).</w:t>
      </w:r>
    </w:p>
    <w:p w14:paraId="5C1C27DC" w14:textId="09BB4D23" w:rsidR="00BC49F8" w:rsidRPr="00D80FEC" w:rsidRDefault="003438D0" w:rsidP="00807BEB">
      <w:pPr>
        <w:autoSpaceDE w:val="0"/>
        <w:autoSpaceDN w:val="0"/>
        <w:adjustRightInd w:val="0"/>
        <w:ind w:firstLine="720"/>
        <w:jc w:val="both"/>
      </w:pPr>
      <w:r>
        <w:rPr>
          <w:rFonts w:cs="MinionPro-Regular"/>
          <w:szCs w:val="26"/>
        </w:rPr>
        <w:t>Sabe-se que a</w:t>
      </w:r>
      <w:r w:rsidR="00DB18B8" w:rsidRPr="00D80FEC">
        <w:rPr>
          <w:rFonts w:cs="MinionPro-Regular"/>
          <w:szCs w:val="26"/>
        </w:rPr>
        <w:t xml:space="preserve"> justiça distributiva influencia diretamente o comprometimento organizacional e </w:t>
      </w:r>
      <w:r w:rsidR="008129A2">
        <w:rPr>
          <w:rFonts w:cs="MinionPro-Regular"/>
          <w:szCs w:val="26"/>
        </w:rPr>
        <w:t>a</w:t>
      </w:r>
      <w:r w:rsidR="00DB18B8" w:rsidRPr="00D80FEC">
        <w:rPr>
          <w:rFonts w:cs="MinionPro-Regular"/>
          <w:szCs w:val="26"/>
        </w:rPr>
        <w:t xml:space="preserve"> </w:t>
      </w:r>
      <w:r w:rsidR="008129A2">
        <w:rPr>
          <w:rFonts w:cs="MinionPro-Regular"/>
          <w:szCs w:val="26"/>
        </w:rPr>
        <w:t>intenção</w:t>
      </w:r>
      <w:r w:rsidR="00DB18B8" w:rsidRPr="00D80FEC">
        <w:rPr>
          <w:rFonts w:cs="MinionPro-Regular"/>
          <w:szCs w:val="26"/>
        </w:rPr>
        <w:t xml:space="preserve"> </w:t>
      </w:r>
      <w:r w:rsidR="008129A2">
        <w:rPr>
          <w:rFonts w:cs="MinionPro-Regular"/>
          <w:szCs w:val="26"/>
        </w:rPr>
        <w:t xml:space="preserve">do trabalhador de </w:t>
      </w:r>
      <w:r w:rsidR="00DB18B8" w:rsidRPr="00D80FEC">
        <w:rPr>
          <w:rFonts w:cs="MinionPro-Regular"/>
          <w:szCs w:val="26"/>
        </w:rPr>
        <w:t>deixar a organização</w:t>
      </w:r>
      <w:r w:rsidR="008129A2">
        <w:rPr>
          <w:rFonts w:cs="MinionPro-Regular"/>
          <w:szCs w:val="26"/>
        </w:rPr>
        <w:t xml:space="preserve"> em que trabalha atualmente</w:t>
      </w:r>
      <w:r w:rsidR="00DB18B8" w:rsidRPr="00D80FEC">
        <w:rPr>
          <w:rFonts w:cs="MinionPro-Regular"/>
          <w:szCs w:val="26"/>
        </w:rPr>
        <w:t xml:space="preserve">. </w:t>
      </w:r>
      <w:r w:rsidR="00BC49F8" w:rsidRPr="00D80FEC">
        <w:t>(</w:t>
      </w:r>
      <w:r w:rsidR="00970699" w:rsidRPr="00D80FEC">
        <w:t>Pereira</w:t>
      </w:r>
      <w:r w:rsidR="00121A00" w:rsidRPr="00D80FEC">
        <w:t>, Lima, Santos, Araújo &amp; Lima</w:t>
      </w:r>
      <w:r w:rsidR="00BC49F8" w:rsidRPr="00D80FEC">
        <w:t xml:space="preserve">, 2012; </w:t>
      </w:r>
      <w:proofErr w:type="spellStart"/>
      <w:r w:rsidR="00970699" w:rsidRPr="00D80FEC">
        <w:t>Pozza</w:t>
      </w:r>
      <w:proofErr w:type="spellEnd"/>
      <w:r w:rsidR="00970699" w:rsidRPr="00D80FEC">
        <w:t xml:space="preserve"> &amp;</w:t>
      </w:r>
      <w:r w:rsidR="00BC49F8" w:rsidRPr="00D80FEC">
        <w:t xml:space="preserve"> </w:t>
      </w:r>
      <w:r w:rsidR="00970699" w:rsidRPr="00D80FEC">
        <w:t>Martins</w:t>
      </w:r>
      <w:r w:rsidR="00BC49F8" w:rsidRPr="00D80FEC">
        <w:t>, 2014).</w:t>
      </w:r>
    </w:p>
    <w:p w14:paraId="0A68DE16" w14:textId="6F098C2E" w:rsidR="003438D0" w:rsidRDefault="00D02695" w:rsidP="008D1899">
      <w:pPr>
        <w:autoSpaceDE w:val="0"/>
        <w:autoSpaceDN w:val="0"/>
        <w:adjustRightInd w:val="0"/>
        <w:ind w:firstLine="720"/>
        <w:jc w:val="both"/>
      </w:pPr>
      <w:r w:rsidRPr="00D80FEC">
        <w:lastRenderedPageBreak/>
        <w:t xml:space="preserve">As compreensões de justiça organizacional têm sido utilizadas em muitos estudos para averiguar e esclarecer as associações de comportamentos, atitudes e eficácia nas organizações. Entretanto, a justiça organizacional </w:t>
      </w:r>
      <w:r w:rsidR="008129A2">
        <w:t xml:space="preserve">também </w:t>
      </w:r>
      <w:r w:rsidRPr="00D80FEC">
        <w:t xml:space="preserve">tem sido utilizada como um </w:t>
      </w:r>
      <w:proofErr w:type="spellStart"/>
      <w:r w:rsidR="008129A2">
        <w:t>preditor</w:t>
      </w:r>
      <w:proofErr w:type="spellEnd"/>
      <w:r w:rsidR="008129A2">
        <w:t xml:space="preserve"> </w:t>
      </w:r>
      <w:r w:rsidRPr="00D80FEC">
        <w:t xml:space="preserve">relevante para o entendimento dos fatores que </w:t>
      </w:r>
      <w:r w:rsidR="008129A2">
        <w:t xml:space="preserve">se relacionam com </w:t>
      </w:r>
      <w:r w:rsidRPr="00D80FEC">
        <w:t xml:space="preserve">a saúde dos </w:t>
      </w:r>
      <w:r w:rsidR="008129A2">
        <w:t>trabalhadores</w:t>
      </w:r>
      <w:r w:rsidR="003438D0">
        <w:t xml:space="preserve">: </w:t>
      </w:r>
      <w:r w:rsidR="003438D0" w:rsidRPr="00D80FEC">
        <w:t xml:space="preserve">quando se sentem injustiçados, </w:t>
      </w:r>
      <w:r w:rsidR="003438D0">
        <w:t xml:space="preserve">os trabalhadores apresentam </w:t>
      </w:r>
      <w:r w:rsidR="003438D0" w:rsidRPr="00D80FEC">
        <w:t>sentimentos d</w:t>
      </w:r>
      <w:r w:rsidR="003438D0">
        <w:t xml:space="preserve">e raiva, indignação, frustração, </w:t>
      </w:r>
      <w:r w:rsidR="003438D0" w:rsidRPr="00D80FEC">
        <w:t>desejo de vingança</w:t>
      </w:r>
      <w:r w:rsidR="003438D0">
        <w:t xml:space="preserve"> e esgotamento</w:t>
      </w:r>
      <w:r w:rsidR="003438D0" w:rsidRPr="00D80FEC">
        <w:t xml:space="preserve">. </w:t>
      </w:r>
    </w:p>
    <w:p w14:paraId="70FCACA2" w14:textId="77777777" w:rsidR="006E5DB4" w:rsidRDefault="003438D0" w:rsidP="00695727">
      <w:pPr>
        <w:ind w:firstLine="720"/>
        <w:jc w:val="both"/>
        <w:rPr>
          <w:color w:val="000000"/>
        </w:rPr>
      </w:pPr>
      <w:r>
        <w:t>Ao contrário, a</w:t>
      </w:r>
      <w:r w:rsidR="002473DE" w:rsidRPr="00D80FEC">
        <w:t xml:space="preserve"> percepção de justiça pelos colaboradores pode diminuir o nível de estresse</w:t>
      </w:r>
      <w:r>
        <w:t xml:space="preserve">, segundo alguns estudos </w:t>
      </w:r>
      <w:r w:rsidR="00D02695" w:rsidRPr="00D80FEC">
        <w:t xml:space="preserve">(Mendonça, Pereira, </w:t>
      </w:r>
      <w:proofErr w:type="spellStart"/>
      <w:r w:rsidR="00D02695" w:rsidRPr="00D80FEC">
        <w:t>Tamayo</w:t>
      </w:r>
      <w:proofErr w:type="spellEnd"/>
      <w:r w:rsidR="00D02695" w:rsidRPr="00D80FEC">
        <w:t xml:space="preserve"> &amp; Paz, 2003; Prestes, Mendonça &amp; Ferreira, 2013; Paz, </w:t>
      </w:r>
      <w:proofErr w:type="spellStart"/>
      <w:r w:rsidR="00D02695" w:rsidRPr="00D80FEC">
        <w:t>Gosendo</w:t>
      </w:r>
      <w:proofErr w:type="spellEnd"/>
      <w:r w:rsidR="00D02695" w:rsidRPr="00D80FEC">
        <w:t xml:space="preserve">, </w:t>
      </w:r>
      <w:proofErr w:type="spellStart"/>
      <w:r w:rsidR="00D02695" w:rsidRPr="00D80FEC">
        <w:t>Dessen</w:t>
      </w:r>
      <w:proofErr w:type="spellEnd"/>
      <w:r w:rsidR="00D02695" w:rsidRPr="00D80FEC">
        <w:t>, &amp; Mourão, 2009).</w:t>
      </w:r>
      <w:r w:rsidR="00F905FC">
        <w:rPr>
          <w:color w:val="000000"/>
        </w:rPr>
        <w:t xml:space="preserve"> </w:t>
      </w:r>
    </w:p>
    <w:p w14:paraId="4B23A824" w14:textId="2877A3E3" w:rsidR="00B41DDA" w:rsidRDefault="000359B3" w:rsidP="00695727">
      <w:pPr>
        <w:ind w:firstLine="720"/>
        <w:jc w:val="both"/>
      </w:pPr>
      <w:r>
        <w:t>Portanto</w:t>
      </w:r>
      <w:r w:rsidR="0043604C" w:rsidRPr="00D80FEC">
        <w:t xml:space="preserve">, elabora-se a </w:t>
      </w:r>
      <w:r>
        <w:t xml:space="preserve">última </w:t>
      </w:r>
      <w:r w:rsidR="00BC49F8" w:rsidRPr="00D80FEC">
        <w:t>hipótese</w:t>
      </w:r>
      <w:r w:rsidR="00695727">
        <w:t xml:space="preserve"> (H4)</w:t>
      </w:r>
      <w:r w:rsidR="00BC49F8" w:rsidRPr="00D80FEC">
        <w:t xml:space="preserve"> deste estudo:</w:t>
      </w:r>
      <w:r w:rsidR="00695727">
        <w:rPr>
          <w:color w:val="000000"/>
        </w:rPr>
        <w:t xml:space="preserve"> </w:t>
      </w:r>
      <w:r w:rsidR="00BC49F8" w:rsidRPr="0036129E">
        <w:rPr>
          <w:i/>
        </w:rPr>
        <w:t xml:space="preserve">A </w:t>
      </w:r>
      <w:r w:rsidR="00C20DD4" w:rsidRPr="0036129E">
        <w:rPr>
          <w:i/>
        </w:rPr>
        <w:t>j</w:t>
      </w:r>
      <w:r w:rsidR="00195A06" w:rsidRPr="0036129E">
        <w:rPr>
          <w:i/>
        </w:rPr>
        <w:t>ustiça distributiva</w:t>
      </w:r>
      <w:r w:rsidR="00C20DD4" w:rsidRPr="0036129E">
        <w:rPr>
          <w:i/>
        </w:rPr>
        <w:t xml:space="preserve"> </w:t>
      </w:r>
      <w:r w:rsidR="00BC49F8" w:rsidRPr="0036129E">
        <w:rPr>
          <w:i/>
        </w:rPr>
        <w:t>influ</w:t>
      </w:r>
      <w:r w:rsidR="00C20DD4" w:rsidRPr="0036129E">
        <w:rPr>
          <w:i/>
        </w:rPr>
        <w:t>e</w:t>
      </w:r>
      <w:r w:rsidR="00BC49F8" w:rsidRPr="0036129E">
        <w:rPr>
          <w:i/>
        </w:rPr>
        <w:t xml:space="preserve">ncia negativamente a </w:t>
      </w:r>
      <w:r w:rsidR="00C20DD4" w:rsidRPr="0036129E">
        <w:rPr>
          <w:i/>
        </w:rPr>
        <w:t xml:space="preserve">exaustão </w:t>
      </w:r>
      <w:r w:rsidR="00BC49F8" w:rsidRPr="0036129E">
        <w:rPr>
          <w:i/>
        </w:rPr>
        <w:t>no trabalho.</w:t>
      </w:r>
      <w:r w:rsidR="00B41DDA" w:rsidRPr="00B41DDA">
        <w:t xml:space="preserve"> </w:t>
      </w:r>
    </w:p>
    <w:p w14:paraId="10D6F7A3" w14:textId="77777777" w:rsidR="006E5DB4" w:rsidRDefault="006E5DB4" w:rsidP="00695727">
      <w:pPr>
        <w:ind w:firstLine="720"/>
        <w:jc w:val="both"/>
      </w:pPr>
    </w:p>
    <w:p w14:paraId="4FDE2EC6" w14:textId="4D65551B" w:rsidR="00BC49F8" w:rsidRPr="00B41DDA" w:rsidRDefault="005D7963" w:rsidP="00695727">
      <w:pPr>
        <w:ind w:firstLine="720"/>
        <w:jc w:val="both"/>
        <w:rPr>
          <w:color w:val="000000"/>
        </w:rPr>
      </w:pPr>
      <w:r>
        <w:t xml:space="preserve">Até onde os </w:t>
      </w:r>
      <w:r w:rsidR="00B41DDA">
        <w:t>autores</w:t>
      </w:r>
      <w:r>
        <w:t xml:space="preserve"> pesquisaram na literatura</w:t>
      </w:r>
      <w:r w:rsidR="00B41DDA">
        <w:t xml:space="preserve">, </w:t>
      </w:r>
      <w:r w:rsidR="00B41DDA" w:rsidRPr="00B41DDA">
        <w:t xml:space="preserve">diversos estudos </w:t>
      </w:r>
      <w:r w:rsidR="00B41DDA">
        <w:t xml:space="preserve">investigam aspectos que promovem </w:t>
      </w:r>
      <w:r w:rsidR="00B41DDA" w:rsidRPr="00B41DDA">
        <w:t>a exaustão no trabalho (</w:t>
      </w:r>
      <w:proofErr w:type="spellStart"/>
      <w:r w:rsidR="00B41DDA" w:rsidRPr="00B41DDA">
        <w:t>R</w:t>
      </w:r>
      <w:r w:rsidR="0089202E">
        <w:t>uviaro</w:t>
      </w:r>
      <w:proofErr w:type="spellEnd"/>
      <w:r w:rsidR="0089202E">
        <w:t xml:space="preserve"> &amp; </w:t>
      </w:r>
      <w:proofErr w:type="spellStart"/>
      <w:r w:rsidR="0089202E">
        <w:t>Bardagi</w:t>
      </w:r>
      <w:proofErr w:type="spellEnd"/>
      <w:r w:rsidR="0089202E">
        <w:t>, 2010; Moreira</w:t>
      </w:r>
      <w:r w:rsidR="00B41DDA" w:rsidRPr="00B41DDA">
        <w:t xml:space="preserve">, 2009; </w:t>
      </w:r>
      <w:proofErr w:type="spellStart"/>
      <w:r w:rsidR="00B41DDA" w:rsidRPr="00B41DDA">
        <w:t>Tamayo</w:t>
      </w:r>
      <w:proofErr w:type="spellEnd"/>
      <w:r w:rsidR="00B41DDA" w:rsidRPr="00B41DDA">
        <w:t xml:space="preserve">, 2008; Silva &amp; </w:t>
      </w:r>
      <w:proofErr w:type="spellStart"/>
      <w:r w:rsidR="00B41DDA" w:rsidRPr="00B41DDA">
        <w:t>Carlotto</w:t>
      </w:r>
      <w:proofErr w:type="spellEnd"/>
      <w:r w:rsidR="00B41DDA" w:rsidRPr="00B41DDA">
        <w:t>, 2008) e fatores que reduzem a exaustão no trabalho (</w:t>
      </w:r>
      <w:proofErr w:type="spellStart"/>
      <w:r w:rsidR="00B41DDA" w:rsidRPr="00B41DDA">
        <w:t>Migueles</w:t>
      </w:r>
      <w:proofErr w:type="spellEnd"/>
      <w:r w:rsidR="00B41DDA" w:rsidRPr="00B41DDA">
        <w:t xml:space="preserve"> &amp; </w:t>
      </w:r>
      <w:proofErr w:type="spellStart"/>
      <w:r w:rsidR="00B41DDA" w:rsidRPr="00B41DDA">
        <w:t>Zanini</w:t>
      </w:r>
      <w:proofErr w:type="spellEnd"/>
      <w:r w:rsidR="00B41DDA" w:rsidRPr="00B41DDA">
        <w:t xml:space="preserve">, 2014; Schuster, Dias &amp; </w:t>
      </w:r>
      <w:proofErr w:type="spellStart"/>
      <w:r w:rsidR="00B41DDA" w:rsidRPr="00B41DDA">
        <w:t>Battistella</w:t>
      </w:r>
      <w:proofErr w:type="spellEnd"/>
      <w:r w:rsidR="00B41DDA" w:rsidRPr="00B41DDA">
        <w:t xml:space="preserve">, 2013; Santos, </w:t>
      </w:r>
      <w:proofErr w:type="spellStart"/>
      <w:r w:rsidR="00B41DDA" w:rsidRPr="00B41DDA">
        <w:t>Laquila</w:t>
      </w:r>
      <w:proofErr w:type="spellEnd"/>
      <w:r w:rsidR="00B41DDA" w:rsidRPr="00B41DDA">
        <w:t xml:space="preserve"> &amp; </w:t>
      </w:r>
      <w:proofErr w:type="spellStart"/>
      <w:r w:rsidR="00B41DDA" w:rsidRPr="00B41DDA">
        <w:t>Dalfior</w:t>
      </w:r>
      <w:proofErr w:type="spellEnd"/>
      <w:r w:rsidR="00B41DDA" w:rsidRPr="00B41DDA">
        <w:t>, 2013; Barroso, 2013), mas não foram encontrados estudos que analis</w:t>
      </w:r>
      <w:r>
        <w:t>e</w:t>
      </w:r>
      <w:r w:rsidR="00B41DDA" w:rsidRPr="00B41DDA">
        <w:t xml:space="preserve">m os fatores </w:t>
      </w:r>
      <w:r w:rsidR="008E6859">
        <w:t xml:space="preserve">mencionados </w:t>
      </w:r>
      <w:r w:rsidR="00B41DDA" w:rsidRPr="00B41DDA">
        <w:t>que influenciam a exaustão no trabalho</w:t>
      </w:r>
      <w:r w:rsidR="008E6859">
        <w:t xml:space="preserve">, o que determina a </w:t>
      </w:r>
      <w:r w:rsidR="00B41DDA" w:rsidRPr="00B41DDA">
        <w:t xml:space="preserve">lacuna de pesquisa </w:t>
      </w:r>
      <w:r w:rsidR="008E6859">
        <w:t xml:space="preserve">e objetivo principal deste </w:t>
      </w:r>
      <w:r w:rsidR="00B41DDA" w:rsidRPr="00B41DDA">
        <w:t>estudo.</w:t>
      </w:r>
    </w:p>
    <w:p w14:paraId="58C6752D" w14:textId="77777777" w:rsidR="00933519" w:rsidRDefault="00933519" w:rsidP="00563A61">
      <w:pPr>
        <w:rPr>
          <w:b/>
        </w:rPr>
      </w:pPr>
      <w:bookmarkStart w:id="0" w:name="_Toc518848613"/>
    </w:p>
    <w:bookmarkEnd w:id="0"/>
    <w:p w14:paraId="47E0E6B8" w14:textId="4BED7786" w:rsidR="00DB33F6" w:rsidRDefault="000C4EA5" w:rsidP="00F83779">
      <w:pPr>
        <w:jc w:val="center"/>
        <w:rPr>
          <w:b/>
        </w:rPr>
      </w:pPr>
      <w:r>
        <w:rPr>
          <w:b/>
        </w:rPr>
        <w:t>Método</w:t>
      </w:r>
    </w:p>
    <w:p w14:paraId="01E3B941" w14:textId="77777777" w:rsidR="00161AA5" w:rsidRDefault="00161AA5" w:rsidP="00161AA5">
      <w:pPr>
        <w:jc w:val="center"/>
        <w:rPr>
          <w:b/>
          <w:bCs/>
          <w:kern w:val="32"/>
        </w:rPr>
      </w:pPr>
    </w:p>
    <w:p w14:paraId="631FECCA" w14:textId="429E67F4" w:rsidR="00945959" w:rsidRPr="00102BDD" w:rsidRDefault="00945959" w:rsidP="00945959">
      <w:pPr>
        <w:jc w:val="both"/>
        <w:rPr>
          <w:b/>
        </w:rPr>
      </w:pPr>
      <w:r>
        <w:rPr>
          <w:b/>
          <w:color w:val="000000"/>
        </w:rPr>
        <w:t>Procedimento</w:t>
      </w:r>
    </w:p>
    <w:p w14:paraId="6A24E331" w14:textId="77777777" w:rsidR="00945959" w:rsidRPr="00563A61" w:rsidRDefault="00945959" w:rsidP="00945959">
      <w:pPr>
        <w:rPr>
          <w:b/>
          <w:bCs/>
          <w:kern w:val="32"/>
        </w:rPr>
      </w:pPr>
    </w:p>
    <w:p w14:paraId="041F0394" w14:textId="34327F8F" w:rsidR="00AC7947" w:rsidRPr="00D80FEC" w:rsidRDefault="00945959" w:rsidP="00945959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0FEC">
        <w:t>A</w:t>
      </w:r>
      <w:r w:rsidRPr="00D80FEC">
        <w:rPr>
          <w:color w:val="000000"/>
        </w:rPr>
        <w:t xml:space="preserve"> coleta de dados foi realizada de fevereiro até abril de 2018 </w:t>
      </w:r>
      <w:r>
        <w:rPr>
          <w:color w:val="000000"/>
        </w:rPr>
        <w:t xml:space="preserve">em São Paulo </w:t>
      </w:r>
      <w:r w:rsidRPr="00D80FEC">
        <w:t xml:space="preserve">por meio de </w:t>
      </w:r>
      <w:r>
        <w:t xml:space="preserve">aplicação presencial de </w:t>
      </w:r>
      <w:r w:rsidRPr="00D80FEC">
        <w:t>questionário</w:t>
      </w:r>
      <w:r>
        <w:t xml:space="preserve"> aos participantes, exigindo-se unicamente que o participante estivesse de acordo com termo de consentimento livre e esclarecido. Todas as pessoas foram informadas sobre o caráter voluntário e anônimo do estudo, podendo desistir de participar a qualquer momento sem qualquer prejuízo. Em média, as pessoas levaram </w:t>
      </w:r>
      <w:r w:rsidR="0061121C">
        <w:t>quinze</w:t>
      </w:r>
      <w:r>
        <w:t xml:space="preserve"> minutos para concluir sua participação.</w:t>
      </w:r>
    </w:p>
    <w:p w14:paraId="38A01E7F" w14:textId="77777777" w:rsidR="00945959" w:rsidRDefault="00945959" w:rsidP="006C2B08">
      <w:pPr>
        <w:ind w:firstLine="708"/>
        <w:jc w:val="both"/>
      </w:pPr>
    </w:p>
    <w:p w14:paraId="23ACA05C" w14:textId="4B93A357" w:rsidR="00477BB6" w:rsidRDefault="00161AA5" w:rsidP="00102BDD">
      <w:pPr>
        <w:jc w:val="both"/>
        <w:rPr>
          <w:b/>
          <w:color w:val="000000"/>
        </w:rPr>
      </w:pPr>
      <w:bookmarkStart w:id="1" w:name="_Toc518848619"/>
      <w:r>
        <w:rPr>
          <w:b/>
          <w:color w:val="000000"/>
        </w:rPr>
        <w:t>Participantes</w:t>
      </w:r>
      <w:r w:rsidR="003834E0" w:rsidRPr="00102BDD">
        <w:rPr>
          <w:b/>
          <w:color w:val="000000"/>
        </w:rPr>
        <w:t xml:space="preserve"> </w:t>
      </w:r>
      <w:bookmarkEnd w:id="1"/>
    </w:p>
    <w:p w14:paraId="3494217E" w14:textId="77777777" w:rsidR="0003567D" w:rsidRPr="00102BDD" w:rsidRDefault="0003567D" w:rsidP="00102BDD">
      <w:pPr>
        <w:jc w:val="both"/>
        <w:rPr>
          <w:b/>
        </w:rPr>
      </w:pPr>
    </w:p>
    <w:p w14:paraId="39C18016" w14:textId="77777777" w:rsidR="005D7963" w:rsidRDefault="000206A3" w:rsidP="00102BDD">
      <w:pPr>
        <w:ind w:firstLine="709"/>
        <w:jc w:val="both"/>
      </w:pPr>
      <w:r>
        <w:rPr>
          <w:sz w:val="23"/>
          <w:szCs w:val="23"/>
        </w:rPr>
        <w:t xml:space="preserve">Neste estudo, a </w:t>
      </w:r>
      <w:r w:rsidR="00102BDD">
        <w:rPr>
          <w:sz w:val="23"/>
          <w:szCs w:val="23"/>
        </w:rPr>
        <w:t xml:space="preserve">amostra </w:t>
      </w:r>
      <w:r>
        <w:rPr>
          <w:sz w:val="23"/>
          <w:szCs w:val="23"/>
        </w:rPr>
        <w:t xml:space="preserve">contemplou 273 participantes, </w:t>
      </w:r>
      <w:r w:rsidR="005D7963">
        <w:rPr>
          <w:sz w:val="23"/>
          <w:szCs w:val="23"/>
        </w:rPr>
        <w:t xml:space="preserve">sendo </w:t>
      </w:r>
      <w:r w:rsidR="00102BDD">
        <w:rPr>
          <w:sz w:val="23"/>
          <w:szCs w:val="23"/>
        </w:rPr>
        <w:t xml:space="preserve">136 </w:t>
      </w:r>
      <w:r w:rsidR="005D7963">
        <w:rPr>
          <w:sz w:val="23"/>
          <w:szCs w:val="23"/>
        </w:rPr>
        <w:t xml:space="preserve">(49,8%) </w:t>
      </w:r>
      <w:r w:rsidR="00102BDD">
        <w:rPr>
          <w:sz w:val="23"/>
          <w:szCs w:val="23"/>
        </w:rPr>
        <w:t xml:space="preserve">do gênero feminino e 137 </w:t>
      </w:r>
      <w:r w:rsidR="005D7963">
        <w:rPr>
          <w:sz w:val="23"/>
          <w:szCs w:val="23"/>
        </w:rPr>
        <w:t xml:space="preserve">(50,2%) </w:t>
      </w:r>
      <w:r w:rsidR="00102BDD">
        <w:rPr>
          <w:sz w:val="23"/>
          <w:szCs w:val="23"/>
        </w:rPr>
        <w:t xml:space="preserve">do gênero masculino. </w:t>
      </w:r>
      <w:r w:rsidR="00F74219" w:rsidRPr="00D80FEC">
        <w:rPr>
          <w:sz w:val="23"/>
          <w:szCs w:val="23"/>
        </w:rPr>
        <w:t>Com relação à idade dos responden</w:t>
      </w:r>
      <w:r w:rsidR="002A46A2" w:rsidRPr="00D80FEC">
        <w:rPr>
          <w:sz w:val="23"/>
          <w:szCs w:val="23"/>
        </w:rPr>
        <w:t xml:space="preserve">tes, </w:t>
      </w:r>
      <w:r w:rsidR="005D7963">
        <w:rPr>
          <w:sz w:val="23"/>
          <w:szCs w:val="23"/>
        </w:rPr>
        <w:t>observou</w:t>
      </w:r>
      <w:r w:rsidR="00A379F7" w:rsidRPr="00D80FEC">
        <w:rPr>
          <w:sz w:val="23"/>
          <w:szCs w:val="23"/>
        </w:rPr>
        <w:t xml:space="preserve">-se </w:t>
      </w:r>
      <w:r w:rsidR="005D7963">
        <w:rPr>
          <w:sz w:val="23"/>
          <w:szCs w:val="23"/>
        </w:rPr>
        <w:t>um</w:t>
      </w:r>
      <w:r w:rsidR="00A379F7" w:rsidRPr="00D80FEC">
        <w:rPr>
          <w:sz w:val="23"/>
          <w:szCs w:val="23"/>
        </w:rPr>
        <w:t xml:space="preserve">a </w:t>
      </w:r>
      <w:r w:rsidR="002A46A2" w:rsidRPr="00D80FEC">
        <w:rPr>
          <w:sz w:val="23"/>
          <w:szCs w:val="23"/>
        </w:rPr>
        <w:t>variação entre 21 e 64</w:t>
      </w:r>
      <w:r w:rsidR="00F74219" w:rsidRPr="00D80FEC">
        <w:rPr>
          <w:sz w:val="23"/>
          <w:szCs w:val="23"/>
        </w:rPr>
        <w:t xml:space="preserve"> anos</w:t>
      </w:r>
      <w:r w:rsidR="005D7963">
        <w:rPr>
          <w:sz w:val="23"/>
          <w:szCs w:val="23"/>
        </w:rPr>
        <w:t xml:space="preserve"> com </w:t>
      </w:r>
      <w:r w:rsidR="00F74219" w:rsidRPr="00D80FEC">
        <w:rPr>
          <w:sz w:val="23"/>
          <w:szCs w:val="23"/>
        </w:rPr>
        <w:t xml:space="preserve">a média </w:t>
      </w:r>
      <w:r w:rsidR="005D7963">
        <w:rPr>
          <w:sz w:val="23"/>
          <w:szCs w:val="23"/>
        </w:rPr>
        <w:t xml:space="preserve">igual a </w:t>
      </w:r>
      <w:r w:rsidR="002A46A2" w:rsidRPr="00D80FEC">
        <w:rPr>
          <w:sz w:val="23"/>
          <w:szCs w:val="23"/>
        </w:rPr>
        <w:t>29</w:t>
      </w:r>
      <w:r w:rsidR="00F74219" w:rsidRPr="00D80FEC">
        <w:rPr>
          <w:sz w:val="23"/>
          <w:szCs w:val="23"/>
        </w:rPr>
        <w:t xml:space="preserve"> anos</w:t>
      </w:r>
      <w:r w:rsidR="005D7963">
        <w:rPr>
          <w:sz w:val="23"/>
          <w:szCs w:val="23"/>
        </w:rPr>
        <w:t xml:space="preserve"> de idade</w:t>
      </w:r>
      <w:r w:rsidR="00102BDD">
        <w:rPr>
          <w:sz w:val="23"/>
          <w:szCs w:val="23"/>
        </w:rPr>
        <w:t>.</w:t>
      </w:r>
      <w:r w:rsidR="00102BDD">
        <w:t xml:space="preserve"> </w:t>
      </w:r>
    </w:p>
    <w:p w14:paraId="3B7EF9E3" w14:textId="77777777" w:rsidR="005D7963" w:rsidRDefault="0053313B" w:rsidP="00102BDD">
      <w:pPr>
        <w:ind w:firstLine="709"/>
        <w:jc w:val="both"/>
      </w:pPr>
      <w:r w:rsidRPr="00D80FEC">
        <w:t xml:space="preserve">Em relação à escolaridade </w:t>
      </w:r>
      <w:r w:rsidR="006474D4" w:rsidRPr="00D80FEC">
        <w:t>dos respondentes,</w:t>
      </w:r>
      <w:r w:rsidR="00EE69F5" w:rsidRPr="00D80FEC">
        <w:t xml:space="preserve"> 58,6% possue</w:t>
      </w:r>
      <w:r w:rsidRPr="00D80FEC">
        <w:t>m</w:t>
      </w:r>
      <w:r w:rsidR="006474D4" w:rsidRPr="00D80FEC">
        <w:t xml:space="preserve"> </w:t>
      </w:r>
      <w:r w:rsidR="005D7963">
        <w:t xml:space="preserve">o ensino </w:t>
      </w:r>
      <w:r w:rsidR="006474D4" w:rsidRPr="00D80FEC">
        <w:t xml:space="preserve">superior </w:t>
      </w:r>
      <w:r w:rsidR="00EE69F5" w:rsidRPr="00D80FEC">
        <w:t>complet</w:t>
      </w:r>
      <w:r w:rsidR="006474D4" w:rsidRPr="00D80FEC">
        <w:t>o</w:t>
      </w:r>
      <w:r w:rsidR="00EE69F5" w:rsidRPr="00D80FEC">
        <w:t xml:space="preserve"> e 41,4</w:t>
      </w:r>
      <w:r w:rsidRPr="00D80FEC">
        <w:t>% dos respondentes</w:t>
      </w:r>
      <w:r w:rsidR="00EE69F5" w:rsidRPr="00D80FEC">
        <w:t xml:space="preserve"> possuem </w:t>
      </w:r>
      <w:r w:rsidR="005D7963">
        <w:t xml:space="preserve">o ensino </w:t>
      </w:r>
      <w:r w:rsidR="00EE69F5" w:rsidRPr="00D80FEC">
        <w:t>superior incompleto</w:t>
      </w:r>
      <w:r w:rsidR="00DD7850">
        <w:t>.</w:t>
      </w:r>
      <w:r w:rsidR="00102BDD">
        <w:t xml:space="preserve"> </w:t>
      </w:r>
    </w:p>
    <w:p w14:paraId="419DCFF2" w14:textId="29FD445C" w:rsidR="00FD4652" w:rsidRDefault="00102BDD" w:rsidP="00102BDD">
      <w:pPr>
        <w:ind w:firstLine="709"/>
        <w:jc w:val="both"/>
      </w:pPr>
      <w:r>
        <w:t xml:space="preserve">Quanto </w:t>
      </w:r>
      <w:r w:rsidRPr="00D80FEC">
        <w:t>à</w:t>
      </w:r>
      <w:r w:rsidR="00CC2CE9" w:rsidRPr="00D80FEC">
        <w:t xml:space="preserve"> experiência profissional</w:t>
      </w:r>
      <w:r w:rsidR="005D7963">
        <w:t>, o</w:t>
      </w:r>
      <w:r w:rsidR="00CC2CE9" w:rsidRPr="00D80FEC">
        <w:t xml:space="preserve">s resultados indicam que </w:t>
      </w:r>
      <w:r w:rsidR="00EF7C61" w:rsidRPr="00D80FEC">
        <w:t xml:space="preserve">a média </w:t>
      </w:r>
      <w:r w:rsidR="0055563F">
        <w:t xml:space="preserve">dos participantes é igual a </w:t>
      </w:r>
      <w:r w:rsidR="00EF7C61" w:rsidRPr="00D80FEC">
        <w:t>9,67 anos com desvio padrão de 7,71</w:t>
      </w:r>
      <w:r w:rsidR="00CC2CE9" w:rsidRPr="00D80FEC">
        <w:t xml:space="preserve"> anos, o que indica que os respondentes possuem uma experiência razoável no exercício de suas atividades profissionais.</w:t>
      </w:r>
    </w:p>
    <w:p w14:paraId="18270D82" w14:textId="22B9CD6F" w:rsidR="00FD4652" w:rsidRPr="00D80FEC" w:rsidRDefault="00CC2CE9" w:rsidP="00102BDD">
      <w:pPr>
        <w:ind w:firstLine="709"/>
        <w:jc w:val="both"/>
      </w:pPr>
      <w:r w:rsidRPr="00D80FEC">
        <w:t xml:space="preserve">Além da experiência profissional, </w:t>
      </w:r>
      <w:r w:rsidR="0055563F">
        <w:t xml:space="preserve">mediu-se </w:t>
      </w:r>
      <w:r w:rsidRPr="00D80FEC">
        <w:t xml:space="preserve">o tempo de </w:t>
      </w:r>
      <w:r w:rsidR="0055563F">
        <w:t xml:space="preserve">vínculo profissional </w:t>
      </w:r>
      <w:r w:rsidRPr="00D80FEC">
        <w:t xml:space="preserve">dos </w:t>
      </w:r>
      <w:r w:rsidR="0055563F">
        <w:t xml:space="preserve">participantes na empresa em que trabalham atualmente, sendo a média igual a </w:t>
      </w:r>
      <w:r w:rsidR="00282A2E" w:rsidRPr="00D80FEC">
        <w:t>4,52</w:t>
      </w:r>
      <w:r w:rsidRPr="00D80FEC">
        <w:t xml:space="preserve"> </w:t>
      </w:r>
      <w:r w:rsidR="00282A2E" w:rsidRPr="00D80FEC">
        <w:t>anos</w:t>
      </w:r>
      <w:r w:rsidR="0055563F">
        <w:t xml:space="preserve"> com variação de </w:t>
      </w:r>
      <w:r w:rsidR="00282A2E" w:rsidRPr="00D80FEC">
        <w:t xml:space="preserve">três </w:t>
      </w:r>
      <w:r w:rsidR="0055563F">
        <w:t xml:space="preserve">a </w:t>
      </w:r>
      <w:r w:rsidR="001D14D7" w:rsidRPr="00D80FEC">
        <w:t>4</w:t>
      </w:r>
      <w:r w:rsidRPr="00D80FEC">
        <w:t>5 anos na mesma organização</w:t>
      </w:r>
      <w:r w:rsidR="00AF6F8F" w:rsidRPr="00D80FEC">
        <w:t xml:space="preserve">, o que indica que os </w:t>
      </w:r>
      <w:r w:rsidR="0055563F">
        <w:t xml:space="preserve">participantes também </w:t>
      </w:r>
      <w:r w:rsidR="00AF6F8F" w:rsidRPr="00D80FEC">
        <w:t xml:space="preserve">conhecem </w:t>
      </w:r>
      <w:r w:rsidR="00E34771" w:rsidRPr="00D80FEC">
        <w:t>a</w:t>
      </w:r>
      <w:r w:rsidR="0055563F">
        <w:t>s</w:t>
      </w:r>
      <w:r w:rsidR="00E34771" w:rsidRPr="00D80FEC">
        <w:t xml:space="preserve"> adversidades do trabalho</w:t>
      </w:r>
      <w:r w:rsidR="00AF6F8F" w:rsidRPr="00D80FEC">
        <w:t xml:space="preserve">. </w:t>
      </w:r>
    </w:p>
    <w:p w14:paraId="69E877EC" w14:textId="34DF2A07" w:rsidR="008B2E16" w:rsidRDefault="00607F4B" w:rsidP="00C4758E">
      <w:pPr>
        <w:ind w:firstLine="709"/>
        <w:jc w:val="both"/>
      </w:pPr>
      <w:r w:rsidRPr="00D80FEC">
        <w:t>A maioria</w:t>
      </w:r>
      <w:r w:rsidR="00FE2A75" w:rsidRPr="00D80FEC">
        <w:t xml:space="preserve"> dos participantes informou </w:t>
      </w:r>
      <w:r w:rsidRPr="00D80FEC">
        <w:t xml:space="preserve">ter sua função dentro da organização bem </w:t>
      </w:r>
      <w:r w:rsidR="006474D4" w:rsidRPr="00D80FEC">
        <w:t xml:space="preserve">definida, </w:t>
      </w:r>
      <w:r w:rsidR="0055563F">
        <w:t xml:space="preserve">porém </w:t>
      </w:r>
      <w:r w:rsidRPr="00D80FEC">
        <w:t xml:space="preserve">25,3% </w:t>
      </w:r>
      <w:r w:rsidR="0055563F">
        <w:t xml:space="preserve">dos participantes declararam </w:t>
      </w:r>
      <w:r w:rsidRPr="00D80FEC">
        <w:t xml:space="preserve">não tem sua função </w:t>
      </w:r>
      <w:r w:rsidR="0055563F">
        <w:t>bem especificada</w:t>
      </w:r>
      <w:r w:rsidR="00E83284" w:rsidRPr="00D80FEC">
        <w:t xml:space="preserve">, o </w:t>
      </w:r>
      <w:r w:rsidR="0055563F">
        <w:t xml:space="preserve">que indica razoável proporção de trabalhadores que podem sofrer dissabores pelos </w:t>
      </w:r>
      <w:r w:rsidR="00E83284" w:rsidRPr="00D80FEC">
        <w:t>conflitos de papéis.</w:t>
      </w:r>
    </w:p>
    <w:p w14:paraId="7378BC08" w14:textId="77777777" w:rsidR="00945959" w:rsidRDefault="00945959" w:rsidP="00C4758E">
      <w:pPr>
        <w:ind w:firstLine="709"/>
        <w:jc w:val="both"/>
      </w:pPr>
    </w:p>
    <w:p w14:paraId="2D4FBCF5" w14:textId="45EEA6B2" w:rsidR="00945959" w:rsidRDefault="00945959" w:rsidP="00945959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Instrumentos</w:t>
      </w:r>
    </w:p>
    <w:p w14:paraId="31D5B47E" w14:textId="77777777" w:rsidR="0003567D" w:rsidRDefault="0003567D" w:rsidP="00945959">
      <w:pPr>
        <w:jc w:val="both"/>
        <w:rPr>
          <w:b/>
          <w:color w:val="000000"/>
        </w:rPr>
      </w:pPr>
    </w:p>
    <w:p w14:paraId="4EDF8A23" w14:textId="1DF01171" w:rsidR="00583A21" w:rsidRDefault="001A0E0A" w:rsidP="0055563F">
      <w:pPr>
        <w:ind w:firstLine="708"/>
        <w:jc w:val="both"/>
      </w:pPr>
      <w:r w:rsidRPr="001A0E0A">
        <w:rPr>
          <w:color w:val="000000"/>
        </w:rPr>
        <w:t xml:space="preserve">A coleta de dados desta pesquisa foi realizada com o auxílio de um questionário com escalas no formato </w:t>
      </w:r>
      <w:proofErr w:type="spellStart"/>
      <w:r w:rsidRPr="001A0E0A">
        <w:rPr>
          <w:color w:val="000000"/>
        </w:rPr>
        <w:t>Likert</w:t>
      </w:r>
      <w:proofErr w:type="spellEnd"/>
      <w:r w:rsidRPr="001A0E0A">
        <w:rPr>
          <w:color w:val="000000"/>
        </w:rPr>
        <w:t xml:space="preserve"> com </w:t>
      </w:r>
      <w:r w:rsidR="0055563F">
        <w:rPr>
          <w:color w:val="000000"/>
        </w:rPr>
        <w:t>sete</w:t>
      </w:r>
      <w:r w:rsidRPr="001A0E0A">
        <w:rPr>
          <w:color w:val="000000"/>
        </w:rPr>
        <w:t xml:space="preserve"> pontos. </w:t>
      </w:r>
      <w:r w:rsidR="009B2F3F">
        <w:rPr>
          <w:color w:val="000000"/>
        </w:rPr>
        <w:t>F</w:t>
      </w:r>
      <w:r w:rsidR="00790D74">
        <w:rPr>
          <w:color w:val="000000"/>
        </w:rPr>
        <w:t xml:space="preserve">oram </w:t>
      </w:r>
      <w:r w:rsidR="00233437" w:rsidRPr="00233437">
        <w:rPr>
          <w:color w:val="000000"/>
        </w:rPr>
        <w:t>aplicada</w:t>
      </w:r>
      <w:r w:rsidR="00790D74">
        <w:rPr>
          <w:color w:val="000000"/>
        </w:rPr>
        <w:t>s</w:t>
      </w:r>
      <w:r w:rsidR="00233437" w:rsidRPr="00233437">
        <w:rPr>
          <w:color w:val="000000"/>
        </w:rPr>
        <w:t xml:space="preserve"> a</w:t>
      </w:r>
      <w:r w:rsidR="00790D74">
        <w:rPr>
          <w:color w:val="000000"/>
        </w:rPr>
        <w:t>s</w:t>
      </w:r>
      <w:r w:rsidR="00233437" w:rsidRPr="00233437">
        <w:rPr>
          <w:color w:val="000000"/>
        </w:rPr>
        <w:t xml:space="preserve"> </w:t>
      </w:r>
      <w:r w:rsidR="00790D74">
        <w:rPr>
          <w:color w:val="000000"/>
        </w:rPr>
        <w:t>e</w:t>
      </w:r>
      <w:r w:rsidR="00233437" w:rsidRPr="00233437">
        <w:rPr>
          <w:color w:val="000000"/>
        </w:rPr>
        <w:t>scala</w:t>
      </w:r>
      <w:r w:rsidR="00790D74">
        <w:rPr>
          <w:color w:val="000000"/>
        </w:rPr>
        <w:t>s</w:t>
      </w:r>
      <w:r w:rsidR="00233437" w:rsidRPr="00233437">
        <w:rPr>
          <w:color w:val="000000"/>
        </w:rPr>
        <w:t xml:space="preserve"> de </w:t>
      </w:r>
      <w:r w:rsidR="00790D74">
        <w:rPr>
          <w:color w:val="000000"/>
        </w:rPr>
        <w:t>e</w:t>
      </w:r>
      <w:r w:rsidR="00233437" w:rsidRPr="00233437">
        <w:rPr>
          <w:color w:val="000000"/>
        </w:rPr>
        <w:t xml:space="preserve">xaustão </w:t>
      </w:r>
      <w:r w:rsidR="00790D74">
        <w:rPr>
          <w:color w:val="000000"/>
        </w:rPr>
        <w:t xml:space="preserve">e </w:t>
      </w:r>
      <w:r w:rsidR="00790D74" w:rsidRPr="00790D74">
        <w:rPr>
          <w:color w:val="000000"/>
        </w:rPr>
        <w:t>confiança na gestão</w:t>
      </w:r>
      <w:r w:rsidR="009B2F3F">
        <w:rPr>
          <w:color w:val="000000"/>
        </w:rPr>
        <w:t xml:space="preserve"> de </w:t>
      </w:r>
      <w:proofErr w:type="spellStart"/>
      <w:r w:rsidR="00233437" w:rsidRPr="009B2F3F">
        <w:rPr>
          <w:color w:val="000000"/>
        </w:rPr>
        <w:t>Mcknight</w:t>
      </w:r>
      <w:proofErr w:type="spellEnd"/>
      <w:r w:rsidR="00233437" w:rsidRPr="009B2F3F">
        <w:rPr>
          <w:color w:val="000000"/>
        </w:rPr>
        <w:t xml:space="preserve">, Phillips, &amp; </w:t>
      </w:r>
      <w:proofErr w:type="spellStart"/>
      <w:r w:rsidR="00233437" w:rsidRPr="009B2F3F">
        <w:rPr>
          <w:color w:val="000000"/>
        </w:rPr>
        <w:t>Hardgrave</w:t>
      </w:r>
      <w:proofErr w:type="spellEnd"/>
      <w:r w:rsidR="009B2F3F" w:rsidRPr="009B2F3F">
        <w:rPr>
          <w:color w:val="000000"/>
        </w:rPr>
        <w:t xml:space="preserve"> (</w:t>
      </w:r>
      <w:r w:rsidR="00233437" w:rsidRPr="009B2F3F">
        <w:rPr>
          <w:color w:val="000000"/>
        </w:rPr>
        <w:t>2009</w:t>
      </w:r>
      <w:r w:rsidR="00233437" w:rsidRPr="00233437">
        <w:rPr>
          <w:color w:val="000000"/>
        </w:rPr>
        <w:t>)</w:t>
      </w:r>
      <w:r w:rsidR="009B2F3F">
        <w:rPr>
          <w:color w:val="000000"/>
        </w:rPr>
        <w:t xml:space="preserve">, além da escala de </w:t>
      </w:r>
      <w:proofErr w:type="spellStart"/>
      <w:r w:rsidR="00233437" w:rsidRPr="00233437">
        <w:rPr>
          <w:color w:val="000000"/>
        </w:rPr>
        <w:t>tecnoestresse</w:t>
      </w:r>
      <w:proofErr w:type="spellEnd"/>
      <w:r w:rsidR="00233437" w:rsidRPr="00233437">
        <w:rPr>
          <w:color w:val="000000"/>
        </w:rPr>
        <w:t xml:space="preserve"> de Ragu-Nathan, </w:t>
      </w:r>
      <w:proofErr w:type="spellStart"/>
      <w:r w:rsidR="00233437" w:rsidRPr="00233437">
        <w:rPr>
          <w:color w:val="000000"/>
        </w:rPr>
        <w:t>Tarafdar</w:t>
      </w:r>
      <w:proofErr w:type="spellEnd"/>
      <w:r w:rsidR="00233437" w:rsidRPr="00233437">
        <w:rPr>
          <w:color w:val="000000"/>
        </w:rPr>
        <w:t>, Ragu-Nathan (2008)</w:t>
      </w:r>
      <w:r w:rsidR="009B2F3F">
        <w:rPr>
          <w:color w:val="000000"/>
        </w:rPr>
        <w:t>. Já p</w:t>
      </w:r>
      <w:r w:rsidR="00790D74" w:rsidRPr="00790D74">
        <w:rPr>
          <w:color w:val="000000"/>
        </w:rPr>
        <w:t xml:space="preserve">ara medir </w:t>
      </w:r>
      <w:r w:rsidR="009B2F3F">
        <w:rPr>
          <w:color w:val="000000"/>
        </w:rPr>
        <w:t xml:space="preserve">a percepção de </w:t>
      </w:r>
      <w:r w:rsidR="00790D74" w:rsidRPr="00790D74">
        <w:rPr>
          <w:color w:val="000000"/>
        </w:rPr>
        <w:t xml:space="preserve">conflito de papéis, foi utilizada a escala de </w:t>
      </w:r>
      <w:proofErr w:type="spellStart"/>
      <w:r w:rsidR="00790D74" w:rsidRPr="00790D74">
        <w:rPr>
          <w:color w:val="000000"/>
        </w:rPr>
        <w:t>Rutner</w:t>
      </w:r>
      <w:proofErr w:type="spellEnd"/>
      <w:r w:rsidR="00790D74" w:rsidRPr="00790D74">
        <w:rPr>
          <w:color w:val="000000"/>
        </w:rPr>
        <w:t xml:space="preserve">, </w:t>
      </w:r>
      <w:proofErr w:type="spellStart"/>
      <w:r w:rsidR="0089202E">
        <w:rPr>
          <w:color w:val="000000"/>
        </w:rPr>
        <w:t>Hardgrave</w:t>
      </w:r>
      <w:proofErr w:type="spellEnd"/>
      <w:r w:rsidR="0089202E">
        <w:rPr>
          <w:color w:val="000000"/>
        </w:rPr>
        <w:t xml:space="preserve">, &amp; </w:t>
      </w:r>
      <w:proofErr w:type="spellStart"/>
      <w:r w:rsidR="00790D74" w:rsidRPr="00790D74">
        <w:rPr>
          <w:color w:val="000000"/>
        </w:rPr>
        <w:t>Mcknight</w:t>
      </w:r>
      <w:proofErr w:type="spellEnd"/>
      <w:r w:rsidR="00790D74" w:rsidRPr="00790D74">
        <w:rPr>
          <w:color w:val="000000"/>
        </w:rPr>
        <w:t xml:space="preserve"> (2008)</w:t>
      </w:r>
      <w:r w:rsidR="009B2F3F">
        <w:rPr>
          <w:color w:val="000000"/>
        </w:rPr>
        <w:t xml:space="preserve">. Finalmente, </w:t>
      </w:r>
      <w:r w:rsidR="00790D74" w:rsidRPr="00790D74">
        <w:rPr>
          <w:color w:val="000000"/>
        </w:rPr>
        <w:t xml:space="preserve">a justiça distributiva </w:t>
      </w:r>
      <w:r w:rsidR="009B2F3F">
        <w:rPr>
          <w:color w:val="000000"/>
        </w:rPr>
        <w:t>foi mensurada a partir d</w:t>
      </w:r>
      <w:r w:rsidR="00790D74" w:rsidRPr="00790D74">
        <w:rPr>
          <w:color w:val="000000"/>
        </w:rPr>
        <w:t>a escala de Percepção de Justiça Distributiva desenvolvida por Siqueira</w:t>
      </w:r>
      <w:r w:rsidR="00790D74">
        <w:rPr>
          <w:color w:val="000000"/>
        </w:rPr>
        <w:t xml:space="preserve"> (</w:t>
      </w:r>
      <w:r w:rsidR="00790D74" w:rsidRPr="00790D74">
        <w:rPr>
          <w:color w:val="000000"/>
        </w:rPr>
        <w:t>2008)</w:t>
      </w:r>
      <w:r w:rsidR="00790D74">
        <w:rPr>
          <w:color w:val="000000"/>
        </w:rPr>
        <w:t>.</w:t>
      </w:r>
      <w:r w:rsidR="00583A21" w:rsidRPr="00583A21">
        <w:t xml:space="preserve"> </w:t>
      </w:r>
    </w:p>
    <w:p w14:paraId="2850FC60" w14:textId="49A19A1B" w:rsidR="00945959" w:rsidRDefault="009B2F3F" w:rsidP="0055563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A </w:t>
      </w:r>
      <w:r w:rsidR="00583A21" w:rsidRPr="00583A21">
        <w:rPr>
          <w:color w:val="000000"/>
        </w:rPr>
        <w:t xml:space="preserve">tradução </w:t>
      </w:r>
      <w:r w:rsidR="00583A21">
        <w:rPr>
          <w:color w:val="000000"/>
        </w:rPr>
        <w:t>das escalas da língua inglesa</w:t>
      </w:r>
      <w:r w:rsidR="00583A21" w:rsidRPr="00583A21">
        <w:rPr>
          <w:color w:val="000000"/>
        </w:rPr>
        <w:t xml:space="preserve"> para </w:t>
      </w:r>
      <w:r w:rsidR="00583A21">
        <w:rPr>
          <w:color w:val="000000"/>
        </w:rPr>
        <w:t>a portuguesa</w:t>
      </w:r>
      <w:r>
        <w:rPr>
          <w:color w:val="000000"/>
        </w:rPr>
        <w:t xml:space="preserve"> foi executada por </w:t>
      </w:r>
      <w:r w:rsidR="00583A21">
        <w:rPr>
          <w:color w:val="000000"/>
        </w:rPr>
        <w:t xml:space="preserve">um pesquisador </w:t>
      </w:r>
      <w:r w:rsidR="00583A21" w:rsidRPr="00583A21">
        <w:rPr>
          <w:color w:val="000000"/>
        </w:rPr>
        <w:t>bilíngue</w:t>
      </w:r>
      <w:r w:rsidR="00583A21">
        <w:rPr>
          <w:color w:val="000000"/>
        </w:rPr>
        <w:t xml:space="preserve"> e três professores pesquisadores </w:t>
      </w:r>
      <w:r w:rsidR="00583A21" w:rsidRPr="00583A21">
        <w:rPr>
          <w:color w:val="000000"/>
        </w:rPr>
        <w:t>compar</w:t>
      </w:r>
      <w:r>
        <w:rPr>
          <w:color w:val="000000"/>
        </w:rPr>
        <w:t>aram</w:t>
      </w:r>
      <w:r w:rsidR="00583A21" w:rsidRPr="00583A21">
        <w:rPr>
          <w:color w:val="000000"/>
        </w:rPr>
        <w:t xml:space="preserve"> as</w:t>
      </w:r>
      <w:r w:rsidR="00583A21">
        <w:rPr>
          <w:color w:val="000000"/>
        </w:rPr>
        <w:t xml:space="preserve"> </w:t>
      </w:r>
      <w:r w:rsidR="00583A21" w:rsidRPr="00583A21">
        <w:rPr>
          <w:color w:val="000000"/>
        </w:rPr>
        <w:t xml:space="preserve">versões para </w:t>
      </w:r>
      <w:r>
        <w:rPr>
          <w:color w:val="000000"/>
        </w:rPr>
        <w:t>viabilizar a aplicação das medidas</w:t>
      </w:r>
      <w:r w:rsidR="00583A21" w:rsidRPr="00583A21">
        <w:rPr>
          <w:color w:val="000000"/>
        </w:rPr>
        <w:t>.</w:t>
      </w:r>
      <w:r>
        <w:rPr>
          <w:color w:val="000000"/>
        </w:rPr>
        <w:t xml:space="preserve"> Além disso, aplicou-se</w:t>
      </w:r>
      <w:r w:rsidR="00583A21" w:rsidRPr="00583A21">
        <w:rPr>
          <w:color w:val="000000"/>
        </w:rPr>
        <w:t xml:space="preserve"> uma validação semântica com </w:t>
      </w:r>
      <w:r>
        <w:rPr>
          <w:color w:val="000000"/>
        </w:rPr>
        <w:t xml:space="preserve">trinta </w:t>
      </w:r>
      <w:r w:rsidR="00583A21" w:rsidRPr="00583A21">
        <w:rPr>
          <w:color w:val="000000"/>
        </w:rPr>
        <w:t>participantes da população</w:t>
      </w:r>
      <w:r>
        <w:rPr>
          <w:color w:val="000000"/>
        </w:rPr>
        <w:t xml:space="preserve"> para se verificar </w:t>
      </w:r>
      <w:r w:rsidR="0055563F">
        <w:rPr>
          <w:color w:val="000000"/>
        </w:rPr>
        <w:t>eventual</w:t>
      </w:r>
      <w:r w:rsidR="00583A21" w:rsidRPr="00583A21">
        <w:rPr>
          <w:color w:val="000000"/>
        </w:rPr>
        <w:t xml:space="preserve"> incompreensão</w:t>
      </w:r>
      <w:r>
        <w:rPr>
          <w:color w:val="000000"/>
        </w:rPr>
        <w:t xml:space="preserve"> dos itens, o que não ocorreu</w:t>
      </w:r>
      <w:r w:rsidR="00583A21" w:rsidRPr="00583A21">
        <w:rPr>
          <w:color w:val="000000"/>
        </w:rPr>
        <w:t>.</w:t>
      </w:r>
    </w:p>
    <w:p w14:paraId="28F6E9D0" w14:textId="77777777" w:rsidR="00233437" w:rsidRDefault="00233437" w:rsidP="00945959">
      <w:pPr>
        <w:jc w:val="both"/>
        <w:rPr>
          <w:color w:val="000000"/>
        </w:rPr>
      </w:pPr>
    </w:p>
    <w:p w14:paraId="46494138" w14:textId="77777777" w:rsidR="00945959" w:rsidRPr="00945959" w:rsidRDefault="00945959" w:rsidP="00945959">
      <w:pPr>
        <w:jc w:val="both"/>
        <w:rPr>
          <w:b/>
        </w:rPr>
      </w:pPr>
      <w:r w:rsidRPr="00945959">
        <w:rPr>
          <w:b/>
        </w:rPr>
        <w:t>Análise dos dados</w:t>
      </w:r>
    </w:p>
    <w:p w14:paraId="40F2903C" w14:textId="77777777" w:rsidR="0003567D" w:rsidRDefault="0003567D" w:rsidP="00945959">
      <w:pPr>
        <w:ind w:firstLine="708"/>
        <w:jc w:val="both"/>
      </w:pPr>
    </w:p>
    <w:p w14:paraId="0357EA9F" w14:textId="77777777" w:rsidR="00945959" w:rsidRDefault="00945959" w:rsidP="00945959">
      <w:pPr>
        <w:ind w:firstLine="708"/>
        <w:jc w:val="both"/>
      </w:pPr>
      <w:r w:rsidRPr="00D80FEC">
        <w:t>Para realizar o teste das hipóteses deste estudo, foram utilizados testes estatísticos com a técnica de Modelos de Equações Estruturais – MEE (</w:t>
      </w:r>
      <w:proofErr w:type="spellStart"/>
      <w:r w:rsidRPr="00D80FEC">
        <w:t>Hair</w:t>
      </w:r>
      <w:proofErr w:type="spellEnd"/>
      <w:r w:rsidRPr="00D80FEC">
        <w:t xml:space="preserve">, </w:t>
      </w:r>
      <w:proofErr w:type="spellStart"/>
      <w:r w:rsidRPr="00D80FEC">
        <w:t>Hult</w:t>
      </w:r>
      <w:proofErr w:type="spellEnd"/>
      <w:r w:rsidRPr="00D80FEC">
        <w:t xml:space="preserve">, </w:t>
      </w:r>
      <w:proofErr w:type="spellStart"/>
      <w:r w:rsidRPr="00D80FEC">
        <w:t>Ringle</w:t>
      </w:r>
      <w:proofErr w:type="spellEnd"/>
      <w:r w:rsidRPr="00D80FEC">
        <w:t xml:space="preserve"> &amp; </w:t>
      </w:r>
      <w:proofErr w:type="spellStart"/>
      <w:r w:rsidRPr="00D80FEC">
        <w:t>Sarstedt</w:t>
      </w:r>
      <w:proofErr w:type="spellEnd"/>
      <w:r w:rsidRPr="00D80FEC">
        <w:rPr>
          <w:i/>
        </w:rPr>
        <w:t>,</w:t>
      </w:r>
      <w:r w:rsidRPr="00D80FEC">
        <w:t xml:space="preserve"> 2013).</w:t>
      </w:r>
      <w:r>
        <w:t xml:space="preserve"> </w:t>
      </w:r>
      <w:r w:rsidRPr="00D80FEC">
        <w:t xml:space="preserve">Para análise dos dados, </w:t>
      </w:r>
      <w:r>
        <w:t xml:space="preserve">optou-se </w:t>
      </w:r>
      <w:r w:rsidRPr="00D80FEC">
        <w:t xml:space="preserve">pela </w:t>
      </w:r>
      <w:r>
        <w:t xml:space="preserve">abordagem de </w:t>
      </w:r>
      <w:r w:rsidRPr="00D80FEC">
        <w:t>PLS-PM (</w:t>
      </w:r>
      <w:proofErr w:type="spellStart"/>
      <w:r w:rsidRPr="00D80FEC">
        <w:rPr>
          <w:i/>
        </w:rPr>
        <w:t>Partial</w:t>
      </w:r>
      <w:proofErr w:type="spellEnd"/>
      <w:r w:rsidRPr="00D80FEC">
        <w:rPr>
          <w:i/>
        </w:rPr>
        <w:t xml:space="preserve"> </w:t>
      </w:r>
      <w:proofErr w:type="spellStart"/>
      <w:r w:rsidRPr="00D80FEC">
        <w:rPr>
          <w:i/>
        </w:rPr>
        <w:t>Least</w:t>
      </w:r>
      <w:proofErr w:type="spellEnd"/>
      <w:r w:rsidRPr="00D80FEC">
        <w:rPr>
          <w:i/>
        </w:rPr>
        <w:t xml:space="preserve"> </w:t>
      </w:r>
      <w:proofErr w:type="spellStart"/>
      <w:r w:rsidRPr="00D80FEC">
        <w:rPr>
          <w:i/>
        </w:rPr>
        <w:t>Squares</w:t>
      </w:r>
      <w:proofErr w:type="spellEnd"/>
      <w:r w:rsidRPr="00D80FEC">
        <w:rPr>
          <w:i/>
        </w:rPr>
        <w:t xml:space="preserve"> – Path </w:t>
      </w:r>
      <w:proofErr w:type="spellStart"/>
      <w:r w:rsidRPr="00D80FEC">
        <w:rPr>
          <w:i/>
        </w:rPr>
        <w:t>Modeling</w:t>
      </w:r>
      <w:proofErr w:type="spellEnd"/>
      <w:r w:rsidRPr="00D80FEC">
        <w:t>), pois, entre outras opções, há a vantagem de estimar o modelo de mensuração (relação entre os indicadores e as variáveis latentes) e o modelo estrutural (relações entre as variáveis latentes) simultaneamente (</w:t>
      </w:r>
      <w:proofErr w:type="spellStart"/>
      <w:r w:rsidRPr="00D80FEC">
        <w:t>Hair</w:t>
      </w:r>
      <w:proofErr w:type="spellEnd"/>
      <w:r w:rsidRPr="00D80FEC">
        <w:t xml:space="preserve"> </w:t>
      </w:r>
      <w:r w:rsidRPr="00D80FEC">
        <w:rPr>
          <w:i/>
        </w:rPr>
        <w:t>et al.,</w:t>
      </w:r>
      <w:r w:rsidRPr="00D80FEC">
        <w:t xml:space="preserve"> 2013).</w:t>
      </w:r>
      <w:r>
        <w:t xml:space="preserve"> </w:t>
      </w:r>
      <w:r w:rsidRPr="00D80FEC">
        <w:t xml:space="preserve">O software </w:t>
      </w:r>
      <w:proofErr w:type="spellStart"/>
      <w:r w:rsidRPr="00D80FEC">
        <w:t>SmartPLS</w:t>
      </w:r>
      <w:proofErr w:type="spellEnd"/>
      <w:r w:rsidRPr="00D80FEC">
        <w:t xml:space="preserve"> 3.0M3 (</w:t>
      </w:r>
      <w:proofErr w:type="spellStart"/>
      <w:r w:rsidRPr="00D80FEC">
        <w:t>Ringle</w:t>
      </w:r>
      <w:proofErr w:type="spellEnd"/>
      <w:r w:rsidRPr="00D80FEC">
        <w:t xml:space="preserve">, </w:t>
      </w:r>
      <w:proofErr w:type="spellStart"/>
      <w:r w:rsidRPr="00D80FEC">
        <w:t>Wende</w:t>
      </w:r>
      <w:proofErr w:type="spellEnd"/>
      <w:r w:rsidRPr="00D80FEC">
        <w:t>, &amp; Becker, 2015) foi utilizado para os cálculos e validações dos testes estatísticos</w:t>
      </w:r>
      <w:r>
        <w:t>.</w:t>
      </w:r>
    </w:p>
    <w:p w14:paraId="5ED0911A" w14:textId="77777777" w:rsidR="00945959" w:rsidRDefault="00945959" w:rsidP="00945959">
      <w:pPr>
        <w:ind w:firstLine="708"/>
        <w:jc w:val="both"/>
      </w:pPr>
    </w:p>
    <w:p w14:paraId="4B287532" w14:textId="77777777" w:rsidR="00945959" w:rsidRPr="00102BDD" w:rsidRDefault="00945959" w:rsidP="00945959">
      <w:pPr>
        <w:jc w:val="both"/>
        <w:rPr>
          <w:b/>
        </w:rPr>
      </w:pPr>
    </w:p>
    <w:p w14:paraId="17F66E71" w14:textId="025B8D42" w:rsidR="00945959" w:rsidRDefault="00945959" w:rsidP="00945959">
      <w:pPr>
        <w:jc w:val="both"/>
        <w:rPr>
          <w:b/>
        </w:rPr>
      </w:pPr>
      <w:r>
        <w:rPr>
          <w:b/>
        </w:rPr>
        <w:t>Resultados</w:t>
      </w:r>
    </w:p>
    <w:p w14:paraId="79BFE732" w14:textId="77777777" w:rsidR="009B2F3F" w:rsidRDefault="009B2F3F" w:rsidP="00945959">
      <w:pPr>
        <w:jc w:val="both"/>
        <w:rPr>
          <w:b/>
        </w:rPr>
      </w:pPr>
    </w:p>
    <w:p w14:paraId="4DACB486" w14:textId="125C37AE" w:rsidR="00131AB0" w:rsidRPr="00D80FEC" w:rsidRDefault="00131AB0" w:rsidP="00C4758E">
      <w:pPr>
        <w:ind w:firstLine="709"/>
        <w:jc w:val="both"/>
      </w:pPr>
      <w:r w:rsidRPr="00D80FEC">
        <w:t xml:space="preserve">Para verificar se os indicadores associados a cada </w:t>
      </w:r>
      <w:r w:rsidR="00B34EAB">
        <w:t xml:space="preserve">dimensão </w:t>
      </w:r>
      <w:r w:rsidRPr="00D80FEC">
        <w:t>são reflexos do conceito que representam, foram analisadas as cargas fatoriais cruzadas de cada indicador (</w:t>
      </w:r>
      <w:proofErr w:type="spellStart"/>
      <w:r w:rsidRPr="00D80FEC">
        <w:t>Hair</w:t>
      </w:r>
      <w:proofErr w:type="spellEnd"/>
      <w:r w:rsidRPr="00D80FEC">
        <w:t xml:space="preserve"> </w:t>
      </w:r>
      <w:r w:rsidRPr="00D80FEC">
        <w:rPr>
          <w:i/>
        </w:rPr>
        <w:t>et al.</w:t>
      </w:r>
      <w:r w:rsidRPr="00D80FEC">
        <w:t>, 2017).</w:t>
      </w:r>
    </w:p>
    <w:p w14:paraId="5DC598E9" w14:textId="3FB71705" w:rsidR="00131AB0" w:rsidRPr="00D80FEC" w:rsidRDefault="00410C88" w:rsidP="00C4758E">
      <w:pPr>
        <w:ind w:firstLine="709"/>
        <w:jc w:val="both"/>
      </w:pPr>
      <w:r>
        <w:t>Recomenda-se que o</w:t>
      </w:r>
      <w:r w:rsidR="00131AB0" w:rsidRPr="00D80FEC">
        <w:t xml:space="preserve"> valor da carga fatorial do indicador deve ser maior ou igual a 0,7</w:t>
      </w:r>
      <w:r>
        <w:t>0</w:t>
      </w:r>
      <w:r w:rsidR="00131AB0" w:rsidRPr="00D80FEC">
        <w:t xml:space="preserve"> e maior que as cargas cruzadas com outros construtos para que os indicadores sejam mantidos no modelo</w:t>
      </w:r>
      <w:r>
        <w:t xml:space="preserve"> estrutural</w:t>
      </w:r>
      <w:r w:rsidR="00131AB0" w:rsidRPr="00D80FEC">
        <w:t xml:space="preserve"> (</w:t>
      </w:r>
      <w:proofErr w:type="spellStart"/>
      <w:r w:rsidR="00131AB0" w:rsidRPr="00D80FEC">
        <w:t>Hair</w:t>
      </w:r>
      <w:proofErr w:type="spellEnd"/>
      <w:r w:rsidR="00131AB0" w:rsidRPr="00D80FEC">
        <w:t xml:space="preserve"> </w:t>
      </w:r>
      <w:r w:rsidR="00131AB0" w:rsidRPr="00D80FEC">
        <w:rPr>
          <w:i/>
        </w:rPr>
        <w:t>et al.</w:t>
      </w:r>
      <w:r w:rsidR="00131AB0" w:rsidRPr="00D80FEC">
        <w:t>, 2017). As validades discriminante e convergente foram avaliadas no nível dos indicadores e das variáveis latentes.</w:t>
      </w:r>
      <w:r>
        <w:t xml:space="preserve"> </w:t>
      </w:r>
      <w:r w:rsidR="00131AB0" w:rsidRPr="00D80FEC">
        <w:t>A maioria dos indicadores apresentou cargas fatoriais altas em suas variáveis latentes, superiores a 0,70, e baixa nas demais variáveis latentes.</w:t>
      </w:r>
    </w:p>
    <w:p w14:paraId="0C0FADF9" w14:textId="2F6FDE07" w:rsidR="00131AB0" w:rsidRPr="00D80FEC" w:rsidRDefault="00131AB0" w:rsidP="00C4758E">
      <w:pPr>
        <w:ind w:firstLine="709"/>
        <w:jc w:val="both"/>
      </w:pPr>
      <w:r w:rsidRPr="00F8169E">
        <w:t xml:space="preserve">A </w:t>
      </w:r>
      <w:r w:rsidR="00FC3688" w:rsidRPr="00F8169E">
        <w:t xml:space="preserve">Tabela </w:t>
      </w:r>
      <w:r w:rsidR="00410C88">
        <w:t>1</w:t>
      </w:r>
      <w:r w:rsidRPr="00F8169E">
        <w:t xml:space="preserve"> apresenta os indicadores </w:t>
      </w:r>
      <w:r w:rsidR="00410C88">
        <w:t>de confiabilidade e variância média extraída</w:t>
      </w:r>
      <w:r w:rsidRPr="00F8169E">
        <w:t xml:space="preserve">. Todos os indicadores estão dentro dos valores </w:t>
      </w:r>
      <w:r w:rsidR="00410C88">
        <w:t>recomendados</w:t>
      </w:r>
      <w:r w:rsidRPr="00F8169E">
        <w:t xml:space="preserve">, com exceção </w:t>
      </w:r>
      <w:r w:rsidR="00410C88">
        <w:t xml:space="preserve">da dimensão Conflito de papéis </w:t>
      </w:r>
      <w:r w:rsidRPr="00F8169E">
        <w:t xml:space="preserve">que apresentou um valor de Alpha de </w:t>
      </w:r>
      <w:proofErr w:type="spellStart"/>
      <w:r w:rsidRPr="00F8169E">
        <w:t>Cronbach</w:t>
      </w:r>
      <w:proofErr w:type="spellEnd"/>
      <w:r w:rsidRPr="00F8169E">
        <w:t xml:space="preserve"> de 0,66. </w:t>
      </w:r>
      <w:r w:rsidR="00410C88">
        <w:t>Entretanto</w:t>
      </w:r>
      <w:r w:rsidRPr="00D80FEC">
        <w:t xml:space="preserve">, de acordo com </w:t>
      </w:r>
      <w:proofErr w:type="spellStart"/>
      <w:r w:rsidRPr="00D80FEC">
        <w:t>Hair</w:t>
      </w:r>
      <w:proofErr w:type="spellEnd"/>
      <w:r w:rsidRPr="00D80FEC">
        <w:t xml:space="preserve"> </w:t>
      </w:r>
      <w:r w:rsidRPr="00D80FEC">
        <w:rPr>
          <w:i/>
        </w:rPr>
        <w:t>et al.</w:t>
      </w:r>
      <w:r w:rsidRPr="00D80FEC">
        <w:t xml:space="preserve"> (2017)</w:t>
      </w:r>
      <w:r w:rsidR="00410C88">
        <w:t>,</w:t>
      </w:r>
      <w:r w:rsidRPr="00D80FEC">
        <w:t xml:space="preserve"> o Alpha de </w:t>
      </w:r>
      <w:proofErr w:type="spellStart"/>
      <w:r w:rsidRPr="00D80FEC">
        <w:t>Cronbach</w:t>
      </w:r>
      <w:proofErr w:type="spellEnd"/>
      <w:r w:rsidRPr="00D80FEC">
        <w:t>, tende a subestimar a consistência interna, sendo mais apropriado realizar a avaliação pela confiabilidade composta, na qual o indicador apresentou valor adequado.</w:t>
      </w:r>
      <w:r w:rsidR="00410C88">
        <w:t xml:space="preserve"> Neste sentido, entendemos que não haveria problemas de confiabilidade ao prosseguimento das análises </w:t>
      </w:r>
    </w:p>
    <w:p w14:paraId="5091D42A" w14:textId="77777777" w:rsidR="00131AB0" w:rsidRDefault="00131AB0" w:rsidP="00131AB0">
      <w:pPr>
        <w:ind w:firstLine="708"/>
        <w:jc w:val="both"/>
      </w:pPr>
    </w:p>
    <w:p w14:paraId="6E7A17D1" w14:textId="77777777" w:rsidR="0003567D" w:rsidRDefault="0003567D" w:rsidP="00131AB0">
      <w:pPr>
        <w:ind w:firstLine="708"/>
        <w:jc w:val="both"/>
      </w:pPr>
    </w:p>
    <w:p w14:paraId="5CF0A928" w14:textId="77777777" w:rsidR="0003567D" w:rsidRDefault="0003567D" w:rsidP="00131AB0">
      <w:pPr>
        <w:ind w:firstLine="708"/>
        <w:jc w:val="both"/>
      </w:pPr>
    </w:p>
    <w:p w14:paraId="179643AB" w14:textId="77777777" w:rsidR="0003567D" w:rsidRDefault="0003567D" w:rsidP="00131AB0">
      <w:pPr>
        <w:ind w:firstLine="708"/>
        <w:jc w:val="both"/>
      </w:pPr>
    </w:p>
    <w:p w14:paraId="7AAEAC51" w14:textId="77777777" w:rsidR="0003567D" w:rsidRDefault="0003567D" w:rsidP="00131AB0">
      <w:pPr>
        <w:ind w:firstLine="708"/>
        <w:jc w:val="both"/>
      </w:pPr>
    </w:p>
    <w:p w14:paraId="1A159E48" w14:textId="77777777" w:rsidR="0003567D" w:rsidRPr="00D80FEC" w:rsidRDefault="0003567D" w:rsidP="00131AB0">
      <w:pPr>
        <w:ind w:firstLine="708"/>
        <w:jc w:val="both"/>
      </w:pPr>
    </w:p>
    <w:p w14:paraId="670A157B" w14:textId="77777777" w:rsidR="00B34EAB" w:rsidRDefault="00FC3688" w:rsidP="00804BAE">
      <w:pPr>
        <w:jc w:val="both"/>
        <w:rPr>
          <w:b/>
        </w:rPr>
      </w:pPr>
      <w:bookmarkStart w:id="2" w:name="_Toc515731132"/>
      <w:r w:rsidRPr="00D80FEC">
        <w:lastRenderedPageBreak/>
        <w:t>Tabela</w:t>
      </w:r>
      <w:r w:rsidRPr="00D80FEC">
        <w:rPr>
          <w:b/>
        </w:rPr>
        <w:t xml:space="preserve"> </w:t>
      </w:r>
      <w:r w:rsidR="00410C88" w:rsidRPr="00410C88">
        <w:t>1</w:t>
      </w:r>
      <w:r w:rsidR="00F24351" w:rsidRPr="00D80FEC">
        <w:rPr>
          <w:b/>
        </w:rPr>
        <w:t xml:space="preserve"> </w:t>
      </w:r>
    </w:p>
    <w:p w14:paraId="407A8D4B" w14:textId="08E6F0B8" w:rsidR="00F24351" w:rsidRPr="00B34EAB" w:rsidRDefault="00131AB0" w:rsidP="00804BAE">
      <w:pPr>
        <w:jc w:val="both"/>
        <w:rPr>
          <w:i/>
        </w:rPr>
      </w:pPr>
      <w:r w:rsidRPr="00B34EAB">
        <w:rPr>
          <w:i/>
        </w:rPr>
        <w:t xml:space="preserve">Alpha de </w:t>
      </w:r>
      <w:proofErr w:type="spellStart"/>
      <w:r w:rsidRPr="00B34EAB">
        <w:rPr>
          <w:i/>
        </w:rPr>
        <w:t>Cronbach</w:t>
      </w:r>
      <w:proofErr w:type="spellEnd"/>
      <w:r w:rsidRPr="00B34EAB">
        <w:rPr>
          <w:i/>
        </w:rPr>
        <w:t>, Confiabilidade Composta e Variância Média Extraída</w:t>
      </w:r>
      <w:bookmarkEnd w:id="2"/>
    </w:p>
    <w:tbl>
      <w:tblPr>
        <w:tblW w:w="86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1762"/>
        <w:gridCol w:w="2522"/>
        <w:gridCol w:w="1702"/>
      </w:tblGrid>
      <w:tr w:rsidR="006C0589" w:rsidRPr="00D80FEC" w14:paraId="0942F985" w14:textId="77777777" w:rsidTr="007E6911">
        <w:trPr>
          <w:trHeight w:val="535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A1251" w14:textId="77777777" w:rsidR="006C0589" w:rsidRPr="00D80FEC" w:rsidRDefault="006C0589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Construtos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D9C8C" w14:textId="77777777" w:rsidR="006C0589" w:rsidRPr="00D80FEC" w:rsidRDefault="006C0589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 xml:space="preserve">Alpha de </w:t>
            </w:r>
            <w:proofErr w:type="spellStart"/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Cronbach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B68A6" w14:textId="77777777" w:rsidR="006C0589" w:rsidRPr="00D80FEC" w:rsidRDefault="006C0589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Confiabilidade Composta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A6E36" w14:textId="77777777" w:rsidR="006C0589" w:rsidRPr="00D80FEC" w:rsidRDefault="006C0589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Variância Média Extraída</w:t>
            </w:r>
          </w:p>
        </w:tc>
      </w:tr>
      <w:tr w:rsidR="006C0589" w:rsidRPr="00D80FEC" w14:paraId="411124C6" w14:textId="77777777" w:rsidTr="006C0589">
        <w:trPr>
          <w:trHeight w:val="311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0602" w14:textId="49EC7772" w:rsidR="006C0589" w:rsidRPr="00D80FEC" w:rsidRDefault="006C0589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C</w:t>
            </w:r>
            <w:r w:rsidR="007E6911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 xml:space="preserve">onflito na </w:t>
            </w: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G</w:t>
            </w:r>
            <w:r w:rsidR="007E6911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estão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5863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0,790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A9C1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0,861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1824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0,609</w:t>
            </w:r>
          </w:p>
        </w:tc>
      </w:tr>
      <w:tr w:rsidR="006C0589" w:rsidRPr="00D80FEC" w14:paraId="2937EAAD" w14:textId="77777777" w:rsidTr="006C0589">
        <w:trPr>
          <w:trHeight w:val="311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97F8" w14:textId="6742A8E9" w:rsidR="006C0589" w:rsidRPr="00D80FEC" w:rsidRDefault="006C0589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C</w:t>
            </w:r>
            <w:r w:rsidR="007E6911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 xml:space="preserve">onflito de </w:t>
            </w: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P</w:t>
            </w:r>
            <w:r w:rsidR="007E6911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apéis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EF57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0,664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CC2D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0,815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9F95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0,598</w:t>
            </w:r>
          </w:p>
        </w:tc>
      </w:tr>
      <w:tr w:rsidR="006C0589" w:rsidRPr="00D80FEC" w14:paraId="1A1E3689" w14:textId="77777777" w:rsidTr="006C0589">
        <w:trPr>
          <w:trHeight w:val="311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B6A1" w14:textId="71DD4334" w:rsidR="006C0589" w:rsidRPr="00D80FEC" w:rsidRDefault="006C0589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E</w:t>
            </w:r>
            <w:r w:rsidR="007E6911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 xml:space="preserve">xaustão no </w:t>
            </w: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T</w:t>
            </w:r>
            <w:r w:rsidR="007E6911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rabalho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18C6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0,774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5F68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0,853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262B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0,594</w:t>
            </w:r>
          </w:p>
        </w:tc>
      </w:tr>
      <w:tr w:rsidR="006C0589" w:rsidRPr="00D80FEC" w14:paraId="2BBE7BF4" w14:textId="77777777" w:rsidTr="006C0589">
        <w:trPr>
          <w:trHeight w:val="311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EE370" w14:textId="42AF29F8" w:rsidR="006C0589" w:rsidRPr="00D80FEC" w:rsidRDefault="006C0589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J</w:t>
            </w:r>
            <w:r w:rsidR="007E6911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 xml:space="preserve">ustiça </w:t>
            </w: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D</w:t>
            </w:r>
            <w:r w:rsidR="007E6911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istributiva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805F9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0,830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9E378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0,881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84D69" w14:textId="77777777" w:rsidR="006C0589" w:rsidRPr="00D80FEC" w:rsidRDefault="006C0589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0,598</w:t>
            </w:r>
          </w:p>
        </w:tc>
      </w:tr>
    </w:tbl>
    <w:p w14:paraId="0E29CC82" w14:textId="77777777" w:rsidR="00DD2226" w:rsidRPr="00D80FEC" w:rsidRDefault="00DD2226" w:rsidP="00131AB0">
      <w:pPr>
        <w:jc w:val="both"/>
        <w:rPr>
          <w:b/>
          <w:sz w:val="20"/>
        </w:rPr>
      </w:pPr>
    </w:p>
    <w:p w14:paraId="3F5A4A38" w14:textId="05DE1BFE" w:rsidR="004C5077" w:rsidRPr="00D80FEC" w:rsidRDefault="00131AB0" w:rsidP="004C5077">
      <w:pPr>
        <w:ind w:firstLine="709"/>
        <w:jc w:val="both"/>
      </w:pPr>
      <w:r w:rsidRPr="00D80FEC">
        <w:t xml:space="preserve">O cálculo da raiz quadrada da AVE é outro indicador de validade discriminante entre os construtos. Esses valores são apresentados na </w:t>
      </w:r>
      <w:r w:rsidR="005957DA" w:rsidRPr="00D80FEC">
        <w:t xml:space="preserve">Tabela </w:t>
      </w:r>
      <w:r w:rsidR="004C5077">
        <w:t>2</w:t>
      </w:r>
      <w:r w:rsidRPr="00D80FEC">
        <w:t>. A raiz quadrada da variância média extraída é apresentada em negrito na diagonal, esse valor deve ser maior que a correlação entre as variáveis latentes (</w:t>
      </w:r>
      <w:proofErr w:type="spellStart"/>
      <w:r w:rsidRPr="00D80FEC">
        <w:t>Fornell</w:t>
      </w:r>
      <w:proofErr w:type="spellEnd"/>
      <w:r w:rsidRPr="00D80FEC">
        <w:t xml:space="preserve"> &amp; </w:t>
      </w:r>
      <w:proofErr w:type="spellStart"/>
      <w:r w:rsidRPr="00D80FEC">
        <w:t>Larcker</w:t>
      </w:r>
      <w:proofErr w:type="spellEnd"/>
      <w:r w:rsidRPr="00D80FEC">
        <w:t>, 1981).</w:t>
      </w:r>
      <w:r w:rsidR="004C5077" w:rsidRPr="004C5077">
        <w:t xml:space="preserve"> </w:t>
      </w:r>
      <w:r w:rsidR="004C5077" w:rsidRPr="00D80FEC">
        <w:t xml:space="preserve">De acordo com a Tabela </w:t>
      </w:r>
      <w:r w:rsidR="004C5077">
        <w:t>2</w:t>
      </w:r>
      <w:r w:rsidR="004C5077" w:rsidRPr="00D80FEC">
        <w:t>, todos os valores de correlação entre as variáveis latentes estão maiores do que os valores da raiz quadrada da variância média extraída (diagonal).</w:t>
      </w:r>
    </w:p>
    <w:p w14:paraId="6C58BEB4" w14:textId="77777777" w:rsidR="00DD2226" w:rsidRPr="00D80FEC" w:rsidRDefault="00DD2226" w:rsidP="00C4758E">
      <w:pPr>
        <w:jc w:val="both"/>
        <w:rPr>
          <w:b/>
        </w:rPr>
      </w:pPr>
    </w:p>
    <w:p w14:paraId="00EB8A98" w14:textId="77777777" w:rsidR="00B34EAB" w:rsidRDefault="005957DA" w:rsidP="00804BAE">
      <w:pPr>
        <w:jc w:val="both"/>
      </w:pPr>
      <w:bookmarkStart w:id="3" w:name="_Toc515731133"/>
      <w:r w:rsidRPr="00D80FEC">
        <w:t>Tabela</w:t>
      </w:r>
      <w:r w:rsidRPr="00D80FEC">
        <w:rPr>
          <w:b/>
        </w:rPr>
        <w:t xml:space="preserve"> </w:t>
      </w:r>
      <w:r w:rsidR="004C5077" w:rsidRPr="00B34EAB">
        <w:t>2</w:t>
      </w:r>
    </w:p>
    <w:p w14:paraId="32110DDC" w14:textId="4CDEA285" w:rsidR="00F24351" w:rsidRPr="00B34EAB" w:rsidRDefault="00131AB0" w:rsidP="00804BAE">
      <w:pPr>
        <w:jc w:val="both"/>
        <w:rPr>
          <w:i/>
        </w:rPr>
      </w:pPr>
      <w:r w:rsidRPr="00B34EAB">
        <w:rPr>
          <w:i/>
        </w:rPr>
        <w:t xml:space="preserve">Validade Discriminante </w:t>
      </w:r>
      <w:bookmarkEnd w:id="3"/>
    </w:p>
    <w:tbl>
      <w:tblPr>
        <w:tblW w:w="7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992"/>
        <w:gridCol w:w="1689"/>
        <w:gridCol w:w="1499"/>
        <w:gridCol w:w="1174"/>
      </w:tblGrid>
      <w:tr w:rsidR="00EE6D15" w:rsidRPr="00D80FEC" w14:paraId="1386C46B" w14:textId="77777777" w:rsidTr="00EE6D15">
        <w:trPr>
          <w:trHeight w:val="241"/>
        </w:trPr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3F792" w14:textId="77777777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b/>
                <w:bCs/>
                <w:color w:val="000000"/>
                <w:sz w:val="20"/>
                <w:szCs w:val="20"/>
              </w:rPr>
              <w:t>Construtos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D6360" w14:textId="1F140C68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Conflito na Gestão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A0A5B" w14:textId="7984DF07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Conflito de Papéis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C0C8B" w14:textId="6C7A260B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Exaustão no Trabalho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9EEEA" w14:textId="27D64C2F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Justiça Distributiva</w:t>
            </w:r>
          </w:p>
        </w:tc>
      </w:tr>
      <w:tr w:rsidR="00EE6D15" w:rsidRPr="00D80FEC" w14:paraId="133710B6" w14:textId="77777777" w:rsidTr="00EE6D15">
        <w:trPr>
          <w:trHeight w:val="304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F512" w14:textId="1527E535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Conflito na Gestão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B7B5C" w14:textId="77777777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b/>
                <w:bCs/>
                <w:color w:val="000000"/>
                <w:sz w:val="20"/>
                <w:szCs w:val="20"/>
              </w:rPr>
              <w:t>0,780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4303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B04B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FDCC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D15" w:rsidRPr="00D80FEC" w14:paraId="52833EE2" w14:textId="77777777" w:rsidTr="00EE6D15">
        <w:trPr>
          <w:trHeight w:val="304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CCE4" w14:textId="6FF71FD3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Conflito de Papéis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1834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-0,258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924068" w14:textId="77777777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b/>
                <w:bCs/>
                <w:color w:val="000000"/>
                <w:sz w:val="20"/>
                <w:szCs w:val="20"/>
              </w:rPr>
              <w:t>0,773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B47D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1007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D15" w:rsidRPr="00D80FEC" w14:paraId="17AA999C" w14:textId="77777777" w:rsidTr="00EE6D15">
        <w:trPr>
          <w:trHeight w:val="304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5792" w14:textId="165393D9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Exaustão no Trabalho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2BFE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-0,297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92B4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0,492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8DEA8" w14:textId="77777777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b/>
                <w:bCs/>
                <w:color w:val="000000"/>
                <w:sz w:val="20"/>
                <w:szCs w:val="20"/>
              </w:rPr>
              <w:t>0,771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8FA5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D15" w:rsidRPr="00D80FEC" w14:paraId="45DC0F29" w14:textId="77777777" w:rsidTr="00EE6D15">
        <w:trPr>
          <w:trHeight w:val="304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A4E1" w14:textId="6C552368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Justiça Distributiva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0FDA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0,525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D5F1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-0,307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5DC9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-0,357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1FCB14" w14:textId="77777777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b/>
                <w:bCs/>
                <w:color w:val="000000"/>
                <w:sz w:val="20"/>
                <w:szCs w:val="20"/>
              </w:rPr>
              <w:t>0,773</w:t>
            </w:r>
          </w:p>
        </w:tc>
      </w:tr>
      <w:tr w:rsidR="00EE6D15" w:rsidRPr="00D80FEC" w14:paraId="0AC9DB94" w14:textId="77777777" w:rsidTr="00EE6D15">
        <w:trPr>
          <w:trHeight w:val="304"/>
        </w:trPr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E6DD7" w14:textId="77777777" w:rsidR="00EE6D15" w:rsidRPr="00D80FEC" w:rsidRDefault="00EE6D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0FEC">
              <w:rPr>
                <w:b/>
                <w:bCs/>
                <w:color w:val="000000"/>
                <w:sz w:val="20"/>
                <w:szCs w:val="20"/>
              </w:rPr>
              <w:t>Tecnoestresse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891B2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-0,123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A232C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0,413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409BA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0,461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60DFE" w14:textId="77777777" w:rsidR="00EE6D15" w:rsidRPr="00D80FEC" w:rsidRDefault="00EE6D15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-0,098</w:t>
            </w:r>
          </w:p>
        </w:tc>
      </w:tr>
    </w:tbl>
    <w:p w14:paraId="355ECA8D" w14:textId="77777777" w:rsidR="00D0621B" w:rsidRDefault="00131AB0" w:rsidP="00131AB0">
      <w:pPr>
        <w:jc w:val="both"/>
      </w:pPr>
      <w:r w:rsidRPr="00D80FEC">
        <w:tab/>
      </w:r>
    </w:p>
    <w:p w14:paraId="30A14322" w14:textId="108D5A4B" w:rsidR="00131AB0" w:rsidRDefault="00131AB0" w:rsidP="00131AB0">
      <w:pPr>
        <w:jc w:val="both"/>
      </w:pPr>
      <w:r w:rsidRPr="00D80FEC">
        <w:t>Para avaliar a colinearidade,</w:t>
      </w:r>
      <w:r w:rsidR="004C5077">
        <w:t xml:space="preserve"> foram analisados os valores do Fator de Inflação da Variância – FIV </w:t>
      </w:r>
      <w:r w:rsidRPr="00D80FEC">
        <w:t xml:space="preserve">para cada subparte do modelo estrutural. A </w:t>
      </w:r>
      <w:r w:rsidR="005957DA" w:rsidRPr="00D80FEC">
        <w:t xml:space="preserve">Tabela </w:t>
      </w:r>
      <w:r w:rsidR="004C5077">
        <w:t>3</w:t>
      </w:r>
      <w:r w:rsidRPr="00D80FEC">
        <w:t xml:space="preserve"> apresenta os valores de </w:t>
      </w:r>
      <w:r w:rsidR="004C5077">
        <w:t>FIV</w:t>
      </w:r>
      <w:r w:rsidRPr="00D80FEC">
        <w:t xml:space="preserve">, e todos os valores estão dentro do estabelecido por </w:t>
      </w:r>
      <w:proofErr w:type="spellStart"/>
      <w:r w:rsidRPr="00D80FEC">
        <w:t>Hair</w:t>
      </w:r>
      <w:proofErr w:type="spellEnd"/>
      <w:r w:rsidRPr="00D80FEC">
        <w:t xml:space="preserve"> </w:t>
      </w:r>
      <w:r w:rsidRPr="00D80FEC">
        <w:rPr>
          <w:i/>
        </w:rPr>
        <w:t>et al</w:t>
      </w:r>
      <w:r w:rsidRPr="00D80FEC">
        <w:t xml:space="preserve">. (2017), sendo abaixo de </w:t>
      </w:r>
      <w:r w:rsidR="004C5077">
        <w:t>cinco</w:t>
      </w:r>
      <w:r w:rsidRPr="00D80FEC">
        <w:t>.</w:t>
      </w:r>
    </w:p>
    <w:p w14:paraId="4E7D6F4B" w14:textId="77777777" w:rsidR="004C5077" w:rsidRPr="00D80FEC" w:rsidRDefault="004C5077" w:rsidP="00131AB0">
      <w:pPr>
        <w:jc w:val="both"/>
      </w:pPr>
    </w:p>
    <w:p w14:paraId="1DE7D14A" w14:textId="77777777" w:rsidR="00B34EAB" w:rsidRDefault="005957DA" w:rsidP="00131AB0">
      <w:pPr>
        <w:jc w:val="both"/>
        <w:rPr>
          <w:b/>
        </w:rPr>
      </w:pPr>
      <w:bookmarkStart w:id="4" w:name="_Toc515731134"/>
      <w:r w:rsidRPr="00D80FEC">
        <w:t>Tabela</w:t>
      </w:r>
      <w:r w:rsidRPr="00D80FEC">
        <w:rPr>
          <w:b/>
        </w:rPr>
        <w:t xml:space="preserve"> </w:t>
      </w:r>
      <w:r w:rsidR="004C5077" w:rsidRPr="00B34EAB">
        <w:t>3</w:t>
      </w:r>
      <w:r w:rsidR="00F24351" w:rsidRPr="00D80FEC">
        <w:rPr>
          <w:b/>
        </w:rPr>
        <w:t xml:space="preserve"> </w:t>
      </w:r>
    </w:p>
    <w:p w14:paraId="359948E4" w14:textId="6154CD63" w:rsidR="00131AB0" w:rsidRPr="00B34EAB" w:rsidRDefault="00131AB0" w:rsidP="00131AB0">
      <w:pPr>
        <w:jc w:val="both"/>
        <w:rPr>
          <w:i/>
        </w:rPr>
      </w:pPr>
      <w:r w:rsidRPr="00B34EAB">
        <w:rPr>
          <w:i/>
        </w:rPr>
        <w:t>Avaliação de colinearidade</w:t>
      </w:r>
      <w:bookmarkEnd w:id="4"/>
    </w:p>
    <w:tbl>
      <w:tblPr>
        <w:tblW w:w="91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1"/>
        <w:gridCol w:w="4775"/>
      </w:tblGrid>
      <w:tr w:rsidR="00957424" w:rsidRPr="00D80FEC" w14:paraId="358BB0BF" w14:textId="77777777" w:rsidTr="00891D32">
        <w:trPr>
          <w:trHeight w:val="277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E2EFD" w14:textId="77777777" w:rsidR="00957424" w:rsidRPr="00D80FEC" w:rsidRDefault="00957424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D89C8" w14:textId="7F273E4B" w:rsidR="00957424" w:rsidRPr="00D80FEC" w:rsidRDefault="00054EC7" w:rsidP="00054EC7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 xml:space="preserve">FIV </w:t>
            </w:r>
          </w:p>
        </w:tc>
      </w:tr>
      <w:tr w:rsidR="00957424" w:rsidRPr="00D80FEC" w14:paraId="1964FD6A" w14:textId="77777777" w:rsidTr="00891D32">
        <w:trPr>
          <w:trHeight w:val="26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693A" w14:textId="77777777" w:rsidR="00957424" w:rsidRPr="00D80FEC" w:rsidRDefault="00957424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Confiança na Gestão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A7BF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1,402</w:t>
            </w:r>
          </w:p>
        </w:tc>
      </w:tr>
      <w:tr w:rsidR="00957424" w:rsidRPr="00D80FEC" w14:paraId="40D7F7B3" w14:textId="77777777" w:rsidTr="00891D32">
        <w:trPr>
          <w:trHeight w:val="26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99BB" w14:textId="77777777" w:rsidR="00957424" w:rsidRPr="00D80FEC" w:rsidRDefault="00957424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Conflito de Papéis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8D0C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1,332</w:t>
            </w:r>
          </w:p>
        </w:tc>
      </w:tr>
      <w:tr w:rsidR="00957424" w:rsidRPr="00D80FEC" w14:paraId="2ED4B5AF" w14:textId="77777777" w:rsidTr="00891D32">
        <w:trPr>
          <w:trHeight w:val="26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6F0F" w14:textId="77777777" w:rsidR="00957424" w:rsidRPr="00D80FEC" w:rsidRDefault="00957424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Justiça Distributiva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74E9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1,446</w:t>
            </w:r>
          </w:p>
        </w:tc>
      </w:tr>
      <w:tr w:rsidR="00957424" w:rsidRPr="00D80FEC" w14:paraId="49C778B2" w14:textId="77777777" w:rsidTr="00891D32">
        <w:trPr>
          <w:trHeight w:val="266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AC667" w14:textId="77777777" w:rsidR="00957424" w:rsidRPr="00D80FEC" w:rsidRDefault="00957424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Tecnoestresse</w:t>
            </w:r>
            <w:proofErr w:type="spellEnd"/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A3BDE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1,209</w:t>
            </w:r>
          </w:p>
        </w:tc>
      </w:tr>
    </w:tbl>
    <w:p w14:paraId="0EE72466" w14:textId="77777777" w:rsidR="00C60247" w:rsidRPr="00D80FEC" w:rsidRDefault="00C60247" w:rsidP="00131AB0">
      <w:pPr>
        <w:jc w:val="both"/>
      </w:pPr>
    </w:p>
    <w:p w14:paraId="2E3A0828" w14:textId="07D9CFDA" w:rsidR="00DD2226" w:rsidRPr="00D80FEC" w:rsidRDefault="00131AB0" w:rsidP="004C5077">
      <w:pPr>
        <w:ind w:firstLine="709"/>
        <w:jc w:val="both"/>
        <w:rPr>
          <w:b/>
        </w:rPr>
      </w:pPr>
      <w:r w:rsidRPr="00D80FEC">
        <w:t xml:space="preserve">Para analisar as significâncias dos indicadores, foi utilizada a técnica </w:t>
      </w:r>
      <w:proofErr w:type="spellStart"/>
      <w:r w:rsidRPr="00D80FEC">
        <w:rPr>
          <w:i/>
        </w:rPr>
        <w:t>bootstrapping</w:t>
      </w:r>
      <w:proofErr w:type="spellEnd"/>
      <w:r w:rsidRPr="00D80FEC">
        <w:t xml:space="preserve">. A utilização da técnica </w:t>
      </w:r>
      <w:proofErr w:type="spellStart"/>
      <w:r w:rsidRPr="00D80FEC">
        <w:rPr>
          <w:i/>
        </w:rPr>
        <w:t>bootstrapping</w:t>
      </w:r>
      <w:proofErr w:type="spellEnd"/>
      <w:r w:rsidRPr="00D80FEC">
        <w:t xml:space="preserve"> para analisar a significância das cargas obtidas para as variáveis observáveis não se baseia só em uma estimação de modelo, mas calcula estimativas de parâmetros e seus intervalos de confiança com base em múltiplas.</w:t>
      </w:r>
      <w:r w:rsidR="0061121C">
        <w:t xml:space="preserve"> </w:t>
      </w:r>
      <w:r w:rsidRPr="00D80FEC">
        <w:t xml:space="preserve">A estatística t de </w:t>
      </w:r>
      <w:proofErr w:type="spellStart"/>
      <w:r w:rsidRPr="00D80FEC">
        <w:rPr>
          <w:i/>
        </w:rPr>
        <w:t>Student</w:t>
      </w:r>
      <w:proofErr w:type="spellEnd"/>
      <w:r w:rsidRPr="00D80FEC">
        <w:t xml:space="preserve"> analisa a hipótese de que os coeficientes de correlação são iguais </w:t>
      </w:r>
      <w:r w:rsidR="003801CE" w:rsidRPr="00D80FEC">
        <w:t>à</w:t>
      </w:r>
      <w:r w:rsidRPr="00D80FEC">
        <w:t xml:space="preserve"> zero. Caso os resultados deste teste indiquem valores superiores a 1,96, a hipótese é rejeitada e a correlação é significante (</w:t>
      </w:r>
      <w:proofErr w:type="spellStart"/>
      <w:r w:rsidRPr="00D80FEC">
        <w:t>Efron</w:t>
      </w:r>
      <w:proofErr w:type="spellEnd"/>
      <w:r w:rsidRPr="00D80FEC">
        <w:t xml:space="preserve"> &amp; </w:t>
      </w:r>
      <w:proofErr w:type="spellStart"/>
      <w:r w:rsidRPr="00D80FEC">
        <w:t>Tibshirani</w:t>
      </w:r>
      <w:proofErr w:type="spellEnd"/>
      <w:r w:rsidRPr="00D80FEC">
        <w:t xml:space="preserve">, 1998; </w:t>
      </w:r>
      <w:proofErr w:type="spellStart"/>
      <w:r w:rsidRPr="00D80FEC">
        <w:t>Hair</w:t>
      </w:r>
      <w:proofErr w:type="spellEnd"/>
      <w:r w:rsidRPr="00D80FEC">
        <w:t xml:space="preserve"> </w:t>
      </w:r>
      <w:r w:rsidRPr="00D80FEC">
        <w:rPr>
          <w:i/>
        </w:rPr>
        <w:t>et al</w:t>
      </w:r>
      <w:r w:rsidRPr="00D80FEC">
        <w:t>., 2017</w:t>
      </w:r>
      <w:r w:rsidR="004C5077">
        <w:t>).</w:t>
      </w:r>
    </w:p>
    <w:p w14:paraId="5511F57F" w14:textId="4103EEB1" w:rsidR="00131AB0" w:rsidRPr="00D80FEC" w:rsidRDefault="00131AB0" w:rsidP="00174B75">
      <w:pPr>
        <w:ind w:firstLine="709"/>
        <w:jc w:val="both"/>
      </w:pPr>
      <w:r w:rsidRPr="00D80FEC">
        <w:t xml:space="preserve">A </w:t>
      </w:r>
      <w:r w:rsidR="00DE547C">
        <w:t xml:space="preserve">Tabela </w:t>
      </w:r>
      <w:r w:rsidR="004C5077">
        <w:t>4</w:t>
      </w:r>
      <w:r w:rsidRPr="00D80FEC">
        <w:t xml:space="preserve"> apresenta os valores dos coeficientes entre os construtos e as respectivas estatísticas t de </w:t>
      </w:r>
      <w:proofErr w:type="spellStart"/>
      <w:r w:rsidRPr="00D80FEC">
        <w:rPr>
          <w:i/>
        </w:rPr>
        <w:t>Student</w:t>
      </w:r>
      <w:proofErr w:type="spellEnd"/>
      <w:r w:rsidRPr="00D80FEC">
        <w:t xml:space="preserve">. Os valores também foram estimados pela técnica de </w:t>
      </w:r>
      <w:proofErr w:type="spellStart"/>
      <w:r w:rsidRPr="00D80FEC">
        <w:rPr>
          <w:i/>
        </w:rPr>
        <w:t>bootstrapping</w:t>
      </w:r>
      <w:proofErr w:type="spellEnd"/>
      <w:r w:rsidRPr="00D80FEC">
        <w:t>.</w:t>
      </w:r>
      <w:r w:rsidR="004C5077">
        <w:t xml:space="preserve"> </w:t>
      </w:r>
      <w:r w:rsidRPr="00D80FEC">
        <w:t xml:space="preserve">Todos os valores dos relacionamentos que apresentaram valores de t de </w:t>
      </w:r>
      <w:proofErr w:type="spellStart"/>
      <w:r w:rsidRPr="00D80FEC">
        <w:rPr>
          <w:i/>
        </w:rPr>
        <w:t>Student</w:t>
      </w:r>
      <w:proofErr w:type="spellEnd"/>
      <w:r w:rsidRPr="00D80FEC">
        <w:t xml:space="preserve"> superiores a 1,96 (nível de significância = 5%), têm suporte para a hipótese correspondente. Porém, o </w:t>
      </w:r>
      <w:r w:rsidRPr="00D80FEC">
        <w:lastRenderedPageBreak/>
        <w:t xml:space="preserve">relacionamento entre CG e ET apresentou t de </w:t>
      </w:r>
      <w:proofErr w:type="spellStart"/>
      <w:r w:rsidRPr="00D80FEC">
        <w:rPr>
          <w:i/>
        </w:rPr>
        <w:t>Student</w:t>
      </w:r>
      <w:proofErr w:type="spellEnd"/>
      <w:r w:rsidRPr="00D80FEC">
        <w:t xml:space="preserve"> inferior a 1,96, não dando suporte para a hipótese desse relacionamento.</w:t>
      </w:r>
    </w:p>
    <w:p w14:paraId="04E43778" w14:textId="77777777" w:rsidR="00B83108" w:rsidRPr="00D80FEC" w:rsidRDefault="00B83108" w:rsidP="00B83108">
      <w:pPr>
        <w:ind w:firstLine="708"/>
        <w:jc w:val="both"/>
      </w:pPr>
    </w:p>
    <w:p w14:paraId="0B390BF7" w14:textId="77777777" w:rsidR="00B34EAB" w:rsidRDefault="005957DA" w:rsidP="00804BAE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bookmarkStart w:id="5" w:name="_Toc515731136"/>
      <w:r w:rsidRPr="00D80FEC">
        <w:t>Tabela</w:t>
      </w:r>
      <w:r w:rsidRPr="00D80FEC">
        <w:rPr>
          <w:b/>
        </w:rPr>
        <w:t xml:space="preserve"> </w:t>
      </w:r>
      <w:r w:rsidR="004C5077" w:rsidRPr="004C5077">
        <w:t>4</w:t>
      </w:r>
    </w:p>
    <w:p w14:paraId="6F3C0969" w14:textId="268CCC03" w:rsidR="00F24351" w:rsidRPr="00B34EAB" w:rsidRDefault="00131AB0" w:rsidP="00804BAE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i/>
        </w:rPr>
      </w:pPr>
      <w:r w:rsidRPr="00B34EAB">
        <w:rPr>
          <w:i/>
        </w:rPr>
        <w:t>Coeficientes do modelo estrutural – entre construtos</w:t>
      </w:r>
      <w:bookmarkEnd w:id="5"/>
    </w:p>
    <w:tbl>
      <w:tblPr>
        <w:tblW w:w="90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1060"/>
        <w:gridCol w:w="1330"/>
        <w:gridCol w:w="1330"/>
        <w:gridCol w:w="857"/>
      </w:tblGrid>
      <w:tr w:rsidR="00957424" w:rsidRPr="00D80FEC" w14:paraId="0E1A7B06" w14:textId="77777777" w:rsidTr="003801CE">
        <w:trPr>
          <w:trHeight w:val="318"/>
        </w:trPr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ED514" w14:textId="77777777" w:rsidR="00957424" w:rsidRPr="00D80FEC" w:rsidRDefault="00957424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Indicadores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15D65" w14:textId="77777777" w:rsidR="00957424" w:rsidRPr="00D80FEC" w:rsidRDefault="00957424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Média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8D2B8" w14:textId="77777777" w:rsidR="00957424" w:rsidRPr="00D80FEC" w:rsidRDefault="00957424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Erro Padrão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8AD50" w14:textId="77777777" w:rsidR="00957424" w:rsidRPr="00D80FEC" w:rsidRDefault="00957424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Estatística T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DD969" w14:textId="77777777" w:rsidR="00957424" w:rsidRPr="00D80FEC" w:rsidRDefault="00957424">
            <w:pPr>
              <w:jc w:val="center"/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P-valor</w:t>
            </w:r>
          </w:p>
        </w:tc>
      </w:tr>
      <w:tr w:rsidR="00957424" w:rsidRPr="00D80FEC" w14:paraId="4B9BBBC7" w14:textId="77777777" w:rsidTr="003801CE">
        <w:trPr>
          <w:trHeight w:val="306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3B8B" w14:textId="77777777" w:rsidR="00957424" w:rsidRPr="00D80FEC" w:rsidRDefault="00957424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Confiança na Gestão -&gt; Exaustão no Trabalho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1D56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-0,086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3DE9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1366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1,451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FE5C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0,147</w:t>
            </w:r>
          </w:p>
        </w:tc>
      </w:tr>
      <w:tr w:rsidR="00957424" w:rsidRPr="00D80FEC" w14:paraId="792EA21B" w14:textId="77777777" w:rsidTr="003801CE">
        <w:trPr>
          <w:trHeight w:val="306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AF84" w14:textId="77777777" w:rsidR="00957424" w:rsidRPr="00D80FEC" w:rsidRDefault="00957424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Conflito de Papéis -&gt; Exaustão no Trabalho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15D9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F6D5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0A6A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4,804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77D3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0,000</w:t>
            </w:r>
          </w:p>
        </w:tc>
      </w:tr>
      <w:tr w:rsidR="00957424" w:rsidRPr="00D80FEC" w14:paraId="1E227A75" w14:textId="77777777" w:rsidTr="003801CE">
        <w:trPr>
          <w:trHeight w:val="306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D874" w14:textId="77777777" w:rsidR="00957424" w:rsidRPr="00D80FEC" w:rsidRDefault="00957424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Justiça Distributiva -&gt; Exaustão no Trabalho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8A51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-0,197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3DC4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30BE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3,617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A6C4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0,000</w:t>
            </w:r>
          </w:p>
        </w:tc>
      </w:tr>
      <w:tr w:rsidR="00957424" w:rsidRPr="00D80FEC" w14:paraId="52040E5F" w14:textId="77777777" w:rsidTr="003801CE">
        <w:trPr>
          <w:trHeight w:val="306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09865" w14:textId="77777777" w:rsidR="00957424" w:rsidRPr="00D80FEC" w:rsidRDefault="00957424">
            <w:pPr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>Tecnoestresse</w:t>
            </w:r>
            <w:proofErr w:type="spellEnd"/>
            <w:r w:rsidRPr="00D80FEC">
              <w:rPr>
                <w:rFonts w:ascii="Times" w:hAnsi="Times"/>
                <w:b/>
                <w:bCs/>
                <w:color w:val="000000"/>
                <w:sz w:val="20"/>
                <w:szCs w:val="20"/>
              </w:rPr>
              <w:t xml:space="preserve"> -&gt; Exaustão no Trabalho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335E2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D4C1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CA5B0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6,332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D25E8" w14:textId="77777777" w:rsidR="00957424" w:rsidRPr="00D80FEC" w:rsidRDefault="00957424">
            <w:pPr>
              <w:jc w:val="center"/>
              <w:rPr>
                <w:rFonts w:ascii="Times" w:hAnsi="Times"/>
                <w:color w:val="000000"/>
                <w:sz w:val="20"/>
                <w:szCs w:val="20"/>
              </w:rPr>
            </w:pPr>
            <w:r w:rsidRPr="00D80FEC">
              <w:rPr>
                <w:rFonts w:ascii="Times" w:hAnsi="Times"/>
                <w:color w:val="000000"/>
                <w:sz w:val="20"/>
                <w:szCs w:val="20"/>
              </w:rPr>
              <w:t>0,000</w:t>
            </w:r>
          </w:p>
        </w:tc>
      </w:tr>
    </w:tbl>
    <w:p w14:paraId="4D2B8C77" w14:textId="77777777" w:rsidR="004C5077" w:rsidRPr="00D80FEC" w:rsidRDefault="004C5077" w:rsidP="00EF2614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14:paraId="65A39D2D" w14:textId="77777777" w:rsidR="00131AB0" w:rsidRPr="00D80FEC" w:rsidRDefault="00131AB0" w:rsidP="00174B75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</w:pPr>
      <w:r w:rsidRPr="00D80FEC">
        <w:t xml:space="preserve">Para avaliar o coeficiente de determinação (r²), utilizou-se os estudos de Cohen (1988) e </w:t>
      </w:r>
      <w:proofErr w:type="spellStart"/>
      <w:r w:rsidRPr="00D80FEC">
        <w:t>Faul</w:t>
      </w:r>
      <w:proofErr w:type="spellEnd"/>
      <w:r w:rsidRPr="00D80FEC">
        <w:t xml:space="preserve"> </w:t>
      </w:r>
      <w:r w:rsidRPr="00D80FEC">
        <w:rPr>
          <w:i/>
        </w:rPr>
        <w:t>et al</w:t>
      </w:r>
      <w:r w:rsidRPr="00D80FEC">
        <w:t>. (2007), que determinam que os valores de f</w:t>
      </w:r>
      <w:r w:rsidRPr="00D80FEC">
        <w:rPr>
          <w:vertAlign w:val="superscript"/>
        </w:rPr>
        <w:t>2</w:t>
      </w:r>
      <w:r w:rsidRPr="00D80FEC">
        <w:t xml:space="preserve"> iguais a 0,02, 0,15 e 0,35 são considerados, respectivamente, como efeitos pequenos, médios e grandes. Esses valores de f</w:t>
      </w:r>
      <w:r w:rsidRPr="00D80FEC">
        <w:rPr>
          <w:vertAlign w:val="superscript"/>
        </w:rPr>
        <w:t>2</w:t>
      </w:r>
      <w:r w:rsidRPr="00D80FEC">
        <w:t xml:space="preserve"> representam valores de r</w:t>
      </w:r>
      <w:r w:rsidRPr="00D80FEC">
        <w:rPr>
          <w:vertAlign w:val="superscript"/>
        </w:rPr>
        <w:t>2</w:t>
      </w:r>
      <w:r w:rsidRPr="00D80FEC">
        <w:t xml:space="preserve"> iguais a 2%, 13% e 25%, respectivamente.</w:t>
      </w:r>
    </w:p>
    <w:p w14:paraId="50D1C1C8" w14:textId="6F55B867" w:rsidR="00131AB0" w:rsidRPr="00D80FEC" w:rsidRDefault="00131AB0" w:rsidP="00174B75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</w:pPr>
      <w:r w:rsidRPr="00D80FEC">
        <w:t xml:space="preserve">De acordo com as análises, o construto ET apresentou um r² de 0,378, considerado </w:t>
      </w:r>
      <w:r w:rsidR="007B7441" w:rsidRPr="00D80FEC">
        <w:t xml:space="preserve">alto. </w:t>
      </w:r>
      <w:r w:rsidRPr="00D80FEC">
        <w:t xml:space="preserve">O modelo resultante da pesquisa é apresentado na Figura </w:t>
      </w:r>
      <w:r w:rsidR="00B54DD0">
        <w:t>2</w:t>
      </w:r>
      <w:r w:rsidRPr="00D80FEC">
        <w:t>.</w:t>
      </w:r>
    </w:p>
    <w:p w14:paraId="1A03E7DB" w14:textId="77777777" w:rsidR="00131AB0" w:rsidRPr="00D80FEC" w:rsidRDefault="00131AB0" w:rsidP="00131AB0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14:paraId="11F7EAD6" w14:textId="77777777" w:rsidR="00F24351" w:rsidRPr="00D80FEC" w:rsidRDefault="00470EFA" w:rsidP="00804BAE">
      <w:pPr>
        <w:keepNext/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D80FEC">
        <w:rPr>
          <w:noProof/>
        </w:rPr>
        <w:drawing>
          <wp:inline distT="0" distB="0" distL="0" distR="0" wp14:anchorId="5923498A" wp14:editId="7C36D87B">
            <wp:extent cx="3238500" cy="3256900"/>
            <wp:effectExtent l="0" t="0" r="0" b="127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95" t="25018" r="29449" b="28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493" cy="326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4933" w14:textId="787299D3" w:rsidR="00131AB0" w:rsidRPr="00B34EAB" w:rsidRDefault="00F24351" w:rsidP="00B34EAB">
      <w:pPr>
        <w:pStyle w:val="Legenda"/>
        <w:rPr>
          <w:b w:val="0"/>
          <w:i/>
          <w:sz w:val="24"/>
          <w:szCs w:val="24"/>
        </w:rPr>
      </w:pPr>
      <w:bookmarkStart w:id="6" w:name="_Toc515731167"/>
      <w:r w:rsidRPr="00B34EAB">
        <w:rPr>
          <w:b w:val="0"/>
          <w:i/>
          <w:sz w:val="24"/>
          <w:szCs w:val="24"/>
        </w:rPr>
        <w:t xml:space="preserve">Figura </w:t>
      </w:r>
      <w:bookmarkEnd w:id="6"/>
      <w:r w:rsidR="00B54DD0">
        <w:rPr>
          <w:b w:val="0"/>
          <w:i/>
          <w:sz w:val="24"/>
          <w:szCs w:val="24"/>
        </w:rPr>
        <w:t>2</w:t>
      </w:r>
      <w:r w:rsidR="00B34EAB" w:rsidRPr="00B34EAB">
        <w:rPr>
          <w:b w:val="0"/>
          <w:i/>
          <w:sz w:val="24"/>
          <w:szCs w:val="24"/>
        </w:rPr>
        <w:t>.</w:t>
      </w:r>
      <w:r w:rsidR="00131AB0" w:rsidRPr="00D80FEC">
        <w:rPr>
          <w:b w:val="0"/>
          <w:sz w:val="24"/>
          <w:szCs w:val="24"/>
        </w:rPr>
        <w:t xml:space="preserve"> Modelo resultante da pesquisa</w:t>
      </w:r>
      <w:r w:rsidR="00410A96" w:rsidRPr="00D80FEC">
        <w:rPr>
          <w:b w:val="0"/>
          <w:sz w:val="24"/>
          <w:szCs w:val="24"/>
        </w:rPr>
        <w:t>.</w:t>
      </w:r>
      <w:r w:rsidR="00155712" w:rsidRPr="00D80FEC">
        <w:rPr>
          <w:b w:val="0"/>
          <w:sz w:val="24"/>
          <w:szCs w:val="24"/>
        </w:rPr>
        <w:br/>
      </w:r>
      <w:r w:rsidR="00131AB0" w:rsidRPr="00B34EAB">
        <w:rPr>
          <w:b w:val="0"/>
          <w:i/>
          <w:sz w:val="24"/>
          <w:szCs w:val="24"/>
        </w:rPr>
        <w:t xml:space="preserve">Notas*** </w:t>
      </w:r>
      <w:r w:rsidR="00B34EAB">
        <w:rPr>
          <w:b w:val="0"/>
          <w:i/>
          <w:sz w:val="24"/>
          <w:szCs w:val="24"/>
        </w:rPr>
        <w:t xml:space="preserve">p &lt; 0,001 (teste </w:t>
      </w:r>
      <w:proofErr w:type="spellStart"/>
      <w:r w:rsidR="00B34EAB">
        <w:rPr>
          <w:b w:val="0"/>
          <w:i/>
          <w:sz w:val="24"/>
          <w:szCs w:val="24"/>
        </w:rPr>
        <w:t>bi-caudal</w:t>
      </w:r>
      <w:proofErr w:type="spellEnd"/>
      <w:r w:rsidR="00B34EAB">
        <w:rPr>
          <w:b w:val="0"/>
          <w:i/>
          <w:sz w:val="24"/>
          <w:szCs w:val="24"/>
        </w:rPr>
        <w:t>)</w:t>
      </w:r>
      <w:r w:rsidR="00131AB0" w:rsidRPr="00B34EAB">
        <w:rPr>
          <w:b w:val="0"/>
          <w:i/>
          <w:sz w:val="24"/>
          <w:szCs w:val="24"/>
        </w:rPr>
        <w:t xml:space="preserve">; NS = </w:t>
      </w:r>
      <w:r w:rsidR="00B34EAB">
        <w:rPr>
          <w:b w:val="0"/>
          <w:i/>
          <w:sz w:val="24"/>
          <w:szCs w:val="24"/>
        </w:rPr>
        <w:t xml:space="preserve">coeficiente </w:t>
      </w:r>
      <w:r w:rsidR="00131AB0" w:rsidRPr="00B34EAB">
        <w:rPr>
          <w:b w:val="0"/>
          <w:i/>
          <w:sz w:val="24"/>
          <w:szCs w:val="24"/>
        </w:rPr>
        <w:t>não significante.</w:t>
      </w:r>
    </w:p>
    <w:p w14:paraId="7F85EBC3" w14:textId="77777777" w:rsidR="00131AB0" w:rsidRPr="00D80FEC" w:rsidRDefault="00131AB0" w:rsidP="00131AB0">
      <w:pPr>
        <w:jc w:val="both"/>
      </w:pPr>
    </w:p>
    <w:p w14:paraId="4FB2878F" w14:textId="715BAC9C" w:rsidR="00131AB0" w:rsidRPr="00D80FEC" w:rsidRDefault="00131AB0" w:rsidP="00174B75">
      <w:pPr>
        <w:ind w:firstLine="709"/>
        <w:jc w:val="both"/>
      </w:pPr>
      <w:r w:rsidRPr="00D80FEC">
        <w:t xml:space="preserve">Além de avaliar a magnitude dos valores de r² como um critério de precisão preditiva, foi avaliado o valor Q², que é um indicador de relevância preditiva do modelo. A medida Q² aplica uma técnica de reutilização de exemplo que omite parte da matriz de dados e usa as estimativas do modelo para prever a parte omitida. Especificamente, quando um modelo PLS-SEM apresenta relevância preditiva, prediz com precisão os pontos de dados dos indicadores em modelos de mensuração reflexivos. A </w:t>
      </w:r>
      <w:r w:rsidR="00DE547C">
        <w:t xml:space="preserve">Tabela </w:t>
      </w:r>
      <w:r w:rsidR="004C5077">
        <w:t>5</w:t>
      </w:r>
      <w:r w:rsidRPr="00D80FEC">
        <w:t xml:space="preserve"> apresenta os valores de r</w:t>
      </w:r>
      <w:r w:rsidRPr="00D80FEC">
        <w:rPr>
          <w:sz w:val="20"/>
          <w:vertAlign w:val="superscript"/>
        </w:rPr>
        <w:t>2</w:t>
      </w:r>
      <w:r w:rsidRPr="00D80FEC">
        <w:t>, r</w:t>
      </w:r>
      <w:r w:rsidRPr="00D80FEC">
        <w:rPr>
          <w:sz w:val="20"/>
          <w:vertAlign w:val="superscript"/>
        </w:rPr>
        <w:t>2</w:t>
      </w:r>
      <w:r w:rsidRPr="00D80FEC">
        <w:t xml:space="preserve"> ajustado e Q</w:t>
      </w:r>
      <w:r w:rsidRPr="00D80FEC">
        <w:rPr>
          <w:sz w:val="20"/>
          <w:vertAlign w:val="superscript"/>
        </w:rPr>
        <w:t>2</w:t>
      </w:r>
      <w:r w:rsidRPr="00D80FEC">
        <w:t>.</w:t>
      </w:r>
    </w:p>
    <w:p w14:paraId="64F9C066" w14:textId="77777777" w:rsidR="004C5077" w:rsidRDefault="004C5077" w:rsidP="00804BAE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bookmarkStart w:id="7" w:name="_Toc515731137"/>
    </w:p>
    <w:p w14:paraId="4A65F790" w14:textId="77777777" w:rsidR="0003567D" w:rsidRDefault="0003567D" w:rsidP="00804BAE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14:paraId="44D72D1F" w14:textId="77777777" w:rsidR="0003567D" w:rsidRDefault="0003567D" w:rsidP="00804BAE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14:paraId="0DEAE7FD" w14:textId="77777777" w:rsidR="0003567D" w:rsidRDefault="0003567D" w:rsidP="00804BAE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14:paraId="15B2077F" w14:textId="77777777" w:rsidR="00B34EAB" w:rsidRDefault="005957DA" w:rsidP="00804BAE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</w:rPr>
      </w:pPr>
      <w:r w:rsidRPr="00D80FEC">
        <w:lastRenderedPageBreak/>
        <w:t>Tabela</w:t>
      </w:r>
      <w:r w:rsidRPr="00D80FEC">
        <w:rPr>
          <w:b/>
        </w:rPr>
        <w:t xml:space="preserve"> </w:t>
      </w:r>
      <w:r w:rsidR="004C5077" w:rsidRPr="004C5077">
        <w:t>5</w:t>
      </w:r>
      <w:r w:rsidR="00F24351" w:rsidRPr="00D80FEC">
        <w:rPr>
          <w:b/>
        </w:rPr>
        <w:t xml:space="preserve"> </w:t>
      </w:r>
    </w:p>
    <w:p w14:paraId="0DE695F9" w14:textId="64A83AD7" w:rsidR="00F24351" w:rsidRPr="00B34EAB" w:rsidRDefault="00131AB0" w:rsidP="00804BAE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i/>
        </w:rPr>
      </w:pPr>
      <w:r w:rsidRPr="00B34EAB">
        <w:rPr>
          <w:i/>
        </w:rPr>
        <w:t xml:space="preserve">Resultados dos valores de </w:t>
      </w:r>
      <w:r w:rsidR="00B34EAB">
        <w:rPr>
          <w:i/>
        </w:rPr>
        <w:t>r</w:t>
      </w:r>
      <w:r w:rsidRPr="00B34EAB">
        <w:rPr>
          <w:i/>
          <w:vertAlign w:val="superscript"/>
        </w:rPr>
        <w:t>2</w:t>
      </w:r>
      <w:r w:rsidRPr="00B34EAB">
        <w:rPr>
          <w:i/>
        </w:rPr>
        <w:t xml:space="preserve"> e Q</w:t>
      </w:r>
      <w:r w:rsidRPr="00B34EAB">
        <w:rPr>
          <w:i/>
          <w:vertAlign w:val="superscript"/>
        </w:rPr>
        <w:t>2</w:t>
      </w:r>
      <w:bookmarkEnd w:id="7"/>
    </w:p>
    <w:tbl>
      <w:tblPr>
        <w:tblW w:w="93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994"/>
        <w:gridCol w:w="2202"/>
        <w:gridCol w:w="1994"/>
      </w:tblGrid>
      <w:tr w:rsidR="00957424" w:rsidRPr="00D80FEC" w14:paraId="42A11040" w14:textId="77777777" w:rsidTr="003801CE">
        <w:trPr>
          <w:trHeight w:val="273"/>
        </w:trPr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4919" w14:textId="51664F2E" w:rsidR="00957424" w:rsidRPr="00D80FEC" w:rsidRDefault="00957424" w:rsidP="0095742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17B3" w14:textId="77777777" w:rsidR="00957424" w:rsidRPr="00D80FEC" w:rsidRDefault="009574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80FEC">
              <w:rPr>
                <w:b/>
                <w:bCs/>
                <w:color w:val="000000"/>
                <w:sz w:val="20"/>
                <w:szCs w:val="20"/>
              </w:rPr>
              <w:t>r</w:t>
            </w:r>
            <w:proofErr w:type="gramEnd"/>
            <w:r w:rsidRPr="00D80FE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2324" w14:textId="77777777" w:rsidR="00957424" w:rsidRPr="00D80FEC" w:rsidRDefault="009574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80FEC">
              <w:rPr>
                <w:b/>
                <w:bCs/>
                <w:color w:val="000000"/>
                <w:sz w:val="20"/>
                <w:szCs w:val="20"/>
              </w:rPr>
              <w:t>r</w:t>
            </w:r>
            <w:proofErr w:type="gramEnd"/>
            <w:r w:rsidRPr="00D80FE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D80FEC">
              <w:rPr>
                <w:b/>
                <w:bCs/>
                <w:color w:val="000000"/>
                <w:sz w:val="20"/>
                <w:szCs w:val="20"/>
              </w:rPr>
              <w:t>ajustado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F252" w14:textId="77777777" w:rsidR="00957424" w:rsidRPr="00D80FEC" w:rsidRDefault="009574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b/>
                <w:bCs/>
                <w:color w:val="000000"/>
                <w:sz w:val="20"/>
                <w:szCs w:val="20"/>
              </w:rPr>
              <w:t>Q</w:t>
            </w:r>
            <w:r w:rsidRPr="00D80FEC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957424" w:rsidRPr="00D80FEC" w14:paraId="5CE3D4A6" w14:textId="77777777" w:rsidTr="003801CE">
        <w:trPr>
          <w:trHeight w:val="411"/>
        </w:trPr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946A2" w14:textId="77777777" w:rsidR="00957424" w:rsidRPr="00D80FEC" w:rsidRDefault="00957424" w:rsidP="009574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80FEC">
              <w:rPr>
                <w:b/>
                <w:bCs/>
                <w:color w:val="000000"/>
                <w:sz w:val="20"/>
                <w:szCs w:val="20"/>
              </w:rPr>
              <w:t>Exaustão no Trabalho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79774" w14:textId="77777777" w:rsidR="00957424" w:rsidRPr="00D80FEC" w:rsidRDefault="00957424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0,378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A3ED8" w14:textId="77777777" w:rsidR="00957424" w:rsidRPr="00D80FEC" w:rsidRDefault="00957424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0,369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9A821" w14:textId="77777777" w:rsidR="00957424" w:rsidRPr="00D80FEC" w:rsidRDefault="00957424">
            <w:pPr>
              <w:jc w:val="center"/>
              <w:rPr>
                <w:color w:val="000000"/>
                <w:sz w:val="20"/>
                <w:szCs w:val="20"/>
              </w:rPr>
            </w:pPr>
            <w:r w:rsidRPr="00D80FEC">
              <w:rPr>
                <w:color w:val="000000"/>
                <w:sz w:val="20"/>
                <w:szCs w:val="20"/>
              </w:rPr>
              <w:t>0,194</w:t>
            </w:r>
          </w:p>
        </w:tc>
      </w:tr>
    </w:tbl>
    <w:p w14:paraId="193CE8D1" w14:textId="77777777" w:rsidR="004C5077" w:rsidRDefault="004C5077" w:rsidP="00174B75">
      <w:pPr>
        <w:ind w:firstLine="709"/>
        <w:jc w:val="both"/>
      </w:pPr>
    </w:p>
    <w:p w14:paraId="502170F8" w14:textId="77777777" w:rsidR="00131AB0" w:rsidRDefault="00131AB0" w:rsidP="00174B75">
      <w:pPr>
        <w:ind w:firstLine="709"/>
        <w:jc w:val="both"/>
      </w:pPr>
      <w:r w:rsidRPr="00D80FEC">
        <w:t xml:space="preserve">Para os modelos de </w:t>
      </w:r>
      <w:proofErr w:type="gramStart"/>
      <w:r w:rsidRPr="00D80FEC">
        <w:t>SEM, valores</w:t>
      </w:r>
      <w:proofErr w:type="gramEnd"/>
      <w:r w:rsidRPr="00D80FEC">
        <w:t xml:space="preserve"> de Q² maiores que zero para uma variável latente endógena reflexiva específica</w:t>
      </w:r>
      <w:r w:rsidR="00C60247" w:rsidRPr="00D80FEC">
        <w:t xml:space="preserve"> que</w:t>
      </w:r>
      <w:r w:rsidRPr="00D80FEC">
        <w:t xml:space="preserve"> indicam a relevância preditiva do modelo de caminho. No caso do presente estudo, os valores foram maiores que zero.</w:t>
      </w:r>
    </w:p>
    <w:p w14:paraId="66F36614" w14:textId="3B09CC54" w:rsidR="00ED286E" w:rsidRPr="00D80FEC" w:rsidRDefault="00ED286E" w:rsidP="003801CE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</w:pPr>
      <w:r w:rsidRPr="00D80FEC">
        <w:t xml:space="preserve">Com as validações obtidas com o modelo estrutural, </w:t>
      </w:r>
      <w:r w:rsidR="001D01C2">
        <w:t>formula</w:t>
      </w:r>
      <w:r w:rsidRPr="00D80FEC">
        <w:t xml:space="preserve">-se a síntese dos testes de hipóteses </w:t>
      </w:r>
      <w:r w:rsidR="005957DA" w:rsidRPr="00D80FEC">
        <w:t xml:space="preserve">do estudo </w:t>
      </w:r>
      <w:r w:rsidR="00F24351" w:rsidRPr="00D80FEC">
        <w:t xml:space="preserve">na Tabela </w:t>
      </w:r>
      <w:r w:rsidR="00054EC7">
        <w:t>6</w:t>
      </w:r>
      <w:r w:rsidRPr="00D80FEC">
        <w:t>.</w:t>
      </w:r>
    </w:p>
    <w:tbl>
      <w:tblPr>
        <w:tblW w:w="92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6579"/>
        <w:gridCol w:w="1582"/>
      </w:tblGrid>
      <w:tr w:rsidR="00ED286E" w:rsidRPr="00D80FEC" w14:paraId="6DAAEEDF" w14:textId="77777777" w:rsidTr="002E091E">
        <w:trPr>
          <w:trHeight w:val="313"/>
        </w:trPr>
        <w:tc>
          <w:tcPr>
            <w:tcW w:w="9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A9068D" w14:textId="77777777" w:rsidR="00B34EAB" w:rsidRDefault="00B34EAB" w:rsidP="00B34EAB">
            <w:pPr>
              <w:rPr>
                <w:color w:val="000000"/>
              </w:rPr>
            </w:pPr>
            <w:bookmarkStart w:id="8" w:name="_Toc515731140"/>
          </w:p>
          <w:p w14:paraId="717389E9" w14:textId="77777777" w:rsidR="00B34EAB" w:rsidRDefault="007953BA" w:rsidP="00B34EAB">
            <w:pPr>
              <w:rPr>
                <w:color w:val="000000"/>
              </w:rPr>
            </w:pPr>
            <w:r w:rsidRPr="00D80FEC">
              <w:rPr>
                <w:color w:val="000000"/>
              </w:rPr>
              <w:t xml:space="preserve">Tabela </w:t>
            </w:r>
            <w:r w:rsidR="00054EC7">
              <w:rPr>
                <w:color w:val="000000"/>
              </w:rPr>
              <w:t>6</w:t>
            </w:r>
          </w:p>
          <w:p w14:paraId="229FF5F1" w14:textId="787E9F0F" w:rsidR="00ED286E" w:rsidRPr="00B34EAB" w:rsidRDefault="00ED286E" w:rsidP="00B34EAB">
            <w:pPr>
              <w:rPr>
                <w:i/>
                <w:color w:val="000000"/>
              </w:rPr>
            </w:pPr>
            <w:r w:rsidRPr="00B34EAB">
              <w:rPr>
                <w:i/>
                <w:color w:val="000000"/>
              </w:rPr>
              <w:t>Síntese dos testes de hipóteses do estudo</w:t>
            </w:r>
            <w:bookmarkEnd w:id="8"/>
          </w:p>
        </w:tc>
      </w:tr>
      <w:tr w:rsidR="00ED286E" w:rsidRPr="00D80FEC" w14:paraId="35D4E65E" w14:textId="77777777" w:rsidTr="002E091E">
        <w:trPr>
          <w:trHeight w:val="391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D66C" w14:textId="77777777" w:rsidR="00ED286E" w:rsidRPr="00D80FEC" w:rsidRDefault="00ED286E" w:rsidP="00D009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0FEC">
              <w:rPr>
                <w:b/>
                <w:bCs/>
                <w:color w:val="000000"/>
                <w:sz w:val="22"/>
                <w:szCs w:val="22"/>
              </w:rPr>
              <w:t>Hipóteses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DF5A" w14:textId="77777777" w:rsidR="00ED286E" w:rsidRPr="00D80FEC" w:rsidRDefault="00ED286E" w:rsidP="00D009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0FEC">
              <w:rPr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4BAC" w14:textId="77777777" w:rsidR="00ED286E" w:rsidRPr="00D80FEC" w:rsidRDefault="00ED286E" w:rsidP="00D009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0FEC">
              <w:rPr>
                <w:b/>
                <w:bCs/>
                <w:color w:val="000000"/>
                <w:sz w:val="22"/>
                <w:szCs w:val="22"/>
              </w:rPr>
              <w:t>Resultado</w:t>
            </w:r>
          </w:p>
        </w:tc>
      </w:tr>
      <w:tr w:rsidR="00ED286E" w:rsidRPr="00D80FEC" w14:paraId="03E81B4D" w14:textId="77777777" w:rsidTr="002E091E">
        <w:trPr>
          <w:trHeight w:val="299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78AB" w14:textId="77777777" w:rsidR="00ED286E" w:rsidRPr="00D80FEC" w:rsidRDefault="00ED286E" w:rsidP="00D00929">
            <w:pPr>
              <w:jc w:val="center"/>
              <w:rPr>
                <w:color w:val="000000"/>
                <w:sz w:val="22"/>
                <w:szCs w:val="22"/>
              </w:rPr>
            </w:pPr>
            <w:r w:rsidRPr="00D80FEC">
              <w:rPr>
                <w:color w:val="000000"/>
                <w:sz w:val="22"/>
                <w:szCs w:val="22"/>
              </w:rPr>
              <w:t>H1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00DC3" w14:textId="77777777" w:rsidR="00ED286E" w:rsidRPr="00D80FEC" w:rsidRDefault="00ED286E" w:rsidP="00D0092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80FEC">
              <w:rPr>
                <w:i/>
                <w:iCs/>
                <w:color w:val="000000"/>
                <w:sz w:val="22"/>
                <w:szCs w:val="22"/>
              </w:rPr>
              <w:t xml:space="preserve">O </w:t>
            </w:r>
            <w:proofErr w:type="spellStart"/>
            <w:r w:rsidRPr="00D80FEC">
              <w:rPr>
                <w:i/>
                <w:iCs/>
                <w:color w:val="000000"/>
                <w:sz w:val="22"/>
                <w:szCs w:val="22"/>
              </w:rPr>
              <w:t>tecnoestresse</w:t>
            </w:r>
            <w:proofErr w:type="spellEnd"/>
            <w:r w:rsidRPr="00D80FEC">
              <w:rPr>
                <w:i/>
                <w:iCs/>
                <w:color w:val="000000"/>
                <w:sz w:val="22"/>
                <w:szCs w:val="22"/>
              </w:rPr>
              <w:t xml:space="preserve"> influencia positivamente a exaustão no trabalho.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E348" w14:textId="77777777" w:rsidR="00ED286E" w:rsidRPr="00B34EAB" w:rsidRDefault="00ED286E" w:rsidP="00D0092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34EAB">
              <w:rPr>
                <w:i/>
                <w:color w:val="000000"/>
                <w:sz w:val="22"/>
                <w:szCs w:val="22"/>
              </w:rPr>
              <w:t>Confirmada</w:t>
            </w:r>
          </w:p>
        </w:tc>
      </w:tr>
      <w:tr w:rsidR="00ED286E" w:rsidRPr="00D80FEC" w14:paraId="15952F3B" w14:textId="77777777" w:rsidTr="002E091E">
        <w:trPr>
          <w:trHeight w:val="30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BF9CA" w14:textId="77777777" w:rsidR="00ED286E" w:rsidRPr="00D80FEC" w:rsidRDefault="00ED286E" w:rsidP="00D00929">
            <w:pPr>
              <w:jc w:val="center"/>
              <w:rPr>
                <w:color w:val="000000"/>
                <w:sz w:val="22"/>
                <w:szCs w:val="22"/>
              </w:rPr>
            </w:pPr>
            <w:r w:rsidRPr="00D80FEC">
              <w:rPr>
                <w:color w:val="000000"/>
                <w:sz w:val="22"/>
                <w:szCs w:val="22"/>
              </w:rPr>
              <w:t>H2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AA9A7" w14:textId="77777777" w:rsidR="00ED286E" w:rsidRPr="00D80FEC" w:rsidRDefault="00ED286E" w:rsidP="00D0092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80FEC">
              <w:rPr>
                <w:i/>
                <w:iCs/>
                <w:color w:val="000000"/>
                <w:sz w:val="22"/>
                <w:szCs w:val="22"/>
              </w:rPr>
              <w:t>O conflito de papéis influencia positivamente a exaustão no trabalho.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3B79" w14:textId="77777777" w:rsidR="00ED286E" w:rsidRPr="00B34EAB" w:rsidRDefault="00ED286E" w:rsidP="00D0092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34EAB">
              <w:rPr>
                <w:i/>
                <w:color w:val="000000"/>
                <w:sz w:val="22"/>
                <w:szCs w:val="22"/>
              </w:rPr>
              <w:t>Confirmada</w:t>
            </w:r>
          </w:p>
        </w:tc>
      </w:tr>
      <w:tr w:rsidR="00ED286E" w:rsidRPr="00D80FEC" w14:paraId="40899172" w14:textId="77777777" w:rsidTr="002E091E">
        <w:trPr>
          <w:trHeight w:val="353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AC99" w14:textId="77777777" w:rsidR="00ED286E" w:rsidRPr="00D80FEC" w:rsidRDefault="00ED286E" w:rsidP="00D00929">
            <w:pPr>
              <w:jc w:val="center"/>
              <w:rPr>
                <w:color w:val="000000"/>
                <w:sz w:val="22"/>
                <w:szCs w:val="22"/>
              </w:rPr>
            </w:pPr>
            <w:r w:rsidRPr="00D80FEC">
              <w:rPr>
                <w:color w:val="000000"/>
                <w:sz w:val="22"/>
                <w:szCs w:val="22"/>
              </w:rPr>
              <w:t>H3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73A56" w14:textId="77777777" w:rsidR="00ED286E" w:rsidRPr="00D80FEC" w:rsidRDefault="00ED286E" w:rsidP="00D0092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80FEC">
              <w:rPr>
                <w:i/>
                <w:iCs/>
                <w:color w:val="000000"/>
                <w:sz w:val="22"/>
                <w:szCs w:val="22"/>
              </w:rPr>
              <w:t>A confiança na gestão influencia negativamente a exaustão no trabalho.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5CF96" w14:textId="77777777" w:rsidR="00ED286E" w:rsidRPr="00B34EAB" w:rsidRDefault="007E50D6" w:rsidP="00D0092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34EAB">
              <w:rPr>
                <w:i/>
                <w:color w:val="000000"/>
                <w:sz w:val="22"/>
                <w:szCs w:val="22"/>
              </w:rPr>
              <w:t>Não confirm</w:t>
            </w:r>
            <w:r w:rsidR="00ED286E" w:rsidRPr="00B34EAB">
              <w:rPr>
                <w:i/>
                <w:color w:val="000000"/>
                <w:sz w:val="22"/>
                <w:szCs w:val="22"/>
              </w:rPr>
              <w:t>a</w:t>
            </w:r>
            <w:r w:rsidRPr="00B34EAB">
              <w:rPr>
                <w:i/>
                <w:color w:val="000000"/>
                <w:sz w:val="22"/>
                <w:szCs w:val="22"/>
              </w:rPr>
              <w:t>da</w:t>
            </w:r>
          </w:p>
        </w:tc>
      </w:tr>
      <w:tr w:rsidR="00ED286E" w:rsidRPr="00D80FEC" w14:paraId="320090E8" w14:textId="77777777" w:rsidTr="002E091E">
        <w:trPr>
          <w:trHeight w:val="274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DA817" w14:textId="77777777" w:rsidR="00ED286E" w:rsidRPr="00D80FEC" w:rsidRDefault="00ED286E" w:rsidP="00D00929">
            <w:pPr>
              <w:jc w:val="center"/>
              <w:rPr>
                <w:color w:val="000000"/>
                <w:sz w:val="22"/>
                <w:szCs w:val="22"/>
              </w:rPr>
            </w:pPr>
            <w:r w:rsidRPr="00D80FEC">
              <w:rPr>
                <w:color w:val="000000"/>
                <w:sz w:val="22"/>
                <w:szCs w:val="22"/>
              </w:rPr>
              <w:t>H4</w:t>
            </w:r>
            <w:r w:rsidRPr="00D80FEC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666DA" w14:textId="77777777" w:rsidR="00ED286E" w:rsidRPr="00D80FEC" w:rsidRDefault="00ED286E" w:rsidP="00D0092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80FEC">
              <w:rPr>
                <w:i/>
                <w:iCs/>
                <w:color w:val="000000"/>
                <w:sz w:val="22"/>
                <w:szCs w:val="22"/>
              </w:rPr>
              <w:t>A justiça distributiva influencia negativamente a exaustão no trabalho.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493A2" w14:textId="77777777" w:rsidR="00ED286E" w:rsidRPr="00B34EAB" w:rsidRDefault="00ED286E" w:rsidP="00D0092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B34EAB">
              <w:rPr>
                <w:i/>
                <w:color w:val="000000"/>
                <w:sz w:val="22"/>
                <w:szCs w:val="22"/>
              </w:rPr>
              <w:t>Confirmada</w:t>
            </w:r>
          </w:p>
        </w:tc>
      </w:tr>
      <w:tr w:rsidR="00ED286E" w:rsidRPr="00D80FEC" w14:paraId="2A50A466" w14:textId="77777777" w:rsidTr="00B34EAB">
        <w:trPr>
          <w:trHeight w:val="313"/>
        </w:trPr>
        <w:tc>
          <w:tcPr>
            <w:tcW w:w="92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C3F310" w14:textId="6B6D0BB0" w:rsidR="00ED286E" w:rsidRPr="00D80FEC" w:rsidRDefault="00ED286E" w:rsidP="00D00929">
            <w:pPr>
              <w:rPr>
                <w:color w:val="000000"/>
                <w:szCs w:val="22"/>
              </w:rPr>
            </w:pPr>
          </w:p>
        </w:tc>
      </w:tr>
    </w:tbl>
    <w:p w14:paraId="4DADF6D6" w14:textId="77777777" w:rsidR="008E6859" w:rsidRDefault="008E6859" w:rsidP="00D0621B">
      <w:pPr>
        <w:jc w:val="center"/>
        <w:rPr>
          <w:b/>
        </w:rPr>
      </w:pPr>
    </w:p>
    <w:p w14:paraId="104FAFD7" w14:textId="6D699CF8" w:rsidR="005D0BD6" w:rsidRDefault="00B34EAB" w:rsidP="00D0621B">
      <w:pPr>
        <w:jc w:val="center"/>
        <w:rPr>
          <w:b/>
        </w:rPr>
      </w:pPr>
      <w:r w:rsidRPr="00032E4D">
        <w:rPr>
          <w:b/>
        </w:rPr>
        <w:t>Discussão</w:t>
      </w:r>
    </w:p>
    <w:p w14:paraId="3FBA6318" w14:textId="572D6CB0" w:rsidR="00462642" w:rsidRPr="00814A10" w:rsidRDefault="00462642" w:rsidP="00174B7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14:paraId="11B3A915" w14:textId="6C6CF180" w:rsidR="00D0621B" w:rsidRDefault="00462642" w:rsidP="00174B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14A10">
        <w:rPr>
          <w:color w:val="000000"/>
          <w:lang w:eastAsia="en-US"/>
        </w:rPr>
        <w:t xml:space="preserve">De acordo </w:t>
      </w:r>
      <w:r w:rsidR="00D0621B">
        <w:rPr>
          <w:color w:val="000000"/>
          <w:lang w:eastAsia="en-US"/>
        </w:rPr>
        <w:t xml:space="preserve">os resultados, </w:t>
      </w:r>
      <w:r w:rsidRPr="00814A10">
        <w:rPr>
          <w:color w:val="000000"/>
          <w:lang w:eastAsia="en-US"/>
        </w:rPr>
        <w:t>a</w:t>
      </w:r>
      <w:r w:rsidR="00085D99" w:rsidRPr="00814A10">
        <w:rPr>
          <w:color w:val="000000"/>
        </w:rPr>
        <w:t xml:space="preserve"> </w:t>
      </w:r>
      <w:r w:rsidRPr="00814A10">
        <w:rPr>
          <w:color w:val="000000"/>
        </w:rPr>
        <w:t>p</w:t>
      </w:r>
      <w:r w:rsidR="00362218" w:rsidRPr="00814A10">
        <w:rPr>
          <w:color w:val="000000"/>
        </w:rPr>
        <w:t>rimeira</w:t>
      </w:r>
      <w:r w:rsidR="00A1264B" w:rsidRPr="00814A10">
        <w:rPr>
          <w:color w:val="000000"/>
        </w:rPr>
        <w:t xml:space="preserve"> hipótese do estudo “</w:t>
      </w:r>
      <w:r w:rsidR="00A1264B" w:rsidRPr="00814A10">
        <w:rPr>
          <w:i/>
          <w:iCs/>
          <w:color w:val="000000"/>
        </w:rPr>
        <w:t xml:space="preserve">O </w:t>
      </w:r>
      <w:proofErr w:type="spellStart"/>
      <w:r w:rsidR="00A1264B" w:rsidRPr="00814A10">
        <w:rPr>
          <w:i/>
          <w:iCs/>
          <w:color w:val="000000"/>
        </w:rPr>
        <w:t>Tecnoestresse</w:t>
      </w:r>
      <w:proofErr w:type="spellEnd"/>
      <w:r w:rsidR="00A1264B" w:rsidRPr="00814A10">
        <w:rPr>
          <w:i/>
          <w:iCs/>
          <w:color w:val="000000"/>
        </w:rPr>
        <w:t xml:space="preserve"> influencia positivamente na exaustão no trabalho”</w:t>
      </w:r>
      <w:r w:rsidR="00D2742D" w:rsidRPr="00814A10">
        <w:rPr>
          <w:i/>
          <w:iCs/>
          <w:color w:val="000000"/>
        </w:rPr>
        <w:t xml:space="preserve"> </w:t>
      </w:r>
      <w:r w:rsidR="00A1264B" w:rsidRPr="00814A10">
        <w:rPr>
          <w:i/>
          <w:iCs/>
          <w:color w:val="000000"/>
        </w:rPr>
        <w:t xml:space="preserve">- </w:t>
      </w:r>
      <w:r w:rsidR="00E01792" w:rsidRPr="00814A10">
        <w:rPr>
          <w:color w:val="000000"/>
        </w:rPr>
        <w:t>foi confirmada</w:t>
      </w:r>
      <w:r w:rsidR="00D0621B">
        <w:rPr>
          <w:color w:val="000000"/>
        </w:rPr>
        <w:t xml:space="preserve"> e </w:t>
      </w:r>
      <w:r w:rsidR="00E01792" w:rsidRPr="00814A10">
        <w:rPr>
          <w:color w:val="000000"/>
        </w:rPr>
        <w:t xml:space="preserve">indica que as organizações </w:t>
      </w:r>
      <w:r w:rsidR="00D0621B">
        <w:rPr>
          <w:color w:val="000000"/>
        </w:rPr>
        <w:t xml:space="preserve">e seus gestores </w:t>
      </w:r>
      <w:r w:rsidR="00E01792" w:rsidRPr="00814A10">
        <w:rPr>
          <w:color w:val="000000"/>
        </w:rPr>
        <w:t xml:space="preserve">devem </w:t>
      </w:r>
      <w:r w:rsidRPr="00814A10">
        <w:rPr>
          <w:color w:val="000000"/>
        </w:rPr>
        <w:t>estar atentas na forma como utilizam a</w:t>
      </w:r>
      <w:r w:rsidR="00D453C8" w:rsidRPr="00814A10">
        <w:rPr>
          <w:color w:val="000000"/>
        </w:rPr>
        <w:t>s</w:t>
      </w:r>
      <w:r w:rsidRPr="00814A10">
        <w:rPr>
          <w:color w:val="000000"/>
        </w:rPr>
        <w:t xml:space="preserve"> tecnologias</w:t>
      </w:r>
      <w:r w:rsidR="00D0621B">
        <w:rPr>
          <w:color w:val="000000"/>
        </w:rPr>
        <w:t xml:space="preserve"> com seus trabalhadores</w:t>
      </w:r>
      <w:r w:rsidR="00DE4FE7" w:rsidRPr="00D80FEC">
        <w:rPr>
          <w:color w:val="000000"/>
        </w:rPr>
        <w:t>.</w:t>
      </w:r>
      <w:r w:rsidR="0013281C" w:rsidRPr="00D80FEC">
        <w:rPr>
          <w:color w:val="000000"/>
        </w:rPr>
        <w:t xml:space="preserve"> </w:t>
      </w:r>
    </w:p>
    <w:p w14:paraId="0B56E426" w14:textId="77777777" w:rsidR="001D01C2" w:rsidRDefault="0013281C" w:rsidP="00174B75">
      <w:pPr>
        <w:autoSpaceDE w:val="0"/>
        <w:autoSpaceDN w:val="0"/>
        <w:adjustRightInd w:val="0"/>
        <w:ind w:firstLine="709"/>
        <w:jc w:val="both"/>
        <w:rPr>
          <w:color w:val="000000"/>
          <w:lang w:val="pt-PT"/>
        </w:rPr>
      </w:pPr>
      <w:r w:rsidRPr="00D80FEC">
        <w:rPr>
          <w:color w:val="000000"/>
        </w:rPr>
        <w:t>São constantes as mudanças tecnológicas</w:t>
      </w:r>
      <w:r w:rsidR="00D0621B">
        <w:rPr>
          <w:color w:val="000000"/>
        </w:rPr>
        <w:t xml:space="preserve"> nas empresas</w:t>
      </w:r>
      <w:r w:rsidRPr="00D80FEC">
        <w:rPr>
          <w:color w:val="000000"/>
        </w:rPr>
        <w:t xml:space="preserve">, mas </w:t>
      </w:r>
      <w:r w:rsidR="001D01C2">
        <w:rPr>
          <w:color w:val="000000"/>
        </w:rPr>
        <w:t xml:space="preserve">há de se considerar os dissabores sofridos pelos </w:t>
      </w:r>
      <w:r w:rsidR="00DE4FE7" w:rsidRPr="00D80FEC">
        <w:rPr>
          <w:color w:val="000000"/>
        </w:rPr>
        <w:t>funcion</w:t>
      </w:r>
      <w:r w:rsidRPr="00D80FEC">
        <w:rPr>
          <w:color w:val="000000"/>
        </w:rPr>
        <w:t>ário</w:t>
      </w:r>
      <w:r w:rsidR="001D01C2">
        <w:rPr>
          <w:color w:val="000000"/>
        </w:rPr>
        <w:t>s</w:t>
      </w:r>
      <w:r w:rsidRPr="00D80FEC">
        <w:rPr>
          <w:color w:val="000000"/>
        </w:rPr>
        <w:t xml:space="preserve"> </w:t>
      </w:r>
      <w:r w:rsidR="00DE4FE7" w:rsidRPr="00D80FEC">
        <w:rPr>
          <w:color w:val="000000"/>
        </w:rPr>
        <w:t xml:space="preserve">quando </w:t>
      </w:r>
      <w:r w:rsidRPr="00D80FEC">
        <w:rPr>
          <w:color w:val="000000"/>
        </w:rPr>
        <w:t>se trata de adaptações a essas tecnologias</w:t>
      </w:r>
      <w:r w:rsidR="00DE4FE7" w:rsidRPr="00D80FEC">
        <w:rPr>
          <w:color w:val="000000"/>
          <w:lang w:val="pt-PT"/>
        </w:rPr>
        <w:t xml:space="preserve">. Sugere-se aos gestores quanto </w:t>
      </w:r>
      <w:r w:rsidRPr="00D80FEC">
        <w:rPr>
          <w:color w:val="000000"/>
          <w:lang w:val="pt-PT"/>
        </w:rPr>
        <w:t>à</w:t>
      </w:r>
      <w:r w:rsidR="00DE4FE7" w:rsidRPr="00D80FEC">
        <w:rPr>
          <w:color w:val="000000"/>
          <w:lang w:val="pt-PT"/>
        </w:rPr>
        <w:t xml:space="preserve"> </w:t>
      </w:r>
      <w:r w:rsidRPr="00D80FEC">
        <w:rPr>
          <w:color w:val="000000"/>
          <w:lang w:val="pt-PT"/>
        </w:rPr>
        <w:t>implementação</w:t>
      </w:r>
      <w:r w:rsidR="005867F7" w:rsidRPr="00D80FEC">
        <w:rPr>
          <w:color w:val="000000"/>
          <w:lang w:val="pt-PT"/>
        </w:rPr>
        <w:t xml:space="preserve"> desses processos</w:t>
      </w:r>
      <w:r w:rsidRPr="00D80FEC">
        <w:rPr>
          <w:color w:val="000000"/>
          <w:lang w:val="pt-PT"/>
        </w:rPr>
        <w:t xml:space="preserve"> um </w:t>
      </w:r>
      <w:r w:rsidR="00DE4FE7" w:rsidRPr="00D80FEC">
        <w:rPr>
          <w:color w:val="000000"/>
          <w:lang w:val="pt-PT"/>
        </w:rPr>
        <w:t>eficiente</w:t>
      </w:r>
      <w:r w:rsidRPr="00D80FEC">
        <w:rPr>
          <w:color w:val="000000"/>
          <w:lang w:val="pt-PT"/>
        </w:rPr>
        <w:t xml:space="preserve"> gerenci</w:t>
      </w:r>
      <w:r w:rsidR="005867F7" w:rsidRPr="00D80FEC">
        <w:rPr>
          <w:color w:val="000000"/>
          <w:lang w:val="pt-PT"/>
        </w:rPr>
        <w:t>amento</w:t>
      </w:r>
      <w:r w:rsidRPr="00D80FEC">
        <w:rPr>
          <w:color w:val="000000"/>
          <w:lang w:val="pt-PT"/>
        </w:rPr>
        <w:t>, comunica</w:t>
      </w:r>
      <w:r w:rsidR="001D01C2">
        <w:rPr>
          <w:color w:val="000000"/>
          <w:lang w:val="pt-PT"/>
        </w:rPr>
        <w:t>ção plena d</w:t>
      </w:r>
      <w:r w:rsidR="00D453C8" w:rsidRPr="00D80FEC">
        <w:rPr>
          <w:color w:val="000000"/>
          <w:lang w:val="pt-PT"/>
        </w:rPr>
        <w:t>a razão pela qual as mu</w:t>
      </w:r>
      <w:r w:rsidRPr="00D80FEC">
        <w:rPr>
          <w:color w:val="000000"/>
          <w:lang w:val="pt-PT"/>
        </w:rPr>
        <w:t xml:space="preserve">danças </w:t>
      </w:r>
      <w:r w:rsidR="001D01C2">
        <w:rPr>
          <w:color w:val="000000"/>
          <w:lang w:val="pt-PT"/>
        </w:rPr>
        <w:t xml:space="preserve">serão </w:t>
      </w:r>
      <w:r w:rsidRPr="00D80FEC">
        <w:rPr>
          <w:color w:val="000000"/>
          <w:lang w:val="pt-PT"/>
        </w:rPr>
        <w:t>implementadas</w:t>
      </w:r>
      <w:r w:rsidR="001D01C2">
        <w:rPr>
          <w:color w:val="000000"/>
          <w:lang w:val="pt-PT"/>
        </w:rPr>
        <w:t xml:space="preserve"> e </w:t>
      </w:r>
      <w:r w:rsidR="00DE4FE7" w:rsidRPr="00D80FEC">
        <w:rPr>
          <w:color w:val="000000"/>
          <w:lang w:val="pt-PT"/>
        </w:rPr>
        <w:t xml:space="preserve">apresentar a </w:t>
      </w:r>
      <w:r w:rsidR="001D01C2">
        <w:rPr>
          <w:color w:val="000000"/>
          <w:lang w:val="pt-PT"/>
        </w:rPr>
        <w:t xml:space="preserve">uma possibilidade de </w:t>
      </w:r>
      <w:r w:rsidRPr="00D80FEC">
        <w:rPr>
          <w:color w:val="000000"/>
          <w:lang w:val="pt-PT"/>
        </w:rPr>
        <w:t xml:space="preserve">adaptação para </w:t>
      </w:r>
      <w:r w:rsidR="001D01C2">
        <w:rPr>
          <w:color w:val="000000"/>
          <w:lang w:val="pt-PT"/>
        </w:rPr>
        <w:t>suavizar as transições</w:t>
      </w:r>
      <w:r w:rsidR="00C44020" w:rsidRPr="00D80FEC">
        <w:rPr>
          <w:color w:val="000000"/>
          <w:lang w:val="pt-PT"/>
        </w:rPr>
        <w:t xml:space="preserve">. </w:t>
      </w:r>
    </w:p>
    <w:p w14:paraId="6C786F1A" w14:textId="0880E42E" w:rsidR="005F74C5" w:rsidRPr="00D80FEC" w:rsidRDefault="00C44020" w:rsidP="00174B7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80FEC">
        <w:rPr>
          <w:color w:val="000000"/>
          <w:lang w:val="pt-PT"/>
        </w:rPr>
        <w:t xml:space="preserve">Tais resultados demonstram </w:t>
      </w:r>
      <w:r w:rsidR="005F74C5" w:rsidRPr="00D80FEC">
        <w:rPr>
          <w:color w:val="000000"/>
          <w:lang w:val="pt-PT"/>
        </w:rPr>
        <w:t>a</w:t>
      </w:r>
      <w:r w:rsidR="005F74C5" w:rsidRPr="00D80FEC">
        <w:rPr>
          <w:color w:val="000000"/>
        </w:rPr>
        <w:t xml:space="preserve"> importância </w:t>
      </w:r>
      <w:r w:rsidR="008E6859">
        <w:rPr>
          <w:color w:val="000000"/>
        </w:rPr>
        <w:t xml:space="preserve">às </w:t>
      </w:r>
      <w:r w:rsidR="005F74C5" w:rsidRPr="00D80FEC">
        <w:rPr>
          <w:color w:val="000000"/>
        </w:rPr>
        <w:t xml:space="preserve">organizações </w:t>
      </w:r>
      <w:r w:rsidR="008E6859">
        <w:rPr>
          <w:color w:val="000000"/>
        </w:rPr>
        <w:t xml:space="preserve">sobre </w:t>
      </w:r>
      <w:r w:rsidR="005F74C5" w:rsidRPr="00D80FEC">
        <w:rPr>
          <w:color w:val="000000"/>
        </w:rPr>
        <w:t xml:space="preserve">o conhecimento dos efeitos </w:t>
      </w:r>
      <w:r w:rsidR="008E6859">
        <w:rPr>
          <w:color w:val="000000"/>
        </w:rPr>
        <w:t xml:space="preserve">e </w:t>
      </w:r>
      <w:r w:rsidR="005F74C5" w:rsidRPr="00D80FEC">
        <w:rPr>
          <w:color w:val="000000"/>
        </w:rPr>
        <w:t>o papel que a</w:t>
      </w:r>
      <w:r w:rsidR="00387520">
        <w:rPr>
          <w:color w:val="000000"/>
        </w:rPr>
        <w:t>s</w:t>
      </w:r>
      <w:r w:rsidR="005F74C5" w:rsidRPr="00D80FEC">
        <w:rPr>
          <w:color w:val="000000"/>
        </w:rPr>
        <w:t xml:space="preserve"> tecnologia</w:t>
      </w:r>
      <w:r w:rsidR="00387520">
        <w:rPr>
          <w:color w:val="000000"/>
        </w:rPr>
        <w:t>s</w:t>
      </w:r>
      <w:r w:rsidR="005F74C5" w:rsidRPr="00D80FEC">
        <w:rPr>
          <w:color w:val="000000"/>
        </w:rPr>
        <w:t xml:space="preserve"> </w:t>
      </w:r>
      <w:r w:rsidR="00387520" w:rsidRPr="00D80FEC">
        <w:rPr>
          <w:color w:val="000000"/>
        </w:rPr>
        <w:t>exercem</w:t>
      </w:r>
      <w:r w:rsidR="005F74C5" w:rsidRPr="00D80FEC">
        <w:rPr>
          <w:color w:val="000000"/>
        </w:rPr>
        <w:t xml:space="preserve"> nos </w:t>
      </w:r>
      <w:r w:rsidR="008E6859">
        <w:rPr>
          <w:color w:val="000000"/>
        </w:rPr>
        <w:t>usuários</w:t>
      </w:r>
      <w:r w:rsidR="005F74C5" w:rsidRPr="00D80FEC">
        <w:rPr>
          <w:color w:val="000000"/>
        </w:rPr>
        <w:t>. De</w:t>
      </w:r>
      <w:r w:rsidR="00DB0E26" w:rsidRPr="00D80FEC">
        <w:rPr>
          <w:color w:val="000000"/>
        </w:rPr>
        <w:t>ssa forma</w:t>
      </w:r>
      <w:r w:rsidR="005F74C5" w:rsidRPr="00D80FEC">
        <w:rPr>
          <w:color w:val="000000"/>
        </w:rPr>
        <w:t>, é possível tomar decisões que podem reduzir o número de casos de</w:t>
      </w:r>
      <w:r w:rsidR="005F74C5" w:rsidRPr="00D80FEC">
        <w:t xml:space="preserve"> </w:t>
      </w:r>
      <w:proofErr w:type="spellStart"/>
      <w:r w:rsidR="005F74C5" w:rsidRPr="00D80FEC">
        <w:t>tecnoestresse</w:t>
      </w:r>
      <w:proofErr w:type="spellEnd"/>
      <w:r w:rsidR="005F74C5" w:rsidRPr="00D80FEC">
        <w:t xml:space="preserve"> em colaboradores que usam </w:t>
      </w:r>
      <w:r w:rsidRPr="00D80FEC">
        <w:t>a</w:t>
      </w:r>
      <w:r w:rsidR="00387520">
        <w:t>s</w:t>
      </w:r>
      <w:r w:rsidR="005F74C5" w:rsidRPr="00D80FEC">
        <w:t xml:space="preserve"> tecnologia</w:t>
      </w:r>
      <w:r w:rsidR="00387520">
        <w:t>s</w:t>
      </w:r>
      <w:r w:rsidR="005F74C5" w:rsidRPr="00D80FEC">
        <w:t xml:space="preserve"> para o desenvolvimento de seu trabalho.</w:t>
      </w:r>
    </w:p>
    <w:p w14:paraId="3D3E7B93" w14:textId="77777777" w:rsidR="0099021E" w:rsidRDefault="00A1264B" w:rsidP="00174B75">
      <w:pPr>
        <w:ind w:firstLine="708"/>
        <w:jc w:val="both"/>
        <w:rPr>
          <w:lang w:val="pt-PT"/>
        </w:rPr>
      </w:pPr>
      <w:r w:rsidRPr="00D80FEC">
        <w:t>A segunda hipótese - “</w:t>
      </w:r>
      <w:r w:rsidRPr="00D80FEC">
        <w:rPr>
          <w:i/>
          <w:iCs/>
        </w:rPr>
        <w:t>O Conflito de papéis influencia positivamente na exaustão no trabalho”</w:t>
      </w:r>
      <w:r w:rsidR="00F24351" w:rsidRPr="00D80FEC">
        <w:rPr>
          <w:i/>
          <w:iCs/>
        </w:rPr>
        <w:t xml:space="preserve"> </w:t>
      </w:r>
      <w:r w:rsidRPr="00D80FEC">
        <w:rPr>
          <w:i/>
          <w:iCs/>
        </w:rPr>
        <w:t xml:space="preserve">- </w:t>
      </w:r>
      <w:r w:rsidRPr="00D80FEC">
        <w:t>foi confirmada</w:t>
      </w:r>
      <w:r w:rsidR="00362218" w:rsidRPr="00D80FEC">
        <w:t>.</w:t>
      </w:r>
      <w:r w:rsidR="00E01792" w:rsidRPr="00D80FEC">
        <w:t xml:space="preserve"> </w:t>
      </w:r>
      <w:r w:rsidR="0099021E">
        <w:rPr>
          <w:lang w:val="pt-PT"/>
        </w:rPr>
        <w:t>Nesse caso</w:t>
      </w:r>
      <w:r w:rsidR="00BF5C1E" w:rsidRPr="00D80FEC">
        <w:rPr>
          <w:lang w:val="pt-PT"/>
        </w:rPr>
        <w:t xml:space="preserve">, </w:t>
      </w:r>
      <w:r w:rsidR="0099021E">
        <w:rPr>
          <w:lang w:val="pt-PT"/>
        </w:rPr>
        <w:t>recoemnda</w:t>
      </w:r>
      <w:r w:rsidR="00BF5C1E" w:rsidRPr="00D80FEC">
        <w:rPr>
          <w:lang w:val="pt-PT"/>
        </w:rPr>
        <w:t>-se ao</w:t>
      </w:r>
      <w:r w:rsidR="0099021E">
        <w:rPr>
          <w:lang w:val="pt-PT"/>
        </w:rPr>
        <w:t>s</w:t>
      </w:r>
      <w:r w:rsidR="00BF5C1E" w:rsidRPr="00D80FEC">
        <w:rPr>
          <w:lang w:val="pt-PT"/>
        </w:rPr>
        <w:t xml:space="preserve"> </w:t>
      </w:r>
      <w:r w:rsidR="0099021E">
        <w:rPr>
          <w:lang w:val="pt-PT"/>
        </w:rPr>
        <w:t xml:space="preserve">líderes </w:t>
      </w:r>
      <w:r w:rsidR="00BF5C1E" w:rsidRPr="00D80FEC">
        <w:rPr>
          <w:lang w:val="pt-PT"/>
        </w:rPr>
        <w:t xml:space="preserve">desenvolver um papel importante no direcionamento de seus colaboradores, priorizar </w:t>
      </w:r>
      <w:r w:rsidR="0099021E">
        <w:rPr>
          <w:lang w:val="pt-PT"/>
        </w:rPr>
        <w:t xml:space="preserve">o relacionamento com colaboradores que exercem </w:t>
      </w:r>
      <w:r w:rsidR="006C0BE0" w:rsidRPr="00D80FEC">
        <w:rPr>
          <w:lang w:val="pt-PT"/>
        </w:rPr>
        <w:t xml:space="preserve">atividades em situações </w:t>
      </w:r>
      <w:r w:rsidR="0099021E">
        <w:rPr>
          <w:lang w:val="pt-PT"/>
        </w:rPr>
        <w:t>de coboradores que absorvem múltiplas funções</w:t>
      </w:r>
      <w:r w:rsidR="00BF5C1E" w:rsidRPr="00D80FEC">
        <w:rPr>
          <w:lang w:val="pt-PT"/>
        </w:rPr>
        <w:t xml:space="preserve">. </w:t>
      </w:r>
    </w:p>
    <w:p w14:paraId="2FEB3266" w14:textId="3DB8C3E0" w:rsidR="00371529" w:rsidRPr="00D80FEC" w:rsidRDefault="00A1264B" w:rsidP="00174B75">
      <w:pPr>
        <w:autoSpaceDE w:val="0"/>
        <w:autoSpaceDN w:val="0"/>
        <w:adjustRightInd w:val="0"/>
        <w:ind w:left="57" w:right="57" w:firstLine="709"/>
        <w:jc w:val="both"/>
      </w:pPr>
      <w:r w:rsidRPr="00D80FEC">
        <w:t>A terceira hipótese</w:t>
      </w:r>
      <w:r w:rsidR="000C14DF" w:rsidRPr="00D80FEC">
        <w:t xml:space="preserve"> - “</w:t>
      </w:r>
      <w:r w:rsidR="000C14DF" w:rsidRPr="00D80FEC">
        <w:rPr>
          <w:i/>
        </w:rPr>
        <w:t>A confiança na gestão influencia negativamente a exaustão no trabalho</w:t>
      </w:r>
      <w:r w:rsidR="000C14DF" w:rsidRPr="00D80FEC">
        <w:rPr>
          <w:i/>
          <w:iCs/>
        </w:rPr>
        <w:t>”</w:t>
      </w:r>
      <w:r w:rsidR="00F24351" w:rsidRPr="00D80FEC">
        <w:rPr>
          <w:i/>
          <w:iCs/>
        </w:rPr>
        <w:t xml:space="preserve"> </w:t>
      </w:r>
      <w:r w:rsidR="000C14DF" w:rsidRPr="00D80FEC">
        <w:t xml:space="preserve">- não foi confirmada. Mas, apesar da hipótese não ter sido confirmada, </w:t>
      </w:r>
      <w:r w:rsidR="00B83108">
        <w:t xml:space="preserve">o sinal do coeficiente de relacionamento com a exaustão resultou em valor negativo, o que pode indicar que a alteração na estrutura do modelo de pesquisa implique em resultado que forneça suporte a essa relação hipotética. No entanto, não era o objetivo desse estudo testar relações que </w:t>
      </w:r>
      <w:r w:rsidR="00126B07">
        <w:t>reduzissem o escopo do modelo</w:t>
      </w:r>
      <w:r w:rsidR="00032E4D">
        <w:t xml:space="preserve"> e abre possibilidade de aprofundamento futuro nesse âmbito</w:t>
      </w:r>
      <w:r w:rsidR="00B83108">
        <w:t xml:space="preserve">. </w:t>
      </w:r>
    </w:p>
    <w:p w14:paraId="6CF946BF" w14:textId="253D67AF" w:rsidR="00C510B6" w:rsidRPr="00D80FEC" w:rsidRDefault="00A1264B" w:rsidP="00174B75">
      <w:pPr>
        <w:autoSpaceDE w:val="0"/>
        <w:autoSpaceDN w:val="0"/>
        <w:adjustRightInd w:val="0"/>
        <w:ind w:firstLine="709"/>
        <w:jc w:val="both"/>
        <w:rPr>
          <w:rFonts w:cs="MinionPro-Regular"/>
          <w:color w:val="000000"/>
          <w:szCs w:val="26"/>
        </w:rPr>
      </w:pPr>
      <w:r w:rsidRPr="00D80FEC">
        <w:t>A quarta hipótese</w:t>
      </w:r>
      <w:r w:rsidR="000C14DF" w:rsidRPr="00D80FEC">
        <w:t xml:space="preserve"> - </w:t>
      </w:r>
      <w:r w:rsidR="00152FF3" w:rsidRPr="00D80FEC">
        <w:rPr>
          <w:i/>
        </w:rPr>
        <w:t>“</w:t>
      </w:r>
      <w:r w:rsidR="000C14DF" w:rsidRPr="00D80FEC">
        <w:rPr>
          <w:i/>
        </w:rPr>
        <w:t>A justiça distributiva influencia negativamente a exaustão no trabalho</w:t>
      </w:r>
      <w:r w:rsidR="00152FF3" w:rsidRPr="00D80FEC">
        <w:rPr>
          <w:i/>
          <w:iCs/>
        </w:rPr>
        <w:t>”</w:t>
      </w:r>
      <w:r w:rsidR="00D2742D" w:rsidRPr="00D80FEC">
        <w:rPr>
          <w:i/>
          <w:iCs/>
        </w:rPr>
        <w:t xml:space="preserve"> </w:t>
      </w:r>
      <w:r w:rsidR="00152FF3" w:rsidRPr="00D80FEC">
        <w:t xml:space="preserve">- </w:t>
      </w:r>
      <w:r w:rsidRPr="00D80FEC">
        <w:t xml:space="preserve">foi confirmada, onde foi identificado que </w:t>
      </w:r>
      <w:r w:rsidR="00126B07">
        <w:t xml:space="preserve">essa percepção colabora no bem-estar </w:t>
      </w:r>
      <w:r w:rsidR="00126B07">
        <w:lastRenderedPageBreak/>
        <w:t>do trabalhador</w:t>
      </w:r>
      <w:r w:rsidRPr="00D80FEC">
        <w:t xml:space="preserve">. A percepção de justiça pelos colaboradores diminui o nível de estresse, além de </w:t>
      </w:r>
      <w:r w:rsidR="00126B07">
        <w:t xml:space="preserve">aprimorar o </w:t>
      </w:r>
      <w:r w:rsidRPr="00D80FEC">
        <w:t>ambiente</w:t>
      </w:r>
      <w:r w:rsidR="008B5746" w:rsidRPr="00D80FEC">
        <w:t xml:space="preserve"> organizacional</w:t>
      </w:r>
      <w:r w:rsidRPr="00D80FEC">
        <w:t xml:space="preserve"> </w:t>
      </w:r>
      <w:r w:rsidR="00126B07">
        <w:t xml:space="preserve">como um </w:t>
      </w:r>
      <w:proofErr w:type="spellStart"/>
      <w:r w:rsidR="00126B07" w:rsidRPr="00126B07">
        <w:rPr>
          <w:i/>
        </w:rPr>
        <w:t>locus</w:t>
      </w:r>
      <w:proofErr w:type="spellEnd"/>
      <w:r w:rsidR="00126B07">
        <w:t xml:space="preserve"> </w:t>
      </w:r>
      <w:r w:rsidRPr="00D80FEC">
        <w:t xml:space="preserve">salubre e </w:t>
      </w:r>
      <w:r w:rsidR="00126B07">
        <w:t>positivo</w:t>
      </w:r>
      <w:r w:rsidR="00355F72">
        <w:t>;</w:t>
      </w:r>
      <w:r w:rsidR="005F74C5" w:rsidRPr="00D80FEC">
        <w:t xml:space="preserve"> esse resultado também corrobora </w:t>
      </w:r>
      <w:r w:rsidR="00355F72">
        <w:t xml:space="preserve">outros </w:t>
      </w:r>
      <w:r w:rsidR="005F74C5" w:rsidRPr="00D80FEC">
        <w:t xml:space="preserve">estudos </w:t>
      </w:r>
      <w:r w:rsidR="00DA45B0">
        <w:t>(</w:t>
      </w:r>
      <w:r w:rsidRPr="00D80FEC">
        <w:t xml:space="preserve">Mendonça, Pereira, </w:t>
      </w:r>
      <w:proofErr w:type="spellStart"/>
      <w:r w:rsidRPr="00D80FEC">
        <w:t>Tamayo</w:t>
      </w:r>
      <w:proofErr w:type="spellEnd"/>
      <w:r w:rsidRPr="00D80FEC">
        <w:t xml:space="preserve"> &amp; Paz, 2003; Prestes, Mendonça &amp; Ferreira, 2013; Paz, </w:t>
      </w:r>
      <w:proofErr w:type="spellStart"/>
      <w:r w:rsidRPr="00D80FEC">
        <w:t>G</w:t>
      </w:r>
      <w:r w:rsidR="00E01792" w:rsidRPr="00D80FEC">
        <w:t>osendo</w:t>
      </w:r>
      <w:proofErr w:type="spellEnd"/>
      <w:r w:rsidR="00E01792" w:rsidRPr="00D80FEC">
        <w:t xml:space="preserve">, </w:t>
      </w:r>
      <w:proofErr w:type="spellStart"/>
      <w:r w:rsidR="00E01792" w:rsidRPr="00D80FEC">
        <w:t>Dessen</w:t>
      </w:r>
      <w:proofErr w:type="spellEnd"/>
      <w:r w:rsidR="00E01792" w:rsidRPr="00D80FEC">
        <w:t>, &amp; Mourão, 2009)</w:t>
      </w:r>
      <w:r w:rsidR="00E01792" w:rsidRPr="00D80FEC">
        <w:rPr>
          <w:color w:val="000000"/>
        </w:rPr>
        <w:t xml:space="preserve">. </w:t>
      </w:r>
    </w:p>
    <w:p w14:paraId="45CB8F7B" w14:textId="3FBF5BF2" w:rsidR="00D0621B" w:rsidRPr="00814A10" w:rsidRDefault="00D0621B" w:rsidP="00D0621B">
      <w:pPr>
        <w:autoSpaceDE w:val="0"/>
        <w:autoSpaceDN w:val="0"/>
        <w:adjustRightInd w:val="0"/>
        <w:ind w:firstLine="709"/>
        <w:jc w:val="both"/>
      </w:pPr>
      <w:r w:rsidRPr="00D80FEC">
        <w:t>A exaustão no trabalho é definida como uma resposta ao estresse ocupacional crônico, caracterizada por sentimentos de desgaste físico e emocional (</w:t>
      </w:r>
      <w:proofErr w:type="spellStart"/>
      <w:r w:rsidRPr="00D80FEC">
        <w:t>Maslach</w:t>
      </w:r>
      <w:proofErr w:type="spellEnd"/>
      <w:r w:rsidRPr="00D80FEC">
        <w:t xml:space="preserve"> &amp; Jackson 1986; </w:t>
      </w:r>
      <w:proofErr w:type="spellStart"/>
      <w:r w:rsidRPr="00D80FEC">
        <w:t>Maslach</w:t>
      </w:r>
      <w:proofErr w:type="spellEnd"/>
      <w:r w:rsidRPr="00D80FEC">
        <w:t>, 1993). De acordo com o resultado</w:t>
      </w:r>
      <w:r>
        <w:t xml:space="preserve"> desse estudo</w:t>
      </w:r>
      <w:r w:rsidRPr="00D80FEC">
        <w:t xml:space="preserve">, essa dimensão apresentou um r² de 37,8%, considerado alto </w:t>
      </w:r>
      <w:r w:rsidRPr="00814A10">
        <w:t>conforme Cohen</w:t>
      </w:r>
      <w:r>
        <w:t xml:space="preserve"> (</w:t>
      </w:r>
      <w:r w:rsidRPr="00814A10">
        <w:t>1988</w:t>
      </w:r>
      <w:r w:rsidR="00DA45B0">
        <w:t>)</w:t>
      </w:r>
      <w:r w:rsidR="00243410">
        <w:t xml:space="preserve"> e, portanto, indica que a seleção das variáveis </w:t>
      </w:r>
      <w:proofErr w:type="spellStart"/>
      <w:r w:rsidR="00243410">
        <w:t>preditoras</w:t>
      </w:r>
      <w:proofErr w:type="spellEnd"/>
      <w:r w:rsidR="00243410">
        <w:t xml:space="preserve"> foi satisfatória a partir do valor </w:t>
      </w:r>
      <w:r w:rsidRPr="00814A10">
        <w:t xml:space="preserve">significativo </w:t>
      </w:r>
      <w:r w:rsidR="00243410">
        <w:t>do coeficiente de determinação encontrado.</w:t>
      </w:r>
      <w:r w:rsidRPr="00814A10">
        <w:t xml:space="preserve"> </w:t>
      </w:r>
    </w:p>
    <w:p w14:paraId="496BF372" w14:textId="743F4655" w:rsidR="005F74C5" w:rsidRPr="00D80FEC" w:rsidRDefault="00A1264B" w:rsidP="00174B75">
      <w:pPr>
        <w:ind w:firstLine="709"/>
        <w:jc w:val="both"/>
      </w:pPr>
      <w:r w:rsidRPr="00D80FEC">
        <w:t xml:space="preserve">Entre as contribuições originadas por esta pesquisa, algumas estão relacionadas ao </w:t>
      </w:r>
      <w:r w:rsidR="005F74C5" w:rsidRPr="00D80FEC">
        <w:t>âmbito acadêmico</w:t>
      </w:r>
      <w:r w:rsidR="00243410">
        <w:t>:</w:t>
      </w:r>
      <w:r w:rsidR="005F74C5" w:rsidRPr="00D80FEC">
        <w:t xml:space="preserve"> </w:t>
      </w:r>
      <w:r w:rsidR="00243410">
        <w:t>o</w:t>
      </w:r>
      <w:r w:rsidR="005F74C5" w:rsidRPr="00D80FEC">
        <w:t xml:space="preserve">s resultados </w:t>
      </w:r>
      <w:r w:rsidRPr="00D80FEC">
        <w:t>atende</w:t>
      </w:r>
      <w:r w:rsidR="005F74C5" w:rsidRPr="00D80FEC">
        <w:t>m</w:t>
      </w:r>
      <w:r w:rsidRPr="00D80FEC">
        <w:t xml:space="preserve"> a chamada </w:t>
      </w:r>
      <w:r w:rsidR="00243410">
        <w:t>d</w:t>
      </w:r>
      <w:r w:rsidR="005F74C5" w:rsidRPr="00D80FEC">
        <w:t xml:space="preserve">e </w:t>
      </w:r>
      <w:proofErr w:type="spellStart"/>
      <w:r w:rsidR="00243410" w:rsidRPr="00D80FEC">
        <w:t>Tarafdar</w:t>
      </w:r>
      <w:proofErr w:type="spellEnd"/>
      <w:r w:rsidR="00243410" w:rsidRPr="00D80FEC">
        <w:t xml:space="preserve">, Tu, S. Ragu-Nathan &amp; Ragu-Nathan (2007) recomendaram pesquisas com maior profundidade à relação entre </w:t>
      </w:r>
      <w:proofErr w:type="spellStart"/>
      <w:r w:rsidR="00243410" w:rsidRPr="00D80FEC">
        <w:t>tecnoestresse</w:t>
      </w:r>
      <w:proofErr w:type="spellEnd"/>
      <w:r w:rsidR="00243410" w:rsidRPr="00D80FEC">
        <w:t xml:space="preserve"> e a conflito de papéis</w:t>
      </w:r>
      <w:r w:rsidR="00243410">
        <w:t xml:space="preserve">. </w:t>
      </w:r>
      <w:proofErr w:type="spellStart"/>
      <w:r w:rsidRPr="00D80FEC">
        <w:t>Tarafdar</w:t>
      </w:r>
      <w:proofErr w:type="spellEnd"/>
      <w:r w:rsidRPr="00D80FEC">
        <w:t>, Tu, Ragu-Nathan &amp; Ragu-Nathan (2008)</w:t>
      </w:r>
      <w:r w:rsidR="00243410">
        <w:t xml:space="preserve"> </w:t>
      </w:r>
      <w:r w:rsidRPr="00D80FEC">
        <w:t xml:space="preserve">recomendam </w:t>
      </w:r>
      <w:r w:rsidR="00243410">
        <w:t xml:space="preserve">que sejam realizadas </w:t>
      </w:r>
      <w:r w:rsidRPr="00D80FEC">
        <w:t xml:space="preserve">pesquisas </w:t>
      </w:r>
      <w:r w:rsidR="00243410">
        <w:t xml:space="preserve">que incluam </w:t>
      </w:r>
      <w:r w:rsidRPr="00D80FEC">
        <w:t>variáv</w:t>
      </w:r>
      <w:r w:rsidR="005F74C5" w:rsidRPr="00D80FEC">
        <w:t>eis</w:t>
      </w:r>
      <w:r w:rsidRPr="00D80FEC">
        <w:t xml:space="preserve"> que</w:t>
      </w:r>
      <w:r w:rsidR="005F74C5" w:rsidRPr="00D80FEC">
        <w:t xml:space="preserve"> </w:t>
      </w:r>
      <w:r w:rsidR="00243410">
        <w:t xml:space="preserve">analisem </w:t>
      </w:r>
      <w:r w:rsidR="005F74C5" w:rsidRPr="00D80FEC">
        <w:t xml:space="preserve">o </w:t>
      </w:r>
      <w:proofErr w:type="spellStart"/>
      <w:r w:rsidR="005F74C5" w:rsidRPr="00D80FEC">
        <w:t>tecnoestresse</w:t>
      </w:r>
      <w:proofErr w:type="spellEnd"/>
      <w:r w:rsidR="005F74C5" w:rsidRPr="00D80FEC">
        <w:t xml:space="preserve"> </w:t>
      </w:r>
      <w:r w:rsidR="00243410">
        <w:t xml:space="preserve">sob </w:t>
      </w:r>
      <w:r w:rsidR="005F74C5" w:rsidRPr="00D80FEC">
        <w:t xml:space="preserve">diferentes </w:t>
      </w:r>
      <w:r w:rsidR="00243410">
        <w:t>perspectivas</w:t>
      </w:r>
      <w:r w:rsidRPr="00D80FEC">
        <w:t>.</w:t>
      </w:r>
      <w:r w:rsidR="002540E4" w:rsidRPr="00D80FEC">
        <w:t xml:space="preserve"> </w:t>
      </w:r>
    </w:p>
    <w:p w14:paraId="727DE655" w14:textId="77777777" w:rsidR="00D0621B" w:rsidRDefault="00D0621B" w:rsidP="00D0621B">
      <w:bookmarkStart w:id="9" w:name="_Toc518848631"/>
    </w:p>
    <w:p w14:paraId="1D26074B" w14:textId="76178C30" w:rsidR="00B34EAB" w:rsidRPr="00D0621B" w:rsidRDefault="00D0621B" w:rsidP="00D0621B">
      <w:pPr>
        <w:jc w:val="center"/>
        <w:rPr>
          <w:b/>
        </w:rPr>
      </w:pPr>
      <w:r>
        <w:rPr>
          <w:b/>
        </w:rPr>
        <w:t>Considerações Finais</w:t>
      </w:r>
    </w:p>
    <w:p w14:paraId="2FE8C503" w14:textId="77777777" w:rsidR="00D0621B" w:rsidRDefault="00D0621B" w:rsidP="00D0621B">
      <w:pPr>
        <w:jc w:val="both"/>
      </w:pPr>
    </w:p>
    <w:p w14:paraId="30ABAB70" w14:textId="77777777" w:rsidR="00D0621B" w:rsidRPr="00D80FEC" w:rsidRDefault="00D0621B" w:rsidP="00D0621B">
      <w:pPr>
        <w:ind w:firstLine="708"/>
        <w:jc w:val="both"/>
      </w:pPr>
      <w:r w:rsidRPr="00D80FEC">
        <w:t>Este estudo teve como objetivo investigar fatores que influenciam a exaustão no trabalho e que pode levar a consequências negativas para o colaborador como também para a empresa.</w:t>
      </w:r>
    </w:p>
    <w:p w14:paraId="44DCA37C" w14:textId="2A30C57B" w:rsidR="00D0621B" w:rsidRPr="00D80FEC" w:rsidRDefault="00D0621B" w:rsidP="00D0621B">
      <w:pPr>
        <w:ind w:firstLine="708"/>
        <w:jc w:val="both"/>
        <w:rPr>
          <w:lang w:val="pt-PT"/>
        </w:rPr>
      </w:pPr>
      <w:r w:rsidRPr="00D80FEC">
        <w:t>Acredita-se que muitas organizações reconhecem que seus empregados podem experimentar</w:t>
      </w:r>
      <w:r w:rsidRPr="00D80FEC">
        <w:rPr>
          <w:lang w:val="pt-PT"/>
        </w:rPr>
        <w:t xml:space="preserve"> condições adversas e estressantes de trabalho, </w:t>
      </w:r>
      <w:r w:rsidR="00841568">
        <w:rPr>
          <w:lang w:val="pt-PT"/>
        </w:rPr>
        <w:t xml:space="preserve">nesse caso, esse estudo evidenciou aspectos associados ao </w:t>
      </w:r>
      <w:r w:rsidRPr="00D80FEC">
        <w:rPr>
          <w:lang w:val="pt-PT"/>
        </w:rPr>
        <w:t xml:space="preserve">trabalho </w:t>
      </w:r>
      <w:r w:rsidR="00841568">
        <w:rPr>
          <w:lang w:val="pt-PT"/>
        </w:rPr>
        <w:t xml:space="preserve">e que devem ser considerados </w:t>
      </w:r>
      <w:r w:rsidRPr="00D80FEC">
        <w:rPr>
          <w:lang w:val="pt-PT"/>
        </w:rPr>
        <w:t xml:space="preserve">importantes </w:t>
      </w:r>
      <w:r w:rsidR="00841568">
        <w:rPr>
          <w:lang w:val="pt-PT"/>
        </w:rPr>
        <w:t xml:space="preserve">à manifestação </w:t>
      </w:r>
      <w:r w:rsidRPr="00D80FEC">
        <w:rPr>
          <w:lang w:val="pt-PT"/>
        </w:rPr>
        <w:t>da exaustão</w:t>
      </w:r>
      <w:r w:rsidR="00841568">
        <w:rPr>
          <w:lang w:val="pt-PT"/>
        </w:rPr>
        <w:t xml:space="preserve"> nos trabalhadores</w:t>
      </w:r>
      <w:r w:rsidRPr="00D80FEC">
        <w:rPr>
          <w:lang w:val="pt-PT"/>
        </w:rPr>
        <w:t xml:space="preserve">. </w:t>
      </w:r>
    </w:p>
    <w:p w14:paraId="20F2ECC1" w14:textId="461FF838" w:rsidR="0099021E" w:rsidRDefault="00D0621B" w:rsidP="0099021E">
      <w:pPr>
        <w:autoSpaceDE w:val="0"/>
        <w:autoSpaceDN w:val="0"/>
        <w:adjustRightInd w:val="0"/>
        <w:ind w:firstLine="709"/>
        <w:jc w:val="both"/>
      </w:pPr>
      <w:r w:rsidRPr="00D80FEC">
        <w:t xml:space="preserve">A amostra de 273 </w:t>
      </w:r>
      <w:r>
        <w:t>participantes</w:t>
      </w:r>
      <w:r w:rsidRPr="00D80FEC">
        <w:t xml:space="preserve">, considerados válidos para a pesquisa, apresentaram evidências dos fatores que podem influenciar a exaustão no trabalho. </w:t>
      </w:r>
      <w:r w:rsidRPr="00814A10">
        <w:rPr>
          <w:lang w:eastAsia="en-US"/>
        </w:rPr>
        <w:t>O</w:t>
      </w:r>
      <w:r w:rsidRPr="00814A10">
        <w:rPr>
          <w:lang w:val="pt-PT"/>
        </w:rPr>
        <w:t xml:space="preserve"> tecnoestresse</w:t>
      </w:r>
      <w:r w:rsidRPr="00814A10">
        <w:rPr>
          <w:i/>
          <w:lang w:val="pt-PT"/>
        </w:rPr>
        <w:t xml:space="preserve"> </w:t>
      </w:r>
      <w:r w:rsidRPr="00814A10">
        <w:rPr>
          <w:lang w:val="pt-PT"/>
        </w:rPr>
        <w:t xml:space="preserve">é um impacto negativo quando associado à adaptação tecnológica, </w:t>
      </w:r>
      <w:r w:rsidR="00841568">
        <w:rPr>
          <w:lang w:val="pt-PT"/>
        </w:rPr>
        <w:t xml:space="preserve">invasão e sobrecarga do trabalhador e </w:t>
      </w:r>
      <w:r w:rsidRPr="00814A10">
        <w:rPr>
          <w:lang w:val="pt-PT"/>
        </w:rPr>
        <w:t>que pode atingir aspectos</w:t>
      </w:r>
      <w:r w:rsidRPr="00814A10">
        <w:rPr>
          <w:rStyle w:val="Refdecomentrio"/>
          <w:bCs/>
          <w:sz w:val="24"/>
          <w:szCs w:val="24"/>
        </w:rPr>
        <w:t xml:space="preserve"> fisiológicos</w:t>
      </w:r>
      <w:r w:rsidRPr="00814A10">
        <w:rPr>
          <w:lang w:val="pt-PT"/>
        </w:rPr>
        <w:t>, comportamentais e psicológicos dos colaboradores</w:t>
      </w:r>
      <w:r w:rsidR="00841568">
        <w:rPr>
          <w:lang w:val="pt-PT"/>
        </w:rPr>
        <w:t xml:space="preserve"> pela associação positiva com a </w:t>
      </w:r>
      <w:r w:rsidRPr="00814A10">
        <w:rPr>
          <w:lang w:val="pt-PT"/>
        </w:rPr>
        <w:t>exaustão no trabalho.</w:t>
      </w:r>
      <w:r w:rsidR="0099021E" w:rsidRPr="0099021E">
        <w:t xml:space="preserve"> </w:t>
      </w:r>
    </w:p>
    <w:p w14:paraId="35D19F3B" w14:textId="2667FB5E" w:rsidR="00841568" w:rsidRDefault="0099021E" w:rsidP="0099021E">
      <w:pPr>
        <w:autoSpaceDE w:val="0"/>
        <w:autoSpaceDN w:val="0"/>
        <w:adjustRightInd w:val="0"/>
        <w:ind w:firstLine="709"/>
        <w:jc w:val="both"/>
      </w:pPr>
      <w:r>
        <w:t>D</w:t>
      </w:r>
      <w:r w:rsidRPr="00D80FEC">
        <w:t>entr</w:t>
      </w:r>
      <w:r>
        <w:t xml:space="preserve">e </w:t>
      </w:r>
      <w:r w:rsidRPr="00D80FEC">
        <w:t>os fatores estudados</w:t>
      </w:r>
      <w:r>
        <w:t>,</w:t>
      </w:r>
      <w:r w:rsidRPr="00D80FEC">
        <w:t xml:space="preserve"> observou-se que o </w:t>
      </w:r>
      <w:r w:rsidR="0013290D">
        <w:t>estresse tecnológico</w:t>
      </w:r>
      <w:r w:rsidRPr="00D80FEC">
        <w:t xml:space="preserve"> teve o maior efeito </w:t>
      </w:r>
      <w:r w:rsidR="0013290D">
        <w:t xml:space="preserve">sobre a </w:t>
      </w:r>
      <w:r w:rsidRPr="00D80FEC">
        <w:t xml:space="preserve">exaustão no trabalho. </w:t>
      </w:r>
      <w:r w:rsidR="00841568" w:rsidRPr="00AA7CC1">
        <w:rPr>
          <w:sz w:val="23"/>
          <w:szCs w:val="23"/>
        </w:rPr>
        <w:t xml:space="preserve">Os resultados desse estudo </w:t>
      </w:r>
      <w:r w:rsidR="00841568">
        <w:rPr>
          <w:sz w:val="23"/>
          <w:szCs w:val="23"/>
        </w:rPr>
        <w:t>são úteis</w:t>
      </w:r>
      <w:r w:rsidR="00841568" w:rsidRPr="00AA7CC1">
        <w:rPr>
          <w:sz w:val="23"/>
          <w:szCs w:val="23"/>
        </w:rPr>
        <w:t xml:space="preserve"> às organizações</w:t>
      </w:r>
      <w:r w:rsidR="00841568">
        <w:rPr>
          <w:sz w:val="23"/>
          <w:szCs w:val="23"/>
        </w:rPr>
        <w:t xml:space="preserve"> e entidades de apoio psicológico ao trabalhador</w:t>
      </w:r>
      <w:r w:rsidR="00841568" w:rsidRPr="00AA7CC1">
        <w:rPr>
          <w:lang w:eastAsia="en-US"/>
        </w:rPr>
        <w:t xml:space="preserve">. </w:t>
      </w:r>
      <w:r w:rsidRPr="00D80FEC">
        <w:t>Portanto, orientar e conduzir o</w:t>
      </w:r>
      <w:r>
        <w:t xml:space="preserve">s trabalhadores </w:t>
      </w:r>
      <w:r w:rsidRPr="00D80FEC">
        <w:t>quanto ao melhor uso da</w:t>
      </w:r>
      <w:r>
        <w:t>s</w:t>
      </w:r>
      <w:r w:rsidRPr="00D80FEC">
        <w:t xml:space="preserve"> tecnologia</w:t>
      </w:r>
      <w:r>
        <w:t>s</w:t>
      </w:r>
      <w:r w:rsidRPr="00D80FEC">
        <w:t xml:space="preserve"> da informação</w:t>
      </w:r>
      <w:r w:rsidR="00841568">
        <w:t xml:space="preserve"> e comunicação é de suma importância dentro das organizações</w:t>
      </w:r>
      <w:r w:rsidRPr="00D80FEC">
        <w:t>.</w:t>
      </w:r>
    </w:p>
    <w:p w14:paraId="1FD8CDBF" w14:textId="307BE9EB" w:rsidR="0099021E" w:rsidRDefault="00243410" w:rsidP="00841568">
      <w:pPr>
        <w:ind w:firstLine="708"/>
        <w:jc w:val="both"/>
        <w:rPr>
          <w:lang w:val="pt-PT"/>
        </w:rPr>
      </w:pPr>
      <w:r w:rsidRPr="00AA7CC1">
        <w:rPr>
          <w:lang w:eastAsia="en-US"/>
        </w:rPr>
        <w:t>Nesse sentido</w:t>
      </w:r>
      <w:r w:rsidR="00841568">
        <w:rPr>
          <w:lang w:eastAsia="en-US"/>
        </w:rPr>
        <w:t>,</w:t>
      </w:r>
      <w:r w:rsidRPr="00AA7CC1">
        <w:rPr>
          <w:lang w:eastAsia="en-US"/>
        </w:rPr>
        <w:t xml:space="preserve"> sugerem-se </w:t>
      </w:r>
      <w:r w:rsidRPr="00AA7CC1">
        <w:rPr>
          <w:color w:val="000000"/>
        </w:rPr>
        <w:t>à</w:t>
      </w:r>
      <w:r w:rsidRPr="00AA7CC1">
        <w:rPr>
          <w:lang w:eastAsia="en-US"/>
        </w:rPr>
        <w:t>s organizações buscar formas de melhorar a relação entre l</w:t>
      </w:r>
      <w:r w:rsidR="0013290D">
        <w:rPr>
          <w:lang w:eastAsia="en-US"/>
        </w:rPr>
        <w:t>í</w:t>
      </w:r>
      <w:r w:rsidRPr="00AA7CC1">
        <w:rPr>
          <w:lang w:eastAsia="en-US"/>
        </w:rPr>
        <w:t>deres e seus subordinados no sentido de melhorar o desenvolvimento das atividades laborais</w:t>
      </w:r>
      <w:r w:rsidR="00841568">
        <w:rPr>
          <w:lang w:eastAsia="en-US"/>
        </w:rPr>
        <w:t xml:space="preserve">. </w:t>
      </w:r>
      <w:r w:rsidR="0099021E" w:rsidRPr="00D80FEC">
        <w:rPr>
          <w:lang w:val="pt-PT"/>
        </w:rPr>
        <w:t>No local de trabalho</w:t>
      </w:r>
      <w:r w:rsidR="0099021E">
        <w:rPr>
          <w:lang w:val="pt-PT"/>
        </w:rPr>
        <w:t>,</w:t>
      </w:r>
      <w:r w:rsidR="0099021E" w:rsidRPr="00D80FEC">
        <w:rPr>
          <w:lang w:val="pt-PT"/>
        </w:rPr>
        <w:t xml:space="preserve"> é importante a definição de metas claras e acompanhamento dos processos pelos gestores, o que pode contribuir com clareza e compreensão das atividades no ambiente organizacional.</w:t>
      </w:r>
    </w:p>
    <w:p w14:paraId="06F914E4" w14:textId="17A849D8" w:rsidR="00355F72" w:rsidRPr="00D80FEC" w:rsidRDefault="0013290D" w:rsidP="00355F72">
      <w:pPr>
        <w:autoSpaceDE w:val="0"/>
        <w:autoSpaceDN w:val="0"/>
        <w:adjustRightInd w:val="0"/>
        <w:ind w:firstLine="709"/>
        <w:jc w:val="both"/>
        <w:rPr>
          <w:rFonts w:cs="MinionPro-Regular"/>
          <w:color w:val="000000"/>
          <w:szCs w:val="26"/>
        </w:rPr>
      </w:pPr>
      <w:r>
        <w:rPr>
          <w:color w:val="000000"/>
        </w:rPr>
        <w:t>Finalmente,</w:t>
      </w:r>
      <w:r w:rsidR="00355F72" w:rsidRPr="00D80FEC">
        <w:rPr>
          <w:color w:val="000000"/>
        </w:rPr>
        <w:t xml:space="preserve"> as organizações devem se preocupar com a </w:t>
      </w:r>
      <w:r w:rsidR="00355F72" w:rsidRPr="00D80FEC">
        <w:rPr>
          <w:rFonts w:cs="MinionPro-Regular"/>
          <w:color w:val="000000"/>
          <w:szCs w:val="26"/>
        </w:rPr>
        <w:t>justiça organizacional, pois essa variável está diretamente associada ao comprometimento organizacional, à satisfação no trabalho, à saúde dos funcionários</w:t>
      </w:r>
      <w:r w:rsidR="00355F72" w:rsidRPr="00D80FEC">
        <w:rPr>
          <w:rFonts w:cs="MinionPro-Regular"/>
          <w:i/>
          <w:color w:val="000000"/>
          <w:szCs w:val="26"/>
        </w:rPr>
        <w:t xml:space="preserve">, </w:t>
      </w:r>
      <w:r w:rsidR="00355F72" w:rsidRPr="00D80FEC">
        <w:rPr>
          <w:rFonts w:cs="MinionPro-Regular"/>
          <w:color w:val="000000"/>
          <w:szCs w:val="26"/>
        </w:rPr>
        <w:t>entre outros</w:t>
      </w:r>
      <w:r>
        <w:rPr>
          <w:rFonts w:cs="MinionPro-Regular"/>
          <w:color w:val="000000"/>
          <w:szCs w:val="26"/>
        </w:rPr>
        <w:t xml:space="preserve"> aspectos</w:t>
      </w:r>
      <w:r w:rsidR="00355F72" w:rsidRPr="00D80FEC">
        <w:rPr>
          <w:rFonts w:cs="MinionPro-Regular"/>
          <w:color w:val="000000"/>
          <w:szCs w:val="26"/>
        </w:rPr>
        <w:t xml:space="preserve">. A percepção de justiça pelos empregados pode melhorar o desenvolvimento e a qualidade no trabalho. </w:t>
      </w:r>
    </w:p>
    <w:p w14:paraId="4E8B5DF3" w14:textId="61AC2D31" w:rsidR="00243410" w:rsidRDefault="00243410" w:rsidP="00243410">
      <w:pPr>
        <w:ind w:firstLine="709"/>
        <w:jc w:val="both"/>
      </w:pPr>
      <w:r w:rsidRPr="00D80FEC">
        <w:t xml:space="preserve">Pesquisas futuras podem agregar ao estudo outras dimensões que versam a confiança na gestão, na qual não foi possível confirmar seu relacionamento </w:t>
      </w:r>
      <w:r w:rsidRPr="00D80FEC">
        <w:rPr>
          <w:color w:val="000000"/>
        </w:rPr>
        <w:t>à</w:t>
      </w:r>
      <w:r w:rsidRPr="00D80FEC">
        <w:t xml:space="preserve"> exaustão nesse estudo. Por exemplo, uma possibilidade de estudo é a replicação com outros instrumentos de confiança que apresente este construto de forma multidimensional. Outra possibilidade de pesquisa pode ser um estudo longitudinal para a investigação do surgimento das relações de relações de </w:t>
      </w:r>
      <w:r w:rsidRPr="00D80FEC">
        <w:lastRenderedPageBreak/>
        <w:t xml:space="preserve">causa </w:t>
      </w:r>
      <w:r w:rsidRPr="008F725D">
        <w:t>e efeito sobre a confiança na gestão e a exaustão no trabalho</w:t>
      </w:r>
      <w:r w:rsidR="0013290D">
        <w:t>, além da alteração no modelo estrutural resultante do estudo</w:t>
      </w:r>
      <w:r w:rsidRPr="008F725D">
        <w:t xml:space="preserve">. </w:t>
      </w:r>
    </w:p>
    <w:p w14:paraId="3154381A" w14:textId="77777777" w:rsidR="00355F72" w:rsidRPr="00D80FEC" w:rsidRDefault="00355F72" w:rsidP="0099021E">
      <w:pPr>
        <w:ind w:firstLine="708"/>
        <w:jc w:val="both"/>
        <w:rPr>
          <w:lang w:val="pt-PT"/>
        </w:rPr>
      </w:pPr>
    </w:p>
    <w:p w14:paraId="28F1A4EA" w14:textId="2DC88E19" w:rsidR="00B74325" w:rsidRDefault="00331C45" w:rsidP="001D01C2">
      <w:pPr>
        <w:jc w:val="center"/>
        <w:rPr>
          <w:lang w:val="en-US"/>
        </w:rPr>
      </w:pPr>
      <w:r w:rsidRPr="005924C5">
        <w:rPr>
          <w:b/>
        </w:rPr>
        <w:t>R</w:t>
      </w:r>
      <w:bookmarkEnd w:id="9"/>
      <w:r w:rsidR="00480F98" w:rsidRPr="005924C5">
        <w:rPr>
          <w:b/>
        </w:rPr>
        <w:t>eferências</w:t>
      </w:r>
    </w:p>
    <w:p w14:paraId="10B6907B" w14:textId="77777777" w:rsidR="003A100E" w:rsidRDefault="003A100E" w:rsidP="00E11699">
      <w:pPr>
        <w:autoSpaceDE w:val="0"/>
        <w:autoSpaceDN w:val="0"/>
        <w:adjustRightInd w:val="0"/>
        <w:ind w:left="567" w:firstLine="567"/>
        <w:contextualSpacing/>
        <w:jc w:val="both"/>
      </w:pPr>
    </w:p>
    <w:p w14:paraId="355288DF" w14:textId="7777777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</w:pPr>
      <w:bookmarkStart w:id="10" w:name="_GoBack"/>
      <w:proofErr w:type="spellStart"/>
      <w:r w:rsidRPr="00814A10">
        <w:t>Adizes</w:t>
      </w:r>
      <w:proofErr w:type="spellEnd"/>
      <w:r w:rsidRPr="00814A10">
        <w:t xml:space="preserve">, I. (2002). </w:t>
      </w:r>
      <w:r w:rsidRPr="00814A10">
        <w:rPr>
          <w:i/>
          <w:iCs/>
        </w:rPr>
        <w:t xml:space="preserve">Gerenciando mudanças: </w:t>
      </w:r>
      <w:r w:rsidRPr="00814A10">
        <w:t>O poder da confiança e do respeito mútuos na vida pessoal, familiar, nos negócios e na sociedade. São Paulo: Pioneira Thomson Learning.</w:t>
      </w:r>
    </w:p>
    <w:p w14:paraId="38F59BBE" w14:textId="5A8BA26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b/>
          <w:bCs/>
        </w:rPr>
      </w:pPr>
      <w:r w:rsidRPr="00814A10">
        <w:t xml:space="preserve">Almeida, A. L. C., &amp; </w:t>
      </w:r>
      <w:proofErr w:type="spellStart"/>
      <w:r w:rsidRPr="00814A10">
        <w:t>Zanini</w:t>
      </w:r>
      <w:proofErr w:type="spellEnd"/>
      <w:r w:rsidRPr="00814A10">
        <w:t xml:space="preserve">, M. T. F. (2009). </w:t>
      </w:r>
      <w:r w:rsidRPr="00814A10">
        <w:rPr>
          <w:lang w:val="en-US"/>
        </w:rPr>
        <w:t>The impact of environmental uncertainty on trust relationships</w:t>
      </w:r>
      <w:r w:rsidRPr="00814A10">
        <w:rPr>
          <w:bCs/>
          <w:lang w:val="en-US"/>
        </w:rPr>
        <w:t xml:space="preserve">. </w:t>
      </w:r>
      <w:r w:rsidRPr="00814A10">
        <w:rPr>
          <w:bCs/>
          <w:i/>
        </w:rPr>
        <w:t>Revista de Administração</w:t>
      </w:r>
      <w:r w:rsidRPr="00814A10">
        <w:t xml:space="preserve">, </w:t>
      </w:r>
      <w:r w:rsidR="00342A0E" w:rsidRPr="00342A0E">
        <w:rPr>
          <w:i/>
        </w:rPr>
        <w:t>44(4)</w:t>
      </w:r>
      <w:r w:rsidRPr="00814A10">
        <w:t xml:space="preserve">, </w:t>
      </w:r>
      <w:r w:rsidR="00342A0E">
        <w:t>3</w:t>
      </w:r>
      <w:r w:rsidRPr="00814A10">
        <w:t>13-326.</w:t>
      </w:r>
    </w:p>
    <w:p w14:paraId="2DC11361" w14:textId="3013D944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r w:rsidRPr="00814A10">
        <w:rPr>
          <w:lang w:eastAsia="en-US"/>
        </w:rPr>
        <w:t>Araújo, P., &amp; Oliveira, A. (2008). Bem-estar no trabalho: Impacto das percepções dos valores</w:t>
      </w:r>
      <w:r w:rsidR="00F47467">
        <w:rPr>
          <w:lang w:eastAsia="en-US"/>
        </w:rPr>
        <w:t xml:space="preserve"> </w:t>
      </w:r>
      <w:r w:rsidRPr="00814A10">
        <w:rPr>
          <w:lang w:eastAsia="en-US"/>
        </w:rPr>
        <w:t xml:space="preserve">organizacionais e da confiança do empregado na organização. </w:t>
      </w:r>
      <w:r w:rsidRPr="00814A10">
        <w:rPr>
          <w:i/>
          <w:iCs/>
          <w:lang w:eastAsia="en-US"/>
        </w:rPr>
        <w:t xml:space="preserve">Horizonte Científico, </w:t>
      </w:r>
      <w:r w:rsidRPr="00342A0E">
        <w:rPr>
          <w:i/>
          <w:iCs/>
          <w:lang w:eastAsia="en-US"/>
        </w:rPr>
        <w:t>2</w:t>
      </w:r>
      <w:r w:rsidRPr="00342A0E">
        <w:rPr>
          <w:i/>
          <w:lang w:eastAsia="en-US"/>
        </w:rPr>
        <w:t>(1),</w:t>
      </w:r>
      <w:r w:rsidRPr="00814A10">
        <w:rPr>
          <w:lang w:eastAsia="en-US"/>
        </w:rPr>
        <w:t xml:space="preserve"> 1-26.</w:t>
      </w:r>
    </w:p>
    <w:p w14:paraId="3240A570" w14:textId="7777777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proofErr w:type="spellStart"/>
      <w:r w:rsidRPr="00814A10">
        <w:rPr>
          <w:lang w:eastAsia="en-US"/>
        </w:rPr>
        <w:t>Assmar</w:t>
      </w:r>
      <w:proofErr w:type="spellEnd"/>
      <w:r w:rsidRPr="00814A10">
        <w:rPr>
          <w:lang w:eastAsia="en-US"/>
        </w:rPr>
        <w:t>, E. M. L. (1997). A experiência de injustiça na vida diária: Uma análise preliminar</w:t>
      </w:r>
    </w:p>
    <w:p w14:paraId="75179339" w14:textId="2329DE64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proofErr w:type="gramStart"/>
      <w:r w:rsidRPr="00814A10">
        <w:rPr>
          <w:lang w:eastAsia="en-US"/>
        </w:rPr>
        <w:t>em</w:t>
      </w:r>
      <w:proofErr w:type="gramEnd"/>
      <w:r w:rsidRPr="00814A10">
        <w:rPr>
          <w:lang w:eastAsia="en-US"/>
        </w:rPr>
        <w:t xml:space="preserve"> três grupos sociais. </w:t>
      </w:r>
      <w:r w:rsidRPr="00814A10">
        <w:rPr>
          <w:bCs/>
          <w:i/>
          <w:lang w:eastAsia="en-US"/>
        </w:rPr>
        <w:t>Psicologia: Reflexão e Crítica</w:t>
      </w:r>
      <w:r w:rsidRPr="00814A10">
        <w:rPr>
          <w:lang w:eastAsia="en-US"/>
        </w:rPr>
        <w:t xml:space="preserve">, </w:t>
      </w:r>
      <w:r w:rsidR="00342A0E">
        <w:rPr>
          <w:i/>
          <w:lang w:eastAsia="en-US"/>
        </w:rPr>
        <w:t xml:space="preserve">10(2), </w:t>
      </w:r>
      <w:r w:rsidRPr="00814A10">
        <w:rPr>
          <w:lang w:eastAsia="en-US"/>
        </w:rPr>
        <w:t>335-350.</w:t>
      </w:r>
    </w:p>
    <w:p w14:paraId="5712E0B2" w14:textId="6BF70B9B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 w:eastAsia="en-US"/>
        </w:rPr>
      </w:pPr>
      <w:r w:rsidRPr="00814A10">
        <w:rPr>
          <w:lang w:val="en-US" w:eastAsia="en-US"/>
        </w:rPr>
        <w:t xml:space="preserve">Baptiste, N. R. (2008). Tightening the link between employee wellbeing at work and performance: a new dimension for HRM. </w:t>
      </w:r>
      <w:r w:rsidRPr="00814A10">
        <w:rPr>
          <w:i/>
          <w:iCs/>
          <w:lang w:val="en-US" w:eastAsia="en-US"/>
        </w:rPr>
        <w:t xml:space="preserve">Management Decision, </w:t>
      </w:r>
      <w:r w:rsidRPr="00342A0E">
        <w:rPr>
          <w:i/>
          <w:iCs/>
          <w:lang w:val="en-US" w:eastAsia="en-US"/>
        </w:rPr>
        <w:t>46</w:t>
      </w:r>
      <w:r w:rsidRPr="00342A0E">
        <w:rPr>
          <w:i/>
          <w:lang w:val="en-US" w:eastAsia="en-US"/>
        </w:rPr>
        <w:t>(2),</w:t>
      </w:r>
      <w:r w:rsidRPr="00814A10">
        <w:rPr>
          <w:lang w:val="en-US" w:eastAsia="en-US"/>
        </w:rPr>
        <w:t xml:space="preserve"> 284-309. </w:t>
      </w:r>
      <w:r w:rsidR="00FF37EB">
        <w:rPr>
          <w:lang w:val="en-US" w:eastAsia="en-US"/>
        </w:rPr>
        <w:t>DOI</w:t>
      </w:r>
      <w:r w:rsidRPr="00814A10">
        <w:rPr>
          <w:lang w:val="en-US" w:eastAsia="en-US"/>
        </w:rPr>
        <w:t>:</w:t>
      </w:r>
    </w:p>
    <w:p w14:paraId="0A42F857" w14:textId="77777777" w:rsidR="00331C45" w:rsidRPr="00814A10" w:rsidRDefault="00331C45" w:rsidP="005924C5">
      <w:pPr>
        <w:ind w:firstLine="567"/>
        <w:contextualSpacing/>
        <w:rPr>
          <w:lang w:val="en-US" w:eastAsia="en-US"/>
        </w:rPr>
      </w:pPr>
      <w:r w:rsidRPr="00814A10">
        <w:rPr>
          <w:lang w:val="en-US" w:eastAsia="en-US"/>
        </w:rPr>
        <w:t>10.1108/00251740810854168.</w:t>
      </w:r>
    </w:p>
    <w:p w14:paraId="3DD89ED6" w14:textId="5214F58E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r w:rsidRPr="00814A10">
        <w:rPr>
          <w:lang w:eastAsia="en-US"/>
        </w:rPr>
        <w:t xml:space="preserve">Barroso, R. S. (2013). Confiança como um fator importante e de impacto na organização </w:t>
      </w:r>
      <w:r w:rsidRPr="00814A10">
        <w:rPr>
          <w:b/>
          <w:bCs/>
          <w:lang w:eastAsia="en-US"/>
        </w:rPr>
        <w:t xml:space="preserve">– </w:t>
      </w:r>
      <w:r w:rsidRPr="00814A10">
        <w:rPr>
          <w:lang w:eastAsia="en-US"/>
        </w:rPr>
        <w:t xml:space="preserve">FMU. </w:t>
      </w:r>
      <w:r w:rsidRPr="00814A10">
        <w:rPr>
          <w:i/>
          <w:iCs/>
          <w:lang w:eastAsia="en-US"/>
        </w:rPr>
        <w:t>In</w:t>
      </w:r>
      <w:r w:rsidRPr="00814A10">
        <w:rPr>
          <w:lang w:eastAsia="en-US"/>
        </w:rPr>
        <w:t xml:space="preserve">: workshop de pós-graduação e pesquisa do Centro Paula Souza, (3). </w:t>
      </w:r>
      <w:r w:rsidRPr="00814A10">
        <w:rPr>
          <w:bCs/>
          <w:i/>
          <w:lang w:eastAsia="en-US"/>
        </w:rPr>
        <w:t>Anais.</w:t>
      </w:r>
      <w:r w:rsidR="001D01C2">
        <w:rPr>
          <w:bCs/>
          <w:i/>
          <w:lang w:eastAsia="en-US"/>
        </w:rPr>
        <w:t>..</w:t>
      </w:r>
      <w:r w:rsidRPr="00814A10">
        <w:rPr>
          <w:b/>
          <w:bCs/>
          <w:lang w:eastAsia="en-US"/>
        </w:rPr>
        <w:t xml:space="preserve"> </w:t>
      </w:r>
      <w:r w:rsidRPr="00814A10">
        <w:rPr>
          <w:lang w:eastAsia="en-US"/>
        </w:rPr>
        <w:t>São Paulo.</w:t>
      </w:r>
    </w:p>
    <w:p w14:paraId="1BA7247F" w14:textId="35C24CA1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/>
        </w:rPr>
      </w:pPr>
      <w:r w:rsidRPr="00814A10">
        <w:rPr>
          <w:lang w:val="en-US"/>
        </w:rPr>
        <w:t xml:space="preserve">Biddle, B. J., Bank, B. J., Anderson, D. S., </w:t>
      </w:r>
      <w:proofErr w:type="spellStart"/>
      <w:r w:rsidRPr="00814A10">
        <w:rPr>
          <w:lang w:val="en-US"/>
        </w:rPr>
        <w:t>Hauge</w:t>
      </w:r>
      <w:proofErr w:type="spellEnd"/>
      <w:r w:rsidRPr="00814A10">
        <w:rPr>
          <w:lang w:val="en-US"/>
        </w:rPr>
        <w:t xml:space="preserve">, R., &amp; Keats, D.M. (1985). Social influence, self-referent identity labels, and behavior. </w:t>
      </w:r>
      <w:r w:rsidRPr="00814A10">
        <w:rPr>
          <w:i/>
          <w:lang w:val="en-US"/>
        </w:rPr>
        <w:t>Social. Q</w:t>
      </w:r>
      <w:r w:rsidR="00342A0E">
        <w:rPr>
          <w:lang w:val="en-US"/>
        </w:rPr>
        <w:t xml:space="preserve">., </w:t>
      </w:r>
      <w:r w:rsidR="00342A0E">
        <w:rPr>
          <w:i/>
          <w:lang w:val="en-US"/>
        </w:rPr>
        <w:t xml:space="preserve">26(1), </w:t>
      </w:r>
      <w:r w:rsidRPr="00814A10">
        <w:rPr>
          <w:lang w:val="en-US"/>
        </w:rPr>
        <w:t>59-85.</w:t>
      </w:r>
    </w:p>
    <w:p w14:paraId="250E36C2" w14:textId="44B0AEA3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 w:eastAsia="en-US"/>
        </w:rPr>
      </w:pPr>
      <w:proofErr w:type="spellStart"/>
      <w:r w:rsidRPr="00814A10">
        <w:rPr>
          <w:lang w:val="en-US" w:eastAsia="en-US"/>
        </w:rPr>
        <w:t>Brod</w:t>
      </w:r>
      <w:proofErr w:type="spellEnd"/>
      <w:r w:rsidRPr="00814A10">
        <w:rPr>
          <w:lang w:val="en-US" w:eastAsia="en-US"/>
        </w:rPr>
        <w:t xml:space="preserve">, C. (1984). </w:t>
      </w:r>
      <w:r w:rsidRPr="00814A10">
        <w:rPr>
          <w:bCs/>
          <w:i/>
          <w:lang w:val="en-US" w:eastAsia="en-US"/>
        </w:rPr>
        <w:t>Technostress</w:t>
      </w:r>
      <w:r w:rsidRPr="00814A10">
        <w:rPr>
          <w:lang w:val="en-US" w:eastAsia="en-US"/>
        </w:rPr>
        <w:t xml:space="preserve">: </w:t>
      </w:r>
      <w:r w:rsidRPr="00342A0E">
        <w:rPr>
          <w:i/>
          <w:lang w:val="en-US" w:eastAsia="en-US"/>
        </w:rPr>
        <w:t>The human cost of the computer revolution</w:t>
      </w:r>
      <w:r w:rsidRPr="00814A10">
        <w:rPr>
          <w:lang w:val="en-US" w:eastAsia="en-US"/>
        </w:rPr>
        <w:t>. Reading: Addison-Wesley Publishing.</w:t>
      </w:r>
    </w:p>
    <w:p w14:paraId="749D8771" w14:textId="77777777" w:rsidR="00331C45" w:rsidRPr="00814A10" w:rsidRDefault="00331C45" w:rsidP="005924C5">
      <w:pPr>
        <w:tabs>
          <w:tab w:val="left" w:pos="1701"/>
        </w:tabs>
        <w:ind w:firstLine="567"/>
        <w:contextualSpacing/>
        <w:rPr>
          <w:lang w:val="en-US"/>
        </w:rPr>
      </w:pPr>
      <w:r w:rsidRPr="00814A10">
        <w:rPr>
          <w:lang w:val="en-US"/>
        </w:rPr>
        <w:t xml:space="preserve">Cohen, J. (1988). </w:t>
      </w:r>
      <w:r w:rsidRPr="00814A10">
        <w:rPr>
          <w:i/>
          <w:lang w:val="en-US"/>
        </w:rPr>
        <w:t>Statistical power analysis for the behavioral sciences</w:t>
      </w:r>
      <w:r w:rsidRPr="00814A10">
        <w:rPr>
          <w:lang w:val="en-US"/>
        </w:rPr>
        <w:t xml:space="preserve"> (2nd </w:t>
      </w:r>
      <w:proofErr w:type="gramStart"/>
      <w:r w:rsidRPr="00814A10">
        <w:rPr>
          <w:lang w:val="en-US"/>
        </w:rPr>
        <w:t>ed</w:t>
      </w:r>
      <w:proofErr w:type="gramEnd"/>
      <w:r w:rsidRPr="00814A10">
        <w:rPr>
          <w:lang w:val="en-US"/>
        </w:rPr>
        <w:t>.). Hillsdale, NJ: Erlbaum.</w:t>
      </w:r>
    </w:p>
    <w:p w14:paraId="2C8115A6" w14:textId="77777777" w:rsidR="00331C45" w:rsidRPr="00814A10" w:rsidRDefault="00331C45" w:rsidP="005924C5">
      <w:pPr>
        <w:ind w:firstLine="567"/>
        <w:contextualSpacing/>
        <w:rPr>
          <w:lang w:eastAsia="en-US"/>
        </w:rPr>
      </w:pPr>
      <w:proofErr w:type="spellStart"/>
      <w:r w:rsidRPr="00814A10">
        <w:rPr>
          <w:lang w:eastAsia="en-US"/>
        </w:rPr>
        <w:t>Dubrin</w:t>
      </w:r>
      <w:proofErr w:type="spellEnd"/>
      <w:r w:rsidRPr="00814A10">
        <w:rPr>
          <w:lang w:eastAsia="en-US"/>
        </w:rPr>
        <w:t xml:space="preserve">, A. J. (2003). </w:t>
      </w:r>
      <w:r w:rsidRPr="00814A10">
        <w:rPr>
          <w:bCs/>
          <w:i/>
          <w:lang w:eastAsia="en-US"/>
        </w:rPr>
        <w:t>Princípios da administração</w:t>
      </w:r>
      <w:r w:rsidRPr="00814A10">
        <w:rPr>
          <w:bCs/>
          <w:lang w:eastAsia="en-US"/>
        </w:rPr>
        <w:t xml:space="preserve"> </w:t>
      </w:r>
      <w:r w:rsidRPr="00814A10">
        <w:rPr>
          <w:lang w:eastAsia="en-US"/>
        </w:rPr>
        <w:t xml:space="preserve">(4a ed.). Tradução Roberto </w:t>
      </w:r>
      <w:proofErr w:type="spellStart"/>
      <w:r w:rsidRPr="00814A10">
        <w:rPr>
          <w:lang w:eastAsia="en-US"/>
        </w:rPr>
        <w:t>Miradeo</w:t>
      </w:r>
      <w:proofErr w:type="spellEnd"/>
      <w:r w:rsidRPr="00814A10">
        <w:rPr>
          <w:lang w:eastAsia="en-US"/>
        </w:rPr>
        <w:t>. Rio de Janeiro: LTC.</w:t>
      </w:r>
    </w:p>
    <w:p w14:paraId="7C7EA37B" w14:textId="77777777" w:rsidR="00331C45" w:rsidRPr="00814A10" w:rsidRDefault="00331C45" w:rsidP="005924C5">
      <w:pPr>
        <w:ind w:firstLine="567"/>
        <w:contextualSpacing/>
      </w:pPr>
      <w:proofErr w:type="spellStart"/>
      <w:r w:rsidRPr="00814A10">
        <w:rPr>
          <w:lang w:val="en-US"/>
        </w:rPr>
        <w:t>Efron</w:t>
      </w:r>
      <w:proofErr w:type="spellEnd"/>
      <w:r w:rsidRPr="00814A10">
        <w:rPr>
          <w:lang w:val="en-US"/>
        </w:rPr>
        <w:t xml:space="preserve">, B., &amp; </w:t>
      </w:r>
      <w:proofErr w:type="spellStart"/>
      <w:r w:rsidRPr="00814A10">
        <w:rPr>
          <w:lang w:val="en-US"/>
        </w:rPr>
        <w:t>Tibshirani</w:t>
      </w:r>
      <w:proofErr w:type="spellEnd"/>
      <w:r w:rsidRPr="00814A10">
        <w:rPr>
          <w:lang w:val="en-US"/>
        </w:rPr>
        <w:t xml:space="preserve">, R. J. (1998). </w:t>
      </w:r>
      <w:r w:rsidRPr="00814A10">
        <w:rPr>
          <w:i/>
          <w:lang w:val="en-US"/>
        </w:rPr>
        <w:t>An introduction to the bootstrap</w:t>
      </w:r>
      <w:r w:rsidRPr="00814A10">
        <w:rPr>
          <w:lang w:val="en-US"/>
        </w:rPr>
        <w:t xml:space="preserve">. </w:t>
      </w:r>
      <w:r w:rsidRPr="00814A10">
        <w:t>Chapman &amp; Hall / CRC Press.</w:t>
      </w:r>
    </w:p>
    <w:p w14:paraId="65BC9A56" w14:textId="77777777" w:rsidR="00331C45" w:rsidRPr="00814A10" w:rsidRDefault="00331C45" w:rsidP="005924C5">
      <w:pPr>
        <w:ind w:firstLine="567"/>
        <w:contextualSpacing/>
        <w:rPr>
          <w:lang w:val="en-US"/>
        </w:rPr>
      </w:pPr>
      <w:proofErr w:type="spellStart"/>
      <w:r w:rsidRPr="00814A10">
        <w:rPr>
          <w:lang w:val="en-US"/>
        </w:rPr>
        <w:t>Faul</w:t>
      </w:r>
      <w:proofErr w:type="spellEnd"/>
      <w:r w:rsidRPr="00814A10">
        <w:rPr>
          <w:lang w:val="en-US"/>
        </w:rPr>
        <w:t xml:space="preserve">, F., </w:t>
      </w:r>
      <w:proofErr w:type="spellStart"/>
      <w:r w:rsidRPr="00814A10">
        <w:rPr>
          <w:lang w:val="en-US"/>
        </w:rPr>
        <w:t>Erdfelder</w:t>
      </w:r>
      <w:proofErr w:type="spellEnd"/>
      <w:r w:rsidRPr="00814A10">
        <w:rPr>
          <w:lang w:val="en-US"/>
        </w:rPr>
        <w:t xml:space="preserve">, E., Lang, A.-G., &amp; Buchner, A. (2007). G*Power 3: A flexible statistical power analysis program for the social, behavioral, and biomedical sciences. </w:t>
      </w:r>
      <w:r w:rsidRPr="00814A10">
        <w:rPr>
          <w:i/>
          <w:lang w:val="en-US"/>
        </w:rPr>
        <w:t>Behavior Research Methods</w:t>
      </w:r>
      <w:r w:rsidRPr="00814A10">
        <w:rPr>
          <w:lang w:val="en-US"/>
        </w:rPr>
        <w:t xml:space="preserve">, </w:t>
      </w:r>
      <w:r w:rsidRPr="00342A0E">
        <w:rPr>
          <w:i/>
          <w:lang w:val="en-US"/>
        </w:rPr>
        <w:t>39</w:t>
      </w:r>
      <w:r w:rsidRPr="00814A10">
        <w:rPr>
          <w:lang w:val="en-US"/>
        </w:rPr>
        <w:t>, 175-191.</w:t>
      </w:r>
    </w:p>
    <w:p w14:paraId="15FDEB79" w14:textId="77777777" w:rsidR="00331C45" w:rsidRPr="00814A10" w:rsidRDefault="00331C45" w:rsidP="005924C5">
      <w:pPr>
        <w:ind w:firstLine="567"/>
        <w:contextualSpacing/>
      </w:pPr>
      <w:r w:rsidRPr="00814A10">
        <w:t xml:space="preserve">Ferreira, A. P. C. (2006). Tecnologia de informação, controle e mundo do trabalho: pensar tecnologia na ótica do trabalhador. </w:t>
      </w:r>
      <w:r w:rsidRPr="00814A10">
        <w:rPr>
          <w:i/>
          <w:iCs/>
        </w:rPr>
        <w:t>Revista Eletrônica de Ciências Sociais, 11</w:t>
      </w:r>
      <w:r w:rsidRPr="00814A10">
        <w:t>, 14-24.</w:t>
      </w:r>
    </w:p>
    <w:p w14:paraId="1B497B4A" w14:textId="1753FB0A" w:rsidR="00331C45" w:rsidRPr="00814A10" w:rsidRDefault="00331C45" w:rsidP="005924C5">
      <w:pPr>
        <w:widowControl w:val="0"/>
        <w:tabs>
          <w:tab w:val="left" w:pos="720"/>
        </w:tabs>
        <w:autoSpaceDE w:val="0"/>
        <w:autoSpaceDN w:val="0"/>
        <w:adjustRightInd w:val="0"/>
        <w:ind w:firstLine="567"/>
        <w:contextualSpacing/>
        <w:rPr>
          <w:lang w:val="en-US"/>
        </w:rPr>
      </w:pPr>
      <w:proofErr w:type="spellStart"/>
      <w:r w:rsidRPr="00814A10">
        <w:t>Fornell</w:t>
      </w:r>
      <w:proofErr w:type="spellEnd"/>
      <w:r w:rsidRPr="00814A10">
        <w:t xml:space="preserve">, C., &amp; </w:t>
      </w:r>
      <w:proofErr w:type="spellStart"/>
      <w:r w:rsidRPr="00814A10">
        <w:t>Larcker</w:t>
      </w:r>
      <w:proofErr w:type="spellEnd"/>
      <w:r w:rsidRPr="00814A10">
        <w:t xml:space="preserve">, D. F. (1981). </w:t>
      </w:r>
      <w:r w:rsidRPr="00814A10">
        <w:rPr>
          <w:lang w:val="en-US"/>
        </w:rPr>
        <w:t xml:space="preserve">Evaluating structural equation models with unobservable variables and measurement error. </w:t>
      </w:r>
      <w:r w:rsidRPr="00814A10">
        <w:rPr>
          <w:i/>
          <w:lang w:val="en-US"/>
        </w:rPr>
        <w:t>Journal of Marketing Research</w:t>
      </w:r>
      <w:r w:rsidRPr="00814A10">
        <w:rPr>
          <w:lang w:val="en-US"/>
        </w:rPr>
        <w:t xml:space="preserve">, </w:t>
      </w:r>
      <w:r w:rsidR="00342A0E">
        <w:rPr>
          <w:i/>
          <w:lang w:val="en-US"/>
        </w:rPr>
        <w:t xml:space="preserve">18, </w:t>
      </w:r>
      <w:r w:rsidRPr="00814A10">
        <w:rPr>
          <w:lang w:val="en-US"/>
        </w:rPr>
        <w:t>39-50.</w:t>
      </w:r>
    </w:p>
    <w:p w14:paraId="7F0A6EB5" w14:textId="0BD27884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/>
        </w:rPr>
      </w:pPr>
      <w:proofErr w:type="spellStart"/>
      <w:r w:rsidRPr="00814A10">
        <w:rPr>
          <w:lang w:val="en-US"/>
        </w:rPr>
        <w:t>Grzywacz</w:t>
      </w:r>
      <w:proofErr w:type="spellEnd"/>
      <w:r w:rsidRPr="00814A10">
        <w:rPr>
          <w:lang w:val="en-US"/>
        </w:rPr>
        <w:t xml:space="preserve">, J. &amp; Marks, N. (2000). </w:t>
      </w:r>
      <w:proofErr w:type="spellStart"/>
      <w:r w:rsidRPr="00814A10">
        <w:rPr>
          <w:lang w:val="en-US"/>
        </w:rPr>
        <w:t>Reconceptualizing</w:t>
      </w:r>
      <w:proofErr w:type="spellEnd"/>
      <w:r w:rsidRPr="00814A10">
        <w:rPr>
          <w:lang w:val="en-US"/>
        </w:rPr>
        <w:t xml:space="preserve"> the work-family interface: an ecological perspective on the correlates of positive and negative </w:t>
      </w:r>
      <w:r w:rsidRPr="00814A10">
        <w:rPr>
          <w:i/>
          <w:iCs/>
          <w:lang w:val="en-US"/>
        </w:rPr>
        <w:t xml:space="preserve">spillover </w:t>
      </w:r>
      <w:r w:rsidRPr="00814A10">
        <w:rPr>
          <w:lang w:val="en-US"/>
        </w:rPr>
        <w:t xml:space="preserve">between work and family. </w:t>
      </w:r>
      <w:r w:rsidRPr="00814A10">
        <w:rPr>
          <w:i/>
          <w:iCs/>
          <w:lang w:val="en-US"/>
        </w:rPr>
        <w:t>Journal of</w:t>
      </w:r>
      <w:r w:rsidRPr="00814A10">
        <w:rPr>
          <w:lang w:val="en-US"/>
        </w:rPr>
        <w:t xml:space="preserve"> </w:t>
      </w:r>
      <w:r w:rsidRPr="00814A10">
        <w:rPr>
          <w:i/>
          <w:iCs/>
          <w:lang w:val="en-US"/>
        </w:rPr>
        <w:t>Occupational Health Psychology, 5</w:t>
      </w:r>
      <w:r w:rsidRPr="00342A0E">
        <w:rPr>
          <w:i/>
          <w:lang w:val="en-US"/>
        </w:rPr>
        <w:t>(1),</w:t>
      </w:r>
      <w:r w:rsidRPr="00814A10">
        <w:rPr>
          <w:lang w:val="en-US"/>
        </w:rPr>
        <w:t xml:space="preserve"> 111-126.</w:t>
      </w:r>
    </w:p>
    <w:p w14:paraId="19356D24" w14:textId="4A0784C8" w:rsidR="00331C45" w:rsidRPr="0061121C" w:rsidRDefault="00331C45" w:rsidP="005924C5">
      <w:pPr>
        <w:pStyle w:val="Default"/>
        <w:ind w:firstLine="567"/>
        <w:contextualSpacing/>
      </w:pPr>
      <w:r w:rsidRPr="0061121C">
        <w:rPr>
          <w:lang w:val="en-US"/>
        </w:rPr>
        <w:t>Hair, J.F., Black, W.C., Bab</w:t>
      </w:r>
      <w:r w:rsidR="0061121C" w:rsidRPr="0061121C">
        <w:rPr>
          <w:lang w:val="en-US"/>
        </w:rPr>
        <w:t>s</w:t>
      </w:r>
      <w:r w:rsidRPr="0061121C">
        <w:rPr>
          <w:lang w:val="en-US"/>
        </w:rPr>
        <w:t xml:space="preserve">on, B.J., Anderson, R.E., &amp; Tatham, R.L. (2005). </w:t>
      </w:r>
      <w:r w:rsidRPr="0061121C">
        <w:rPr>
          <w:bCs/>
          <w:i/>
        </w:rPr>
        <w:t>Análise multivariada de dados</w:t>
      </w:r>
      <w:r w:rsidRPr="0061121C">
        <w:t xml:space="preserve">. 5a. ed. Porto Alegre: </w:t>
      </w:r>
      <w:proofErr w:type="spellStart"/>
      <w:r w:rsidRPr="0061121C">
        <w:t>Bookman</w:t>
      </w:r>
      <w:proofErr w:type="spellEnd"/>
      <w:r w:rsidRPr="0061121C">
        <w:t xml:space="preserve">. </w:t>
      </w:r>
    </w:p>
    <w:p w14:paraId="040419AF" w14:textId="77777777" w:rsidR="00331C45" w:rsidRPr="00814A10" w:rsidRDefault="00331C45" w:rsidP="005924C5">
      <w:pPr>
        <w:ind w:firstLine="567"/>
        <w:contextualSpacing/>
        <w:rPr>
          <w:noProof/>
          <w:lang w:val="en-US"/>
        </w:rPr>
      </w:pPr>
      <w:r w:rsidRPr="00814A10">
        <w:rPr>
          <w:noProof/>
          <w:lang w:val="en-US"/>
        </w:rPr>
        <w:t>Hair,</w:t>
      </w:r>
      <w:r w:rsidRPr="00814A10">
        <w:rPr>
          <w:lang w:val="en-US"/>
        </w:rPr>
        <w:t xml:space="preserve"> J. F., </w:t>
      </w:r>
      <w:r w:rsidRPr="00814A10">
        <w:rPr>
          <w:noProof/>
          <w:lang w:val="en-US"/>
        </w:rPr>
        <w:t xml:space="preserve">Hult, G. T. M., Ringle, C. M., &amp; Sarstedt, M. (2013). </w:t>
      </w:r>
      <w:r w:rsidRPr="00814A10">
        <w:rPr>
          <w:i/>
          <w:noProof/>
          <w:lang w:val="en-US"/>
        </w:rPr>
        <w:t>A</w:t>
      </w:r>
      <w:r w:rsidRPr="00814A10">
        <w:rPr>
          <w:noProof/>
          <w:lang w:val="en-US"/>
        </w:rPr>
        <w:t xml:space="preserve"> </w:t>
      </w:r>
      <w:r w:rsidRPr="00814A10">
        <w:rPr>
          <w:i/>
          <w:noProof/>
          <w:lang w:val="en-US"/>
        </w:rPr>
        <w:t xml:space="preserve">primer on partial least squares structural equation modeling </w:t>
      </w:r>
      <w:r w:rsidRPr="00814A10">
        <w:rPr>
          <w:noProof/>
          <w:lang w:val="en-US"/>
        </w:rPr>
        <w:t xml:space="preserve">(PLS-SEM). Thousand Oaks: SAGE Publications. </w:t>
      </w:r>
    </w:p>
    <w:p w14:paraId="414DDD99" w14:textId="0ECE78DF" w:rsidR="00331C45" w:rsidRPr="00814A10" w:rsidRDefault="00331C45" w:rsidP="005924C5">
      <w:pPr>
        <w:ind w:firstLine="567"/>
        <w:contextualSpacing/>
        <w:rPr>
          <w:lang w:val="en-US"/>
        </w:rPr>
      </w:pPr>
      <w:r w:rsidRPr="00814A10">
        <w:rPr>
          <w:lang w:val="en-US"/>
        </w:rPr>
        <w:t xml:space="preserve">Hair, J. F., </w:t>
      </w:r>
      <w:proofErr w:type="spellStart"/>
      <w:r w:rsidRPr="00814A10">
        <w:rPr>
          <w:lang w:val="en-US"/>
        </w:rPr>
        <w:t>Sarstedt</w:t>
      </w:r>
      <w:proofErr w:type="spellEnd"/>
      <w:r w:rsidRPr="00814A10">
        <w:rPr>
          <w:lang w:val="en-US"/>
        </w:rPr>
        <w:t xml:space="preserve">, M., </w:t>
      </w:r>
      <w:proofErr w:type="spellStart"/>
      <w:r w:rsidRPr="00814A10">
        <w:rPr>
          <w:lang w:val="en-US"/>
        </w:rPr>
        <w:t>Ringle</w:t>
      </w:r>
      <w:proofErr w:type="spellEnd"/>
      <w:r w:rsidRPr="00814A10">
        <w:rPr>
          <w:lang w:val="en-US"/>
        </w:rPr>
        <w:t xml:space="preserve">, C. M., &amp; </w:t>
      </w:r>
      <w:proofErr w:type="spellStart"/>
      <w:r w:rsidRPr="00814A10">
        <w:rPr>
          <w:lang w:val="en-US"/>
        </w:rPr>
        <w:t>Gudergan</w:t>
      </w:r>
      <w:proofErr w:type="spellEnd"/>
      <w:r w:rsidRPr="00814A10">
        <w:rPr>
          <w:lang w:val="en-US"/>
        </w:rPr>
        <w:t>, S. P. (201</w:t>
      </w:r>
      <w:r w:rsidR="0061121C">
        <w:rPr>
          <w:lang w:val="en-US"/>
        </w:rPr>
        <w:t>7</w:t>
      </w:r>
      <w:r w:rsidRPr="00814A10">
        <w:rPr>
          <w:lang w:val="en-US"/>
        </w:rPr>
        <w:t xml:space="preserve">). </w:t>
      </w:r>
      <w:r w:rsidRPr="00814A10">
        <w:rPr>
          <w:i/>
          <w:lang w:val="en-US"/>
        </w:rPr>
        <w:t>Advanced Issues in Partial Least Squares Structural Equation Modeling (PLS-SEM)</w:t>
      </w:r>
      <w:r w:rsidRPr="00814A10">
        <w:rPr>
          <w:lang w:val="en-US"/>
        </w:rPr>
        <w:t>. Thousand Oaks, CA: Sage.</w:t>
      </w:r>
    </w:p>
    <w:p w14:paraId="16E197C7" w14:textId="5E4BA528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 w:eastAsia="en-US"/>
        </w:rPr>
      </w:pPr>
      <w:r w:rsidRPr="00814A10">
        <w:rPr>
          <w:lang w:val="en-US" w:eastAsia="en-US"/>
        </w:rPr>
        <w:lastRenderedPageBreak/>
        <w:t xml:space="preserve">Hassan, A., &amp; </w:t>
      </w:r>
      <w:proofErr w:type="spellStart"/>
      <w:r w:rsidRPr="00814A10">
        <w:rPr>
          <w:lang w:val="en-US" w:eastAsia="en-US"/>
        </w:rPr>
        <w:t>Hashim</w:t>
      </w:r>
      <w:proofErr w:type="spellEnd"/>
      <w:r w:rsidRPr="00814A10">
        <w:rPr>
          <w:lang w:val="en-US" w:eastAsia="en-US"/>
        </w:rPr>
        <w:t xml:space="preserve">, J. (2011). Role of organizational justice in determining work outcomes of national and expatriate academic staff in Malaysia. </w:t>
      </w:r>
      <w:r w:rsidRPr="00814A10">
        <w:rPr>
          <w:bCs/>
          <w:i/>
          <w:lang w:val="en-US" w:eastAsia="en-US"/>
        </w:rPr>
        <w:t>International Journal of</w:t>
      </w:r>
      <w:r w:rsidRPr="00814A10">
        <w:rPr>
          <w:i/>
          <w:lang w:val="en-US" w:eastAsia="en-US"/>
        </w:rPr>
        <w:t xml:space="preserve"> </w:t>
      </w:r>
      <w:r w:rsidRPr="00814A10">
        <w:rPr>
          <w:bCs/>
          <w:i/>
          <w:lang w:val="en-US" w:eastAsia="en-US"/>
        </w:rPr>
        <w:t>Commerce and Management</w:t>
      </w:r>
      <w:r w:rsidRPr="00814A10">
        <w:rPr>
          <w:lang w:val="en-US" w:eastAsia="en-US"/>
        </w:rPr>
        <w:t xml:space="preserve">, </w:t>
      </w:r>
      <w:r w:rsidR="00342A0E" w:rsidRPr="00342A0E">
        <w:rPr>
          <w:i/>
          <w:lang w:val="en-US" w:eastAsia="en-US"/>
        </w:rPr>
        <w:t>21(1),</w:t>
      </w:r>
      <w:r w:rsidRPr="00814A10">
        <w:rPr>
          <w:lang w:val="en-US" w:eastAsia="en-US"/>
        </w:rPr>
        <w:t xml:space="preserve"> 82-93.</w:t>
      </w:r>
    </w:p>
    <w:p w14:paraId="6D9FC1B1" w14:textId="6F0E9BD0" w:rsidR="00331C45" w:rsidRPr="00814A10" w:rsidRDefault="00331C45" w:rsidP="005924C5">
      <w:pPr>
        <w:ind w:firstLine="567"/>
        <w:contextualSpacing/>
      </w:pPr>
      <w:proofErr w:type="spellStart"/>
      <w:r w:rsidRPr="00814A10">
        <w:rPr>
          <w:lang w:val="en-US"/>
        </w:rPr>
        <w:t>Korunka</w:t>
      </w:r>
      <w:proofErr w:type="spellEnd"/>
      <w:r w:rsidRPr="00814A10">
        <w:rPr>
          <w:lang w:val="en-US"/>
        </w:rPr>
        <w:t xml:space="preserve">, C. (2002). Human-computer interaction and quality of working life: organizational aspects of implementing new Technologies. In E. </w:t>
      </w:r>
      <w:proofErr w:type="spellStart"/>
      <w:r w:rsidRPr="00814A10">
        <w:rPr>
          <w:lang w:val="en-US"/>
        </w:rPr>
        <w:t>Chifre</w:t>
      </w:r>
      <w:proofErr w:type="spellEnd"/>
      <w:r w:rsidRPr="00814A10">
        <w:rPr>
          <w:lang w:val="en-US"/>
        </w:rPr>
        <w:t xml:space="preserve">, M., &amp; I. </w:t>
      </w:r>
      <w:proofErr w:type="spellStart"/>
      <w:r w:rsidRPr="00814A10">
        <w:rPr>
          <w:lang w:val="en-US"/>
        </w:rPr>
        <w:t>Martínez</w:t>
      </w:r>
      <w:proofErr w:type="spellEnd"/>
      <w:r w:rsidRPr="00814A10">
        <w:rPr>
          <w:lang w:val="en-US"/>
        </w:rPr>
        <w:t xml:space="preserve">-Pérez (Orgs.), </w:t>
      </w:r>
      <w:r w:rsidRPr="00814A10">
        <w:rPr>
          <w:i/>
          <w:iCs/>
          <w:lang w:val="en-US"/>
        </w:rPr>
        <w:t xml:space="preserve">New information technology and work psychology: </w:t>
      </w:r>
      <w:proofErr w:type="spellStart"/>
      <w:proofErr w:type="gramStart"/>
      <w:r w:rsidRPr="00814A10">
        <w:rPr>
          <w:i/>
          <w:iCs/>
          <w:lang w:val="en-US"/>
        </w:rPr>
        <w:t>european</w:t>
      </w:r>
      <w:proofErr w:type="spellEnd"/>
      <w:proofErr w:type="gramEnd"/>
      <w:r w:rsidRPr="00814A10">
        <w:rPr>
          <w:i/>
          <w:iCs/>
          <w:lang w:val="en-US"/>
        </w:rPr>
        <w:t xml:space="preserve"> trends towards fitting individual, job and organizational characteristics to new information technology</w:t>
      </w:r>
      <w:r w:rsidR="00342A0E">
        <w:rPr>
          <w:i/>
          <w:iCs/>
          <w:lang w:val="en-US"/>
        </w:rPr>
        <w:t xml:space="preserve">, </w:t>
      </w:r>
      <w:r w:rsidRPr="00814A10">
        <w:rPr>
          <w:lang w:val="en-US"/>
        </w:rPr>
        <w:t xml:space="preserve">34-48. </w:t>
      </w:r>
      <w:proofErr w:type="spellStart"/>
      <w:r w:rsidRPr="00814A10">
        <w:t>Castelló</w:t>
      </w:r>
      <w:proofErr w:type="spellEnd"/>
      <w:r w:rsidRPr="00814A10">
        <w:t xml:space="preserve"> de </w:t>
      </w:r>
      <w:proofErr w:type="spellStart"/>
      <w:r w:rsidRPr="00814A10">
        <w:t>la</w:t>
      </w:r>
      <w:proofErr w:type="spellEnd"/>
      <w:r w:rsidRPr="00814A10">
        <w:t xml:space="preserve"> Plana: </w:t>
      </w:r>
      <w:proofErr w:type="spellStart"/>
      <w:r w:rsidRPr="00814A10">
        <w:t>Publicaciones</w:t>
      </w:r>
      <w:proofErr w:type="spellEnd"/>
      <w:r w:rsidRPr="00814A10">
        <w:t xml:space="preserve"> de </w:t>
      </w:r>
      <w:proofErr w:type="spellStart"/>
      <w:r w:rsidRPr="00814A10">
        <w:t>la</w:t>
      </w:r>
      <w:proofErr w:type="spellEnd"/>
      <w:r w:rsidRPr="00814A10">
        <w:t xml:space="preserve"> </w:t>
      </w:r>
      <w:proofErr w:type="spellStart"/>
      <w:r w:rsidRPr="00814A10">
        <w:t>Universitat</w:t>
      </w:r>
      <w:proofErr w:type="spellEnd"/>
      <w:r w:rsidRPr="00814A10">
        <w:t xml:space="preserve"> </w:t>
      </w:r>
      <w:proofErr w:type="spellStart"/>
      <w:r w:rsidRPr="00814A10">
        <w:t>Jaume</w:t>
      </w:r>
      <w:proofErr w:type="spellEnd"/>
      <w:r w:rsidRPr="00814A10">
        <w:t xml:space="preserve"> I.</w:t>
      </w:r>
    </w:p>
    <w:p w14:paraId="09E32B8B" w14:textId="3CC6C1C4" w:rsidR="00331C45" w:rsidRPr="00814A10" w:rsidRDefault="0061121C" w:rsidP="005924C5">
      <w:pPr>
        <w:autoSpaceDE w:val="0"/>
        <w:autoSpaceDN w:val="0"/>
        <w:adjustRightInd w:val="0"/>
        <w:ind w:firstLine="567"/>
        <w:contextualSpacing/>
        <w:rPr>
          <w:lang w:val="en-US"/>
        </w:rPr>
      </w:pPr>
      <w:proofErr w:type="spellStart"/>
      <w:r w:rsidRPr="00814A10">
        <w:rPr>
          <w:lang w:val="en-US"/>
        </w:rPr>
        <w:t>Maslach</w:t>
      </w:r>
      <w:proofErr w:type="spellEnd"/>
      <w:r w:rsidRPr="00814A10">
        <w:rPr>
          <w:lang w:val="en-US"/>
        </w:rPr>
        <w:t>, C.</w:t>
      </w:r>
      <w:r w:rsidR="00331C45" w:rsidRPr="00814A10">
        <w:rPr>
          <w:lang w:val="en-US"/>
        </w:rPr>
        <w:t xml:space="preserve"> (1993). Burnout: A multidimensional perspective. </w:t>
      </w:r>
      <w:proofErr w:type="spellStart"/>
      <w:r w:rsidR="00331C45" w:rsidRPr="00814A10">
        <w:rPr>
          <w:lang w:val="en-US"/>
        </w:rPr>
        <w:t>Em</w:t>
      </w:r>
      <w:proofErr w:type="spellEnd"/>
      <w:r w:rsidR="00331C45" w:rsidRPr="00814A10">
        <w:rPr>
          <w:lang w:val="en-US"/>
        </w:rPr>
        <w:t xml:space="preserve"> </w:t>
      </w:r>
      <w:proofErr w:type="spellStart"/>
      <w:r w:rsidR="00331C45" w:rsidRPr="00814A10">
        <w:rPr>
          <w:lang w:val="en-US"/>
        </w:rPr>
        <w:t>Schaufeli</w:t>
      </w:r>
      <w:proofErr w:type="spellEnd"/>
      <w:r w:rsidR="00331C45" w:rsidRPr="00814A10">
        <w:rPr>
          <w:lang w:val="en-US"/>
        </w:rPr>
        <w:t xml:space="preserve">, W.B., </w:t>
      </w:r>
      <w:proofErr w:type="spellStart"/>
      <w:r w:rsidR="00331C45" w:rsidRPr="00814A10">
        <w:rPr>
          <w:lang w:val="en-US"/>
        </w:rPr>
        <w:t>Maslach</w:t>
      </w:r>
      <w:proofErr w:type="spellEnd"/>
      <w:r w:rsidR="00331C45" w:rsidRPr="00814A10">
        <w:rPr>
          <w:lang w:val="en-US"/>
        </w:rPr>
        <w:t xml:space="preserve">, C. &amp; Marek, T. (Eds.), </w:t>
      </w:r>
      <w:r w:rsidR="00331C45" w:rsidRPr="00814A10">
        <w:rPr>
          <w:i/>
          <w:iCs/>
          <w:lang w:val="en-US"/>
        </w:rPr>
        <w:t>Professional</w:t>
      </w:r>
      <w:r w:rsidR="00331C45" w:rsidRPr="00814A10">
        <w:rPr>
          <w:lang w:val="en-US"/>
        </w:rPr>
        <w:t xml:space="preserve"> </w:t>
      </w:r>
      <w:r w:rsidR="00331C45" w:rsidRPr="00814A10">
        <w:rPr>
          <w:i/>
          <w:iCs/>
          <w:lang w:val="en-US"/>
        </w:rPr>
        <w:t>burnout: recent developments in theory and research</w:t>
      </w:r>
      <w:proofErr w:type="gramStart"/>
      <w:r w:rsidR="00342A0E">
        <w:rPr>
          <w:i/>
          <w:iCs/>
          <w:lang w:val="en-US"/>
        </w:rPr>
        <w:t xml:space="preserve">, </w:t>
      </w:r>
      <w:r w:rsidR="00331C45" w:rsidRPr="00814A10">
        <w:rPr>
          <w:i/>
          <w:iCs/>
          <w:lang w:val="en-US"/>
        </w:rPr>
        <w:t xml:space="preserve"> </w:t>
      </w:r>
      <w:r w:rsidR="00331C45" w:rsidRPr="00814A10">
        <w:rPr>
          <w:lang w:val="en-US"/>
        </w:rPr>
        <w:t>19</w:t>
      </w:r>
      <w:proofErr w:type="gramEnd"/>
      <w:r w:rsidR="00331C45" w:rsidRPr="00814A10">
        <w:rPr>
          <w:lang w:val="en-US"/>
        </w:rPr>
        <w:t>-32. New York: Taylor &amp; Francis.</w:t>
      </w:r>
    </w:p>
    <w:p w14:paraId="3069A48C" w14:textId="7777777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/>
        </w:rPr>
      </w:pPr>
      <w:proofErr w:type="spellStart"/>
      <w:r w:rsidRPr="00814A10">
        <w:rPr>
          <w:lang w:val="en-US"/>
        </w:rPr>
        <w:t>Maslach</w:t>
      </w:r>
      <w:proofErr w:type="spellEnd"/>
      <w:r w:rsidRPr="00814A10">
        <w:rPr>
          <w:lang w:val="en-US"/>
        </w:rPr>
        <w:t xml:space="preserve">. C., &amp; Jackson, S. E. (1986). </w:t>
      </w:r>
      <w:proofErr w:type="spellStart"/>
      <w:r w:rsidRPr="00814A10">
        <w:rPr>
          <w:i/>
          <w:iCs/>
          <w:lang w:val="en-US"/>
        </w:rPr>
        <w:t>Maslach</w:t>
      </w:r>
      <w:proofErr w:type="spellEnd"/>
      <w:r w:rsidRPr="00814A10">
        <w:rPr>
          <w:i/>
          <w:iCs/>
          <w:lang w:val="en-US"/>
        </w:rPr>
        <w:t xml:space="preserve"> burnout inventory manual</w:t>
      </w:r>
      <w:r w:rsidRPr="00814A10">
        <w:rPr>
          <w:lang w:val="en-US"/>
        </w:rPr>
        <w:t>. Palo Alto: Consulting Psychological Press.</w:t>
      </w:r>
    </w:p>
    <w:p w14:paraId="1DDC1E23" w14:textId="2BD4D411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 w:eastAsia="en-US"/>
        </w:rPr>
      </w:pPr>
      <w:proofErr w:type="spellStart"/>
      <w:r w:rsidRPr="00814A10">
        <w:rPr>
          <w:lang w:val="en-US" w:eastAsia="en-US"/>
        </w:rPr>
        <w:t>Mcknight</w:t>
      </w:r>
      <w:proofErr w:type="spellEnd"/>
      <w:r w:rsidRPr="00814A10">
        <w:rPr>
          <w:lang w:val="en-US" w:eastAsia="en-US"/>
        </w:rPr>
        <w:t xml:space="preserve">, D. H., </w:t>
      </w:r>
      <w:proofErr w:type="spellStart"/>
      <w:r w:rsidRPr="00814A10">
        <w:rPr>
          <w:lang w:val="en-US" w:eastAsia="en-US"/>
        </w:rPr>
        <w:t>Chervany</w:t>
      </w:r>
      <w:proofErr w:type="spellEnd"/>
      <w:r w:rsidRPr="00814A10">
        <w:rPr>
          <w:lang w:val="en-US" w:eastAsia="en-US"/>
        </w:rPr>
        <w:t xml:space="preserve">, N. L., &amp; Cummings, L. L. (1998, </w:t>
      </w:r>
      <w:proofErr w:type="spellStart"/>
      <w:proofErr w:type="gramStart"/>
      <w:r w:rsidRPr="00814A10">
        <w:rPr>
          <w:lang w:val="en-US" w:eastAsia="en-US"/>
        </w:rPr>
        <w:t>july</w:t>
      </w:r>
      <w:proofErr w:type="spellEnd"/>
      <w:proofErr w:type="gramEnd"/>
      <w:r w:rsidRPr="00814A10">
        <w:rPr>
          <w:lang w:val="en-US" w:eastAsia="en-US"/>
        </w:rPr>
        <w:t xml:space="preserve">). Initial trust formation in new organizational relationships. </w:t>
      </w:r>
      <w:r w:rsidRPr="00814A10">
        <w:rPr>
          <w:i/>
          <w:iCs/>
          <w:lang w:val="en-US" w:eastAsia="en-US"/>
        </w:rPr>
        <w:t>Academy of Management</w:t>
      </w:r>
      <w:r w:rsidRPr="00814A10">
        <w:rPr>
          <w:lang w:val="en-US" w:eastAsia="en-US"/>
        </w:rPr>
        <w:t xml:space="preserve"> </w:t>
      </w:r>
      <w:r w:rsidRPr="00814A10">
        <w:rPr>
          <w:i/>
          <w:iCs/>
          <w:lang w:val="en-US" w:eastAsia="en-US"/>
        </w:rPr>
        <w:t>Review</w:t>
      </w:r>
      <w:r w:rsidRPr="00814A10">
        <w:rPr>
          <w:lang w:val="en-US" w:eastAsia="en-US"/>
        </w:rPr>
        <w:t xml:space="preserve">, </w:t>
      </w:r>
      <w:r w:rsidR="00342A0E">
        <w:rPr>
          <w:i/>
          <w:lang w:val="en-US" w:eastAsia="en-US"/>
        </w:rPr>
        <w:t xml:space="preserve">23(3), </w:t>
      </w:r>
      <w:r w:rsidRPr="00814A10">
        <w:rPr>
          <w:lang w:val="en-US" w:eastAsia="en-US"/>
        </w:rPr>
        <w:t>473-490.</w:t>
      </w:r>
    </w:p>
    <w:p w14:paraId="34338617" w14:textId="2C8BEEEB" w:rsidR="00790D74" w:rsidRDefault="00790D74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proofErr w:type="spellStart"/>
      <w:r w:rsidRPr="00790D74">
        <w:rPr>
          <w:lang w:eastAsia="en-US"/>
        </w:rPr>
        <w:t>Mcknight</w:t>
      </w:r>
      <w:proofErr w:type="spellEnd"/>
      <w:r w:rsidRPr="00790D74">
        <w:rPr>
          <w:lang w:eastAsia="en-US"/>
        </w:rPr>
        <w:t xml:space="preserve">, D. H., Phillips, B., &amp; </w:t>
      </w:r>
      <w:proofErr w:type="spellStart"/>
      <w:r w:rsidRPr="00790D74">
        <w:rPr>
          <w:lang w:eastAsia="en-US"/>
        </w:rPr>
        <w:t>Hardgrave</w:t>
      </w:r>
      <w:proofErr w:type="spellEnd"/>
      <w:r w:rsidRPr="00790D74">
        <w:rPr>
          <w:lang w:eastAsia="en-US"/>
        </w:rPr>
        <w:t xml:space="preserve">, B. C. (2009). </w:t>
      </w:r>
      <w:proofErr w:type="spellStart"/>
      <w:r w:rsidRPr="00790D74">
        <w:rPr>
          <w:lang w:eastAsia="en-US"/>
        </w:rPr>
        <w:t>Which</w:t>
      </w:r>
      <w:proofErr w:type="spellEnd"/>
      <w:r w:rsidRPr="00790D74">
        <w:rPr>
          <w:lang w:eastAsia="en-US"/>
        </w:rPr>
        <w:t xml:space="preserve"> </w:t>
      </w:r>
      <w:proofErr w:type="spellStart"/>
      <w:r w:rsidRPr="00790D74">
        <w:rPr>
          <w:lang w:eastAsia="en-US"/>
        </w:rPr>
        <w:t>reduces</w:t>
      </w:r>
      <w:proofErr w:type="spellEnd"/>
      <w:r w:rsidRPr="00790D74">
        <w:rPr>
          <w:lang w:eastAsia="en-US"/>
        </w:rPr>
        <w:t xml:space="preserve"> IT </w:t>
      </w:r>
      <w:proofErr w:type="spellStart"/>
      <w:r w:rsidRPr="00790D74">
        <w:rPr>
          <w:lang w:eastAsia="en-US"/>
        </w:rPr>
        <w:t>turnover</w:t>
      </w:r>
      <w:proofErr w:type="spellEnd"/>
      <w:r w:rsidRPr="00790D74">
        <w:rPr>
          <w:lang w:eastAsia="en-US"/>
        </w:rPr>
        <w:t xml:space="preserve"> </w:t>
      </w:r>
      <w:proofErr w:type="spellStart"/>
      <w:r w:rsidRPr="00790D74">
        <w:rPr>
          <w:lang w:eastAsia="en-US"/>
        </w:rPr>
        <w:t>intention</w:t>
      </w:r>
      <w:proofErr w:type="spellEnd"/>
      <w:r w:rsidRPr="00790D74">
        <w:rPr>
          <w:lang w:eastAsia="en-US"/>
        </w:rPr>
        <w:t xml:space="preserve"> </w:t>
      </w:r>
      <w:proofErr w:type="spellStart"/>
      <w:r w:rsidRPr="00790D74">
        <w:rPr>
          <w:lang w:eastAsia="en-US"/>
        </w:rPr>
        <w:t>the</w:t>
      </w:r>
      <w:proofErr w:type="spellEnd"/>
      <w:r w:rsidRPr="00790D74">
        <w:rPr>
          <w:lang w:eastAsia="en-US"/>
        </w:rPr>
        <w:t xml:space="preserve"> </w:t>
      </w:r>
      <w:proofErr w:type="spellStart"/>
      <w:r w:rsidRPr="00790D74">
        <w:rPr>
          <w:lang w:eastAsia="en-US"/>
        </w:rPr>
        <w:t>most</w:t>
      </w:r>
      <w:proofErr w:type="spellEnd"/>
      <w:r w:rsidRPr="00790D74">
        <w:rPr>
          <w:lang w:eastAsia="en-US"/>
        </w:rPr>
        <w:t xml:space="preserve">: </w:t>
      </w:r>
      <w:proofErr w:type="spellStart"/>
      <w:r w:rsidRPr="00790D74">
        <w:rPr>
          <w:lang w:eastAsia="en-US"/>
        </w:rPr>
        <w:t>Workplace</w:t>
      </w:r>
      <w:proofErr w:type="spellEnd"/>
      <w:r w:rsidRPr="00790D74">
        <w:rPr>
          <w:lang w:eastAsia="en-US"/>
        </w:rPr>
        <w:t xml:space="preserve"> </w:t>
      </w:r>
      <w:proofErr w:type="spellStart"/>
      <w:r w:rsidRPr="00790D74">
        <w:rPr>
          <w:lang w:eastAsia="en-US"/>
        </w:rPr>
        <w:t>characteristics</w:t>
      </w:r>
      <w:proofErr w:type="spellEnd"/>
      <w:r w:rsidRPr="00790D74">
        <w:rPr>
          <w:lang w:eastAsia="en-US"/>
        </w:rPr>
        <w:t xml:space="preserve"> </w:t>
      </w:r>
      <w:proofErr w:type="spellStart"/>
      <w:r w:rsidRPr="00790D74">
        <w:rPr>
          <w:lang w:eastAsia="en-US"/>
        </w:rPr>
        <w:t>or</w:t>
      </w:r>
      <w:proofErr w:type="spellEnd"/>
      <w:r w:rsidRPr="00790D74">
        <w:rPr>
          <w:lang w:eastAsia="en-US"/>
        </w:rPr>
        <w:t xml:space="preserve"> </w:t>
      </w:r>
      <w:proofErr w:type="spellStart"/>
      <w:r w:rsidRPr="00790D74">
        <w:rPr>
          <w:lang w:eastAsia="en-US"/>
        </w:rPr>
        <w:t>job</w:t>
      </w:r>
      <w:proofErr w:type="spellEnd"/>
      <w:r w:rsidRPr="00790D74">
        <w:rPr>
          <w:lang w:eastAsia="en-US"/>
        </w:rPr>
        <w:t xml:space="preserve"> </w:t>
      </w:r>
      <w:proofErr w:type="spellStart"/>
      <w:r w:rsidRPr="00790D74">
        <w:rPr>
          <w:lang w:eastAsia="en-US"/>
        </w:rPr>
        <w:t>characteristics</w:t>
      </w:r>
      <w:proofErr w:type="spellEnd"/>
      <w:r w:rsidRPr="00790D74">
        <w:rPr>
          <w:lang w:eastAsia="en-US"/>
        </w:rPr>
        <w:t xml:space="preserve">? </w:t>
      </w:r>
      <w:proofErr w:type="spellStart"/>
      <w:r w:rsidRPr="00790D74">
        <w:rPr>
          <w:i/>
          <w:lang w:eastAsia="en-US"/>
        </w:rPr>
        <w:t>Information</w:t>
      </w:r>
      <w:proofErr w:type="spellEnd"/>
      <w:r w:rsidRPr="00790D74">
        <w:rPr>
          <w:i/>
          <w:lang w:eastAsia="en-US"/>
        </w:rPr>
        <w:t xml:space="preserve"> &amp; Management,</w:t>
      </w:r>
      <w:r w:rsidRPr="00790D74">
        <w:rPr>
          <w:lang w:eastAsia="en-US"/>
        </w:rPr>
        <w:t xml:space="preserve"> </w:t>
      </w:r>
      <w:r w:rsidR="00342A0E">
        <w:rPr>
          <w:i/>
          <w:lang w:eastAsia="en-US"/>
        </w:rPr>
        <w:t xml:space="preserve">46(3), </w:t>
      </w:r>
      <w:r w:rsidRPr="00790D74">
        <w:rPr>
          <w:lang w:eastAsia="en-US"/>
        </w:rPr>
        <w:t>167-174.</w:t>
      </w:r>
    </w:p>
    <w:p w14:paraId="2B45E7F6" w14:textId="7B6C9DA3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r w:rsidRPr="00814A10">
        <w:rPr>
          <w:lang w:eastAsia="en-US"/>
        </w:rPr>
        <w:t xml:space="preserve">Mendonça, H. Pereira, C., </w:t>
      </w:r>
      <w:proofErr w:type="spellStart"/>
      <w:r w:rsidRPr="00814A10">
        <w:rPr>
          <w:lang w:eastAsia="en-US"/>
        </w:rPr>
        <w:t>Tamayo</w:t>
      </w:r>
      <w:proofErr w:type="spellEnd"/>
      <w:r w:rsidRPr="00814A10">
        <w:rPr>
          <w:lang w:eastAsia="en-US"/>
        </w:rPr>
        <w:t xml:space="preserve">, A., &amp; Paz, M. G. T. (2003). Validação fatorial de uma escala de percepção de justiça estudos. </w:t>
      </w:r>
      <w:r w:rsidRPr="00814A10">
        <w:rPr>
          <w:i/>
          <w:iCs/>
          <w:lang w:eastAsia="en-US"/>
        </w:rPr>
        <w:t>Estudos, saúde e vida</w:t>
      </w:r>
      <w:r w:rsidRPr="00814A10">
        <w:rPr>
          <w:lang w:eastAsia="en-US"/>
        </w:rPr>
        <w:t xml:space="preserve">. Goiânia, </w:t>
      </w:r>
      <w:r w:rsidR="00342A0E">
        <w:rPr>
          <w:i/>
          <w:lang w:eastAsia="en-US"/>
        </w:rPr>
        <w:t xml:space="preserve">36(1), </w:t>
      </w:r>
      <w:r w:rsidRPr="00814A10">
        <w:rPr>
          <w:lang w:eastAsia="en-US"/>
        </w:rPr>
        <w:t xml:space="preserve">95-115. </w:t>
      </w:r>
    </w:p>
    <w:p w14:paraId="46C7F5F5" w14:textId="57391ECF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r w:rsidRPr="00814A10">
        <w:t xml:space="preserve">Mendonça, H., </w:t>
      </w:r>
      <w:proofErr w:type="spellStart"/>
      <w:r w:rsidRPr="00814A10">
        <w:t>Tamayo</w:t>
      </w:r>
      <w:proofErr w:type="spellEnd"/>
      <w:r w:rsidRPr="00814A10">
        <w:t xml:space="preserve">, A., (2004). Percepção de justiça e reações retaliatórias nas organizações: Análise empírica de um modelo atitudinal. </w:t>
      </w:r>
      <w:r w:rsidRPr="00814A10">
        <w:rPr>
          <w:i/>
          <w:iCs/>
        </w:rPr>
        <w:t>Revista de Administração Contemporânea</w:t>
      </w:r>
      <w:r w:rsidR="00342A0E">
        <w:rPr>
          <w:i/>
          <w:iCs/>
        </w:rPr>
        <w:t>,</w:t>
      </w:r>
      <w:r w:rsidRPr="00814A10">
        <w:rPr>
          <w:i/>
          <w:iCs/>
        </w:rPr>
        <w:t xml:space="preserve"> 8</w:t>
      </w:r>
      <w:r w:rsidR="00342A0E">
        <w:rPr>
          <w:i/>
          <w:iCs/>
        </w:rPr>
        <w:t>(2)</w:t>
      </w:r>
      <w:r w:rsidRPr="00814A10">
        <w:t>, 117-135.</w:t>
      </w:r>
    </w:p>
    <w:p w14:paraId="5782A537" w14:textId="712094AA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</w:pPr>
      <w:proofErr w:type="spellStart"/>
      <w:r w:rsidRPr="00814A10">
        <w:t>Migueles</w:t>
      </w:r>
      <w:proofErr w:type="spellEnd"/>
      <w:r w:rsidRPr="00814A10">
        <w:t xml:space="preserve">, C. P., &amp; </w:t>
      </w:r>
      <w:proofErr w:type="spellStart"/>
      <w:r w:rsidRPr="00814A10">
        <w:t>Zanini</w:t>
      </w:r>
      <w:proofErr w:type="spellEnd"/>
      <w:r w:rsidRPr="00814A10">
        <w:t xml:space="preserve">, M. T. F. (2014). O papel mediador entre confiança e desempenho organizacional. </w:t>
      </w:r>
      <w:r w:rsidRPr="00814A10">
        <w:rPr>
          <w:bCs/>
          <w:i/>
        </w:rPr>
        <w:t>Revista de Administração</w:t>
      </w:r>
      <w:r w:rsidRPr="00814A10">
        <w:rPr>
          <w:i/>
        </w:rPr>
        <w:t>,</w:t>
      </w:r>
      <w:r w:rsidRPr="00814A10">
        <w:t xml:space="preserve"> São Paulo, </w:t>
      </w:r>
      <w:r w:rsidR="00342A0E">
        <w:rPr>
          <w:i/>
        </w:rPr>
        <w:t>49(1).</w:t>
      </w:r>
    </w:p>
    <w:p w14:paraId="584DD8B7" w14:textId="6D1096FB" w:rsidR="00331C45" w:rsidRPr="00814A10" w:rsidRDefault="00331C45" w:rsidP="005924C5">
      <w:pPr>
        <w:shd w:val="clear" w:color="auto" w:fill="FFFFFF"/>
        <w:ind w:firstLine="567"/>
        <w:contextualSpacing/>
        <w:rPr>
          <w:color w:val="222222"/>
        </w:rPr>
      </w:pPr>
      <w:r w:rsidRPr="00814A10">
        <w:rPr>
          <w:color w:val="222222"/>
        </w:rPr>
        <w:t xml:space="preserve">Moreira, M. A. (2009). </w:t>
      </w:r>
      <w:r w:rsidRPr="00814A10">
        <w:rPr>
          <w:i/>
          <w:color w:val="222222"/>
        </w:rPr>
        <w:t>Teorias de aprendizagem</w:t>
      </w:r>
      <w:r w:rsidR="00342A0E">
        <w:rPr>
          <w:color w:val="222222"/>
        </w:rPr>
        <w:t xml:space="preserve"> (</w:t>
      </w:r>
      <w:r w:rsidRPr="00814A10">
        <w:rPr>
          <w:color w:val="222222"/>
        </w:rPr>
        <w:t>3</w:t>
      </w:r>
      <w:r w:rsidR="00342A0E">
        <w:rPr>
          <w:color w:val="222222"/>
        </w:rPr>
        <w:t xml:space="preserve">rd </w:t>
      </w:r>
      <w:proofErr w:type="spellStart"/>
      <w:r w:rsidR="00342A0E">
        <w:rPr>
          <w:color w:val="222222"/>
        </w:rPr>
        <w:t>ed</w:t>
      </w:r>
      <w:proofErr w:type="spellEnd"/>
      <w:r w:rsidR="00342A0E">
        <w:rPr>
          <w:color w:val="222222"/>
        </w:rPr>
        <w:t>)</w:t>
      </w:r>
      <w:r w:rsidRPr="00814A10">
        <w:rPr>
          <w:color w:val="222222"/>
        </w:rPr>
        <w:t>. São Paulo: Editora Pedagógica e Universitária.</w:t>
      </w:r>
    </w:p>
    <w:p w14:paraId="6BBA5EAB" w14:textId="45B2FBA3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</w:pPr>
      <w:r w:rsidRPr="00814A10">
        <w:t xml:space="preserve">Motta, P. R. (2004). </w:t>
      </w:r>
      <w:r w:rsidRPr="00814A10">
        <w:rPr>
          <w:i/>
          <w:iCs/>
        </w:rPr>
        <w:t>Gestão contemporânea: A ciência e a arte de ser dirigente</w:t>
      </w:r>
      <w:r w:rsidRPr="00814A10">
        <w:t xml:space="preserve"> (15</w:t>
      </w:r>
      <w:r w:rsidR="00803E27">
        <w:t>th</w:t>
      </w:r>
      <w:r w:rsidRPr="00814A10">
        <w:t xml:space="preserve"> ed.). Rio de Janeiro:</w:t>
      </w:r>
      <w:r w:rsidRPr="00814A10">
        <w:rPr>
          <w:i/>
          <w:iCs/>
        </w:rPr>
        <w:t xml:space="preserve"> </w:t>
      </w:r>
      <w:r w:rsidRPr="00814A10">
        <w:t>Record.</w:t>
      </w:r>
    </w:p>
    <w:p w14:paraId="032249C0" w14:textId="04150F8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</w:pPr>
      <w:r w:rsidRPr="00814A10">
        <w:t xml:space="preserve">Nelson, D.L., &amp; </w:t>
      </w:r>
      <w:proofErr w:type="spellStart"/>
      <w:r w:rsidRPr="00814A10">
        <w:t>Simmons</w:t>
      </w:r>
      <w:proofErr w:type="spellEnd"/>
      <w:r w:rsidRPr="00814A10">
        <w:t xml:space="preserve">, B.L. (2013). </w:t>
      </w:r>
      <w:r w:rsidRPr="00814A10">
        <w:rPr>
          <w:lang w:val="en-US"/>
        </w:rPr>
        <w:t xml:space="preserve">Health psychology and work stress: a more positive approach. In QUICK, James Campbell </w:t>
      </w:r>
      <w:r w:rsidR="00803E27">
        <w:rPr>
          <w:lang w:val="en-US"/>
        </w:rPr>
        <w:t>(org.)</w:t>
      </w:r>
      <w:r w:rsidRPr="00814A10">
        <w:rPr>
          <w:lang w:val="en-US"/>
        </w:rPr>
        <w:t xml:space="preserve">. </w:t>
      </w:r>
      <w:r w:rsidRPr="00814A10">
        <w:rPr>
          <w:i/>
          <w:lang w:val="en-US"/>
        </w:rPr>
        <w:t>Occupational Health Psychology</w:t>
      </w:r>
      <w:r w:rsidRPr="00814A10">
        <w:rPr>
          <w:lang w:val="en-US"/>
        </w:rPr>
        <w:t xml:space="preserve"> (2nd </w:t>
      </w:r>
      <w:proofErr w:type="gramStart"/>
      <w:r w:rsidRPr="00814A10">
        <w:rPr>
          <w:lang w:val="en-US"/>
        </w:rPr>
        <w:t>ed</w:t>
      </w:r>
      <w:proofErr w:type="gramEnd"/>
      <w:r w:rsidRPr="00814A10">
        <w:rPr>
          <w:lang w:val="en-US"/>
        </w:rPr>
        <w:t xml:space="preserve">.). </w:t>
      </w:r>
      <w:r w:rsidRPr="00814A10">
        <w:t xml:space="preserve">Washington: American </w:t>
      </w:r>
      <w:proofErr w:type="spellStart"/>
      <w:r w:rsidRPr="00814A10">
        <w:t>Psychological</w:t>
      </w:r>
      <w:proofErr w:type="spellEnd"/>
      <w:r w:rsidRPr="00814A10">
        <w:t xml:space="preserve"> </w:t>
      </w:r>
      <w:proofErr w:type="spellStart"/>
      <w:r w:rsidRPr="00814A10">
        <w:t>Association</w:t>
      </w:r>
      <w:proofErr w:type="spellEnd"/>
      <w:r w:rsidRPr="00814A10">
        <w:t>.</w:t>
      </w:r>
    </w:p>
    <w:p w14:paraId="7F1144BE" w14:textId="4BC4B474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/>
        </w:rPr>
      </w:pPr>
      <w:proofErr w:type="spellStart"/>
      <w:r w:rsidRPr="00814A10">
        <w:rPr>
          <w:lang w:val="en-US"/>
        </w:rPr>
        <w:t>Nordenmark</w:t>
      </w:r>
      <w:proofErr w:type="spellEnd"/>
      <w:r w:rsidRPr="00814A10">
        <w:rPr>
          <w:lang w:val="en-US"/>
        </w:rPr>
        <w:t>, M. (2002). Multiple social roles – a resource or a burden: Is it possible for men and women to combine paid work with family life in a satisfactory way?</w:t>
      </w:r>
      <w:r w:rsidRPr="00803E27">
        <w:rPr>
          <w:i/>
          <w:lang w:val="en-US"/>
        </w:rPr>
        <w:t xml:space="preserve"> Gender, Work, Organization, 9(2)</w:t>
      </w:r>
      <w:r w:rsidR="00803E27">
        <w:rPr>
          <w:i/>
          <w:lang w:val="en-US"/>
        </w:rPr>
        <w:t xml:space="preserve">, </w:t>
      </w:r>
      <w:r w:rsidRPr="00814A10">
        <w:rPr>
          <w:lang w:val="en-US"/>
        </w:rPr>
        <w:t>125-145.</w:t>
      </w:r>
    </w:p>
    <w:p w14:paraId="2C8DAE47" w14:textId="7777777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</w:pPr>
      <w:r w:rsidRPr="00814A10">
        <w:rPr>
          <w:lang w:val="en-US"/>
        </w:rPr>
        <w:t xml:space="preserve">Oliveira, A. F. (2004). </w:t>
      </w:r>
      <w:r w:rsidRPr="00814A10">
        <w:rPr>
          <w:i/>
          <w:iCs/>
        </w:rPr>
        <w:t xml:space="preserve">Confiança do empregado na organização: impacto dos valores pessoais, organizacionais e da justiça organizacional </w:t>
      </w:r>
      <w:r w:rsidRPr="00814A10">
        <w:t>(Tese de Doutorado não publicada). Universidade de Brasília, DF.</w:t>
      </w:r>
    </w:p>
    <w:p w14:paraId="7232846B" w14:textId="0504290A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proofErr w:type="spellStart"/>
      <w:r w:rsidRPr="00814A10">
        <w:rPr>
          <w:lang w:val="en-US" w:eastAsia="en-US"/>
        </w:rPr>
        <w:t>Owolabi</w:t>
      </w:r>
      <w:proofErr w:type="spellEnd"/>
      <w:r w:rsidRPr="00814A10">
        <w:rPr>
          <w:lang w:val="en-US" w:eastAsia="en-US"/>
        </w:rPr>
        <w:t xml:space="preserve">, A. B. (2012). Effect of organizational justice and organizational environment on </w:t>
      </w:r>
      <w:proofErr w:type="gramStart"/>
      <w:r w:rsidRPr="00814A10">
        <w:rPr>
          <w:lang w:val="en-US" w:eastAsia="en-US"/>
        </w:rPr>
        <w:t>turn-over</w:t>
      </w:r>
      <w:proofErr w:type="gramEnd"/>
      <w:r w:rsidRPr="00814A10">
        <w:rPr>
          <w:lang w:val="en-US" w:eastAsia="en-US"/>
        </w:rPr>
        <w:t xml:space="preserve"> intention of health workers in </w:t>
      </w:r>
      <w:proofErr w:type="spellStart"/>
      <w:r w:rsidRPr="00814A10">
        <w:rPr>
          <w:lang w:val="en-US" w:eastAsia="en-US"/>
        </w:rPr>
        <w:t>Ekiti</w:t>
      </w:r>
      <w:proofErr w:type="spellEnd"/>
      <w:r w:rsidRPr="00814A10">
        <w:rPr>
          <w:lang w:val="en-US" w:eastAsia="en-US"/>
        </w:rPr>
        <w:t xml:space="preserve"> State, Nigeria. </w:t>
      </w:r>
      <w:proofErr w:type="spellStart"/>
      <w:r w:rsidRPr="00814A10">
        <w:rPr>
          <w:bCs/>
          <w:i/>
          <w:lang w:eastAsia="en-US"/>
        </w:rPr>
        <w:t>Research</w:t>
      </w:r>
      <w:proofErr w:type="spellEnd"/>
      <w:r w:rsidRPr="00814A10">
        <w:rPr>
          <w:bCs/>
          <w:i/>
          <w:lang w:eastAsia="en-US"/>
        </w:rPr>
        <w:t xml:space="preserve"> in World</w:t>
      </w:r>
      <w:r w:rsidRPr="00814A10">
        <w:rPr>
          <w:i/>
          <w:lang w:eastAsia="en-US"/>
        </w:rPr>
        <w:t xml:space="preserve"> </w:t>
      </w:r>
      <w:proofErr w:type="spellStart"/>
      <w:r w:rsidRPr="00814A10">
        <w:rPr>
          <w:bCs/>
          <w:i/>
          <w:lang w:eastAsia="en-US"/>
        </w:rPr>
        <w:t>Economy</w:t>
      </w:r>
      <w:proofErr w:type="spellEnd"/>
      <w:r w:rsidRPr="00814A10">
        <w:rPr>
          <w:lang w:eastAsia="en-US"/>
        </w:rPr>
        <w:t xml:space="preserve">, </w:t>
      </w:r>
      <w:r w:rsidR="00803E27">
        <w:rPr>
          <w:i/>
          <w:lang w:eastAsia="en-US"/>
        </w:rPr>
        <w:t xml:space="preserve">3(1), </w:t>
      </w:r>
      <w:r w:rsidRPr="00814A10">
        <w:rPr>
          <w:lang w:eastAsia="en-US"/>
        </w:rPr>
        <w:t>28,</w:t>
      </w:r>
    </w:p>
    <w:p w14:paraId="5BCFE3F4" w14:textId="1274795E" w:rsidR="00625599" w:rsidRPr="00803E27" w:rsidRDefault="00625599" w:rsidP="005924C5">
      <w:pPr>
        <w:autoSpaceDE w:val="0"/>
        <w:autoSpaceDN w:val="0"/>
        <w:adjustRightInd w:val="0"/>
        <w:ind w:firstLine="567"/>
        <w:contextualSpacing/>
        <w:rPr>
          <w:i/>
          <w:lang w:eastAsia="en-US"/>
        </w:rPr>
      </w:pPr>
      <w:r w:rsidRPr="00625599">
        <w:rPr>
          <w:lang w:eastAsia="en-US"/>
        </w:rPr>
        <w:t xml:space="preserve">Paschoal, T., &amp; </w:t>
      </w:r>
      <w:proofErr w:type="spellStart"/>
      <w:r w:rsidRPr="00625599">
        <w:rPr>
          <w:lang w:eastAsia="en-US"/>
        </w:rPr>
        <w:t>Tamayo</w:t>
      </w:r>
      <w:proofErr w:type="spellEnd"/>
      <w:r w:rsidRPr="00625599">
        <w:rPr>
          <w:lang w:eastAsia="en-US"/>
        </w:rPr>
        <w:t xml:space="preserve">, A. (2004). Validação da escala de estresse no trabalho. </w:t>
      </w:r>
      <w:r w:rsidRPr="00625599">
        <w:rPr>
          <w:i/>
          <w:lang w:eastAsia="en-US"/>
        </w:rPr>
        <w:t>Estudos de Psicologia</w:t>
      </w:r>
      <w:r w:rsidR="00803E27">
        <w:rPr>
          <w:lang w:eastAsia="en-US"/>
        </w:rPr>
        <w:t xml:space="preserve">, </w:t>
      </w:r>
      <w:r w:rsidR="00803E27">
        <w:rPr>
          <w:i/>
          <w:lang w:eastAsia="en-US"/>
        </w:rPr>
        <w:t>9(1).</w:t>
      </w:r>
    </w:p>
    <w:p w14:paraId="7A8BE5C3" w14:textId="65732C4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r w:rsidRPr="00814A10">
        <w:rPr>
          <w:lang w:eastAsia="en-US"/>
        </w:rPr>
        <w:t xml:space="preserve">Paz, M. G. T, </w:t>
      </w:r>
      <w:proofErr w:type="spellStart"/>
      <w:r w:rsidRPr="00814A10">
        <w:rPr>
          <w:lang w:eastAsia="en-US"/>
        </w:rPr>
        <w:t>Gosendo</w:t>
      </w:r>
      <w:proofErr w:type="spellEnd"/>
      <w:r w:rsidRPr="00814A10">
        <w:rPr>
          <w:lang w:eastAsia="en-US"/>
        </w:rPr>
        <w:t xml:space="preserve">, E. E. M., </w:t>
      </w:r>
      <w:proofErr w:type="spellStart"/>
      <w:r w:rsidRPr="00814A10">
        <w:rPr>
          <w:lang w:eastAsia="en-US"/>
        </w:rPr>
        <w:t>Dessen</w:t>
      </w:r>
      <w:proofErr w:type="spellEnd"/>
      <w:r w:rsidRPr="00814A10">
        <w:rPr>
          <w:lang w:eastAsia="en-US"/>
        </w:rPr>
        <w:t xml:space="preserve">, M. C., &amp; Mourão, R. G. </w:t>
      </w:r>
      <w:proofErr w:type="gramStart"/>
      <w:r w:rsidRPr="00814A10">
        <w:rPr>
          <w:lang w:eastAsia="en-US"/>
        </w:rPr>
        <w:t>V..</w:t>
      </w:r>
      <w:proofErr w:type="gramEnd"/>
      <w:r w:rsidRPr="00814A10">
        <w:rPr>
          <w:lang w:eastAsia="en-US"/>
        </w:rPr>
        <w:t xml:space="preserve"> (2009). Justiça organizacional e bem-estar pessoal nas organizações. </w:t>
      </w:r>
      <w:r w:rsidRPr="00814A10">
        <w:rPr>
          <w:bCs/>
          <w:i/>
          <w:lang w:eastAsia="en-US"/>
        </w:rPr>
        <w:t>Estudos</w:t>
      </w:r>
      <w:r w:rsidRPr="00814A10">
        <w:rPr>
          <w:bCs/>
          <w:lang w:eastAsia="en-US"/>
        </w:rPr>
        <w:t xml:space="preserve">, </w:t>
      </w:r>
      <w:r w:rsidRPr="00814A10">
        <w:rPr>
          <w:lang w:eastAsia="en-US"/>
        </w:rPr>
        <w:t xml:space="preserve">Goiânia, </w:t>
      </w:r>
      <w:r w:rsidR="00803E27" w:rsidRPr="00803E27">
        <w:rPr>
          <w:i/>
          <w:lang w:eastAsia="en-US"/>
        </w:rPr>
        <w:t>36(1),</w:t>
      </w:r>
      <w:r w:rsidR="00803E27">
        <w:rPr>
          <w:lang w:eastAsia="en-US"/>
        </w:rPr>
        <w:t xml:space="preserve"> </w:t>
      </w:r>
      <w:r w:rsidRPr="00814A10">
        <w:rPr>
          <w:lang w:eastAsia="en-US"/>
        </w:rPr>
        <w:t>95-115.</w:t>
      </w:r>
    </w:p>
    <w:p w14:paraId="7498EB34" w14:textId="7777777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r w:rsidRPr="00814A10">
        <w:rPr>
          <w:lang w:eastAsia="en-US"/>
        </w:rPr>
        <w:t xml:space="preserve">Pereira, T., Lima, Z., Santos A., Araújo J., &amp; Lima T. (2012). Justiça às avessas: uma aplicação da Teoria da Equidade em sala de aula. In: Congresso Norte Nordeste de Pesquisa e Inovação – CONNEPI. </w:t>
      </w:r>
      <w:r w:rsidRPr="00814A10">
        <w:rPr>
          <w:bCs/>
          <w:i/>
          <w:lang w:eastAsia="en-US"/>
        </w:rPr>
        <w:t>Anais</w:t>
      </w:r>
      <w:r w:rsidRPr="00814A10">
        <w:rPr>
          <w:bCs/>
          <w:lang w:eastAsia="en-US"/>
        </w:rPr>
        <w:t xml:space="preserve">... </w:t>
      </w:r>
      <w:r w:rsidRPr="00814A10">
        <w:rPr>
          <w:lang w:eastAsia="en-US"/>
        </w:rPr>
        <w:t>Palmas, Tocantins.</w:t>
      </w:r>
    </w:p>
    <w:p w14:paraId="4F440CF0" w14:textId="77777777" w:rsidR="00331C45" w:rsidRPr="00814A10" w:rsidRDefault="00331C45" w:rsidP="005924C5">
      <w:pPr>
        <w:ind w:firstLine="567"/>
        <w:contextualSpacing/>
      </w:pPr>
      <w:r w:rsidRPr="00814A10">
        <w:lastRenderedPageBreak/>
        <w:t xml:space="preserve">Pocinho, M. D., &amp; Garcia, J. C. (2008). Impacto </w:t>
      </w:r>
      <w:proofErr w:type="spellStart"/>
      <w:r w:rsidRPr="00814A10">
        <w:t>psicosocial</w:t>
      </w:r>
      <w:proofErr w:type="spellEnd"/>
      <w:r w:rsidRPr="00814A10">
        <w:t xml:space="preserve"> de </w:t>
      </w:r>
      <w:proofErr w:type="spellStart"/>
      <w:r w:rsidRPr="00814A10">
        <w:t>la</w:t>
      </w:r>
      <w:proofErr w:type="spellEnd"/>
      <w:r w:rsidRPr="00814A10">
        <w:t xml:space="preserve"> </w:t>
      </w:r>
      <w:proofErr w:type="spellStart"/>
      <w:r w:rsidRPr="00814A10">
        <w:t>tecnología</w:t>
      </w:r>
      <w:proofErr w:type="spellEnd"/>
      <w:r w:rsidRPr="00814A10">
        <w:t xml:space="preserve"> de </w:t>
      </w:r>
      <w:proofErr w:type="spellStart"/>
      <w:r w:rsidRPr="00814A10">
        <w:t>información</w:t>
      </w:r>
      <w:proofErr w:type="spellEnd"/>
      <w:r w:rsidRPr="00814A10">
        <w:t xml:space="preserve"> y </w:t>
      </w:r>
      <w:proofErr w:type="spellStart"/>
      <w:r w:rsidRPr="00814A10">
        <w:t>comunicación</w:t>
      </w:r>
      <w:proofErr w:type="spellEnd"/>
      <w:r w:rsidRPr="00814A10">
        <w:t xml:space="preserve"> (TIC): </w:t>
      </w:r>
      <w:proofErr w:type="spellStart"/>
      <w:r w:rsidRPr="00814A10">
        <w:t>tecnoestrés</w:t>
      </w:r>
      <w:proofErr w:type="spellEnd"/>
      <w:r w:rsidRPr="00814A10">
        <w:t xml:space="preserve">, </w:t>
      </w:r>
      <w:proofErr w:type="spellStart"/>
      <w:r w:rsidRPr="00814A10">
        <w:t>daños</w:t>
      </w:r>
      <w:proofErr w:type="spellEnd"/>
      <w:r w:rsidRPr="00814A10">
        <w:t xml:space="preserve"> físicos y </w:t>
      </w:r>
      <w:proofErr w:type="spellStart"/>
      <w:r w:rsidRPr="00814A10">
        <w:t>satisfacción</w:t>
      </w:r>
      <w:proofErr w:type="spellEnd"/>
      <w:r w:rsidRPr="00814A10">
        <w:t xml:space="preserve"> laboral. </w:t>
      </w:r>
      <w:r w:rsidRPr="00814A10">
        <w:rPr>
          <w:i/>
          <w:iCs/>
        </w:rPr>
        <w:t xml:space="preserve">Acta Colombiana de </w:t>
      </w:r>
      <w:proofErr w:type="spellStart"/>
      <w:r w:rsidRPr="00814A10">
        <w:rPr>
          <w:i/>
          <w:iCs/>
        </w:rPr>
        <w:t>Psicología</w:t>
      </w:r>
      <w:proofErr w:type="spellEnd"/>
      <w:r w:rsidRPr="00814A10">
        <w:rPr>
          <w:i/>
          <w:iCs/>
        </w:rPr>
        <w:t>, 11</w:t>
      </w:r>
      <w:r w:rsidRPr="00814A10">
        <w:t>(2),127-139.</w:t>
      </w:r>
    </w:p>
    <w:p w14:paraId="16A65E9A" w14:textId="4071262E" w:rsidR="00331C45" w:rsidRPr="00814A10" w:rsidRDefault="00331C45" w:rsidP="005924C5">
      <w:pPr>
        <w:shd w:val="clear" w:color="auto" w:fill="FFFFFF"/>
        <w:ind w:firstLine="567"/>
        <w:contextualSpacing/>
        <w:rPr>
          <w:color w:val="222222"/>
        </w:rPr>
      </w:pPr>
      <w:proofErr w:type="spellStart"/>
      <w:r w:rsidRPr="007900BA">
        <w:rPr>
          <w:color w:val="222222"/>
        </w:rPr>
        <w:t>Pozza</w:t>
      </w:r>
      <w:proofErr w:type="spellEnd"/>
      <w:r w:rsidRPr="007900BA">
        <w:rPr>
          <w:color w:val="222222"/>
        </w:rPr>
        <w:t xml:space="preserve">, D. L., &amp; Martins, D. L. C. C. (2014) Qualidade de vida no trabalho: A satisfação dos funcionários na agência do Banco do Brasil de </w:t>
      </w:r>
      <w:proofErr w:type="spellStart"/>
      <w:r w:rsidRPr="007900BA">
        <w:rPr>
          <w:color w:val="222222"/>
        </w:rPr>
        <w:t>Apiúna</w:t>
      </w:r>
      <w:proofErr w:type="spellEnd"/>
      <w:r w:rsidRPr="007900BA">
        <w:rPr>
          <w:color w:val="222222"/>
        </w:rPr>
        <w:t xml:space="preserve">–SC. </w:t>
      </w:r>
      <w:r w:rsidRPr="007900BA">
        <w:rPr>
          <w:i/>
          <w:color w:val="222222"/>
        </w:rPr>
        <w:t>Maiêutica-Cursos de Gestão</w:t>
      </w:r>
      <w:r w:rsidRPr="007900BA">
        <w:rPr>
          <w:color w:val="222222"/>
        </w:rPr>
        <w:t>,</w:t>
      </w:r>
      <w:r w:rsidR="00803E27" w:rsidRPr="007900BA">
        <w:rPr>
          <w:color w:val="222222"/>
        </w:rPr>
        <w:t xml:space="preserve"> </w:t>
      </w:r>
      <w:r w:rsidR="00803E27" w:rsidRPr="007900BA">
        <w:rPr>
          <w:i/>
          <w:color w:val="222222"/>
        </w:rPr>
        <w:t>1(1).</w:t>
      </w:r>
    </w:p>
    <w:p w14:paraId="04AC19E9" w14:textId="448E5CFD" w:rsidR="00331C45" w:rsidRPr="00814A10" w:rsidRDefault="00331C45" w:rsidP="005924C5">
      <w:pPr>
        <w:ind w:firstLine="567"/>
        <w:contextualSpacing/>
      </w:pPr>
      <w:r w:rsidRPr="00814A10">
        <w:t xml:space="preserve">Prestes, L.I.N., Mendonça, H., &amp; Ferreira, M.C. (2013). Por que a percepção de justiça organizacional torna os trabalhadores mais comprometidos? </w:t>
      </w:r>
      <w:r w:rsidRPr="00814A10">
        <w:rPr>
          <w:bCs/>
          <w:i/>
        </w:rPr>
        <w:t>Fragmentos de Cultura</w:t>
      </w:r>
      <w:r w:rsidRPr="00814A10">
        <w:t xml:space="preserve">, </w:t>
      </w:r>
      <w:r w:rsidR="007900BA">
        <w:rPr>
          <w:i/>
        </w:rPr>
        <w:t xml:space="preserve">23(3), </w:t>
      </w:r>
      <w:r w:rsidRPr="00814A10">
        <w:t>319-333.</w:t>
      </w:r>
    </w:p>
    <w:p w14:paraId="5AA4451A" w14:textId="3075BC62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/>
        </w:rPr>
      </w:pPr>
      <w:r w:rsidRPr="00814A10">
        <w:t xml:space="preserve">Ragu-Nathan T. S., </w:t>
      </w:r>
      <w:proofErr w:type="spellStart"/>
      <w:r w:rsidRPr="00814A10">
        <w:t>Qiang</w:t>
      </w:r>
      <w:proofErr w:type="spellEnd"/>
      <w:r w:rsidRPr="00814A10">
        <w:t xml:space="preserve"> Tu., </w:t>
      </w:r>
      <w:proofErr w:type="spellStart"/>
      <w:r w:rsidRPr="00814A10">
        <w:t>Tarafdar</w:t>
      </w:r>
      <w:proofErr w:type="spellEnd"/>
      <w:r w:rsidRPr="00814A10">
        <w:t xml:space="preserve"> M., &amp; Ragu-Nathan B. S. (2008, </w:t>
      </w:r>
      <w:proofErr w:type="spellStart"/>
      <w:r w:rsidRPr="00814A10">
        <w:t>december</w:t>
      </w:r>
      <w:proofErr w:type="spellEnd"/>
      <w:r w:rsidRPr="00814A10">
        <w:t xml:space="preserve">). </w:t>
      </w:r>
      <w:r w:rsidRPr="00814A10">
        <w:rPr>
          <w:lang w:val="en-US"/>
        </w:rPr>
        <w:t xml:space="preserve">The Consequences of Technostress for End Users in Organizations: Conceptual Development and Empirical Validation. </w:t>
      </w:r>
      <w:r w:rsidRPr="007900BA">
        <w:rPr>
          <w:i/>
          <w:lang w:val="en-US"/>
        </w:rPr>
        <w:t>Information Systems Research.</w:t>
      </w:r>
      <w:r w:rsidRPr="00814A10">
        <w:rPr>
          <w:lang w:val="en-US"/>
        </w:rPr>
        <w:t xml:space="preserve"> </w:t>
      </w:r>
      <w:r w:rsidR="007900BA">
        <w:rPr>
          <w:i/>
          <w:lang w:val="en-US"/>
        </w:rPr>
        <w:t xml:space="preserve">19(4), </w:t>
      </w:r>
      <w:r w:rsidRPr="00814A10">
        <w:rPr>
          <w:lang w:val="en-US"/>
        </w:rPr>
        <w:t>417–433.</w:t>
      </w:r>
      <w:r w:rsidR="007900BA">
        <w:rPr>
          <w:lang w:val="en-US"/>
        </w:rPr>
        <w:t xml:space="preserve"> </w:t>
      </w:r>
      <w:r w:rsidR="00FF37EB">
        <w:rPr>
          <w:lang w:val="en-US"/>
        </w:rPr>
        <w:t>DOI</w:t>
      </w:r>
      <w:r w:rsidR="007900BA">
        <w:rPr>
          <w:lang w:val="en-US"/>
        </w:rPr>
        <w:t>:</w:t>
      </w:r>
      <w:r w:rsidRPr="00814A10">
        <w:rPr>
          <w:lang w:val="en-US"/>
        </w:rPr>
        <w:t xml:space="preserve"> 10.1287/isre.1070.0165. </w:t>
      </w:r>
    </w:p>
    <w:p w14:paraId="66723363" w14:textId="77777777" w:rsidR="00331C45" w:rsidRPr="00814A10" w:rsidRDefault="00331C45" w:rsidP="005924C5">
      <w:pPr>
        <w:ind w:firstLine="567"/>
        <w:contextualSpacing/>
      </w:pPr>
      <w:proofErr w:type="spellStart"/>
      <w:r w:rsidRPr="00814A10">
        <w:rPr>
          <w:bCs/>
          <w:lang w:val="en-US"/>
        </w:rPr>
        <w:t>Ringle</w:t>
      </w:r>
      <w:proofErr w:type="spellEnd"/>
      <w:r w:rsidRPr="00814A10">
        <w:rPr>
          <w:bCs/>
          <w:lang w:val="en-US"/>
        </w:rPr>
        <w:t xml:space="preserve">, C. M., </w:t>
      </w:r>
      <w:proofErr w:type="spellStart"/>
      <w:r w:rsidRPr="00814A10">
        <w:rPr>
          <w:bCs/>
          <w:lang w:val="en-US"/>
        </w:rPr>
        <w:t>Wende</w:t>
      </w:r>
      <w:proofErr w:type="spellEnd"/>
      <w:r w:rsidRPr="00814A10">
        <w:rPr>
          <w:bCs/>
          <w:lang w:val="en-US"/>
        </w:rPr>
        <w:t xml:space="preserve">, S., &amp; Becker, J. M. (2015). </w:t>
      </w:r>
      <w:proofErr w:type="spellStart"/>
      <w:r w:rsidRPr="00814A10">
        <w:rPr>
          <w:bCs/>
          <w:i/>
        </w:rPr>
        <w:t>SmartPLS</w:t>
      </w:r>
      <w:proofErr w:type="spellEnd"/>
      <w:r w:rsidRPr="00814A10">
        <w:rPr>
          <w:bCs/>
          <w:i/>
        </w:rPr>
        <w:t xml:space="preserve"> 3</w:t>
      </w:r>
      <w:r w:rsidRPr="00814A10">
        <w:rPr>
          <w:bCs/>
        </w:rPr>
        <w:t xml:space="preserve">. </w:t>
      </w:r>
      <w:proofErr w:type="spellStart"/>
      <w:r w:rsidRPr="00814A10">
        <w:rPr>
          <w:bCs/>
        </w:rPr>
        <w:t>Bönningstedt</w:t>
      </w:r>
      <w:proofErr w:type="spellEnd"/>
      <w:r w:rsidRPr="00814A10">
        <w:rPr>
          <w:bCs/>
        </w:rPr>
        <w:t xml:space="preserve">: </w:t>
      </w:r>
      <w:proofErr w:type="spellStart"/>
      <w:r w:rsidRPr="007900BA">
        <w:rPr>
          <w:bCs/>
          <w:i/>
        </w:rPr>
        <w:t>SmartPLS</w:t>
      </w:r>
      <w:proofErr w:type="spellEnd"/>
      <w:r w:rsidRPr="00814A10">
        <w:rPr>
          <w:bCs/>
        </w:rPr>
        <w:t>. Acessado em &lt;http://www.smartpls.com&gt;</w:t>
      </w:r>
    </w:p>
    <w:p w14:paraId="3C176C78" w14:textId="304C6FBC" w:rsidR="00331C45" w:rsidRPr="00814A10" w:rsidRDefault="0089202E" w:rsidP="005924C5">
      <w:pPr>
        <w:autoSpaceDE w:val="0"/>
        <w:autoSpaceDN w:val="0"/>
        <w:adjustRightInd w:val="0"/>
        <w:ind w:firstLine="567"/>
        <w:contextualSpacing/>
        <w:rPr>
          <w:lang w:val="en-US" w:eastAsia="en-US"/>
        </w:rPr>
      </w:pPr>
      <w:r w:rsidRPr="0089202E">
        <w:rPr>
          <w:lang w:eastAsia="en-US"/>
        </w:rPr>
        <w:t xml:space="preserve">Robbins, S. P. </w:t>
      </w:r>
      <w:r w:rsidR="00331C45" w:rsidRPr="00814A10">
        <w:rPr>
          <w:lang w:eastAsia="en-US"/>
        </w:rPr>
        <w:t xml:space="preserve">(2009). </w:t>
      </w:r>
      <w:r w:rsidR="00331C45" w:rsidRPr="00814A10">
        <w:rPr>
          <w:bCs/>
          <w:i/>
          <w:lang w:eastAsia="en-US"/>
        </w:rPr>
        <w:t>Fundamentos do comportamento organizacional</w:t>
      </w:r>
      <w:r w:rsidR="00331C45" w:rsidRPr="00814A10">
        <w:rPr>
          <w:bCs/>
          <w:lang w:eastAsia="en-US"/>
        </w:rPr>
        <w:t xml:space="preserve"> (</w:t>
      </w:r>
      <w:r w:rsidR="00331C45" w:rsidRPr="00814A10">
        <w:rPr>
          <w:lang w:eastAsia="en-US"/>
        </w:rPr>
        <w:t>8</w:t>
      </w:r>
      <w:r w:rsidR="007900BA">
        <w:rPr>
          <w:lang w:eastAsia="en-US"/>
        </w:rPr>
        <w:t>th</w:t>
      </w:r>
      <w:r w:rsidR="00331C45" w:rsidRPr="00814A10">
        <w:rPr>
          <w:lang w:eastAsia="en-US"/>
        </w:rPr>
        <w:t xml:space="preserve">. ed.). </w:t>
      </w:r>
      <w:r w:rsidR="00331C45" w:rsidRPr="00814A10">
        <w:rPr>
          <w:lang w:val="en-US" w:eastAsia="en-US"/>
        </w:rPr>
        <w:t>São Paulo</w:t>
      </w:r>
      <w:r>
        <w:rPr>
          <w:lang w:val="en-US" w:eastAsia="en-US"/>
        </w:rPr>
        <w:t>: Pearson.</w:t>
      </w:r>
    </w:p>
    <w:p w14:paraId="6443C946" w14:textId="161A0BA7" w:rsidR="00790D74" w:rsidRDefault="00790D74" w:rsidP="005924C5">
      <w:pPr>
        <w:shd w:val="clear" w:color="auto" w:fill="FFFFFF"/>
        <w:ind w:firstLine="567"/>
        <w:contextualSpacing/>
        <w:rPr>
          <w:color w:val="222222"/>
        </w:rPr>
      </w:pPr>
      <w:proofErr w:type="spellStart"/>
      <w:r w:rsidRPr="00790D74">
        <w:rPr>
          <w:color w:val="222222"/>
        </w:rPr>
        <w:t>Rutner</w:t>
      </w:r>
      <w:proofErr w:type="spellEnd"/>
      <w:r w:rsidRPr="00790D74">
        <w:rPr>
          <w:color w:val="222222"/>
        </w:rPr>
        <w:t xml:space="preserve">, P. S., </w:t>
      </w:r>
      <w:proofErr w:type="spellStart"/>
      <w:r w:rsidRPr="00790D74">
        <w:rPr>
          <w:color w:val="222222"/>
        </w:rPr>
        <w:t>Hardgrave</w:t>
      </w:r>
      <w:proofErr w:type="spellEnd"/>
      <w:r w:rsidRPr="00790D74">
        <w:rPr>
          <w:color w:val="222222"/>
        </w:rPr>
        <w:t xml:space="preserve">, B. C., &amp; </w:t>
      </w:r>
      <w:proofErr w:type="spellStart"/>
      <w:r w:rsidRPr="00790D74">
        <w:rPr>
          <w:color w:val="222222"/>
        </w:rPr>
        <w:t>McKnight</w:t>
      </w:r>
      <w:proofErr w:type="spellEnd"/>
      <w:r w:rsidRPr="00790D74">
        <w:rPr>
          <w:color w:val="222222"/>
        </w:rPr>
        <w:t xml:space="preserve">, D. H. (2008). </w:t>
      </w:r>
      <w:proofErr w:type="spellStart"/>
      <w:r w:rsidRPr="00790D74">
        <w:rPr>
          <w:color w:val="222222"/>
        </w:rPr>
        <w:t>Emotional</w:t>
      </w:r>
      <w:proofErr w:type="spellEnd"/>
      <w:r w:rsidRPr="00790D74">
        <w:rPr>
          <w:color w:val="222222"/>
        </w:rPr>
        <w:t xml:space="preserve"> </w:t>
      </w:r>
      <w:proofErr w:type="spellStart"/>
      <w:r w:rsidRPr="00790D74">
        <w:rPr>
          <w:color w:val="222222"/>
        </w:rPr>
        <w:t>Dissonance</w:t>
      </w:r>
      <w:proofErr w:type="spellEnd"/>
      <w:r w:rsidRPr="00790D74">
        <w:rPr>
          <w:color w:val="222222"/>
        </w:rPr>
        <w:t xml:space="preserve"> </w:t>
      </w:r>
      <w:proofErr w:type="spellStart"/>
      <w:r w:rsidRPr="00790D74">
        <w:rPr>
          <w:color w:val="222222"/>
        </w:rPr>
        <w:t>and</w:t>
      </w:r>
      <w:proofErr w:type="spellEnd"/>
      <w:r w:rsidRPr="00790D74">
        <w:rPr>
          <w:color w:val="222222"/>
        </w:rPr>
        <w:t xml:space="preserve"> </w:t>
      </w:r>
      <w:proofErr w:type="spellStart"/>
      <w:r w:rsidRPr="00790D74">
        <w:rPr>
          <w:color w:val="222222"/>
        </w:rPr>
        <w:t>the</w:t>
      </w:r>
      <w:proofErr w:type="spellEnd"/>
      <w:r w:rsidRPr="00790D74">
        <w:rPr>
          <w:color w:val="222222"/>
        </w:rPr>
        <w:t xml:space="preserve"> </w:t>
      </w:r>
      <w:proofErr w:type="spellStart"/>
      <w:r w:rsidRPr="00790D74">
        <w:rPr>
          <w:color w:val="222222"/>
        </w:rPr>
        <w:t>Information</w:t>
      </w:r>
      <w:proofErr w:type="spellEnd"/>
      <w:r w:rsidRPr="00790D74">
        <w:rPr>
          <w:color w:val="222222"/>
        </w:rPr>
        <w:t xml:space="preserve"> Technology Professional. </w:t>
      </w:r>
      <w:r w:rsidRPr="00790D74">
        <w:rPr>
          <w:i/>
          <w:color w:val="222222"/>
        </w:rPr>
        <w:t xml:space="preserve">MIS </w:t>
      </w:r>
      <w:proofErr w:type="spellStart"/>
      <w:r w:rsidRPr="00790D74">
        <w:rPr>
          <w:i/>
          <w:color w:val="222222"/>
        </w:rPr>
        <w:t>Quarterly</w:t>
      </w:r>
      <w:proofErr w:type="spellEnd"/>
      <w:r w:rsidRPr="00790D74">
        <w:rPr>
          <w:color w:val="222222"/>
        </w:rPr>
        <w:t xml:space="preserve">, </w:t>
      </w:r>
      <w:r w:rsidR="007900BA">
        <w:rPr>
          <w:color w:val="222222"/>
        </w:rPr>
        <w:t xml:space="preserve">32(3), </w:t>
      </w:r>
      <w:r w:rsidRPr="00790D74">
        <w:rPr>
          <w:color w:val="222222"/>
        </w:rPr>
        <w:t>635-652.</w:t>
      </w:r>
    </w:p>
    <w:p w14:paraId="71E88ED4" w14:textId="178D70E0" w:rsidR="00331C45" w:rsidRPr="00814A10" w:rsidRDefault="00331C45" w:rsidP="005924C5">
      <w:pPr>
        <w:shd w:val="clear" w:color="auto" w:fill="FFFFFF"/>
        <w:ind w:firstLine="567"/>
        <w:contextualSpacing/>
        <w:rPr>
          <w:color w:val="222222"/>
          <w:lang w:val="en-US"/>
        </w:rPr>
      </w:pPr>
      <w:proofErr w:type="spellStart"/>
      <w:r w:rsidRPr="00814A10">
        <w:rPr>
          <w:color w:val="222222"/>
        </w:rPr>
        <w:t>Ruviaro</w:t>
      </w:r>
      <w:proofErr w:type="spellEnd"/>
      <w:r w:rsidRPr="00814A10">
        <w:rPr>
          <w:color w:val="222222"/>
        </w:rPr>
        <w:t xml:space="preserve">, M. F. S. &amp; </w:t>
      </w:r>
      <w:proofErr w:type="spellStart"/>
      <w:r w:rsidRPr="00814A10">
        <w:rPr>
          <w:color w:val="222222"/>
        </w:rPr>
        <w:t>Bardagi</w:t>
      </w:r>
      <w:proofErr w:type="spellEnd"/>
      <w:r w:rsidRPr="00814A10">
        <w:rPr>
          <w:color w:val="222222"/>
        </w:rPr>
        <w:t xml:space="preserve">, M. P. (2010). Síndrome de </w:t>
      </w:r>
      <w:proofErr w:type="spellStart"/>
      <w:r w:rsidRPr="00814A10">
        <w:rPr>
          <w:color w:val="222222"/>
        </w:rPr>
        <w:t>Burnout</w:t>
      </w:r>
      <w:proofErr w:type="spellEnd"/>
      <w:r w:rsidRPr="00814A10">
        <w:rPr>
          <w:color w:val="222222"/>
        </w:rPr>
        <w:t xml:space="preserve"> e satisfação no trabalho em profissionais da área de enfermagem do interior do RS. </w:t>
      </w:r>
      <w:proofErr w:type="spellStart"/>
      <w:r w:rsidRPr="007900BA">
        <w:rPr>
          <w:i/>
          <w:color w:val="222222"/>
          <w:lang w:val="en-US"/>
        </w:rPr>
        <w:t>Barbarói</w:t>
      </w:r>
      <w:proofErr w:type="spellEnd"/>
      <w:r w:rsidRPr="00814A10">
        <w:rPr>
          <w:color w:val="222222"/>
          <w:lang w:val="en-US"/>
        </w:rPr>
        <w:t xml:space="preserve">, </w:t>
      </w:r>
      <w:r w:rsidRPr="007900BA">
        <w:rPr>
          <w:i/>
          <w:color w:val="222222"/>
          <w:lang w:val="en-US"/>
        </w:rPr>
        <w:t>33</w:t>
      </w:r>
      <w:r w:rsidRPr="00814A10">
        <w:rPr>
          <w:color w:val="222222"/>
          <w:lang w:val="en-US"/>
        </w:rPr>
        <w:t>, 194-216.   </w:t>
      </w:r>
    </w:p>
    <w:p w14:paraId="347BB1BE" w14:textId="77777777" w:rsidR="00331C45" w:rsidRPr="00814A10" w:rsidRDefault="00331C45" w:rsidP="005924C5">
      <w:pPr>
        <w:pStyle w:val="Default"/>
        <w:ind w:firstLine="567"/>
        <w:contextualSpacing/>
        <w:rPr>
          <w:color w:val="auto"/>
        </w:rPr>
      </w:pPr>
      <w:proofErr w:type="spellStart"/>
      <w:r w:rsidRPr="00814A10">
        <w:rPr>
          <w:color w:val="auto"/>
        </w:rPr>
        <w:t>Salanova</w:t>
      </w:r>
      <w:proofErr w:type="spellEnd"/>
      <w:r w:rsidRPr="00814A10">
        <w:rPr>
          <w:color w:val="auto"/>
        </w:rPr>
        <w:t xml:space="preserve">, M. (2007). </w:t>
      </w:r>
      <w:proofErr w:type="spellStart"/>
      <w:r w:rsidRPr="00814A10">
        <w:rPr>
          <w:color w:val="auto"/>
        </w:rPr>
        <w:t>Nuevas</w:t>
      </w:r>
      <w:proofErr w:type="spellEnd"/>
      <w:r w:rsidRPr="00814A10">
        <w:rPr>
          <w:color w:val="auto"/>
        </w:rPr>
        <w:t xml:space="preserve"> </w:t>
      </w:r>
      <w:proofErr w:type="spellStart"/>
      <w:r w:rsidRPr="00814A10">
        <w:rPr>
          <w:color w:val="auto"/>
        </w:rPr>
        <w:t>tecnologías</w:t>
      </w:r>
      <w:proofErr w:type="spellEnd"/>
      <w:r w:rsidRPr="00814A10">
        <w:rPr>
          <w:color w:val="auto"/>
        </w:rPr>
        <w:t xml:space="preserve"> y </w:t>
      </w:r>
      <w:proofErr w:type="spellStart"/>
      <w:r w:rsidRPr="00814A10">
        <w:rPr>
          <w:color w:val="auto"/>
        </w:rPr>
        <w:t>nuevos</w:t>
      </w:r>
      <w:proofErr w:type="spellEnd"/>
      <w:r w:rsidRPr="00814A10">
        <w:rPr>
          <w:color w:val="auto"/>
        </w:rPr>
        <w:t xml:space="preserve"> </w:t>
      </w:r>
      <w:proofErr w:type="spellStart"/>
      <w:r w:rsidRPr="00814A10">
        <w:rPr>
          <w:color w:val="auto"/>
        </w:rPr>
        <w:t>riesgos</w:t>
      </w:r>
      <w:proofErr w:type="spellEnd"/>
      <w:r w:rsidRPr="00814A10">
        <w:rPr>
          <w:color w:val="auto"/>
        </w:rPr>
        <w:t xml:space="preserve"> </w:t>
      </w:r>
      <w:proofErr w:type="spellStart"/>
      <w:r w:rsidRPr="00814A10">
        <w:rPr>
          <w:color w:val="auto"/>
        </w:rPr>
        <w:t>psicosociales</w:t>
      </w:r>
      <w:proofErr w:type="spellEnd"/>
      <w:r w:rsidRPr="00814A10">
        <w:rPr>
          <w:color w:val="auto"/>
        </w:rPr>
        <w:t xml:space="preserve"> </w:t>
      </w:r>
      <w:proofErr w:type="spellStart"/>
      <w:r w:rsidRPr="00814A10">
        <w:rPr>
          <w:color w:val="auto"/>
        </w:rPr>
        <w:t>en</w:t>
      </w:r>
      <w:proofErr w:type="spellEnd"/>
      <w:r w:rsidRPr="00814A10">
        <w:rPr>
          <w:color w:val="auto"/>
        </w:rPr>
        <w:t xml:space="preserve"> </w:t>
      </w:r>
      <w:proofErr w:type="spellStart"/>
      <w:r w:rsidRPr="00814A10">
        <w:rPr>
          <w:color w:val="auto"/>
        </w:rPr>
        <w:t>el</w:t>
      </w:r>
      <w:proofErr w:type="spellEnd"/>
      <w:r w:rsidRPr="00814A10">
        <w:rPr>
          <w:color w:val="auto"/>
        </w:rPr>
        <w:t xml:space="preserve"> </w:t>
      </w:r>
      <w:proofErr w:type="spellStart"/>
      <w:r w:rsidRPr="00814A10">
        <w:rPr>
          <w:color w:val="auto"/>
        </w:rPr>
        <w:t>trabajo</w:t>
      </w:r>
      <w:proofErr w:type="spellEnd"/>
      <w:r w:rsidRPr="00814A10">
        <w:rPr>
          <w:color w:val="auto"/>
        </w:rPr>
        <w:t xml:space="preserve">. </w:t>
      </w:r>
      <w:r w:rsidRPr="00814A10">
        <w:rPr>
          <w:i/>
          <w:iCs/>
          <w:color w:val="auto"/>
        </w:rPr>
        <w:t xml:space="preserve">Revista Digital de </w:t>
      </w:r>
      <w:proofErr w:type="spellStart"/>
      <w:r w:rsidRPr="00814A10">
        <w:rPr>
          <w:i/>
          <w:iCs/>
          <w:color w:val="auto"/>
        </w:rPr>
        <w:t>Prevención</w:t>
      </w:r>
      <w:proofErr w:type="spellEnd"/>
      <w:r w:rsidRPr="00814A10">
        <w:rPr>
          <w:i/>
          <w:iCs/>
          <w:color w:val="auto"/>
        </w:rPr>
        <w:t>, 1</w:t>
      </w:r>
      <w:r w:rsidRPr="00814A10">
        <w:rPr>
          <w:color w:val="auto"/>
        </w:rPr>
        <w:t xml:space="preserve">(3), 25-34. </w:t>
      </w:r>
    </w:p>
    <w:p w14:paraId="2E421453" w14:textId="77777777" w:rsidR="00331C45" w:rsidRPr="00814A10" w:rsidRDefault="00331C45" w:rsidP="005924C5">
      <w:pPr>
        <w:pStyle w:val="Default"/>
        <w:ind w:firstLine="567"/>
        <w:contextualSpacing/>
        <w:rPr>
          <w:color w:val="auto"/>
          <w:lang w:val="en-US"/>
        </w:rPr>
      </w:pPr>
      <w:proofErr w:type="spellStart"/>
      <w:r w:rsidRPr="00814A10">
        <w:rPr>
          <w:color w:val="auto"/>
        </w:rPr>
        <w:t>Salanova</w:t>
      </w:r>
      <w:proofErr w:type="spellEnd"/>
      <w:r w:rsidRPr="00814A10">
        <w:rPr>
          <w:color w:val="auto"/>
        </w:rPr>
        <w:t xml:space="preserve">, M., Cifre, E., &amp; Martin, P. (2004). </w:t>
      </w:r>
      <w:proofErr w:type="gramStart"/>
      <w:r w:rsidRPr="00814A10">
        <w:rPr>
          <w:color w:val="auto"/>
          <w:lang w:val="en-US"/>
        </w:rPr>
        <w:t>Information technology implementation styles</w:t>
      </w:r>
      <w:proofErr w:type="gramEnd"/>
      <w:r w:rsidRPr="00814A10">
        <w:rPr>
          <w:color w:val="auto"/>
          <w:lang w:val="en-US"/>
        </w:rPr>
        <w:t xml:space="preserve"> and their relation with worker´s subjective well-being. </w:t>
      </w:r>
      <w:r w:rsidRPr="00814A10">
        <w:rPr>
          <w:i/>
          <w:iCs/>
          <w:color w:val="auto"/>
          <w:lang w:val="en-US"/>
        </w:rPr>
        <w:t>International Journal of Operations &amp; Production Management, 24</w:t>
      </w:r>
      <w:r w:rsidRPr="00814A10">
        <w:rPr>
          <w:color w:val="auto"/>
          <w:lang w:val="en-US"/>
        </w:rPr>
        <w:t xml:space="preserve">(1), 42-54. </w:t>
      </w:r>
    </w:p>
    <w:p w14:paraId="6882D2BD" w14:textId="42F3CC8A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r w:rsidRPr="00814A10">
        <w:rPr>
          <w:lang w:eastAsia="en-US"/>
        </w:rPr>
        <w:t xml:space="preserve">Santos, J. C. S., </w:t>
      </w:r>
      <w:proofErr w:type="spellStart"/>
      <w:r w:rsidRPr="00814A10">
        <w:rPr>
          <w:lang w:eastAsia="en-US"/>
        </w:rPr>
        <w:t>Laquila</w:t>
      </w:r>
      <w:proofErr w:type="spellEnd"/>
      <w:r w:rsidRPr="00814A10">
        <w:rPr>
          <w:lang w:eastAsia="en-US"/>
        </w:rPr>
        <w:t xml:space="preserve">, K. S., &amp; </w:t>
      </w:r>
      <w:proofErr w:type="spellStart"/>
      <w:r w:rsidRPr="00814A10">
        <w:rPr>
          <w:lang w:eastAsia="en-US"/>
        </w:rPr>
        <w:t>Dalfior</w:t>
      </w:r>
      <w:proofErr w:type="spellEnd"/>
      <w:r w:rsidRPr="00814A10">
        <w:rPr>
          <w:lang w:eastAsia="en-US"/>
        </w:rPr>
        <w:t xml:space="preserve">, S. R. (2013). A influência da motivação sobre a produtividade na organização: estudo de caso em uma empresa de manutenção industrial. </w:t>
      </w:r>
      <w:r w:rsidRPr="00814A10">
        <w:rPr>
          <w:bCs/>
          <w:i/>
          <w:lang w:eastAsia="en-US"/>
        </w:rPr>
        <w:t>Destarte</w:t>
      </w:r>
      <w:r w:rsidRPr="00814A10">
        <w:rPr>
          <w:lang w:eastAsia="en-US"/>
        </w:rPr>
        <w:t xml:space="preserve">, </w:t>
      </w:r>
      <w:r w:rsidR="007900BA">
        <w:rPr>
          <w:i/>
          <w:lang w:eastAsia="en-US"/>
        </w:rPr>
        <w:t>3(2)</w:t>
      </w:r>
      <w:r w:rsidRPr="00814A10">
        <w:rPr>
          <w:lang w:eastAsia="en-US"/>
        </w:rPr>
        <w:t>.</w:t>
      </w:r>
    </w:p>
    <w:p w14:paraId="1CE1164E" w14:textId="3A0E8221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eastAsia="en-US"/>
        </w:rPr>
      </w:pPr>
      <w:r w:rsidRPr="00814A10">
        <w:rPr>
          <w:lang w:val="en-US" w:eastAsia="en-US"/>
        </w:rPr>
        <w:t xml:space="preserve">Schuster, M. S., Dias, V. V., &amp; </w:t>
      </w:r>
      <w:proofErr w:type="spellStart"/>
      <w:r w:rsidRPr="00814A10">
        <w:rPr>
          <w:lang w:val="en-US" w:eastAsia="en-US"/>
        </w:rPr>
        <w:t>Battistella</w:t>
      </w:r>
      <w:proofErr w:type="spellEnd"/>
      <w:r w:rsidRPr="00814A10">
        <w:rPr>
          <w:lang w:val="en-US" w:eastAsia="en-US"/>
        </w:rPr>
        <w:t xml:space="preserve">, L. F. (2013). </w:t>
      </w:r>
      <w:r w:rsidRPr="00814A10">
        <w:rPr>
          <w:lang w:eastAsia="en-US"/>
        </w:rPr>
        <w:t xml:space="preserve">Mapeamento da temática justiça organizacional e a relação de suas dimensões com comportamento organizacional. </w:t>
      </w:r>
      <w:r w:rsidRPr="00814A10">
        <w:rPr>
          <w:bCs/>
          <w:i/>
          <w:lang w:eastAsia="en-US"/>
        </w:rPr>
        <w:t>Revista de Administração IMED</w:t>
      </w:r>
      <w:r w:rsidRPr="00814A10">
        <w:rPr>
          <w:lang w:eastAsia="en-US"/>
        </w:rPr>
        <w:t xml:space="preserve">, </w:t>
      </w:r>
      <w:r w:rsidR="007900BA">
        <w:rPr>
          <w:i/>
          <w:lang w:eastAsia="en-US"/>
        </w:rPr>
        <w:t>3(1)</w:t>
      </w:r>
      <w:r w:rsidRPr="00814A10">
        <w:rPr>
          <w:lang w:eastAsia="en-US"/>
        </w:rPr>
        <w:t>.</w:t>
      </w:r>
    </w:p>
    <w:p w14:paraId="494E7D0D" w14:textId="54AA7005" w:rsidR="00790D74" w:rsidRDefault="00790D74" w:rsidP="005924C5">
      <w:pPr>
        <w:shd w:val="clear" w:color="auto" w:fill="FFFFFF"/>
        <w:ind w:firstLine="567"/>
        <w:contextualSpacing/>
        <w:rPr>
          <w:color w:val="222222"/>
          <w:lang w:val="en-US"/>
        </w:rPr>
      </w:pPr>
      <w:proofErr w:type="spellStart"/>
      <w:r w:rsidRPr="00790D74">
        <w:rPr>
          <w:color w:val="222222"/>
          <w:lang w:val="en-US"/>
        </w:rPr>
        <w:t>Siqueira</w:t>
      </w:r>
      <w:proofErr w:type="spellEnd"/>
      <w:r w:rsidRPr="00790D74">
        <w:rPr>
          <w:color w:val="222222"/>
          <w:lang w:val="en-US"/>
        </w:rPr>
        <w:t xml:space="preserve">, M. M. M. (2008). </w:t>
      </w:r>
      <w:proofErr w:type="spellStart"/>
      <w:r w:rsidRPr="007900BA">
        <w:rPr>
          <w:i/>
          <w:color w:val="222222"/>
          <w:lang w:val="en-US"/>
        </w:rPr>
        <w:t>Envolvimento</w:t>
      </w:r>
      <w:proofErr w:type="spellEnd"/>
      <w:r w:rsidRPr="007900BA">
        <w:rPr>
          <w:i/>
          <w:color w:val="222222"/>
          <w:lang w:val="en-US"/>
        </w:rPr>
        <w:t xml:space="preserve"> com o </w:t>
      </w:r>
      <w:proofErr w:type="spellStart"/>
      <w:r w:rsidRPr="007900BA">
        <w:rPr>
          <w:i/>
          <w:color w:val="222222"/>
          <w:lang w:val="en-US"/>
        </w:rPr>
        <w:t>trabalho</w:t>
      </w:r>
      <w:proofErr w:type="spellEnd"/>
      <w:r w:rsidRPr="007900BA">
        <w:rPr>
          <w:i/>
          <w:color w:val="222222"/>
          <w:lang w:val="en-US"/>
        </w:rPr>
        <w:t>.</w:t>
      </w:r>
      <w:r w:rsidRPr="00790D74">
        <w:rPr>
          <w:color w:val="222222"/>
          <w:lang w:val="en-US"/>
        </w:rPr>
        <w:t xml:space="preserve"> In: </w:t>
      </w:r>
      <w:proofErr w:type="spellStart"/>
      <w:r w:rsidRPr="00790D74">
        <w:rPr>
          <w:color w:val="222222"/>
          <w:lang w:val="en-US"/>
        </w:rPr>
        <w:t>Siqueira</w:t>
      </w:r>
      <w:proofErr w:type="spellEnd"/>
      <w:r w:rsidRPr="00790D74">
        <w:rPr>
          <w:color w:val="222222"/>
          <w:lang w:val="en-US"/>
        </w:rPr>
        <w:t xml:space="preserve">, M. M. M. (org.). </w:t>
      </w:r>
      <w:proofErr w:type="spellStart"/>
      <w:r w:rsidRPr="00790D74">
        <w:rPr>
          <w:color w:val="222222"/>
          <w:lang w:val="en-US"/>
        </w:rPr>
        <w:t>Medidas</w:t>
      </w:r>
      <w:proofErr w:type="spellEnd"/>
      <w:r w:rsidRPr="00790D74">
        <w:rPr>
          <w:color w:val="222222"/>
          <w:lang w:val="en-US"/>
        </w:rPr>
        <w:t xml:space="preserve"> do </w:t>
      </w:r>
      <w:proofErr w:type="spellStart"/>
      <w:r w:rsidRPr="00790D74">
        <w:rPr>
          <w:color w:val="222222"/>
          <w:lang w:val="en-US"/>
        </w:rPr>
        <w:t>comportamento</w:t>
      </w:r>
      <w:proofErr w:type="spellEnd"/>
      <w:r w:rsidRPr="00790D74">
        <w:rPr>
          <w:color w:val="222222"/>
          <w:lang w:val="en-US"/>
        </w:rPr>
        <w:t xml:space="preserve"> </w:t>
      </w:r>
      <w:proofErr w:type="spellStart"/>
      <w:r w:rsidRPr="00790D74">
        <w:rPr>
          <w:color w:val="222222"/>
          <w:lang w:val="en-US"/>
        </w:rPr>
        <w:t>organizacional</w:t>
      </w:r>
      <w:proofErr w:type="spellEnd"/>
      <w:r w:rsidRPr="00790D74">
        <w:rPr>
          <w:color w:val="222222"/>
          <w:lang w:val="en-US"/>
        </w:rPr>
        <w:t xml:space="preserve">: </w:t>
      </w:r>
      <w:proofErr w:type="spellStart"/>
      <w:r w:rsidRPr="00790D74">
        <w:rPr>
          <w:color w:val="222222"/>
          <w:lang w:val="en-US"/>
        </w:rPr>
        <w:t>Ferramentas</w:t>
      </w:r>
      <w:proofErr w:type="spellEnd"/>
      <w:r w:rsidRPr="00790D74">
        <w:rPr>
          <w:color w:val="222222"/>
          <w:lang w:val="en-US"/>
        </w:rPr>
        <w:t xml:space="preserve"> de </w:t>
      </w:r>
      <w:proofErr w:type="spellStart"/>
      <w:r w:rsidRPr="00790D74">
        <w:rPr>
          <w:color w:val="222222"/>
          <w:lang w:val="en-US"/>
        </w:rPr>
        <w:t>diagnóstico</w:t>
      </w:r>
      <w:proofErr w:type="spellEnd"/>
      <w:r w:rsidRPr="00790D74">
        <w:rPr>
          <w:color w:val="222222"/>
          <w:lang w:val="en-US"/>
        </w:rPr>
        <w:t xml:space="preserve"> e de </w:t>
      </w:r>
      <w:proofErr w:type="spellStart"/>
      <w:r w:rsidRPr="00790D74">
        <w:rPr>
          <w:color w:val="222222"/>
          <w:lang w:val="en-US"/>
        </w:rPr>
        <w:t>gestão</w:t>
      </w:r>
      <w:proofErr w:type="spellEnd"/>
      <w:r w:rsidRPr="00790D74">
        <w:rPr>
          <w:color w:val="222222"/>
          <w:lang w:val="en-US"/>
        </w:rPr>
        <w:t xml:space="preserve">. Porto Alegre: </w:t>
      </w:r>
      <w:proofErr w:type="spellStart"/>
      <w:r w:rsidRPr="00790D74">
        <w:rPr>
          <w:color w:val="222222"/>
          <w:lang w:val="en-US"/>
        </w:rPr>
        <w:t>Artmed</w:t>
      </w:r>
      <w:proofErr w:type="spellEnd"/>
      <w:r w:rsidRPr="00790D74">
        <w:rPr>
          <w:color w:val="222222"/>
          <w:lang w:val="en-US"/>
        </w:rPr>
        <w:t xml:space="preserve">, 139-143. </w:t>
      </w:r>
    </w:p>
    <w:p w14:paraId="4DAC0E4E" w14:textId="63203137" w:rsidR="00331C45" w:rsidRPr="00814A10" w:rsidRDefault="00331C45" w:rsidP="005924C5">
      <w:pPr>
        <w:shd w:val="clear" w:color="auto" w:fill="FFFFFF"/>
        <w:ind w:firstLine="567"/>
        <w:contextualSpacing/>
        <w:rPr>
          <w:color w:val="222222"/>
        </w:rPr>
      </w:pPr>
      <w:r w:rsidRPr="00814A10">
        <w:rPr>
          <w:color w:val="222222"/>
          <w:lang w:val="en-US"/>
        </w:rPr>
        <w:t xml:space="preserve">Silva, T. D. &amp; Carlotto, M. S. (2008). </w:t>
      </w:r>
      <w:r w:rsidRPr="00814A10">
        <w:rPr>
          <w:color w:val="222222"/>
        </w:rPr>
        <w:t xml:space="preserve">Síndrome de </w:t>
      </w:r>
      <w:proofErr w:type="spellStart"/>
      <w:r w:rsidRPr="00814A10">
        <w:rPr>
          <w:color w:val="222222"/>
        </w:rPr>
        <w:t>burnout</w:t>
      </w:r>
      <w:proofErr w:type="spellEnd"/>
      <w:r w:rsidRPr="00814A10">
        <w:rPr>
          <w:color w:val="222222"/>
        </w:rPr>
        <w:t xml:space="preserve"> em trabalhadores da enfermagem de um hospital geral. </w:t>
      </w:r>
      <w:r w:rsidRPr="00814A10">
        <w:rPr>
          <w:i/>
          <w:color w:val="222222"/>
        </w:rPr>
        <w:t>Revista SBPH</w:t>
      </w:r>
      <w:r w:rsidRPr="00814A10">
        <w:rPr>
          <w:color w:val="222222"/>
        </w:rPr>
        <w:t xml:space="preserve">, </w:t>
      </w:r>
      <w:r w:rsidRPr="007900BA">
        <w:rPr>
          <w:i/>
          <w:color w:val="222222"/>
        </w:rPr>
        <w:t>11(1),</w:t>
      </w:r>
      <w:r w:rsidRPr="00814A10">
        <w:rPr>
          <w:color w:val="222222"/>
        </w:rPr>
        <w:t xml:space="preserve"> 113-130.</w:t>
      </w:r>
    </w:p>
    <w:p w14:paraId="0B59D65C" w14:textId="64C63658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/>
        </w:rPr>
      </w:pPr>
      <w:r w:rsidRPr="00814A10">
        <w:t>Silva, N. I. A., &amp; Puente-</w:t>
      </w:r>
      <w:proofErr w:type="spellStart"/>
      <w:r w:rsidRPr="00814A10">
        <w:t>Palacios</w:t>
      </w:r>
      <w:proofErr w:type="spellEnd"/>
      <w:r w:rsidRPr="00814A10">
        <w:t xml:space="preserve">, K. (2010). Desenvolvimento e validação da escala de conflitos </w:t>
      </w:r>
      <w:proofErr w:type="spellStart"/>
      <w:r w:rsidRPr="00814A10">
        <w:t>intragrupos</w:t>
      </w:r>
      <w:proofErr w:type="spellEnd"/>
      <w:r w:rsidRPr="00814A10">
        <w:t xml:space="preserve"> - ECIG. </w:t>
      </w:r>
      <w:proofErr w:type="spellStart"/>
      <w:r w:rsidRPr="00814A10">
        <w:rPr>
          <w:i/>
          <w:iCs/>
          <w:lang w:val="en-US"/>
        </w:rPr>
        <w:t>Psico</w:t>
      </w:r>
      <w:proofErr w:type="spellEnd"/>
      <w:r w:rsidRPr="00814A10">
        <w:rPr>
          <w:i/>
          <w:iCs/>
          <w:lang w:val="en-US"/>
        </w:rPr>
        <w:t>-USF</w:t>
      </w:r>
      <w:r w:rsidR="007900BA">
        <w:rPr>
          <w:lang w:val="en-US"/>
        </w:rPr>
        <w:t xml:space="preserve">, </w:t>
      </w:r>
      <w:r w:rsidR="007900BA">
        <w:rPr>
          <w:i/>
          <w:lang w:val="en-US"/>
        </w:rPr>
        <w:t>15(2),</w:t>
      </w:r>
      <w:r w:rsidRPr="00814A10">
        <w:rPr>
          <w:lang w:val="en-US"/>
        </w:rPr>
        <w:t xml:space="preserve"> 205-213.</w:t>
      </w:r>
    </w:p>
    <w:p w14:paraId="4A302A8B" w14:textId="144C95A5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color w:val="000000"/>
        </w:rPr>
      </w:pPr>
      <w:proofErr w:type="spellStart"/>
      <w:r w:rsidRPr="00814A10">
        <w:rPr>
          <w:color w:val="000000"/>
          <w:lang w:val="en-US"/>
        </w:rPr>
        <w:t>Simbula</w:t>
      </w:r>
      <w:proofErr w:type="spellEnd"/>
      <w:r w:rsidRPr="00814A10">
        <w:rPr>
          <w:color w:val="000000"/>
          <w:lang w:val="en-US"/>
        </w:rPr>
        <w:t xml:space="preserve">, S. (2010). Daily fluctuations in teachers’ well-being: a diary study using the job demands. </w:t>
      </w:r>
      <w:proofErr w:type="spellStart"/>
      <w:r w:rsidRPr="00814A10">
        <w:rPr>
          <w:i/>
          <w:color w:val="000000"/>
        </w:rPr>
        <w:t>Resources</w:t>
      </w:r>
      <w:proofErr w:type="spellEnd"/>
      <w:r w:rsidRPr="00814A10">
        <w:rPr>
          <w:i/>
          <w:color w:val="000000"/>
        </w:rPr>
        <w:t xml:space="preserve"> </w:t>
      </w:r>
      <w:proofErr w:type="spellStart"/>
      <w:r w:rsidRPr="00814A10">
        <w:rPr>
          <w:i/>
          <w:color w:val="000000"/>
        </w:rPr>
        <w:t>model</w:t>
      </w:r>
      <w:proofErr w:type="spellEnd"/>
      <w:r w:rsidRPr="00814A10">
        <w:rPr>
          <w:i/>
          <w:color w:val="000000"/>
        </w:rPr>
        <w:t xml:space="preserve">. </w:t>
      </w:r>
      <w:proofErr w:type="spellStart"/>
      <w:r w:rsidRPr="00814A10">
        <w:rPr>
          <w:i/>
          <w:color w:val="000000"/>
        </w:rPr>
        <w:t>Anxiety</w:t>
      </w:r>
      <w:proofErr w:type="spellEnd"/>
      <w:r w:rsidRPr="00814A10">
        <w:rPr>
          <w:i/>
          <w:color w:val="000000"/>
        </w:rPr>
        <w:t xml:space="preserve"> Stress </w:t>
      </w:r>
      <w:proofErr w:type="spellStart"/>
      <w:r w:rsidRPr="00814A10">
        <w:rPr>
          <w:i/>
          <w:color w:val="000000"/>
        </w:rPr>
        <w:t>Coping</w:t>
      </w:r>
      <w:proofErr w:type="spellEnd"/>
      <w:r w:rsidRPr="00814A10">
        <w:rPr>
          <w:color w:val="000000"/>
        </w:rPr>
        <w:t xml:space="preserve">, </w:t>
      </w:r>
      <w:r w:rsidRPr="007900BA">
        <w:rPr>
          <w:i/>
          <w:color w:val="000000"/>
        </w:rPr>
        <w:t>23(5)</w:t>
      </w:r>
      <w:r w:rsidR="007900BA">
        <w:rPr>
          <w:i/>
          <w:color w:val="000000"/>
        </w:rPr>
        <w:t xml:space="preserve">, </w:t>
      </w:r>
      <w:r w:rsidRPr="00814A10">
        <w:rPr>
          <w:color w:val="000000"/>
        </w:rPr>
        <w:t>563-584.</w:t>
      </w:r>
    </w:p>
    <w:p w14:paraId="319D1F5B" w14:textId="7777777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/>
        </w:rPr>
      </w:pPr>
      <w:r w:rsidRPr="00814A10">
        <w:t xml:space="preserve">Sora, B., </w:t>
      </w:r>
      <w:proofErr w:type="spellStart"/>
      <w:r w:rsidRPr="00814A10">
        <w:t>Caballer</w:t>
      </w:r>
      <w:proofErr w:type="spellEnd"/>
      <w:r w:rsidRPr="00814A10">
        <w:t xml:space="preserve">, A., </w:t>
      </w:r>
      <w:proofErr w:type="spellStart"/>
      <w:r w:rsidRPr="00814A10">
        <w:t>Peiró</w:t>
      </w:r>
      <w:proofErr w:type="spellEnd"/>
      <w:r w:rsidRPr="00814A10">
        <w:t xml:space="preserve">, J. M., </w:t>
      </w:r>
      <w:proofErr w:type="spellStart"/>
      <w:r w:rsidRPr="00814A10">
        <w:t>Gracia</w:t>
      </w:r>
      <w:proofErr w:type="spellEnd"/>
      <w:r w:rsidRPr="00814A10">
        <w:t xml:space="preserve">, F., &amp; </w:t>
      </w:r>
      <w:proofErr w:type="spellStart"/>
      <w:r w:rsidRPr="00814A10">
        <w:t>Silla</w:t>
      </w:r>
      <w:proofErr w:type="spellEnd"/>
      <w:r w:rsidRPr="00814A10">
        <w:t xml:space="preserve">, I (2010). </w:t>
      </w:r>
      <w:r w:rsidRPr="00814A10">
        <w:rPr>
          <w:lang w:val="en-US"/>
        </w:rPr>
        <w:t>Moderating influence of organizational justice on the relationship between job insecurity and its outcomes: A</w:t>
      </w:r>
    </w:p>
    <w:p w14:paraId="73C8AAFD" w14:textId="77777777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 w:eastAsia="en-US"/>
        </w:rPr>
      </w:pPr>
      <w:proofErr w:type="gramStart"/>
      <w:r w:rsidRPr="00814A10">
        <w:rPr>
          <w:lang w:val="en-US"/>
        </w:rPr>
        <w:t>multilevel</w:t>
      </w:r>
      <w:proofErr w:type="gramEnd"/>
      <w:r w:rsidRPr="00814A10">
        <w:rPr>
          <w:lang w:val="en-US"/>
        </w:rPr>
        <w:t xml:space="preserve"> analysis. Economic and Industrial Democracy, </w:t>
      </w:r>
      <w:r w:rsidRPr="007900BA">
        <w:rPr>
          <w:i/>
          <w:lang w:val="en-US"/>
        </w:rPr>
        <w:t>31</w:t>
      </w:r>
      <w:r w:rsidRPr="00814A10">
        <w:rPr>
          <w:lang w:val="en-US"/>
        </w:rPr>
        <w:t>, 613-637.</w:t>
      </w:r>
    </w:p>
    <w:p w14:paraId="6FFC9F09" w14:textId="77777777" w:rsidR="00331C45" w:rsidRPr="00814A10" w:rsidRDefault="00331C45" w:rsidP="005924C5">
      <w:pPr>
        <w:pStyle w:val="Pa14"/>
        <w:spacing w:line="240" w:lineRule="auto"/>
        <w:ind w:firstLine="567"/>
        <w:contextualSpacing/>
      </w:pPr>
      <w:r w:rsidRPr="00814A10">
        <w:t xml:space="preserve">Souto, S. M. O. (2006). </w:t>
      </w:r>
      <w:r w:rsidRPr="00814A10">
        <w:rPr>
          <w:i/>
          <w:iCs/>
        </w:rPr>
        <w:t>O profissional da informação frente às tecnologias do novo milênio e às exigências do mundo do trabalho</w:t>
      </w:r>
      <w:r w:rsidRPr="00814A10">
        <w:t xml:space="preserve">. Recuperado de &lt;http://www.cinform.ufba.br/iv_anais/artigos/texto16.htm&gt;. </w:t>
      </w:r>
    </w:p>
    <w:p w14:paraId="3BC9DF97" w14:textId="2DF04FE4" w:rsidR="00331C45" w:rsidRPr="00814A10" w:rsidRDefault="00331C45" w:rsidP="005924C5">
      <w:pPr>
        <w:autoSpaceDE w:val="0"/>
        <w:autoSpaceDN w:val="0"/>
        <w:adjustRightInd w:val="0"/>
        <w:ind w:firstLine="567"/>
        <w:contextualSpacing/>
        <w:rPr>
          <w:lang w:val="en-US" w:eastAsia="en-US"/>
        </w:rPr>
      </w:pPr>
      <w:proofErr w:type="spellStart"/>
      <w:r w:rsidRPr="00814A10">
        <w:rPr>
          <w:lang w:val="en-US" w:eastAsia="en-US"/>
        </w:rPr>
        <w:t>Sudin</w:t>
      </w:r>
      <w:proofErr w:type="spellEnd"/>
      <w:r w:rsidRPr="00814A10">
        <w:rPr>
          <w:lang w:val="en-US" w:eastAsia="en-US"/>
        </w:rPr>
        <w:t xml:space="preserve">, S. (2011). Fairness of and satisfaction with performance appraisal process. </w:t>
      </w:r>
      <w:r w:rsidRPr="00814A10">
        <w:rPr>
          <w:bCs/>
          <w:i/>
          <w:lang w:val="en-US" w:eastAsia="en-US"/>
        </w:rPr>
        <w:t>Journal of Global Management</w:t>
      </w:r>
      <w:r w:rsidRPr="00814A10">
        <w:rPr>
          <w:lang w:val="en-US" w:eastAsia="en-US"/>
        </w:rPr>
        <w:t xml:space="preserve">, </w:t>
      </w:r>
      <w:r w:rsidR="007900BA">
        <w:rPr>
          <w:i/>
          <w:lang w:val="en-US" w:eastAsia="en-US"/>
        </w:rPr>
        <w:t xml:space="preserve">2(1), </w:t>
      </w:r>
      <w:r w:rsidRPr="00814A10">
        <w:rPr>
          <w:lang w:val="en-US" w:eastAsia="en-US"/>
        </w:rPr>
        <w:t>66-83.</w:t>
      </w:r>
    </w:p>
    <w:p w14:paraId="12E40B43" w14:textId="77777777" w:rsidR="00331C45" w:rsidRPr="00814A10" w:rsidRDefault="00331C45" w:rsidP="005924C5">
      <w:pPr>
        <w:pStyle w:val="Default"/>
        <w:ind w:firstLine="567"/>
        <w:contextualSpacing/>
        <w:rPr>
          <w:color w:val="auto"/>
        </w:rPr>
      </w:pPr>
      <w:proofErr w:type="spellStart"/>
      <w:r w:rsidRPr="00814A10">
        <w:rPr>
          <w:color w:val="auto"/>
          <w:lang w:val="en-US"/>
        </w:rPr>
        <w:lastRenderedPageBreak/>
        <w:t>Tacy</w:t>
      </w:r>
      <w:proofErr w:type="spellEnd"/>
      <w:r w:rsidRPr="00814A10">
        <w:rPr>
          <w:color w:val="auto"/>
          <w:lang w:val="en-US"/>
        </w:rPr>
        <w:t xml:space="preserve">, J. (2016). Technostress: a concept analysis. </w:t>
      </w:r>
      <w:r w:rsidRPr="00814A10">
        <w:rPr>
          <w:i/>
          <w:iCs/>
          <w:color w:val="auto"/>
          <w:lang w:val="en-US"/>
        </w:rPr>
        <w:t>Online Journal of Nursing Informatics</w:t>
      </w:r>
      <w:r w:rsidRPr="00814A10">
        <w:rPr>
          <w:color w:val="auto"/>
          <w:lang w:val="en-US"/>
        </w:rPr>
        <w:t xml:space="preserve">, </w:t>
      </w:r>
      <w:r w:rsidRPr="00814A10">
        <w:rPr>
          <w:i/>
          <w:iCs/>
          <w:color w:val="auto"/>
          <w:lang w:val="en-US"/>
        </w:rPr>
        <w:t>20</w:t>
      </w:r>
      <w:r w:rsidRPr="00814A10">
        <w:rPr>
          <w:color w:val="auto"/>
          <w:lang w:val="en-US"/>
        </w:rPr>
        <w:t xml:space="preserve">(2). </w:t>
      </w:r>
      <w:r w:rsidRPr="00814A10">
        <w:rPr>
          <w:color w:val="auto"/>
        </w:rPr>
        <w:t>Acedido em dezembro 2016 em: &lt;</w:t>
      </w:r>
      <w:r w:rsidRPr="00814A10">
        <w:t>http://www.himss.org/ojni&gt;</w:t>
      </w:r>
      <w:r w:rsidRPr="00814A10">
        <w:rPr>
          <w:color w:val="auto"/>
        </w:rPr>
        <w:t>.</w:t>
      </w:r>
    </w:p>
    <w:p w14:paraId="51CDD0EB" w14:textId="77777777" w:rsidR="00331C45" w:rsidRDefault="00331C45" w:rsidP="005924C5">
      <w:pPr>
        <w:shd w:val="clear" w:color="auto" w:fill="FFFFFF"/>
        <w:ind w:firstLine="567"/>
        <w:contextualSpacing/>
        <w:rPr>
          <w:color w:val="222222"/>
        </w:rPr>
      </w:pPr>
      <w:proofErr w:type="spellStart"/>
      <w:r w:rsidRPr="00814A10">
        <w:rPr>
          <w:color w:val="222222"/>
        </w:rPr>
        <w:t>Tamayo</w:t>
      </w:r>
      <w:proofErr w:type="spellEnd"/>
      <w:r w:rsidRPr="00814A10">
        <w:rPr>
          <w:color w:val="222222"/>
        </w:rPr>
        <w:t xml:space="preserve">, M. R. (2008). </w:t>
      </w:r>
      <w:proofErr w:type="spellStart"/>
      <w:r w:rsidRPr="00814A10">
        <w:rPr>
          <w:color w:val="222222"/>
        </w:rPr>
        <w:t>Burnout</w:t>
      </w:r>
      <w:proofErr w:type="spellEnd"/>
      <w:r w:rsidRPr="00814A10">
        <w:rPr>
          <w:color w:val="222222"/>
        </w:rPr>
        <w:t xml:space="preserve">: Aspectos gerais e relação com o estresse no trabalho. In A. </w:t>
      </w:r>
      <w:proofErr w:type="spellStart"/>
      <w:r w:rsidRPr="00814A10">
        <w:rPr>
          <w:color w:val="222222"/>
        </w:rPr>
        <w:t>Tamayo</w:t>
      </w:r>
      <w:proofErr w:type="spellEnd"/>
      <w:r w:rsidRPr="00814A10">
        <w:rPr>
          <w:color w:val="222222"/>
        </w:rPr>
        <w:t xml:space="preserve"> (Ed.), </w:t>
      </w:r>
      <w:r w:rsidRPr="00814A10">
        <w:rPr>
          <w:i/>
          <w:color w:val="222222"/>
        </w:rPr>
        <w:t>Estresse e cultura organizacional</w:t>
      </w:r>
      <w:r w:rsidRPr="00814A10">
        <w:rPr>
          <w:color w:val="222222"/>
        </w:rPr>
        <w:t xml:space="preserve"> (pp. 75-105). São Paulo, SP: Casa do Psicólogo.</w:t>
      </w:r>
    </w:p>
    <w:p w14:paraId="31791CC5" w14:textId="08143303" w:rsidR="00B74325" w:rsidRDefault="00B74325" w:rsidP="005924C5">
      <w:pPr>
        <w:autoSpaceDE w:val="0"/>
        <w:autoSpaceDN w:val="0"/>
        <w:adjustRightInd w:val="0"/>
        <w:ind w:firstLine="567"/>
        <w:contextualSpacing/>
        <w:rPr>
          <w:lang w:val="en-US" w:eastAsia="en-US"/>
        </w:rPr>
      </w:pPr>
      <w:proofErr w:type="spellStart"/>
      <w:r w:rsidRPr="00814A10">
        <w:rPr>
          <w:lang w:eastAsia="en-US"/>
        </w:rPr>
        <w:t>Tarafdar</w:t>
      </w:r>
      <w:proofErr w:type="spellEnd"/>
      <w:r w:rsidRPr="00814A10">
        <w:rPr>
          <w:lang w:eastAsia="en-US"/>
        </w:rPr>
        <w:t xml:space="preserve">, M., Tu, Q., Ragu-Nathan, B. S., &amp; Ragu-Nathan, T. S. (2007). </w:t>
      </w:r>
      <w:r w:rsidRPr="00814A10">
        <w:rPr>
          <w:lang w:val="en-US" w:eastAsia="en-US"/>
        </w:rPr>
        <w:t xml:space="preserve">The impact of </w:t>
      </w:r>
      <w:proofErr w:type="spellStart"/>
      <w:r w:rsidRPr="00814A10">
        <w:rPr>
          <w:lang w:val="en-US" w:eastAsia="en-US"/>
        </w:rPr>
        <w:t>TechnoStress</w:t>
      </w:r>
      <w:proofErr w:type="spellEnd"/>
      <w:r w:rsidRPr="00814A10">
        <w:rPr>
          <w:lang w:val="en-US" w:eastAsia="en-US"/>
        </w:rPr>
        <w:t xml:space="preserve"> on role stress and productivity. </w:t>
      </w:r>
      <w:r w:rsidRPr="00814A10">
        <w:rPr>
          <w:bCs/>
          <w:i/>
          <w:lang w:val="en-US" w:eastAsia="en-US"/>
        </w:rPr>
        <w:t>Journal of Management Information Systems</w:t>
      </w:r>
      <w:r w:rsidRPr="00814A10">
        <w:rPr>
          <w:lang w:val="en-US" w:eastAsia="en-US"/>
        </w:rPr>
        <w:t xml:space="preserve">, </w:t>
      </w:r>
      <w:r w:rsidRPr="00FF37EB">
        <w:rPr>
          <w:i/>
          <w:lang w:val="en-US" w:eastAsia="en-US"/>
        </w:rPr>
        <w:t>24</w:t>
      </w:r>
      <w:r w:rsidR="00FF37EB" w:rsidRPr="00FF37EB">
        <w:rPr>
          <w:i/>
          <w:lang w:val="en-US" w:eastAsia="en-US"/>
        </w:rPr>
        <w:t>(1)</w:t>
      </w:r>
      <w:r w:rsidRPr="00814A10">
        <w:rPr>
          <w:lang w:val="en-US" w:eastAsia="en-US"/>
        </w:rPr>
        <w:t>, 301–328.</w:t>
      </w:r>
      <w:r w:rsidR="00FF37EB">
        <w:rPr>
          <w:lang w:val="en-US" w:eastAsia="en-US"/>
        </w:rPr>
        <w:t xml:space="preserve"> </w:t>
      </w:r>
      <w:r w:rsidR="00FF37EB" w:rsidRPr="00FF37EB">
        <w:rPr>
          <w:lang w:val="en-US" w:eastAsia="en-US"/>
        </w:rPr>
        <w:t>DOI: 10.2753/MIS0742-1222240109</w:t>
      </w:r>
    </w:p>
    <w:p w14:paraId="653C160B" w14:textId="77777777" w:rsidR="00B74325" w:rsidRPr="00814A10" w:rsidRDefault="00B74325" w:rsidP="005924C5">
      <w:pPr>
        <w:ind w:firstLine="567"/>
        <w:contextualSpacing/>
      </w:pPr>
      <w:r w:rsidRPr="00814A10">
        <w:t xml:space="preserve">Valle, B. M. (1996). Tecnologia da informação no contexto organizacional. </w:t>
      </w:r>
      <w:r w:rsidRPr="00814A10">
        <w:rPr>
          <w:i/>
          <w:iCs/>
        </w:rPr>
        <w:t>Ciências da Informação, 25</w:t>
      </w:r>
      <w:r w:rsidRPr="00814A10">
        <w:t>(1), 5-12.</w:t>
      </w:r>
    </w:p>
    <w:p w14:paraId="4D2691C4" w14:textId="3B617B76" w:rsidR="00B74325" w:rsidRPr="00814A10" w:rsidRDefault="00B74325" w:rsidP="005924C5">
      <w:pPr>
        <w:autoSpaceDE w:val="0"/>
        <w:autoSpaceDN w:val="0"/>
        <w:adjustRightInd w:val="0"/>
        <w:ind w:firstLine="567"/>
        <w:contextualSpacing/>
        <w:rPr>
          <w:lang w:val="en-US"/>
        </w:rPr>
      </w:pPr>
      <w:proofErr w:type="spellStart"/>
      <w:r w:rsidRPr="00814A10">
        <w:rPr>
          <w:lang w:val="en-US"/>
        </w:rPr>
        <w:t>Voydanoff</w:t>
      </w:r>
      <w:proofErr w:type="spellEnd"/>
      <w:r w:rsidRPr="00814A10">
        <w:rPr>
          <w:lang w:val="en-US"/>
        </w:rPr>
        <w:t xml:space="preserve">, P. (2002). Linkages between the work family interface and work, family and individual outcomes: an integrative model. </w:t>
      </w:r>
      <w:r w:rsidRPr="00814A10">
        <w:rPr>
          <w:i/>
          <w:iCs/>
          <w:lang w:val="en-US"/>
        </w:rPr>
        <w:t>Journal of Family Issues, 23</w:t>
      </w:r>
      <w:r w:rsidRPr="00FF37EB">
        <w:rPr>
          <w:i/>
          <w:lang w:val="en-US"/>
        </w:rPr>
        <w:t>(1)</w:t>
      </w:r>
      <w:r w:rsidRPr="00814A10">
        <w:rPr>
          <w:lang w:val="en-US"/>
        </w:rPr>
        <w:t>, 138-164.</w:t>
      </w:r>
    </w:p>
    <w:p w14:paraId="5BB2EA03" w14:textId="77777777" w:rsidR="00B74325" w:rsidRPr="00814A10" w:rsidRDefault="00B74325" w:rsidP="005924C5">
      <w:pPr>
        <w:autoSpaceDE w:val="0"/>
        <w:autoSpaceDN w:val="0"/>
        <w:adjustRightInd w:val="0"/>
        <w:ind w:firstLine="567"/>
        <w:contextualSpacing/>
        <w:rPr>
          <w:lang w:val="en-US" w:eastAsia="en-US"/>
        </w:rPr>
      </w:pPr>
      <w:r w:rsidRPr="00814A10">
        <w:rPr>
          <w:lang w:val="en-US" w:eastAsia="en-US"/>
        </w:rPr>
        <w:t xml:space="preserve">Weil, M. M. &amp; Rosen, L. D. (1997). </w:t>
      </w:r>
      <w:r w:rsidRPr="00814A10">
        <w:rPr>
          <w:bCs/>
          <w:i/>
          <w:lang w:val="en-US" w:eastAsia="en-US"/>
        </w:rPr>
        <w:t>Technostress</w:t>
      </w:r>
      <w:r w:rsidRPr="00814A10">
        <w:rPr>
          <w:i/>
          <w:lang w:val="en-US" w:eastAsia="en-US"/>
        </w:rPr>
        <w:t>: coping with technology @work @home @play</w:t>
      </w:r>
      <w:r w:rsidRPr="00814A10">
        <w:rPr>
          <w:i/>
          <w:iCs/>
          <w:lang w:val="en-US" w:eastAsia="en-US"/>
        </w:rPr>
        <w:t xml:space="preserve">. </w:t>
      </w:r>
      <w:r w:rsidRPr="00814A10">
        <w:rPr>
          <w:lang w:val="en-US" w:eastAsia="en-US"/>
        </w:rPr>
        <w:t>New York: John Wiley &amp; Sons Inc., p. 240.</w:t>
      </w:r>
    </w:p>
    <w:p w14:paraId="79C85ECF" w14:textId="77777777" w:rsidR="00B74325" w:rsidRPr="00814A10" w:rsidRDefault="00B74325" w:rsidP="005924C5">
      <w:pPr>
        <w:autoSpaceDE w:val="0"/>
        <w:autoSpaceDN w:val="0"/>
        <w:adjustRightInd w:val="0"/>
        <w:ind w:right="57" w:firstLine="567"/>
        <w:contextualSpacing/>
        <w:rPr>
          <w:lang w:val="en-US" w:eastAsia="en-US"/>
        </w:rPr>
      </w:pPr>
      <w:r w:rsidRPr="00814A10">
        <w:rPr>
          <w:lang w:val="en-US" w:eastAsia="en-US"/>
        </w:rPr>
        <w:t xml:space="preserve">Williamson, O. E. (1985). </w:t>
      </w:r>
      <w:r w:rsidRPr="00814A10">
        <w:rPr>
          <w:i/>
          <w:lang w:val="en-US" w:eastAsia="en-US"/>
        </w:rPr>
        <w:t>The economic institutions of capitalism</w:t>
      </w:r>
      <w:r w:rsidRPr="00814A10">
        <w:rPr>
          <w:lang w:val="en-US" w:eastAsia="en-US"/>
        </w:rPr>
        <w:t xml:space="preserve">. New York: Free Press. </w:t>
      </w:r>
    </w:p>
    <w:bookmarkEnd w:id="10"/>
    <w:p w14:paraId="24D8ADB4" w14:textId="77777777" w:rsidR="00B74325" w:rsidRDefault="00B74325" w:rsidP="00E11699">
      <w:pPr>
        <w:shd w:val="clear" w:color="auto" w:fill="FFFFFF"/>
        <w:ind w:firstLine="567"/>
        <w:contextualSpacing/>
        <w:jc w:val="both"/>
        <w:rPr>
          <w:color w:val="222222"/>
        </w:rPr>
      </w:pPr>
    </w:p>
    <w:sectPr w:rsidR="00B74325" w:rsidSect="00804BAE">
      <w:headerReference w:type="default" r:id="rId11"/>
      <w:footerReference w:type="default" r:id="rId12"/>
      <w:type w:val="continuous"/>
      <w:pgSz w:w="11907" w:h="16840" w:code="9"/>
      <w:pgMar w:top="1701" w:right="1134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9628A" w14:textId="77777777" w:rsidR="001001E6" w:rsidRDefault="001001E6">
      <w:r>
        <w:separator/>
      </w:r>
    </w:p>
  </w:endnote>
  <w:endnote w:type="continuationSeparator" w:id="0">
    <w:p w14:paraId="5C9F5A37" w14:textId="77777777" w:rsidR="001001E6" w:rsidRDefault="0010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ple Garamond Light">
    <w:altName w:val="Apple Garamond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AHEG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060B0" w14:textId="4A740C56" w:rsidR="000359B3" w:rsidRDefault="000359B3">
    <w:pPr>
      <w:pStyle w:val="Rodap"/>
    </w:pPr>
  </w:p>
  <w:p w14:paraId="4D0E6E61" w14:textId="77777777" w:rsidR="000359B3" w:rsidRDefault="000359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E2D93" w14:textId="06B4E680" w:rsidR="000359B3" w:rsidRDefault="000359B3" w:rsidP="00804BAE">
    <w:pPr>
      <w:pStyle w:val="Rodap"/>
      <w:tabs>
        <w:tab w:val="clear" w:pos="4320"/>
        <w:tab w:val="clear" w:pos="8640"/>
        <w:tab w:val="left" w:pos="9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F63D5" w14:textId="77777777" w:rsidR="001001E6" w:rsidRDefault="001001E6">
      <w:r>
        <w:separator/>
      </w:r>
    </w:p>
  </w:footnote>
  <w:footnote w:type="continuationSeparator" w:id="0">
    <w:p w14:paraId="67EFCE07" w14:textId="77777777" w:rsidR="001001E6" w:rsidRDefault="00100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1B8A6" w14:textId="264A2B31" w:rsidR="000359B3" w:rsidRDefault="000359B3">
    <w:pPr>
      <w:pStyle w:val="Cabealho"/>
      <w:jc w:val="right"/>
    </w:pPr>
  </w:p>
  <w:p w14:paraId="375F3215" w14:textId="77777777" w:rsidR="000359B3" w:rsidRDefault="000359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12CC7" w14:textId="77777777" w:rsidR="000359B3" w:rsidRDefault="000359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238E1B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FF6600"/>
        <w:sz w:val="28"/>
        <w:szCs w:val="28"/>
      </w:rPr>
    </w:lvl>
  </w:abstractNum>
  <w:abstractNum w:abstractNumId="2" w15:restartNumberingAfterBreak="0">
    <w:nsid w:val="02C315DC"/>
    <w:multiLevelType w:val="multilevel"/>
    <w:tmpl w:val="31A03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5F2D9A"/>
    <w:multiLevelType w:val="multilevel"/>
    <w:tmpl w:val="E4D0A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F5A06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23B05D43"/>
    <w:multiLevelType w:val="multilevel"/>
    <w:tmpl w:val="478AC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AF65012"/>
    <w:multiLevelType w:val="hybridMultilevel"/>
    <w:tmpl w:val="046E4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1DBC"/>
    <w:multiLevelType w:val="multilevel"/>
    <w:tmpl w:val="0416001F"/>
    <w:styleLink w:val="Estilo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E063ECC"/>
    <w:multiLevelType w:val="multilevel"/>
    <w:tmpl w:val="B198B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C8187C"/>
    <w:multiLevelType w:val="multilevel"/>
    <w:tmpl w:val="0174F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E62751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1370A86"/>
    <w:multiLevelType w:val="multilevel"/>
    <w:tmpl w:val="B1348F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8F61C6"/>
    <w:multiLevelType w:val="multilevel"/>
    <w:tmpl w:val="6D3C14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7B1B39"/>
    <w:multiLevelType w:val="hybridMultilevel"/>
    <w:tmpl w:val="372E3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CF6027"/>
    <w:multiLevelType w:val="hybridMultilevel"/>
    <w:tmpl w:val="45C29F5C"/>
    <w:lvl w:ilvl="0" w:tplc="B680014E">
      <w:start w:val="1"/>
      <w:numFmt w:val="bullet"/>
      <w:pStyle w:val="Lista"/>
      <w:lvlText w:val="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b/>
        <w:i w:val="0"/>
        <w:color w:val="800000"/>
        <w:sz w:val="24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4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17C8B"/>
    <w:multiLevelType w:val="hybridMultilevel"/>
    <w:tmpl w:val="88CC66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779F1"/>
    <w:multiLevelType w:val="multilevel"/>
    <w:tmpl w:val="CD4EE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549D428F"/>
    <w:multiLevelType w:val="hybridMultilevel"/>
    <w:tmpl w:val="4ABA4738"/>
    <w:lvl w:ilvl="0" w:tplc="81D8C76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pacing w:val="2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A3D1EE0"/>
    <w:multiLevelType w:val="multilevel"/>
    <w:tmpl w:val="71D2EB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6BB01D97"/>
    <w:multiLevelType w:val="multilevel"/>
    <w:tmpl w:val="E6E81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621B8F"/>
    <w:multiLevelType w:val="multilevel"/>
    <w:tmpl w:val="00F65E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A05C5"/>
    <w:multiLevelType w:val="multilevel"/>
    <w:tmpl w:val="EE2CD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8DD76EB"/>
    <w:multiLevelType w:val="hybridMultilevel"/>
    <w:tmpl w:val="C2966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17"/>
  </w:num>
  <w:num w:numId="7">
    <w:abstractNumId w:val="3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5"/>
  </w:num>
  <w:num w:numId="13">
    <w:abstractNumId w:val="20"/>
  </w:num>
  <w:num w:numId="14">
    <w:abstractNumId w:val="19"/>
  </w:num>
  <w:num w:numId="15">
    <w:abstractNumId w:val="21"/>
  </w:num>
  <w:num w:numId="16">
    <w:abstractNumId w:val="18"/>
  </w:num>
  <w:num w:numId="17">
    <w:abstractNumId w:val="11"/>
  </w:num>
  <w:num w:numId="18">
    <w:abstractNumId w:val="6"/>
  </w:num>
  <w:num w:numId="19">
    <w:abstractNumId w:val="22"/>
  </w:num>
  <w:num w:numId="20">
    <w:abstractNumId w:val="13"/>
  </w:num>
  <w:num w:numId="21">
    <w:abstractNumId w:val="2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NTAytTA2NLUwNDBW0lEKTi0uzszPAykwNKgFAIsoPuYtAAAA"/>
  </w:docVars>
  <w:rsids>
    <w:rsidRoot w:val="00004AFF"/>
    <w:rsid w:val="00000BAB"/>
    <w:rsid w:val="00001363"/>
    <w:rsid w:val="00001DDF"/>
    <w:rsid w:val="00002A30"/>
    <w:rsid w:val="00002AF5"/>
    <w:rsid w:val="00004AFF"/>
    <w:rsid w:val="00005860"/>
    <w:rsid w:val="000058D6"/>
    <w:rsid w:val="00005B53"/>
    <w:rsid w:val="00005DEF"/>
    <w:rsid w:val="00006152"/>
    <w:rsid w:val="000074A7"/>
    <w:rsid w:val="00010C4B"/>
    <w:rsid w:val="0001107F"/>
    <w:rsid w:val="0001178A"/>
    <w:rsid w:val="000117DC"/>
    <w:rsid w:val="00011F8D"/>
    <w:rsid w:val="00012BD5"/>
    <w:rsid w:val="00015179"/>
    <w:rsid w:val="00015930"/>
    <w:rsid w:val="00015FC5"/>
    <w:rsid w:val="00017FE8"/>
    <w:rsid w:val="000206A3"/>
    <w:rsid w:val="000213D1"/>
    <w:rsid w:val="000217F8"/>
    <w:rsid w:val="00022815"/>
    <w:rsid w:val="000230CC"/>
    <w:rsid w:val="00023734"/>
    <w:rsid w:val="00023963"/>
    <w:rsid w:val="00025013"/>
    <w:rsid w:val="000254BE"/>
    <w:rsid w:val="00025EA6"/>
    <w:rsid w:val="00027770"/>
    <w:rsid w:val="000301BC"/>
    <w:rsid w:val="00030C03"/>
    <w:rsid w:val="00030E3A"/>
    <w:rsid w:val="00031155"/>
    <w:rsid w:val="00031E0B"/>
    <w:rsid w:val="00032679"/>
    <w:rsid w:val="00032A10"/>
    <w:rsid w:val="00032E4D"/>
    <w:rsid w:val="00033551"/>
    <w:rsid w:val="00033683"/>
    <w:rsid w:val="00033741"/>
    <w:rsid w:val="00033AE0"/>
    <w:rsid w:val="0003409C"/>
    <w:rsid w:val="0003567D"/>
    <w:rsid w:val="000359B3"/>
    <w:rsid w:val="00036BAE"/>
    <w:rsid w:val="00036C9B"/>
    <w:rsid w:val="00037656"/>
    <w:rsid w:val="0003775C"/>
    <w:rsid w:val="0003777F"/>
    <w:rsid w:val="000377D9"/>
    <w:rsid w:val="00047339"/>
    <w:rsid w:val="0005147F"/>
    <w:rsid w:val="00051686"/>
    <w:rsid w:val="00051BF7"/>
    <w:rsid w:val="00052227"/>
    <w:rsid w:val="00052895"/>
    <w:rsid w:val="00053166"/>
    <w:rsid w:val="00053277"/>
    <w:rsid w:val="00054D2B"/>
    <w:rsid w:val="00054EC7"/>
    <w:rsid w:val="00054FAA"/>
    <w:rsid w:val="00055087"/>
    <w:rsid w:val="00056B87"/>
    <w:rsid w:val="00060786"/>
    <w:rsid w:val="00060810"/>
    <w:rsid w:val="00060C4E"/>
    <w:rsid w:val="00061D59"/>
    <w:rsid w:val="0006407E"/>
    <w:rsid w:val="00064476"/>
    <w:rsid w:val="00064EC5"/>
    <w:rsid w:val="0006661D"/>
    <w:rsid w:val="00067737"/>
    <w:rsid w:val="00070E9C"/>
    <w:rsid w:val="00071976"/>
    <w:rsid w:val="00072FAC"/>
    <w:rsid w:val="00075F2C"/>
    <w:rsid w:val="0007764B"/>
    <w:rsid w:val="00080205"/>
    <w:rsid w:val="00084EEE"/>
    <w:rsid w:val="0008526F"/>
    <w:rsid w:val="00085518"/>
    <w:rsid w:val="00085D99"/>
    <w:rsid w:val="000861DE"/>
    <w:rsid w:val="00086CD0"/>
    <w:rsid w:val="00086DD2"/>
    <w:rsid w:val="000870A0"/>
    <w:rsid w:val="000902DD"/>
    <w:rsid w:val="00091433"/>
    <w:rsid w:val="00091EFE"/>
    <w:rsid w:val="00093096"/>
    <w:rsid w:val="00093BDF"/>
    <w:rsid w:val="00093D3D"/>
    <w:rsid w:val="0009413E"/>
    <w:rsid w:val="00094526"/>
    <w:rsid w:val="0009464F"/>
    <w:rsid w:val="00095500"/>
    <w:rsid w:val="00095F37"/>
    <w:rsid w:val="000A1274"/>
    <w:rsid w:val="000A1B13"/>
    <w:rsid w:val="000A44F9"/>
    <w:rsid w:val="000B0A70"/>
    <w:rsid w:val="000B22C2"/>
    <w:rsid w:val="000B3C3E"/>
    <w:rsid w:val="000B523C"/>
    <w:rsid w:val="000B553D"/>
    <w:rsid w:val="000B5CB1"/>
    <w:rsid w:val="000B698A"/>
    <w:rsid w:val="000B74C2"/>
    <w:rsid w:val="000C14DF"/>
    <w:rsid w:val="000C16B3"/>
    <w:rsid w:val="000C1DB0"/>
    <w:rsid w:val="000C2A5D"/>
    <w:rsid w:val="000C2A66"/>
    <w:rsid w:val="000C386C"/>
    <w:rsid w:val="000C3FD6"/>
    <w:rsid w:val="000C460D"/>
    <w:rsid w:val="000C4A6E"/>
    <w:rsid w:val="000C4EA5"/>
    <w:rsid w:val="000C68F7"/>
    <w:rsid w:val="000C6A90"/>
    <w:rsid w:val="000D24A7"/>
    <w:rsid w:val="000D3011"/>
    <w:rsid w:val="000D374F"/>
    <w:rsid w:val="000D4726"/>
    <w:rsid w:val="000D4C83"/>
    <w:rsid w:val="000D6297"/>
    <w:rsid w:val="000D6972"/>
    <w:rsid w:val="000D718F"/>
    <w:rsid w:val="000D79A2"/>
    <w:rsid w:val="000D79DE"/>
    <w:rsid w:val="000E13E1"/>
    <w:rsid w:val="000E2835"/>
    <w:rsid w:val="000E2C3F"/>
    <w:rsid w:val="000E59E7"/>
    <w:rsid w:val="000E5D12"/>
    <w:rsid w:val="000E7229"/>
    <w:rsid w:val="000F0B7B"/>
    <w:rsid w:val="000F12EC"/>
    <w:rsid w:val="000F726B"/>
    <w:rsid w:val="000F7BD0"/>
    <w:rsid w:val="001001E6"/>
    <w:rsid w:val="001018DB"/>
    <w:rsid w:val="00102BDD"/>
    <w:rsid w:val="00103AA3"/>
    <w:rsid w:val="00103EDB"/>
    <w:rsid w:val="00104325"/>
    <w:rsid w:val="0010461C"/>
    <w:rsid w:val="00104B04"/>
    <w:rsid w:val="00105D2B"/>
    <w:rsid w:val="00106415"/>
    <w:rsid w:val="001074B7"/>
    <w:rsid w:val="00107DEA"/>
    <w:rsid w:val="00110421"/>
    <w:rsid w:val="001117D6"/>
    <w:rsid w:val="00111E9F"/>
    <w:rsid w:val="00112AA4"/>
    <w:rsid w:val="00112DCC"/>
    <w:rsid w:val="00114A1F"/>
    <w:rsid w:val="00115841"/>
    <w:rsid w:val="00115BB1"/>
    <w:rsid w:val="001178D4"/>
    <w:rsid w:val="00121A00"/>
    <w:rsid w:val="00121B53"/>
    <w:rsid w:val="00121EDB"/>
    <w:rsid w:val="001233E1"/>
    <w:rsid w:val="00123FC7"/>
    <w:rsid w:val="00124B2A"/>
    <w:rsid w:val="00124DA0"/>
    <w:rsid w:val="00125AEC"/>
    <w:rsid w:val="0012605D"/>
    <w:rsid w:val="00126B07"/>
    <w:rsid w:val="00127269"/>
    <w:rsid w:val="0012764D"/>
    <w:rsid w:val="00127BD4"/>
    <w:rsid w:val="00130EB8"/>
    <w:rsid w:val="00131393"/>
    <w:rsid w:val="00131AB0"/>
    <w:rsid w:val="00131D38"/>
    <w:rsid w:val="00131FA4"/>
    <w:rsid w:val="0013281C"/>
    <w:rsid w:val="0013290D"/>
    <w:rsid w:val="00134AAB"/>
    <w:rsid w:val="00134AF3"/>
    <w:rsid w:val="0013552A"/>
    <w:rsid w:val="0013571C"/>
    <w:rsid w:val="00135B43"/>
    <w:rsid w:val="00136C9F"/>
    <w:rsid w:val="00137F11"/>
    <w:rsid w:val="001422A8"/>
    <w:rsid w:val="00147D8F"/>
    <w:rsid w:val="001502CA"/>
    <w:rsid w:val="001509D3"/>
    <w:rsid w:val="00150AFE"/>
    <w:rsid w:val="00150F56"/>
    <w:rsid w:val="00151E18"/>
    <w:rsid w:val="00152FF3"/>
    <w:rsid w:val="0015302A"/>
    <w:rsid w:val="00153EA2"/>
    <w:rsid w:val="00155712"/>
    <w:rsid w:val="00156052"/>
    <w:rsid w:val="0016014B"/>
    <w:rsid w:val="00161AA5"/>
    <w:rsid w:val="00161EF8"/>
    <w:rsid w:val="0016294E"/>
    <w:rsid w:val="00163FCA"/>
    <w:rsid w:val="00164621"/>
    <w:rsid w:val="00164F52"/>
    <w:rsid w:val="00165BC4"/>
    <w:rsid w:val="0017064C"/>
    <w:rsid w:val="00171A5E"/>
    <w:rsid w:val="0017266A"/>
    <w:rsid w:val="00172D94"/>
    <w:rsid w:val="001746D5"/>
    <w:rsid w:val="001747A3"/>
    <w:rsid w:val="00174B75"/>
    <w:rsid w:val="00174D36"/>
    <w:rsid w:val="0017545F"/>
    <w:rsid w:val="001762E0"/>
    <w:rsid w:val="00177CE2"/>
    <w:rsid w:val="00181170"/>
    <w:rsid w:val="00182B86"/>
    <w:rsid w:val="001832E4"/>
    <w:rsid w:val="0018655F"/>
    <w:rsid w:val="0019017A"/>
    <w:rsid w:val="00190553"/>
    <w:rsid w:val="0019058C"/>
    <w:rsid w:val="001925A4"/>
    <w:rsid w:val="0019304F"/>
    <w:rsid w:val="001941EC"/>
    <w:rsid w:val="00195A06"/>
    <w:rsid w:val="00196A38"/>
    <w:rsid w:val="00197201"/>
    <w:rsid w:val="001A0518"/>
    <w:rsid w:val="001A070A"/>
    <w:rsid w:val="001A0E0A"/>
    <w:rsid w:val="001A208B"/>
    <w:rsid w:val="001A5085"/>
    <w:rsid w:val="001A5126"/>
    <w:rsid w:val="001A5DAB"/>
    <w:rsid w:val="001A6918"/>
    <w:rsid w:val="001B0A02"/>
    <w:rsid w:val="001B17DA"/>
    <w:rsid w:val="001B2722"/>
    <w:rsid w:val="001B3287"/>
    <w:rsid w:val="001B45E5"/>
    <w:rsid w:val="001B5CFE"/>
    <w:rsid w:val="001B673D"/>
    <w:rsid w:val="001C0EA7"/>
    <w:rsid w:val="001C17DB"/>
    <w:rsid w:val="001C1B7D"/>
    <w:rsid w:val="001C2121"/>
    <w:rsid w:val="001C32C9"/>
    <w:rsid w:val="001C358A"/>
    <w:rsid w:val="001C374C"/>
    <w:rsid w:val="001C6D2B"/>
    <w:rsid w:val="001C79AF"/>
    <w:rsid w:val="001C7A6D"/>
    <w:rsid w:val="001D012A"/>
    <w:rsid w:val="001D01C2"/>
    <w:rsid w:val="001D0C00"/>
    <w:rsid w:val="001D0ED1"/>
    <w:rsid w:val="001D14D7"/>
    <w:rsid w:val="001D1AB9"/>
    <w:rsid w:val="001D23FE"/>
    <w:rsid w:val="001D3025"/>
    <w:rsid w:val="001D358A"/>
    <w:rsid w:val="001D3EE5"/>
    <w:rsid w:val="001D3FC1"/>
    <w:rsid w:val="001D4065"/>
    <w:rsid w:val="001D4A4F"/>
    <w:rsid w:val="001D4F98"/>
    <w:rsid w:val="001D5B78"/>
    <w:rsid w:val="001D61CC"/>
    <w:rsid w:val="001D7395"/>
    <w:rsid w:val="001D7941"/>
    <w:rsid w:val="001D7A19"/>
    <w:rsid w:val="001E0AD5"/>
    <w:rsid w:val="001E1087"/>
    <w:rsid w:val="001E10E7"/>
    <w:rsid w:val="001E1440"/>
    <w:rsid w:val="001E237C"/>
    <w:rsid w:val="001E3064"/>
    <w:rsid w:val="001E6B8F"/>
    <w:rsid w:val="001F1374"/>
    <w:rsid w:val="001F2BC6"/>
    <w:rsid w:val="001F2F4D"/>
    <w:rsid w:val="001F5DEC"/>
    <w:rsid w:val="001F6FB6"/>
    <w:rsid w:val="001F72DD"/>
    <w:rsid w:val="00200FDA"/>
    <w:rsid w:val="002011AC"/>
    <w:rsid w:val="00201B46"/>
    <w:rsid w:val="00201E63"/>
    <w:rsid w:val="00201F7A"/>
    <w:rsid w:val="00204BC8"/>
    <w:rsid w:val="00204BFD"/>
    <w:rsid w:val="00204E66"/>
    <w:rsid w:val="00205648"/>
    <w:rsid w:val="002056BE"/>
    <w:rsid w:val="002074FA"/>
    <w:rsid w:val="00207E93"/>
    <w:rsid w:val="00213715"/>
    <w:rsid w:val="00213C74"/>
    <w:rsid w:val="00216052"/>
    <w:rsid w:val="002167BD"/>
    <w:rsid w:val="002208C5"/>
    <w:rsid w:val="002213DA"/>
    <w:rsid w:val="00221495"/>
    <w:rsid w:val="00221C11"/>
    <w:rsid w:val="00222C97"/>
    <w:rsid w:val="002247B4"/>
    <w:rsid w:val="00225039"/>
    <w:rsid w:val="00225884"/>
    <w:rsid w:val="00230C81"/>
    <w:rsid w:val="002314B8"/>
    <w:rsid w:val="00231AA7"/>
    <w:rsid w:val="00231EB4"/>
    <w:rsid w:val="00232879"/>
    <w:rsid w:val="00233437"/>
    <w:rsid w:val="00233571"/>
    <w:rsid w:val="00233810"/>
    <w:rsid w:val="002339CD"/>
    <w:rsid w:val="002341CF"/>
    <w:rsid w:val="00234C89"/>
    <w:rsid w:val="00237B59"/>
    <w:rsid w:val="00242F16"/>
    <w:rsid w:val="00243410"/>
    <w:rsid w:val="00243BA0"/>
    <w:rsid w:val="00244CA1"/>
    <w:rsid w:val="002457BF"/>
    <w:rsid w:val="002465AB"/>
    <w:rsid w:val="002473DE"/>
    <w:rsid w:val="002505C9"/>
    <w:rsid w:val="00250E42"/>
    <w:rsid w:val="0025138D"/>
    <w:rsid w:val="00252ECB"/>
    <w:rsid w:val="00253B8D"/>
    <w:rsid w:val="002540E4"/>
    <w:rsid w:val="00254F9A"/>
    <w:rsid w:val="002559B4"/>
    <w:rsid w:val="00255B19"/>
    <w:rsid w:val="0025680D"/>
    <w:rsid w:val="00260E8C"/>
    <w:rsid w:val="002611B0"/>
    <w:rsid w:val="00261D2E"/>
    <w:rsid w:val="0026275B"/>
    <w:rsid w:val="00262869"/>
    <w:rsid w:val="002628DB"/>
    <w:rsid w:val="0026319D"/>
    <w:rsid w:val="002638E7"/>
    <w:rsid w:val="00263C02"/>
    <w:rsid w:val="00263C1F"/>
    <w:rsid w:val="00264D79"/>
    <w:rsid w:val="00264E1D"/>
    <w:rsid w:val="00265D1E"/>
    <w:rsid w:val="0026621F"/>
    <w:rsid w:val="00266C73"/>
    <w:rsid w:val="002674EC"/>
    <w:rsid w:val="00270015"/>
    <w:rsid w:val="002701CC"/>
    <w:rsid w:val="002714CA"/>
    <w:rsid w:val="00271E82"/>
    <w:rsid w:val="002725E1"/>
    <w:rsid w:val="002729F0"/>
    <w:rsid w:val="00273AB4"/>
    <w:rsid w:val="00273D43"/>
    <w:rsid w:val="002745A5"/>
    <w:rsid w:val="00274902"/>
    <w:rsid w:val="00276144"/>
    <w:rsid w:val="002762E5"/>
    <w:rsid w:val="00276791"/>
    <w:rsid w:val="00276BCF"/>
    <w:rsid w:val="0027722E"/>
    <w:rsid w:val="00277E79"/>
    <w:rsid w:val="00280369"/>
    <w:rsid w:val="00280D58"/>
    <w:rsid w:val="00282A2E"/>
    <w:rsid w:val="00283DF1"/>
    <w:rsid w:val="00284460"/>
    <w:rsid w:val="0028575F"/>
    <w:rsid w:val="00285CA8"/>
    <w:rsid w:val="002864C9"/>
    <w:rsid w:val="00286E53"/>
    <w:rsid w:val="00287BA8"/>
    <w:rsid w:val="00287E68"/>
    <w:rsid w:val="002900D6"/>
    <w:rsid w:val="00290181"/>
    <w:rsid w:val="0029194B"/>
    <w:rsid w:val="00292CF2"/>
    <w:rsid w:val="002936C2"/>
    <w:rsid w:val="00293CDE"/>
    <w:rsid w:val="002947E1"/>
    <w:rsid w:val="00295A27"/>
    <w:rsid w:val="00295B8A"/>
    <w:rsid w:val="00297BA8"/>
    <w:rsid w:val="00297FF1"/>
    <w:rsid w:val="002A0350"/>
    <w:rsid w:val="002A058D"/>
    <w:rsid w:val="002A2188"/>
    <w:rsid w:val="002A2865"/>
    <w:rsid w:val="002A4180"/>
    <w:rsid w:val="002A46A2"/>
    <w:rsid w:val="002A4F3E"/>
    <w:rsid w:val="002A6204"/>
    <w:rsid w:val="002A7BC1"/>
    <w:rsid w:val="002B0B93"/>
    <w:rsid w:val="002B153D"/>
    <w:rsid w:val="002B3173"/>
    <w:rsid w:val="002B37CA"/>
    <w:rsid w:val="002B3883"/>
    <w:rsid w:val="002B3E12"/>
    <w:rsid w:val="002B5D45"/>
    <w:rsid w:val="002B6CD8"/>
    <w:rsid w:val="002B6F8C"/>
    <w:rsid w:val="002C09E3"/>
    <w:rsid w:val="002C313E"/>
    <w:rsid w:val="002C507E"/>
    <w:rsid w:val="002C5506"/>
    <w:rsid w:val="002C5B12"/>
    <w:rsid w:val="002D0491"/>
    <w:rsid w:val="002D0CFD"/>
    <w:rsid w:val="002D1905"/>
    <w:rsid w:val="002D5FAF"/>
    <w:rsid w:val="002D61CC"/>
    <w:rsid w:val="002D78D6"/>
    <w:rsid w:val="002D79D6"/>
    <w:rsid w:val="002D7D62"/>
    <w:rsid w:val="002E091E"/>
    <w:rsid w:val="002E0B7B"/>
    <w:rsid w:val="002E1099"/>
    <w:rsid w:val="002E2272"/>
    <w:rsid w:val="002E2BD1"/>
    <w:rsid w:val="002E2F5E"/>
    <w:rsid w:val="002E3872"/>
    <w:rsid w:val="002E4962"/>
    <w:rsid w:val="002E49B1"/>
    <w:rsid w:val="002E52CA"/>
    <w:rsid w:val="002E6330"/>
    <w:rsid w:val="002E65D4"/>
    <w:rsid w:val="002E752B"/>
    <w:rsid w:val="002F295A"/>
    <w:rsid w:val="002F33B7"/>
    <w:rsid w:val="002F3A01"/>
    <w:rsid w:val="002F607D"/>
    <w:rsid w:val="002F6198"/>
    <w:rsid w:val="002F6DE3"/>
    <w:rsid w:val="002F725D"/>
    <w:rsid w:val="00300BBA"/>
    <w:rsid w:val="00300F76"/>
    <w:rsid w:val="00301E5F"/>
    <w:rsid w:val="0030346C"/>
    <w:rsid w:val="00304131"/>
    <w:rsid w:val="003055AF"/>
    <w:rsid w:val="00306940"/>
    <w:rsid w:val="00306BD0"/>
    <w:rsid w:val="00307BBC"/>
    <w:rsid w:val="00311704"/>
    <w:rsid w:val="0031352C"/>
    <w:rsid w:val="00313F34"/>
    <w:rsid w:val="00315554"/>
    <w:rsid w:val="00316031"/>
    <w:rsid w:val="00316DD0"/>
    <w:rsid w:val="003171CC"/>
    <w:rsid w:val="003177E8"/>
    <w:rsid w:val="003203F8"/>
    <w:rsid w:val="00321FA6"/>
    <w:rsid w:val="00323113"/>
    <w:rsid w:val="00323591"/>
    <w:rsid w:val="00324BA0"/>
    <w:rsid w:val="00326153"/>
    <w:rsid w:val="00330BA9"/>
    <w:rsid w:val="003318FD"/>
    <w:rsid w:val="00331AC9"/>
    <w:rsid w:val="00331C45"/>
    <w:rsid w:val="0033288A"/>
    <w:rsid w:val="003341DC"/>
    <w:rsid w:val="0033693F"/>
    <w:rsid w:val="003408E8"/>
    <w:rsid w:val="00340B15"/>
    <w:rsid w:val="00340D2E"/>
    <w:rsid w:val="00341AF0"/>
    <w:rsid w:val="0034276C"/>
    <w:rsid w:val="00342A0E"/>
    <w:rsid w:val="003438D0"/>
    <w:rsid w:val="00343B1F"/>
    <w:rsid w:val="00344BD9"/>
    <w:rsid w:val="00344D41"/>
    <w:rsid w:val="00346104"/>
    <w:rsid w:val="0034786B"/>
    <w:rsid w:val="00350D3C"/>
    <w:rsid w:val="003517F7"/>
    <w:rsid w:val="00352021"/>
    <w:rsid w:val="00352FD4"/>
    <w:rsid w:val="00353477"/>
    <w:rsid w:val="00353E7A"/>
    <w:rsid w:val="003543D3"/>
    <w:rsid w:val="0035580A"/>
    <w:rsid w:val="00355C55"/>
    <w:rsid w:val="00355DD7"/>
    <w:rsid w:val="00355F72"/>
    <w:rsid w:val="0035684C"/>
    <w:rsid w:val="00356CE4"/>
    <w:rsid w:val="00360B33"/>
    <w:rsid w:val="0036129E"/>
    <w:rsid w:val="00362218"/>
    <w:rsid w:val="0036225E"/>
    <w:rsid w:val="003628D7"/>
    <w:rsid w:val="0036403B"/>
    <w:rsid w:val="00364298"/>
    <w:rsid w:val="00365A65"/>
    <w:rsid w:val="00365D17"/>
    <w:rsid w:val="00365F72"/>
    <w:rsid w:val="00370BBA"/>
    <w:rsid w:val="00371529"/>
    <w:rsid w:val="00371718"/>
    <w:rsid w:val="00371E15"/>
    <w:rsid w:val="003726BD"/>
    <w:rsid w:val="00372918"/>
    <w:rsid w:val="0037436A"/>
    <w:rsid w:val="00375A34"/>
    <w:rsid w:val="0037630B"/>
    <w:rsid w:val="003771B5"/>
    <w:rsid w:val="00377897"/>
    <w:rsid w:val="003801CE"/>
    <w:rsid w:val="003814A8"/>
    <w:rsid w:val="00381952"/>
    <w:rsid w:val="00382A54"/>
    <w:rsid w:val="003833D3"/>
    <w:rsid w:val="003834E0"/>
    <w:rsid w:val="003860D2"/>
    <w:rsid w:val="00386198"/>
    <w:rsid w:val="0038626D"/>
    <w:rsid w:val="00387520"/>
    <w:rsid w:val="00394636"/>
    <w:rsid w:val="00395628"/>
    <w:rsid w:val="00396EB5"/>
    <w:rsid w:val="00397F2E"/>
    <w:rsid w:val="003A072A"/>
    <w:rsid w:val="003A0F34"/>
    <w:rsid w:val="003A100E"/>
    <w:rsid w:val="003A1294"/>
    <w:rsid w:val="003A2109"/>
    <w:rsid w:val="003A41AF"/>
    <w:rsid w:val="003A5582"/>
    <w:rsid w:val="003A595B"/>
    <w:rsid w:val="003A6122"/>
    <w:rsid w:val="003A6762"/>
    <w:rsid w:val="003A6FEB"/>
    <w:rsid w:val="003A7300"/>
    <w:rsid w:val="003B1DB9"/>
    <w:rsid w:val="003B2BA5"/>
    <w:rsid w:val="003B4511"/>
    <w:rsid w:val="003B4B68"/>
    <w:rsid w:val="003B4C31"/>
    <w:rsid w:val="003B57FE"/>
    <w:rsid w:val="003B596A"/>
    <w:rsid w:val="003B66A3"/>
    <w:rsid w:val="003B6E42"/>
    <w:rsid w:val="003B7556"/>
    <w:rsid w:val="003C059C"/>
    <w:rsid w:val="003C078B"/>
    <w:rsid w:val="003C0DCB"/>
    <w:rsid w:val="003C1A3E"/>
    <w:rsid w:val="003C2047"/>
    <w:rsid w:val="003C54AB"/>
    <w:rsid w:val="003C60D4"/>
    <w:rsid w:val="003C71BA"/>
    <w:rsid w:val="003C79DB"/>
    <w:rsid w:val="003D05D8"/>
    <w:rsid w:val="003D1D5F"/>
    <w:rsid w:val="003D1FDB"/>
    <w:rsid w:val="003D2E8A"/>
    <w:rsid w:val="003D3277"/>
    <w:rsid w:val="003D42A5"/>
    <w:rsid w:val="003D4FAF"/>
    <w:rsid w:val="003E3278"/>
    <w:rsid w:val="003E36DC"/>
    <w:rsid w:val="003E3DC1"/>
    <w:rsid w:val="003E544E"/>
    <w:rsid w:val="003E5EDF"/>
    <w:rsid w:val="003E76D9"/>
    <w:rsid w:val="003F0096"/>
    <w:rsid w:val="003F019D"/>
    <w:rsid w:val="003F28F1"/>
    <w:rsid w:val="003F2E0E"/>
    <w:rsid w:val="003F4B25"/>
    <w:rsid w:val="003F4EBE"/>
    <w:rsid w:val="003F5158"/>
    <w:rsid w:val="003F54B3"/>
    <w:rsid w:val="003F639D"/>
    <w:rsid w:val="00401178"/>
    <w:rsid w:val="004036AD"/>
    <w:rsid w:val="0040580C"/>
    <w:rsid w:val="0040684D"/>
    <w:rsid w:val="00410A96"/>
    <w:rsid w:val="00410C88"/>
    <w:rsid w:val="0041151A"/>
    <w:rsid w:val="00411F18"/>
    <w:rsid w:val="004141BE"/>
    <w:rsid w:val="0041513D"/>
    <w:rsid w:val="004151B6"/>
    <w:rsid w:val="00415872"/>
    <w:rsid w:val="00416961"/>
    <w:rsid w:val="00417587"/>
    <w:rsid w:val="00417EFC"/>
    <w:rsid w:val="00420654"/>
    <w:rsid w:val="0042147C"/>
    <w:rsid w:val="00421B88"/>
    <w:rsid w:val="00421C2B"/>
    <w:rsid w:val="00421D58"/>
    <w:rsid w:val="004234C2"/>
    <w:rsid w:val="004244DF"/>
    <w:rsid w:val="00425B51"/>
    <w:rsid w:val="00426593"/>
    <w:rsid w:val="00427E17"/>
    <w:rsid w:val="00430052"/>
    <w:rsid w:val="00431E0A"/>
    <w:rsid w:val="00432C16"/>
    <w:rsid w:val="004330D9"/>
    <w:rsid w:val="00433A73"/>
    <w:rsid w:val="00435C80"/>
    <w:rsid w:val="00435F6F"/>
    <w:rsid w:val="0043604C"/>
    <w:rsid w:val="004370C6"/>
    <w:rsid w:val="00441767"/>
    <w:rsid w:val="0044179C"/>
    <w:rsid w:val="00444368"/>
    <w:rsid w:val="0044508F"/>
    <w:rsid w:val="004463EB"/>
    <w:rsid w:val="00450902"/>
    <w:rsid w:val="00451C48"/>
    <w:rsid w:val="00454821"/>
    <w:rsid w:val="004560EA"/>
    <w:rsid w:val="0045623A"/>
    <w:rsid w:val="00456FD6"/>
    <w:rsid w:val="00457945"/>
    <w:rsid w:val="00462642"/>
    <w:rsid w:val="00463113"/>
    <w:rsid w:val="00464EC5"/>
    <w:rsid w:val="0046531E"/>
    <w:rsid w:val="004666BF"/>
    <w:rsid w:val="00470EFA"/>
    <w:rsid w:val="00471255"/>
    <w:rsid w:val="00471311"/>
    <w:rsid w:val="00471AFD"/>
    <w:rsid w:val="004729C7"/>
    <w:rsid w:val="00472E7B"/>
    <w:rsid w:val="00472F05"/>
    <w:rsid w:val="0047367E"/>
    <w:rsid w:val="004737F6"/>
    <w:rsid w:val="00473FEF"/>
    <w:rsid w:val="00474A75"/>
    <w:rsid w:val="00474F04"/>
    <w:rsid w:val="00475D26"/>
    <w:rsid w:val="0047679C"/>
    <w:rsid w:val="004778BB"/>
    <w:rsid w:val="00477BB6"/>
    <w:rsid w:val="00477EB0"/>
    <w:rsid w:val="004807D3"/>
    <w:rsid w:val="00480F98"/>
    <w:rsid w:val="0048223C"/>
    <w:rsid w:val="00482584"/>
    <w:rsid w:val="00484321"/>
    <w:rsid w:val="004855F2"/>
    <w:rsid w:val="004873B2"/>
    <w:rsid w:val="0048755F"/>
    <w:rsid w:val="00487CCC"/>
    <w:rsid w:val="00487D93"/>
    <w:rsid w:val="00491736"/>
    <w:rsid w:val="0049216C"/>
    <w:rsid w:val="0049294B"/>
    <w:rsid w:val="00493183"/>
    <w:rsid w:val="00493DB4"/>
    <w:rsid w:val="004950D1"/>
    <w:rsid w:val="00496DF8"/>
    <w:rsid w:val="004978C8"/>
    <w:rsid w:val="004A03EC"/>
    <w:rsid w:val="004A0994"/>
    <w:rsid w:val="004A0A42"/>
    <w:rsid w:val="004A10FE"/>
    <w:rsid w:val="004A13D1"/>
    <w:rsid w:val="004A24FB"/>
    <w:rsid w:val="004A3993"/>
    <w:rsid w:val="004A422B"/>
    <w:rsid w:val="004A4D6D"/>
    <w:rsid w:val="004A5669"/>
    <w:rsid w:val="004A5B6A"/>
    <w:rsid w:val="004A5C88"/>
    <w:rsid w:val="004A660B"/>
    <w:rsid w:val="004A6A92"/>
    <w:rsid w:val="004A7285"/>
    <w:rsid w:val="004B340D"/>
    <w:rsid w:val="004B360C"/>
    <w:rsid w:val="004B414E"/>
    <w:rsid w:val="004B4507"/>
    <w:rsid w:val="004B4521"/>
    <w:rsid w:val="004B4B55"/>
    <w:rsid w:val="004B65EA"/>
    <w:rsid w:val="004B7638"/>
    <w:rsid w:val="004B7B02"/>
    <w:rsid w:val="004C0BB1"/>
    <w:rsid w:val="004C1C50"/>
    <w:rsid w:val="004C1F1D"/>
    <w:rsid w:val="004C2133"/>
    <w:rsid w:val="004C332D"/>
    <w:rsid w:val="004C38F7"/>
    <w:rsid w:val="004C5077"/>
    <w:rsid w:val="004C5435"/>
    <w:rsid w:val="004C5F7A"/>
    <w:rsid w:val="004C6C7D"/>
    <w:rsid w:val="004C75D4"/>
    <w:rsid w:val="004C7A61"/>
    <w:rsid w:val="004C7DD6"/>
    <w:rsid w:val="004D0A81"/>
    <w:rsid w:val="004D46FC"/>
    <w:rsid w:val="004D4A5A"/>
    <w:rsid w:val="004D5091"/>
    <w:rsid w:val="004E012A"/>
    <w:rsid w:val="004E06D0"/>
    <w:rsid w:val="004E0700"/>
    <w:rsid w:val="004E2640"/>
    <w:rsid w:val="004E28D2"/>
    <w:rsid w:val="004E3F04"/>
    <w:rsid w:val="004E4142"/>
    <w:rsid w:val="004E5222"/>
    <w:rsid w:val="004E7620"/>
    <w:rsid w:val="004E777A"/>
    <w:rsid w:val="004F0056"/>
    <w:rsid w:val="004F0DC2"/>
    <w:rsid w:val="004F1916"/>
    <w:rsid w:val="004F1C8B"/>
    <w:rsid w:val="004F288C"/>
    <w:rsid w:val="004F3199"/>
    <w:rsid w:val="004F6377"/>
    <w:rsid w:val="005005A6"/>
    <w:rsid w:val="005005B1"/>
    <w:rsid w:val="005006E2"/>
    <w:rsid w:val="00500D5A"/>
    <w:rsid w:val="00501DB5"/>
    <w:rsid w:val="0050267D"/>
    <w:rsid w:val="005054A4"/>
    <w:rsid w:val="0050622E"/>
    <w:rsid w:val="00506565"/>
    <w:rsid w:val="0050754A"/>
    <w:rsid w:val="0051059A"/>
    <w:rsid w:val="00511C7F"/>
    <w:rsid w:val="00511CE9"/>
    <w:rsid w:val="00512A36"/>
    <w:rsid w:val="005134D7"/>
    <w:rsid w:val="0051397A"/>
    <w:rsid w:val="00513D99"/>
    <w:rsid w:val="00515EB5"/>
    <w:rsid w:val="00516E5C"/>
    <w:rsid w:val="0051702B"/>
    <w:rsid w:val="0051774A"/>
    <w:rsid w:val="005179F8"/>
    <w:rsid w:val="00520511"/>
    <w:rsid w:val="005217D7"/>
    <w:rsid w:val="00523F5C"/>
    <w:rsid w:val="00526838"/>
    <w:rsid w:val="005278E1"/>
    <w:rsid w:val="0053176F"/>
    <w:rsid w:val="00531E68"/>
    <w:rsid w:val="005327BD"/>
    <w:rsid w:val="0053313B"/>
    <w:rsid w:val="00535F71"/>
    <w:rsid w:val="005374A4"/>
    <w:rsid w:val="00537741"/>
    <w:rsid w:val="00537CAB"/>
    <w:rsid w:val="005402F4"/>
    <w:rsid w:val="00540ED2"/>
    <w:rsid w:val="00541127"/>
    <w:rsid w:val="00541A30"/>
    <w:rsid w:val="00542FF3"/>
    <w:rsid w:val="005434A6"/>
    <w:rsid w:val="00543611"/>
    <w:rsid w:val="005445C6"/>
    <w:rsid w:val="00544853"/>
    <w:rsid w:val="00546292"/>
    <w:rsid w:val="00546916"/>
    <w:rsid w:val="00546D87"/>
    <w:rsid w:val="0054773E"/>
    <w:rsid w:val="00547A55"/>
    <w:rsid w:val="00547AD6"/>
    <w:rsid w:val="00551812"/>
    <w:rsid w:val="00551853"/>
    <w:rsid w:val="00552425"/>
    <w:rsid w:val="00553395"/>
    <w:rsid w:val="00554235"/>
    <w:rsid w:val="005553DF"/>
    <w:rsid w:val="0055563F"/>
    <w:rsid w:val="0055685D"/>
    <w:rsid w:val="00556871"/>
    <w:rsid w:val="00556CE0"/>
    <w:rsid w:val="00561204"/>
    <w:rsid w:val="005614F2"/>
    <w:rsid w:val="0056160B"/>
    <w:rsid w:val="00563A61"/>
    <w:rsid w:val="00563B3D"/>
    <w:rsid w:val="00563D00"/>
    <w:rsid w:val="00564081"/>
    <w:rsid w:val="00565003"/>
    <w:rsid w:val="0056520E"/>
    <w:rsid w:val="00566C88"/>
    <w:rsid w:val="005701BA"/>
    <w:rsid w:val="00570F37"/>
    <w:rsid w:val="005738B8"/>
    <w:rsid w:val="00575B44"/>
    <w:rsid w:val="0058071F"/>
    <w:rsid w:val="00580B7F"/>
    <w:rsid w:val="00580CBC"/>
    <w:rsid w:val="00580E33"/>
    <w:rsid w:val="005829B3"/>
    <w:rsid w:val="00583A21"/>
    <w:rsid w:val="005867F7"/>
    <w:rsid w:val="00587356"/>
    <w:rsid w:val="00587491"/>
    <w:rsid w:val="005878F7"/>
    <w:rsid w:val="005904BC"/>
    <w:rsid w:val="00590DDF"/>
    <w:rsid w:val="00591537"/>
    <w:rsid w:val="005915B5"/>
    <w:rsid w:val="005924C5"/>
    <w:rsid w:val="00592B4E"/>
    <w:rsid w:val="00593747"/>
    <w:rsid w:val="00594F0F"/>
    <w:rsid w:val="005957DA"/>
    <w:rsid w:val="00597436"/>
    <w:rsid w:val="005A2614"/>
    <w:rsid w:val="005A2C7D"/>
    <w:rsid w:val="005A2F5B"/>
    <w:rsid w:val="005A3980"/>
    <w:rsid w:val="005A4AA4"/>
    <w:rsid w:val="005A592B"/>
    <w:rsid w:val="005A6310"/>
    <w:rsid w:val="005A6D14"/>
    <w:rsid w:val="005A74D9"/>
    <w:rsid w:val="005A7546"/>
    <w:rsid w:val="005A7786"/>
    <w:rsid w:val="005A7E56"/>
    <w:rsid w:val="005A7EFB"/>
    <w:rsid w:val="005B18D0"/>
    <w:rsid w:val="005B3A72"/>
    <w:rsid w:val="005B45DA"/>
    <w:rsid w:val="005B5081"/>
    <w:rsid w:val="005B6224"/>
    <w:rsid w:val="005B6E6A"/>
    <w:rsid w:val="005B7FAE"/>
    <w:rsid w:val="005C1DAA"/>
    <w:rsid w:val="005C239F"/>
    <w:rsid w:val="005C2495"/>
    <w:rsid w:val="005C27E5"/>
    <w:rsid w:val="005C2B70"/>
    <w:rsid w:val="005C2C76"/>
    <w:rsid w:val="005C3969"/>
    <w:rsid w:val="005C3A08"/>
    <w:rsid w:val="005C56FB"/>
    <w:rsid w:val="005D0051"/>
    <w:rsid w:val="005D0BD6"/>
    <w:rsid w:val="005D0E55"/>
    <w:rsid w:val="005D1B20"/>
    <w:rsid w:val="005D37BA"/>
    <w:rsid w:val="005D4979"/>
    <w:rsid w:val="005D6B3C"/>
    <w:rsid w:val="005D7963"/>
    <w:rsid w:val="005E011D"/>
    <w:rsid w:val="005E33CD"/>
    <w:rsid w:val="005E4AEA"/>
    <w:rsid w:val="005E59D0"/>
    <w:rsid w:val="005E668D"/>
    <w:rsid w:val="005F0219"/>
    <w:rsid w:val="005F0BA3"/>
    <w:rsid w:val="005F0CDB"/>
    <w:rsid w:val="005F10CB"/>
    <w:rsid w:val="005F13C8"/>
    <w:rsid w:val="005F3017"/>
    <w:rsid w:val="005F3D8B"/>
    <w:rsid w:val="005F6751"/>
    <w:rsid w:val="005F6DB6"/>
    <w:rsid w:val="005F73E6"/>
    <w:rsid w:val="005F74C5"/>
    <w:rsid w:val="005F7A9D"/>
    <w:rsid w:val="00601A27"/>
    <w:rsid w:val="00605E17"/>
    <w:rsid w:val="00606855"/>
    <w:rsid w:val="00606F27"/>
    <w:rsid w:val="006073FC"/>
    <w:rsid w:val="00607BA4"/>
    <w:rsid w:val="00607F4B"/>
    <w:rsid w:val="0061121C"/>
    <w:rsid w:val="0061130D"/>
    <w:rsid w:val="00615D06"/>
    <w:rsid w:val="00615E61"/>
    <w:rsid w:val="00622F3F"/>
    <w:rsid w:val="00623119"/>
    <w:rsid w:val="0062355F"/>
    <w:rsid w:val="00623F7E"/>
    <w:rsid w:val="0062421B"/>
    <w:rsid w:val="0062428C"/>
    <w:rsid w:val="0062496C"/>
    <w:rsid w:val="00624D5A"/>
    <w:rsid w:val="00625226"/>
    <w:rsid w:val="00625599"/>
    <w:rsid w:val="0063167B"/>
    <w:rsid w:val="00632114"/>
    <w:rsid w:val="006356C9"/>
    <w:rsid w:val="00635E71"/>
    <w:rsid w:val="00636A2F"/>
    <w:rsid w:val="00637949"/>
    <w:rsid w:val="00637F11"/>
    <w:rsid w:val="00640C98"/>
    <w:rsid w:val="00641CF1"/>
    <w:rsid w:val="006443A2"/>
    <w:rsid w:val="00644593"/>
    <w:rsid w:val="00644CBE"/>
    <w:rsid w:val="006474D4"/>
    <w:rsid w:val="00647912"/>
    <w:rsid w:val="006517A0"/>
    <w:rsid w:val="00651AC9"/>
    <w:rsid w:val="00652C44"/>
    <w:rsid w:val="006559CD"/>
    <w:rsid w:val="00656406"/>
    <w:rsid w:val="00657066"/>
    <w:rsid w:val="00657D1E"/>
    <w:rsid w:val="006608F4"/>
    <w:rsid w:val="0066185D"/>
    <w:rsid w:val="00661B27"/>
    <w:rsid w:val="00661F8C"/>
    <w:rsid w:val="00662153"/>
    <w:rsid w:val="00663153"/>
    <w:rsid w:val="006641C7"/>
    <w:rsid w:val="006651B8"/>
    <w:rsid w:val="00666ABD"/>
    <w:rsid w:val="00666BE5"/>
    <w:rsid w:val="00666FCC"/>
    <w:rsid w:val="00667A78"/>
    <w:rsid w:val="00667FC2"/>
    <w:rsid w:val="00671C6E"/>
    <w:rsid w:val="00671D94"/>
    <w:rsid w:val="006726B3"/>
    <w:rsid w:val="00673E5D"/>
    <w:rsid w:val="006747D1"/>
    <w:rsid w:val="00674DE9"/>
    <w:rsid w:val="00674F60"/>
    <w:rsid w:val="00675CAC"/>
    <w:rsid w:val="006765C7"/>
    <w:rsid w:val="00677543"/>
    <w:rsid w:val="00677EC0"/>
    <w:rsid w:val="00680D92"/>
    <w:rsid w:val="00681C8A"/>
    <w:rsid w:val="00681CA2"/>
    <w:rsid w:val="00682DB8"/>
    <w:rsid w:val="006849A1"/>
    <w:rsid w:val="0068735B"/>
    <w:rsid w:val="006909C9"/>
    <w:rsid w:val="006912D7"/>
    <w:rsid w:val="0069213B"/>
    <w:rsid w:val="00692618"/>
    <w:rsid w:val="00692D3C"/>
    <w:rsid w:val="0069303E"/>
    <w:rsid w:val="006934A2"/>
    <w:rsid w:val="00693D65"/>
    <w:rsid w:val="006944BF"/>
    <w:rsid w:val="0069496C"/>
    <w:rsid w:val="00695727"/>
    <w:rsid w:val="0069610C"/>
    <w:rsid w:val="00697413"/>
    <w:rsid w:val="006979DC"/>
    <w:rsid w:val="006A0D3C"/>
    <w:rsid w:val="006A0DA5"/>
    <w:rsid w:val="006A14B7"/>
    <w:rsid w:val="006A26E2"/>
    <w:rsid w:val="006A2A2E"/>
    <w:rsid w:val="006A2F9A"/>
    <w:rsid w:val="006A38D9"/>
    <w:rsid w:val="006A3E97"/>
    <w:rsid w:val="006A76E4"/>
    <w:rsid w:val="006B06B7"/>
    <w:rsid w:val="006B1D85"/>
    <w:rsid w:val="006B3233"/>
    <w:rsid w:val="006B468F"/>
    <w:rsid w:val="006B6453"/>
    <w:rsid w:val="006B7DBA"/>
    <w:rsid w:val="006C0589"/>
    <w:rsid w:val="006C0BE0"/>
    <w:rsid w:val="006C0CE1"/>
    <w:rsid w:val="006C1271"/>
    <w:rsid w:val="006C2B08"/>
    <w:rsid w:val="006C409C"/>
    <w:rsid w:val="006C4C28"/>
    <w:rsid w:val="006C4FE4"/>
    <w:rsid w:val="006C57A5"/>
    <w:rsid w:val="006C6222"/>
    <w:rsid w:val="006C6847"/>
    <w:rsid w:val="006D0226"/>
    <w:rsid w:val="006D0277"/>
    <w:rsid w:val="006D040B"/>
    <w:rsid w:val="006D0848"/>
    <w:rsid w:val="006D0AD2"/>
    <w:rsid w:val="006D0BD3"/>
    <w:rsid w:val="006D2542"/>
    <w:rsid w:val="006D31BE"/>
    <w:rsid w:val="006D379B"/>
    <w:rsid w:val="006D47A9"/>
    <w:rsid w:val="006D4989"/>
    <w:rsid w:val="006D5AC9"/>
    <w:rsid w:val="006D693C"/>
    <w:rsid w:val="006D6AC8"/>
    <w:rsid w:val="006D71EF"/>
    <w:rsid w:val="006D769F"/>
    <w:rsid w:val="006E0E64"/>
    <w:rsid w:val="006E23D1"/>
    <w:rsid w:val="006E5AF7"/>
    <w:rsid w:val="006E5DB4"/>
    <w:rsid w:val="006E5EB3"/>
    <w:rsid w:val="006E7FBC"/>
    <w:rsid w:val="006F0675"/>
    <w:rsid w:val="006F561F"/>
    <w:rsid w:val="006F6572"/>
    <w:rsid w:val="006F6698"/>
    <w:rsid w:val="006F66D2"/>
    <w:rsid w:val="006F672E"/>
    <w:rsid w:val="00700454"/>
    <w:rsid w:val="007007E5"/>
    <w:rsid w:val="007012F6"/>
    <w:rsid w:val="00701607"/>
    <w:rsid w:val="00703A5D"/>
    <w:rsid w:val="00704870"/>
    <w:rsid w:val="00704B68"/>
    <w:rsid w:val="007059EB"/>
    <w:rsid w:val="007103E3"/>
    <w:rsid w:val="00710833"/>
    <w:rsid w:val="00711827"/>
    <w:rsid w:val="007119E1"/>
    <w:rsid w:val="00711CC1"/>
    <w:rsid w:val="00711E07"/>
    <w:rsid w:val="0071532E"/>
    <w:rsid w:val="00716866"/>
    <w:rsid w:val="0072197A"/>
    <w:rsid w:val="00721DA1"/>
    <w:rsid w:val="0072247D"/>
    <w:rsid w:val="00725C35"/>
    <w:rsid w:val="00726159"/>
    <w:rsid w:val="00726ADA"/>
    <w:rsid w:val="007303E6"/>
    <w:rsid w:val="00732F4B"/>
    <w:rsid w:val="0073334F"/>
    <w:rsid w:val="00734027"/>
    <w:rsid w:val="0073498C"/>
    <w:rsid w:val="00735A82"/>
    <w:rsid w:val="00736A23"/>
    <w:rsid w:val="007379A4"/>
    <w:rsid w:val="00740E71"/>
    <w:rsid w:val="0074249A"/>
    <w:rsid w:val="00742636"/>
    <w:rsid w:val="00744257"/>
    <w:rsid w:val="00744297"/>
    <w:rsid w:val="0074512E"/>
    <w:rsid w:val="00746DE2"/>
    <w:rsid w:val="0074723E"/>
    <w:rsid w:val="00750EAB"/>
    <w:rsid w:val="007511B8"/>
    <w:rsid w:val="007526F8"/>
    <w:rsid w:val="007539C7"/>
    <w:rsid w:val="007540E0"/>
    <w:rsid w:val="00755125"/>
    <w:rsid w:val="00755E8E"/>
    <w:rsid w:val="0075600D"/>
    <w:rsid w:val="00756494"/>
    <w:rsid w:val="00764005"/>
    <w:rsid w:val="00764B0A"/>
    <w:rsid w:val="00767FA8"/>
    <w:rsid w:val="007729F1"/>
    <w:rsid w:val="00772A91"/>
    <w:rsid w:val="00773728"/>
    <w:rsid w:val="00774A2F"/>
    <w:rsid w:val="00775C68"/>
    <w:rsid w:val="00776653"/>
    <w:rsid w:val="00777E03"/>
    <w:rsid w:val="007802E5"/>
    <w:rsid w:val="007815D3"/>
    <w:rsid w:val="007817E7"/>
    <w:rsid w:val="00782EC7"/>
    <w:rsid w:val="00784045"/>
    <w:rsid w:val="00784B22"/>
    <w:rsid w:val="00784C6E"/>
    <w:rsid w:val="0078506B"/>
    <w:rsid w:val="0078575E"/>
    <w:rsid w:val="00786970"/>
    <w:rsid w:val="00786CC3"/>
    <w:rsid w:val="00786E0E"/>
    <w:rsid w:val="00787708"/>
    <w:rsid w:val="007900BA"/>
    <w:rsid w:val="00790D74"/>
    <w:rsid w:val="00790F41"/>
    <w:rsid w:val="007916E9"/>
    <w:rsid w:val="00791CD3"/>
    <w:rsid w:val="007927DE"/>
    <w:rsid w:val="007932AA"/>
    <w:rsid w:val="00793958"/>
    <w:rsid w:val="007953BA"/>
    <w:rsid w:val="00795F9A"/>
    <w:rsid w:val="007979EB"/>
    <w:rsid w:val="007A06EC"/>
    <w:rsid w:val="007A0C4D"/>
    <w:rsid w:val="007A102F"/>
    <w:rsid w:val="007A1F2C"/>
    <w:rsid w:val="007A2395"/>
    <w:rsid w:val="007A3775"/>
    <w:rsid w:val="007A3D17"/>
    <w:rsid w:val="007A47C2"/>
    <w:rsid w:val="007A51FB"/>
    <w:rsid w:val="007B0083"/>
    <w:rsid w:val="007B0C93"/>
    <w:rsid w:val="007B1344"/>
    <w:rsid w:val="007B3AFE"/>
    <w:rsid w:val="007B4201"/>
    <w:rsid w:val="007B4658"/>
    <w:rsid w:val="007B56F5"/>
    <w:rsid w:val="007B6830"/>
    <w:rsid w:val="007B7441"/>
    <w:rsid w:val="007C1EB2"/>
    <w:rsid w:val="007C2226"/>
    <w:rsid w:val="007C2E54"/>
    <w:rsid w:val="007C2F99"/>
    <w:rsid w:val="007C3882"/>
    <w:rsid w:val="007C4068"/>
    <w:rsid w:val="007C4508"/>
    <w:rsid w:val="007C5914"/>
    <w:rsid w:val="007C5BF0"/>
    <w:rsid w:val="007C5F0A"/>
    <w:rsid w:val="007C5FB5"/>
    <w:rsid w:val="007C6357"/>
    <w:rsid w:val="007C6D4E"/>
    <w:rsid w:val="007C6F8E"/>
    <w:rsid w:val="007C7D0D"/>
    <w:rsid w:val="007D1A9A"/>
    <w:rsid w:val="007D3858"/>
    <w:rsid w:val="007D4976"/>
    <w:rsid w:val="007D4BA4"/>
    <w:rsid w:val="007D4C9A"/>
    <w:rsid w:val="007D599B"/>
    <w:rsid w:val="007D6579"/>
    <w:rsid w:val="007D6C03"/>
    <w:rsid w:val="007D7ADC"/>
    <w:rsid w:val="007E0348"/>
    <w:rsid w:val="007E05DB"/>
    <w:rsid w:val="007E1C6F"/>
    <w:rsid w:val="007E28BA"/>
    <w:rsid w:val="007E3536"/>
    <w:rsid w:val="007E3772"/>
    <w:rsid w:val="007E4890"/>
    <w:rsid w:val="007E50D6"/>
    <w:rsid w:val="007E5983"/>
    <w:rsid w:val="007E5FF3"/>
    <w:rsid w:val="007E6656"/>
    <w:rsid w:val="007E66D3"/>
    <w:rsid w:val="007E6911"/>
    <w:rsid w:val="007E7421"/>
    <w:rsid w:val="007F0785"/>
    <w:rsid w:val="007F14A0"/>
    <w:rsid w:val="007F533E"/>
    <w:rsid w:val="007F553C"/>
    <w:rsid w:val="007F5572"/>
    <w:rsid w:val="007F562F"/>
    <w:rsid w:val="007F64E9"/>
    <w:rsid w:val="007F7264"/>
    <w:rsid w:val="007F7855"/>
    <w:rsid w:val="008032EC"/>
    <w:rsid w:val="0080350D"/>
    <w:rsid w:val="00803978"/>
    <w:rsid w:val="00803DB5"/>
    <w:rsid w:val="00803E27"/>
    <w:rsid w:val="00804BAE"/>
    <w:rsid w:val="00805252"/>
    <w:rsid w:val="00805DC2"/>
    <w:rsid w:val="00806AA8"/>
    <w:rsid w:val="00807BEB"/>
    <w:rsid w:val="00811329"/>
    <w:rsid w:val="0081287C"/>
    <w:rsid w:val="008128E2"/>
    <w:rsid w:val="00812924"/>
    <w:rsid w:val="008129A2"/>
    <w:rsid w:val="00814A10"/>
    <w:rsid w:val="00814C64"/>
    <w:rsid w:val="008153AF"/>
    <w:rsid w:val="00816445"/>
    <w:rsid w:val="0081673C"/>
    <w:rsid w:val="00816BAF"/>
    <w:rsid w:val="00821D40"/>
    <w:rsid w:val="008225A4"/>
    <w:rsid w:val="00822B0B"/>
    <w:rsid w:val="00823B25"/>
    <w:rsid w:val="0082400E"/>
    <w:rsid w:val="00825CF2"/>
    <w:rsid w:val="00825D84"/>
    <w:rsid w:val="00826AE8"/>
    <w:rsid w:val="00826B7F"/>
    <w:rsid w:val="00826E74"/>
    <w:rsid w:val="00827F07"/>
    <w:rsid w:val="0083179E"/>
    <w:rsid w:val="00832C58"/>
    <w:rsid w:val="008337D1"/>
    <w:rsid w:val="008349BA"/>
    <w:rsid w:val="008351D1"/>
    <w:rsid w:val="00835984"/>
    <w:rsid w:val="008364F5"/>
    <w:rsid w:val="00837EA4"/>
    <w:rsid w:val="00840874"/>
    <w:rsid w:val="00841568"/>
    <w:rsid w:val="008419A5"/>
    <w:rsid w:val="00841F98"/>
    <w:rsid w:val="0084226E"/>
    <w:rsid w:val="00842706"/>
    <w:rsid w:val="008446F6"/>
    <w:rsid w:val="008447A6"/>
    <w:rsid w:val="00845621"/>
    <w:rsid w:val="008461D0"/>
    <w:rsid w:val="00847230"/>
    <w:rsid w:val="00847745"/>
    <w:rsid w:val="00847975"/>
    <w:rsid w:val="00850EE0"/>
    <w:rsid w:val="00850F54"/>
    <w:rsid w:val="0085388A"/>
    <w:rsid w:val="00854221"/>
    <w:rsid w:val="00854584"/>
    <w:rsid w:val="00855227"/>
    <w:rsid w:val="00860EED"/>
    <w:rsid w:val="00862169"/>
    <w:rsid w:val="00863AE6"/>
    <w:rsid w:val="008666BB"/>
    <w:rsid w:val="00870430"/>
    <w:rsid w:val="00870C61"/>
    <w:rsid w:val="008739EC"/>
    <w:rsid w:val="008754F0"/>
    <w:rsid w:val="008755D0"/>
    <w:rsid w:val="0087569B"/>
    <w:rsid w:val="00875E47"/>
    <w:rsid w:val="008777CE"/>
    <w:rsid w:val="008806AD"/>
    <w:rsid w:val="00880BA1"/>
    <w:rsid w:val="00884BDF"/>
    <w:rsid w:val="00887ACD"/>
    <w:rsid w:val="00887B15"/>
    <w:rsid w:val="0089121B"/>
    <w:rsid w:val="008919FC"/>
    <w:rsid w:val="00891D32"/>
    <w:rsid w:val="0089202E"/>
    <w:rsid w:val="008939E9"/>
    <w:rsid w:val="00894282"/>
    <w:rsid w:val="008947C4"/>
    <w:rsid w:val="00896595"/>
    <w:rsid w:val="008A1FB2"/>
    <w:rsid w:val="008A2633"/>
    <w:rsid w:val="008A2AF3"/>
    <w:rsid w:val="008A30B6"/>
    <w:rsid w:val="008A3BAC"/>
    <w:rsid w:val="008A3DBD"/>
    <w:rsid w:val="008A4204"/>
    <w:rsid w:val="008A748E"/>
    <w:rsid w:val="008B2111"/>
    <w:rsid w:val="008B2AD9"/>
    <w:rsid w:val="008B2E16"/>
    <w:rsid w:val="008B560B"/>
    <w:rsid w:val="008B5746"/>
    <w:rsid w:val="008B58BF"/>
    <w:rsid w:val="008B5C11"/>
    <w:rsid w:val="008B5E36"/>
    <w:rsid w:val="008B6280"/>
    <w:rsid w:val="008B68A7"/>
    <w:rsid w:val="008B75AE"/>
    <w:rsid w:val="008C4E84"/>
    <w:rsid w:val="008C69A0"/>
    <w:rsid w:val="008C710E"/>
    <w:rsid w:val="008D04B3"/>
    <w:rsid w:val="008D102F"/>
    <w:rsid w:val="008D1899"/>
    <w:rsid w:val="008D2DAA"/>
    <w:rsid w:val="008D44DF"/>
    <w:rsid w:val="008D4A4C"/>
    <w:rsid w:val="008D5DFF"/>
    <w:rsid w:val="008D5F6B"/>
    <w:rsid w:val="008D735D"/>
    <w:rsid w:val="008D739D"/>
    <w:rsid w:val="008D7E51"/>
    <w:rsid w:val="008E03FD"/>
    <w:rsid w:val="008E0454"/>
    <w:rsid w:val="008E0DF4"/>
    <w:rsid w:val="008E1515"/>
    <w:rsid w:val="008E211A"/>
    <w:rsid w:val="008E246F"/>
    <w:rsid w:val="008E2ACD"/>
    <w:rsid w:val="008E3093"/>
    <w:rsid w:val="008E36E6"/>
    <w:rsid w:val="008E3C52"/>
    <w:rsid w:val="008E3FF7"/>
    <w:rsid w:val="008E5088"/>
    <w:rsid w:val="008E5794"/>
    <w:rsid w:val="008E5C4E"/>
    <w:rsid w:val="008E618A"/>
    <w:rsid w:val="008E62F0"/>
    <w:rsid w:val="008E6859"/>
    <w:rsid w:val="008E6B4E"/>
    <w:rsid w:val="008E7EED"/>
    <w:rsid w:val="008F02BB"/>
    <w:rsid w:val="008F04ED"/>
    <w:rsid w:val="008F0F02"/>
    <w:rsid w:val="008F10EF"/>
    <w:rsid w:val="008F1155"/>
    <w:rsid w:val="008F2ACD"/>
    <w:rsid w:val="008F2B61"/>
    <w:rsid w:val="008F4896"/>
    <w:rsid w:val="008F51AC"/>
    <w:rsid w:val="008F52C7"/>
    <w:rsid w:val="008F725D"/>
    <w:rsid w:val="008F75B4"/>
    <w:rsid w:val="00901876"/>
    <w:rsid w:val="00903944"/>
    <w:rsid w:val="00904178"/>
    <w:rsid w:val="009046DA"/>
    <w:rsid w:val="009046EF"/>
    <w:rsid w:val="0090657C"/>
    <w:rsid w:val="00907934"/>
    <w:rsid w:val="0091077F"/>
    <w:rsid w:val="00910D6E"/>
    <w:rsid w:val="00911B03"/>
    <w:rsid w:val="00913365"/>
    <w:rsid w:val="00913791"/>
    <w:rsid w:val="00913BA1"/>
    <w:rsid w:val="0091640B"/>
    <w:rsid w:val="00921C2D"/>
    <w:rsid w:val="0092209E"/>
    <w:rsid w:val="00922AF7"/>
    <w:rsid w:val="00923029"/>
    <w:rsid w:val="009231B8"/>
    <w:rsid w:val="009241E0"/>
    <w:rsid w:val="009247B4"/>
    <w:rsid w:val="00925B38"/>
    <w:rsid w:val="00926810"/>
    <w:rsid w:val="00926E86"/>
    <w:rsid w:val="00926F6D"/>
    <w:rsid w:val="009271D8"/>
    <w:rsid w:val="00927791"/>
    <w:rsid w:val="00927F02"/>
    <w:rsid w:val="00927F4D"/>
    <w:rsid w:val="00933519"/>
    <w:rsid w:val="00933706"/>
    <w:rsid w:val="0093385D"/>
    <w:rsid w:val="00933E3A"/>
    <w:rsid w:val="009341B6"/>
    <w:rsid w:val="00934E9B"/>
    <w:rsid w:val="00936EDD"/>
    <w:rsid w:val="009378F4"/>
    <w:rsid w:val="00937E76"/>
    <w:rsid w:val="009408A9"/>
    <w:rsid w:val="00940ABA"/>
    <w:rsid w:val="009424FB"/>
    <w:rsid w:val="009428BF"/>
    <w:rsid w:val="009428D2"/>
    <w:rsid w:val="00942E67"/>
    <w:rsid w:val="00942F00"/>
    <w:rsid w:val="00943902"/>
    <w:rsid w:val="00944EDD"/>
    <w:rsid w:val="00945959"/>
    <w:rsid w:val="00947AF1"/>
    <w:rsid w:val="009510A2"/>
    <w:rsid w:val="00954F1E"/>
    <w:rsid w:val="00957424"/>
    <w:rsid w:val="00960007"/>
    <w:rsid w:val="00960D14"/>
    <w:rsid w:val="0096127D"/>
    <w:rsid w:val="0096180F"/>
    <w:rsid w:val="00965251"/>
    <w:rsid w:val="00965396"/>
    <w:rsid w:val="00966CE9"/>
    <w:rsid w:val="0096722D"/>
    <w:rsid w:val="00967B25"/>
    <w:rsid w:val="00970699"/>
    <w:rsid w:val="009717A2"/>
    <w:rsid w:val="009737C7"/>
    <w:rsid w:val="00975AA6"/>
    <w:rsid w:val="00980390"/>
    <w:rsid w:val="00984520"/>
    <w:rsid w:val="009851C1"/>
    <w:rsid w:val="009859B4"/>
    <w:rsid w:val="00986E5A"/>
    <w:rsid w:val="00987365"/>
    <w:rsid w:val="0099021E"/>
    <w:rsid w:val="00990B69"/>
    <w:rsid w:val="00990B88"/>
    <w:rsid w:val="00991BF1"/>
    <w:rsid w:val="00992362"/>
    <w:rsid w:val="00992B36"/>
    <w:rsid w:val="009930AC"/>
    <w:rsid w:val="00993756"/>
    <w:rsid w:val="00993E48"/>
    <w:rsid w:val="00995202"/>
    <w:rsid w:val="00995AF3"/>
    <w:rsid w:val="00996C01"/>
    <w:rsid w:val="0099767D"/>
    <w:rsid w:val="009A05FF"/>
    <w:rsid w:val="009A0941"/>
    <w:rsid w:val="009A17D4"/>
    <w:rsid w:val="009A3461"/>
    <w:rsid w:val="009A602A"/>
    <w:rsid w:val="009A6927"/>
    <w:rsid w:val="009A7F35"/>
    <w:rsid w:val="009B07CD"/>
    <w:rsid w:val="009B0E17"/>
    <w:rsid w:val="009B1076"/>
    <w:rsid w:val="009B213F"/>
    <w:rsid w:val="009B2370"/>
    <w:rsid w:val="009B2F3F"/>
    <w:rsid w:val="009B31DD"/>
    <w:rsid w:val="009B383D"/>
    <w:rsid w:val="009B4856"/>
    <w:rsid w:val="009B5304"/>
    <w:rsid w:val="009B5779"/>
    <w:rsid w:val="009B611F"/>
    <w:rsid w:val="009B77BB"/>
    <w:rsid w:val="009C03A3"/>
    <w:rsid w:val="009C0C30"/>
    <w:rsid w:val="009C0F45"/>
    <w:rsid w:val="009C1324"/>
    <w:rsid w:val="009C2F31"/>
    <w:rsid w:val="009C32E4"/>
    <w:rsid w:val="009C4E23"/>
    <w:rsid w:val="009C555C"/>
    <w:rsid w:val="009C588F"/>
    <w:rsid w:val="009C664F"/>
    <w:rsid w:val="009C682F"/>
    <w:rsid w:val="009C72B4"/>
    <w:rsid w:val="009D2528"/>
    <w:rsid w:val="009D361B"/>
    <w:rsid w:val="009D4CD3"/>
    <w:rsid w:val="009D564D"/>
    <w:rsid w:val="009D571F"/>
    <w:rsid w:val="009D5D20"/>
    <w:rsid w:val="009D632F"/>
    <w:rsid w:val="009D6511"/>
    <w:rsid w:val="009D6913"/>
    <w:rsid w:val="009D7E95"/>
    <w:rsid w:val="009E1DF4"/>
    <w:rsid w:val="009E2857"/>
    <w:rsid w:val="009E3054"/>
    <w:rsid w:val="009E77F4"/>
    <w:rsid w:val="009E7BC9"/>
    <w:rsid w:val="009F0879"/>
    <w:rsid w:val="009F1D17"/>
    <w:rsid w:val="009F2981"/>
    <w:rsid w:val="009F317A"/>
    <w:rsid w:val="009F4F8E"/>
    <w:rsid w:val="009F50D7"/>
    <w:rsid w:val="009F5A95"/>
    <w:rsid w:val="009F68B8"/>
    <w:rsid w:val="009F710D"/>
    <w:rsid w:val="009F7227"/>
    <w:rsid w:val="009F7D29"/>
    <w:rsid w:val="00A003B6"/>
    <w:rsid w:val="00A00A80"/>
    <w:rsid w:val="00A01921"/>
    <w:rsid w:val="00A01C88"/>
    <w:rsid w:val="00A01DE0"/>
    <w:rsid w:val="00A027CE"/>
    <w:rsid w:val="00A02A49"/>
    <w:rsid w:val="00A02FD1"/>
    <w:rsid w:val="00A04247"/>
    <w:rsid w:val="00A0647A"/>
    <w:rsid w:val="00A06891"/>
    <w:rsid w:val="00A11AB0"/>
    <w:rsid w:val="00A11F7C"/>
    <w:rsid w:val="00A123A8"/>
    <w:rsid w:val="00A1264B"/>
    <w:rsid w:val="00A127D5"/>
    <w:rsid w:val="00A1648E"/>
    <w:rsid w:val="00A17810"/>
    <w:rsid w:val="00A201C8"/>
    <w:rsid w:val="00A2037F"/>
    <w:rsid w:val="00A2173F"/>
    <w:rsid w:val="00A2245D"/>
    <w:rsid w:val="00A231D8"/>
    <w:rsid w:val="00A23DCF"/>
    <w:rsid w:val="00A27267"/>
    <w:rsid w:val="00A27446"/>
    <w:rsid w:val="00A27BB4"/>
    <w:rsid w:val="00A35CDE"/>
    <w:rsid w:val="00A36344"/>
    <w:rsid w:val="00A36CD8"/>
    <w:rsid w:val="00A36FA4"/>
    <w:rsid w:val="00A371CF"/>
    <w:rsid w:val="00A379F7"/>
    <w:rsid w:val="00A40E68"/>
    <w:rsid w:val="00A42D74"/>
    <w:rsid w:val="00A44075"/>
    <w:rsid w:val="00A444EB"/>
    <w:rsid w:val="00A447B7"/>
    <w:rsid w:val="00A45A78"/>
    <w:rsid w:val="00A47A9C"/>
    <w:rsid w:val="00A50083"/>
    <w:rsid w:val="00A5027B"/>
    <w:rsid w:val="00A50A2D"/>
    <w:rsid w:val="00A51DD1"/>
    <w:rsid w:val="00A526F3"/>
    <w:rsid w:val="00A52B6B"/>
    <w:rsid w:val="00A53C8A"/>
    <w:rsid w:val="00A53F96"/>
    <w:rsid w:val="00A54128"/>
    <w:rsid w:val="00A55102"/>
    <w:rsid w:val="00A556D4"/>
    <w:rsid w:val="00A55974"/>
    <w:rsid w:val="00A577C7"/>
    <w:rsid w:val="00A57DB8"/>
    <w:rsid w:val="00A60982"/>
    <w:rsid w:val="00A61FBF"/>
    <w:rsid w:val="00A62246"/>
    <w:rsid w:val="00A62575"/>
    <w:rsid w:val="00A630BC"/>
    <w:rsid w:val="00A633DA"/>
    <w:rsid w:val="00A6382B"/>
    <w:rsid w:val="00A63E23"/>
    <w:rsid w:val="00A64062"/>
    <w:rsid w:val="00A64281"/>
    <w:rsid w:val="00A65428"/>
    <w:rsid w:val="00A66455"/>
    <w:rsid w:val="00A715B3"/>
    <w:rsid w:val="00A71C06"/>
    <w:rsid w:val="00A7224D"/>
    <w:rsid w:val="00A7447E"/>
    <w:rsid w:val="00A77362"/>
    <w:rsid w:val="00A81DD2"/>
    <w:rsid w:val="00A842CB"/>
    <w:rsid w:val="00A84FD2"/>
    <w:rsid w:val="00A8558C"/>
    <w:rsid w:val="00A85B38"/>
    <w:rsid w:val="00A85E47"/>
    <w:rsid w:val="00A86CD5"/>
    <w:rsid w:val="00A90CD3"/>
    <w:rsid w:val="00A91E9A"/>
    <w:rsid w:val="00A92DF8"/>
    <w:rsid w:val="00A936C6"/>
    <w:rsid w:val="00A93FE4"/>
    <w:rsid w:val="00A9423D"/>
    <w:rsid w:val="00A946B6"/>
    <w:rsid w:val="00A9599B"/>
    <w:rsid w:val="00A95B06"/>
    <w:rsid w:val="00A96093"/>
    <w:rsid w:val="00A968C7"/>
    <w:rsid w:val="00A96ABA"/>
    <w:rsid w:val="00A97C81"/>
    <w:rsid w:val="00AA1AE2"/>
    <w:rsid w:val="00AA1ED2"/>
    <w:rsid w:val="00AA3C34"/>
    <w:rsid w:val="00AA4E79"/>
    <w:rsid w:val="00AA540B"/>
    <w:rsid w:val="00AA7CC1"/>
    <w:rsid w:val="00AB4E5A"/>
    <w:rsid w:val="00AB583E"/>
    <w:rsid w:val="00AB6A9E"/>
    <w:rsid w:val="00AB6F04"/>
    <w:rsid w:val="00AB762A"/>
    <w:rsid w:val="00AB789E"/>
    <w:rsid w:val="00AB7B2E"/>
    <w:rsid w:val="00AC03C0"/>
    <w:rsid w:val="00AC087F"/>
    <w:rsid w:val="00AC1E6A"/>
    <w:rsid w:val="00AC218C"/>
    <w:rsid w:val="00AC3A27"/>
    <w:rsid w:val="00AC41F1"/>
    <w:rsid w:val="00AC4333"/>
    <w:rsid w:val="00AC54AB"/>
    <w:rsid w:val="00AC5FC9"/>
    <w:rsid w:val="00AC6580"/>
    <w:rsid w:val="00AC68D4"/>
    <w:rsid w:val="00AC6B56"/>
    <w:rsid w:val="00AC70A3"/>
    <w:rsid w:val="00AC7947"/>
    <w:rsid w:val="00AC7A8B"/>
    <w:rsid w:val="00AC7CF7"/>
    <w:rsid w:val="00AD04F3"/>
    <w:rsid w:val="00AD064E"/>
    <w:rsid w:val="00AD15AB"/>
    <w:rsid w:val="00AD5A3B"/>
    <w:rsid w:val="00AD67D9"/>
    <w:rsid w:val="00AD68FC"/>
    <w:rsid w:val="00AD698B"/>
    <w:rsid w:val="00AD6ACF"/>
    <w:rsid w:val="00AD72A3"/>
    <w:rsid w:val="00AD74A5"/>
    <w:rsid w:val="00AE0EBA"/>
    <w:rsid w:val="00AE13A9"/>
    <w:rsid w:val="00AE26EF"/>
    <w:rsid w:val="00AE2BD3"/>
    <w:rsid w:val="00AE34DA"/>
    <w:rsid w:val="00AE4504"/>
    <w:rsid w:val="00AE4703"/>
    <w:rsid w:val="00AE4835"/>
    <w:rsid w:val="00AE646F"/>
    <w:rsid w:val="00AE65C8"/>
    <w:rsid w:val="00AE6E87"/>
    <w:rsid w:val="00AE6F5B"/>
    <w:rsid w:val="00AE77CB"/>
    <w:rsid w:val="00AF0571"/>
    <w:rsid w:val="00AF0E70"/>
    <w:rsid w:val="00AF18BF"/>
    <w:rsid w:val="00AF2479"/>
    <w:rsid w:val="00AF2867"/>
    <w:rsid w:val="00AF37B2"/>
    <w:rsid w:val="00AF3CE3"/>
    <w:rsid w:val="00AF436F"/>
    <w:rsid w:val="00AF60B4"/>
    <w:rsid w:val="00AF6F8F"/>
    <w:rsid w:val="00AF7A74"/>
    <w:rsid w:val="00B02092"/>
    <w:rsid w:val="00B0242D"/>
    <w:rsid w:val="00B03E23"/>
    <w:rsid w:val="00B04F2A"/>
    <w:rsid w:val="00B057DA"/>
    <w:rsid w:val="00B05FAD"/>
    <w:rsid w:val="00B06145"/>
    <w:rsid w:val="00B07770"/>
    <w:rsid w:val="00B07D6F"/>
    <w:rsid w:val="00B10396"/>
    <w:rsid w:val="00B10C6E"/>
    <w:rsid w:val="00B1277A"/>
    <w:rsid w:val="00B14AD1"/>
    <w:rsid w:val="00B20CC3"/>
    <w:rsid w:val="00B2154E"/>
    <w:rsid w:val="00B21969"/>
    <w:rsid w:val="00B222D1"/>
    <w:rsid w:val="00B226B5"/>
    <w:rsid w:val="00B227A1"/>
    <w:rsid w:val="00B22A81"/>
    <w:rsid w:val="00B22DB8"/>
    <w:rsid w:val="00B24F2B"/>
    <w:rsid w:val="00B26F5D"/>
    <w:rsid w:val="00B273C2"/>
    <w:rsid w:val="00B27B25"/>
    <w:rsid w:val="00B30688"/>
    <w:rsid w:val="00B313FC"/>
    <w:rsid w:val="00B31F12"/>
    <w:rsid w:val="00B3335D"/>
    <w:rsid w:val="00B33922"/>
    <w:rsid w:val="00B33E74"/>
    <w:rsid w:val="00B34055"/>
    <w:rsid w:val="00B34D9F"/>
    <w:rsid w:val="00B34EAB"/>
    <w:rsid w:val="00B35569"/>
    <w:rsid w:val="00B35AD0"/>
    <w:rsid w:val="00B36653"/>
    <w:rsid w:val="00B376C8"/>
    <w:rsid w:val="00B3789F"/>
    <w:rsid w:val="00B37A03"/>
    <w:rsid w:val="00B37A2C"/>
    <w:rsid w:val="00B40645"/>
    <w:rsid w:val="00B409FA"/>
    <w:rsid w:val="00B41714"/>
    <w:rsid w:val="00B41DDA"/>
    <w:rsid w:val="00B4290B"/>
    <w:rsid w:val="00B44205"/>
    <w:rsid w:val="00B44D04"/>
    <w:rsid w:val="00B458A2"/>
    <w:rsid w:val="00B458AF"/>
    <w:rsid w:val="00B45A91"/>
    <w:rsid w:val="00B4709E"/>
    <w:rsid w:val="00B473EB"/>
    <w:rsid w:val="00B512C6"/>
    <w:rsid w:val="00B52231"/>
    <w:rsid w:val="00B52706"/>
    <w:rsid w:val="00B52D9C"/>
    <w:rsid w:val="00B52E54"/>
    <w:rsid w:val="00B5462D"/>
    <w:rsid w:val="00B54DC6"/>
    <w:rsid w:val="00B54DD0"/>
    <w:rsid w:val="00B54FF6"/>
    <w:rsid w:val="00B55D35"/>
    <w:rsid w:val="00B5663E"/>
    <w:rsid w:val="00B56B0B"/>
    <w:rsid w:val="00B604C1"/>
    <w:rsid w:val="00B65723"/>
    <w:rsid w:val="00B662BC"/>
    <w:rsid w:val="00B6658D"/>
    <w:rsid w:val="00B67A99"/>
    <w:rsid w:val="00B67BB3"/>
    <w:rsid w:val="00B709D9"/>
    <w:rsid w:val="00B71204"/>
    <w:rsid w:val="00B714A9"/>
    <w:rsid w:val="00B724E7"/>
    <w:rsid w:val="00B74325"/>
    <w:rsid w:val="00B7456F"/>
    <w:rsid w:val="00B74945"/>
    <w:rsid w:val="00B75168"/>
    <w:rsid w:val="00B75575"/>
    <w:rsid w:val="00B7645C"/>
    <w:rsid w:val="00B7661C"/>
    <w:rsid w:val="00B8007C"/>
    <w:rsid w:val="00B81C2F"/>
    <w:rsid w:val="00B82443"/>
    <w:rsid w:val="00B83108"/>
    <w:rsid w:val="00B8346D"/>
    <w:rsid w:val="00B8425D"/>
    <w:rsid w:val="00B85DF7"/>
    <w:rsid w:val="00B8604B"/>
    <w:rsid w:val="00B86673"/>
    <w:rsid w:val="00B86C38"/>
    <w:rsid w:val="00B87246"/>
    <w:rsid w:val="00B92EED"/>
    <w:rsid w:val="00B932B6"/>
    <w:rsid w:val="00B942BB"/>
    <w:rsid w:val="00B94732"/>
    <w:rsid w:val="00B95DFC"/>
    <w:rsid w:val="00B963DD"/>
    <w:rsid w:val="00B96EE0"/>
    <w:rsid w:val="00B96F83"/>
    <w:rsid w:val="00B97E2C"/>
    <w:rsid w:val="00BA13FE"/>
    <w:rsid w:val="00BA1DDE"/>
    <w:rsid w:val="00BA2743"/>
    <w:rsid w:val="00BA2C6D"/>
    <w:rsid w:val="00BA3507"/>
    <w:rsid w:val="00BA42A1"/>
    <w:rsid w:val="00BA48D8"/>
    <w:rsid w:val="00BA6C1C"/>
    <w:rsid w:val="00BB0EAB"/>
    <w:rsid w:val="00BB0EF5"/>
    <w:rsid w:val="00BB27E5"/>
    <w:rsid w:val="00BB59F6"/>
    <w:rsid w:val="00BB5D61"/>
    <w:rsid w:val="00BB64D3"/>
    <w:rsid w:val="00BC1452"/>
    <w:rsid w:val="00BC163C"/>
    <w:rsid w:val="00BC206A"/>
    <w:rsid w:val="00BC2B29"/>
    <w:rsid w:val="00BC4033"/>
    <w:rsid w:val="00BC4061"/>
    <w:rsid w:val="00BC49F8"/>
    <w:rsid w:val="00BC5A9A"/>
    <w:rsid w:val="00BC7679"/>
    <w:rsid w:val="00BC77B4"/>
    <w:rsid w:val="00BD04A4"/>
    <w:rsid w:val="00BD46A9"/>
    <w:rsid w:val="00BD4981"/>
    <w:rsid w:val="00BE0B19"/>
    <w:rsid w:val="00BE2B8C"/>
    <w:rsid w:val="00BE369A"/>
    <w:rsid w:val="00BE4B95"/>
    <w:rsid w:val="00BE6CCD"/>
    <w:rsid w:val="00BF23C2"/>
    <w:rsid w:val="00BF4348"/>
    <w:rsid w:val="00BF5C1E"/>
    <w:rsid w:val="00BF64E2"/>
    <w:rsid w:val="00C007F1"/>
    <w:rsid w:val="00C009D8"/>
    <w:rsid w:val="00C01340"/>
    <w:rsid w:val="00C015DA"/>
    <w:rsid w:val="00C03467"/>
    <w:rsid w:val="00C043FF"/>
    <w:rsid w:val="00C04E9B"/>
    <w:rsid w:val="00C05D61"/>
    <w:rsid w:val="00C0692E"/>
    <w:rsid w:val="00C06A8D"/>
    <w:rsid w:val="00C07644"/>
    <w:rsid w:val="00C10856"/>
    <w:rsid w:val="00C10CF8"/>
    <w:rsid w:val="00C11E63"/>
    <w:rsid w:val="00C1317E"/>
    <w:rsid w:val="00C207B0"/>
    <w:rsid w:val="00C20DD4"/>
    <w:rsid w:val="00C24C53"/>
    <w:rsid w:val="00C24F54"/>
    <w:rsid w:val="00C25111"/>
    <w:rsid w:val="00C251A4"/>
    <w:rsid w:val="00C25FF1"/>
    <w:rsid w:val="00C26155"/>
    <w:rsid w:val="00C3083B"/>
    <w:rsid w:val="00C30933"/>
    <w:rsid w:val="00C34B64"/>
    <w:rsid w:val="00C373DD"/>
    <w:rsid w:val="00C37570"/>
    <w:rsid w:val="00C40368"/>
    <w:rsid w:val="00C405E9"/>
    <w:rsid w:val="00C41E46"/>
    <w:rsid w:val="00C4379E"/>
    <w:rsid w:val="00C44020"/>
    <w:rsid w:val="00C44EA3"/>
    <w:rsid w:val="00C45D7C"/>
    <w:rsid w:val="00C467B7"/>
    <w:rsid w:val="00C46ABC"/>
    <w:rsid w:val="00C474D5"/>
    <w:rsid w:val="00C4758E"/>
    <w:rsid w:val="00C50CF2"/>
    <w:rsid w:val="00C50FEC"/>
    <w:rsid w:val="00C510B6"/>
    <w:rsid w:val="00C517BC"/>
    <w:rsid w:val="00C5216F"/>
    <w:rsid w:val="00C521F7"/>
    <w:rsid w:val="00C541BF"/>
    <w:rsid w:val="00C5545E"/>
    <w:rsid w:val="00C565DC"/>
    <w:rsid w:val="00C60247"/>
    <w:rsid w:val="00C604F5"/>
    <w:rsid w:val="00C6166B"/>
    <w:rsid w:val="00C63672"/>
    <w:rsid w:val="00C64FD5"/>
    <w:rsid w:val="00C65664"/>
    <w:rsid w:val="00C6569D"/>
    <w:rsid w:val="00C70EB5"/>
    <w:rsid w:val="00C7148E"/>
    <w:rsid w:val="00C7157B"/>
    <w:rsid w:val="00C71BB0"/>
    <w:rsid w:val="00C71C82"/>
    <w:rsid w:val="00C72735"/>
    <w:rsid w:val="00C746BE"/>
    <w:rsid w:val="00C75ACC"/>
    <w:rsid w:val="00C81FA2"/>
    <w:rsid w:val="00C82446"/>
    <w:rsid w:val="00C82F52"/>
    <w:rsid w:val="00C87985"/>
    <w:rsid w:val="00C87BF8"/>
    <w:rsid w:val="00C87F39"/>
    <w:rsid w:val="00C90819"/>
    <w:rsid w:val="00C91405"/>
    <w:rsid w:val="00C9262A"/>
    <w:rsid w:val="00C93074"/>
    <w:rsid w:val="00C94D53"/>
    <w:rsid w:val="00C95041"/>
    <w:rsid w:val="00C95462"/>
    <w:rsid w:val="00C9557C"/>
    <w:rsid w:val="00C9670D"/>
    <w:rsid w:val="00C96807"/>
    <w:rsid w:val="00C97A19"/>
    <w:rsid w:val="00CA0C30"/>
    <w:rsid w:val="00CA0FEE"/>
    <w:rsid w:val="00CA2074"/>
    <w:rsid w:val="00CA6189"/>
    <w:rsid w:val="00CB0FC1"/>
    <w:rsid w:val="00CB19AF"/>
    <w:rsid w:val="00CB5CA9"/>
    <w:rsid w:val="00CB62FA"/>
    <w:rsid w:val="00CB655C"/>
    <w:rsid w:val="00CB6EF7"/>
    <w:rsid w:val="00CB797A"/>
    <w:rsid w:val="00CC086C"/>
    <w:rsid w:val="00CC091B"/>
    <w:rsid w:val="00CC100B"/>
    <w:rsid w:val="00CC1083"/>
    <w:rsid w:val="00CC270D"/>
    <w:rsid w:val="00CC2806"/>
    <w:rsid w:val="00CC2CD4"/>
    <w:rsid w:val="00CC2CE9"/>
    <w:rsid w:val="00CC2FA6"/>
    <w:rsid w:val="00CC46A4"/>
    <w:rsid w:val="00CC6FF4"/>
    <w:rsid w:val="00CD0D0B"/>
    <w:rsid w:val="00CD10F6"/>
    <w:rsid w:val="00CD12C9"/>
    <w:rsid w:val="00CD2721"/>
    <w:rsid w:val="00CD31CC"/>
    <w:rsid w:val="00CD401C"/>
    <w:rsid w:val="00CD5495"/>
    <w:rsid w:val="00CD5840"/>
    <w:rsid w:val="00CD5F3D"/>
    <w:rsid w:val="00CD60CA"/>
    <w:rsid w:val="00CD6B01"/>
    <w:rsid w:val="00CD6C65"/>
    <w:rsid w:val="00CD78BE"/>
    <w:rsid w:val="00CE1619"/>
    <w:rsid w:val="00CE16D2"/>
    <w:rsid w:val="00CE2072"/>
    <w:rsid w:val="00CE270D"/>
    <w:rsid w:val="00CE37DF"/>
    <w:rsid w:val="00CE5E78"/>
    <w:rsid w:val="00CE656C"/>
    <w:rsid w:val="00CE76EF"/>
    <w:rsid w:val="00CE7A5F"/>
    <w:rsid w:val="00CF08A8"/>
    <w:rsid w:val="00CF0CC9"/>
    <w:rsid w:val="00CF1BC8"/>
    <w:rsid w:val="00CF2A1D"/>
    <w:rsid w:val="00CF51B3"/>
    <w:rsid w:val="00CF615A"/>
    <w:rsid w:val="00D0003D"/>
    <w:rsid w:val="00D00929"/>
    <w:rsid w:val="00D020DB"/>
    <w:rsid w:val="00D023CB"/>
    <w:rsid w:val="00D02695"/>
    <w:rsid w:val="00D03258"/>
    <w:rsid w:val="00D0350D"/>
    <w:rsid w:val="00D03BE8"/>
    <w:rsid w:val="00D0439C"/>
    <w:rsid w:val="00D05A04"/>
    <w:rsid w:val="00D0621B"/>
    <w:rsid w:val="00D06267"/>
    <w:rsid w:val="00D076F7"/>
    <w:rsid w:val="00D07E2A"/>
    <w:rsid w:val="00D10004"/>
    <w:rsid w:val="00D10C7D"/>
    <w:rsid w:val="00D118F7"/>
    <w:rsid w:val="00D12C0B"/>
    <w:rsid w:val="00D150FD"/>
    <w:rsid w:val="00D154B2"/>
    <w:rsid w:val="00D15874"/>
    <w:rsid w:val="00D158FF"/>
    <w:rsid w:val="00D15BEB"/>
    <w:rsid w:val="00D166DE"/>
    <w:rsid w:val="00D16956"/>
    <w:rsid w:val="00D2012A"/>
    <w:rsid w:val="00D20496"/>
    <w:rsid w:val="00D21AAF"/>
    <w:rsid w:val="00D227D3"/>
    <w:rsid w:val="00D22F33"/>
    <w:rsid w:val="00D2742D"/>
    <w:rsid w:val="00D27D32"/>
    <w:rsid w:val="00D27ED1"/>
    <w:rsid w:val="00D33634"/>
    <w:rsid w:val="00D3373A"/>
    <w:rsid w:val="00D34EAE"/>
    <w:rsid w:val="00D37088"/>
    <w:rsid w:val="00D374CF"/>
    <w:rsid w:val="00D37FEA"/>
    <w:rsid w:val="00D4101F"/>
    <w:rsid w:val="00D43206"/>
    <w:rsid w:val="00D43610"/>
    <w:rsid w:val="00D44A8C"/>
    <w:rsid w:val="00D44BE4"/>
    <w:rsid w:val="00D453C8"/>
    <w:rsid w:val="00D46883"/>
    <w:rsid w:val="00D4780A"/>
    <w:rsid w:val="00D52D44"/>
    <w:rsid w:val="00D53738"/>
    <w:rsid w:val="00D543CE"/>
    <w:rsid w:val="00D560FF"/>
    <w:rsid w:val="00D568A6"/>
    <w:rsid w:val="00D56951"/>
    <w:rsid w:val="00D57889"/>
    <w:rsid w:val="00D622C5"/>
    <w:rsid w:val="00D66B7B"/>
    <w:rsid w:val="00D703E2"/>
    <w:rsid w:val="00D715B1"/>
    <w:rsid w:val="00D71AE0"/>
    <w:rsid w:val="00D71B36"/>
    <w:rsid w:val="00D7268F"/>
    <w:rsid w:val="00D73019"/>
    <w:rsid w:val="00D74D83"/>
    <w:rsid w:val="00D750BC"/>
    <w:rsid w:val="00D773EB"/>
    <w:rsid w:val="00D773F2"/>
    <w:rsid w:val="00D77472"/>
    <w:rsid w:val="00D779A1"/>
    <w:rsid w:val="00D77C95"/>
    <w:rsid w:val="00D80F6B"/>
    <w:rsid w:val="00D80FEC"/>
    <w:rsid w:val="00D81AD1"/>
    <w:rsid w:val="00D81D15"/>
    <w:rsid w:val="00D82A5F"/>
    <w:rsid w:val="00D8317A"/>
    <w:rsid w:val="00D83347"/>
    <w:rsid w:val="00D83E70"/>
    <w:rsid w:val="00D8447C"/>
    <w:rsid w:val="00D84824"/>
    <w:rsid w:val="00D8647A"/>
    <w:rsid w:val="00D876BF"/>
    <w:rsid w:val="00D87AAE"/>
    <w:rsid w:val="00D87E7C"/>
    <w:rsid w:val="00D9056D"/>
    <w:rsid w:val="00D93E0F"/>
    <w:rsid w:val="00DA2005"/>
    <w:rsid w:val="00DA22AB"/>
    <w:rsid w:val="00DA26CA"/>
    <w:rsid w:val="00DA45B0"/>
    <w:rsid w:val="00DA47DE"/>
    <w:rsid w:val="00DA4BEB"/>
    <w:rsid w:val="00DA521B"/>
    <w:rsid w:val="00DA5471"/>
    <w:rsid w:val="00DA6B07"/>
    <w:rsid w:val="00DA6BCE"/>
    <w:rsid w:val="00DA6D9D"/>
    <w:rsid w:val="00DA72A3"/>
    <w:rsid w:val="00DA7422"/>
    <w:rsid w:val="00DA7AA0"/>
    <w:rsid w:val="00DB0AE6"/>
    <w:rsid w:val="00DB0E26"/>
    <w:rsid w:val="00DB18B8"/>
    <w:rsid w:val="00DB1EAD"/>
    <w:rsid w:val="00DB1EE6"/>
    <w:rsid w:val="00DB246C"/>
    <w:rsid w:val="00DB33F6"/>
    <w:rsid w:val="00DB3F2C"/>
    <w:rsid w:val="00DB4D6D"/>
    <w:rsid w:val="00DB673E"/>
    <w:rsid w:val="00DB681F"/>
    <w:rsid w:val="00DB68D5"/>
    <w:rsid w:val="00DB789A"/>
    <w:rsid w:val="00DC11FA"/>
    <w:rsid w:val="00DC1315"/>
    <w:rsid w:val="00DC1E18"/>
    <w:rsid w:val="00DC3841"/>
    <w:rsid w:val="00DC4809"/>
    <w:rsid w:val="00DC5F76"/>
    <w:rsid w:val="00DC7F6D"/>
    <w:rsid w:val="00DD2226"/>
    <w:rsid w:val="00DD3B33"/>
    <w:rsid w:val="00DD3EE1"/>
    <w:rsid w:val="00DD43C9"/>
    <w:rsid w:val="00DD68DE"/>
    <w:rsid w:val="00DD7850"/>
    <w:rsid w:val="00DE0077"/>
    <w:rsid w:val="00DE050B"/>
    <w:rsid w:val="00DE0AB4"/>
    <w:rsid w:val="00DE3314"/>
    <w:rsid w:val="00DE4D2E"/>
    <w:rsid w:val="00DE4FE7"/>
    <w:rsid w:val="00DE530F"/>
    <w:rsid w:val="00DE547C"/>
    <w:rsid w:val="00DE6870"/>
    <w:rsid w:val="00DF0864"/>
    <w:rsid w:val="00DF0B72"/>
    <w:rsid w:val="00DF24AB"/>
    <w:rsid w:val="00DF3444"/>
    <w:rsid w:val="00DF602B"/>
    <w:rsid w:val="00DF6065"/>
    <w:rsid w:val="00E00143"/>
    <w:rsid w:val="00E01792"/>
    <w:rsid w:val="00E01950"/>
    <w:rsid w:val="00E023A1"/>
    <w:rsid w:val="00E0247B"/>
    <w:rsid w:val="00E02E79"/>
    <w:rsid w:val="00E02FE0"/>
    <w:rsid w:val="00E03982"/>
    <w:rsid w:val="00E03AC0"/>
    <w:rsid w:val="00E04346"/>
    <w:rsid w:val="00E04433"/>
    <w:rsid w:val="00E06373"/>
    <w:rsid w:val="00E06F1F"/>
    <w:rsid w:val="00E10E1A"/>
    <w:rsid w:val="00E10F0E"/>
    <w:rsid w:val="00E11699"/>
    <w:rsid w:val="00E11AF1"/>
    <w:rsid w:val="00E12B5F"/>
    <w:rsid w:val="00E135EE"/>
    <w:rsid w:val="00E13703"/>
    <w:rsid w:val="00E13FA2"/>
    <w:rsid w:val="00E161CF"/>
    <w:rsid w:val="00E16B24"/>
    <w:rsid w:val="00E1711C"/>
    <w:rsid w:val="00E174A7"/>
    <w:rsid w:val="00E17B2A"/>
    <w:rsid w:val="00E20165"/>
    <w:rsid w:val="00E204F5"/>
    <w:rsid w:val="00E20937"/>
    <w:rsid w:val="00E216C9"/>
    <w:rsid w:val="00E239BE"/>
    <w:rsid w:val="00E24859"/>
    <w:rsid w:val="00E24E82"/>
    <w:rsid w:val="00E270DD"/>
    <w:rsid w:val="00E300CA"/>
    <w:rsid w:val="00E30C97"/>
    <w:rsid w:val="00E311CA"/>
    <w:rsid w:val="00E336C1"/>
    <w:rsid w:val="00E33955"/>
    <w:rsid w:val="00E34312"/>
    <w:rsid w:val="00E34771"/>
    <w:rsid w:val="00E35219"/>
    <w:rsid w:val="00E36B75"/>
    <w:rsid w:val="00E36C52"/>
    <w:rsid w:val="00E36DB8"/>
    <w:rsid w:val="00E37E9E"/>
    <w:rsid w:val="00E404C6"/>
    <w:rsid w:val="00E40548"/>
    <w:rsid w:val="00E41212"/>
    <w:rsid w:val="00E41BD3"/>
    <w:rsid w:val="00E42019"/>
    <w:rsid w:val="00E44D03"/>
    <w:rsid w:val="00E467FE"/>
    <w:rsid w:val="00E5370D"/>
    <w:rsid w:val="00E53AF7"/>
    <w:rsid w:val="00E54680"/>
    <w:rsid w:val="00E56342"/>
    <w:rsid w:val="00E57AFE"/>
    <w:rsid w:val="00E601A6"/>
    <w:rsid w:val="00E6129E"/>
    <w:rsid w:val="00E61510"/>
    <w:rsid w:val="00E63F02"/>
    <w:rsid w:val="00E6467A"/>
    <w:rsid w:val="00E6655D"/>
    <w:rsid w:val="00E667B1"/>
    <w:rsid w:val="00E6740F"/>
    <w:rsid w:val="00E701A0"/>
    <w:rsid w:val="00E71EA0"/>
    <w:rsid w:val="00E72216"/>
    <w:rsid w:val="00E73910"/>
    <w:rsid w:val="00E73D36"/>
    <w:rsid w:val="00E73FA7"/>
    <w:rsid w:val="00E74473"/>
    <w:rsid w:val="00E75A89"/>
    <w:rsid w:val="00E76FDA"/>
    <w:rsid w:val="00E824E3"/>
    <w:rsid w:val="00E82ACA"/>
    <w:rsid w:val="00E82CC7"/>
    <w:rsid w:val="00E82F07"/>
    <w:rsid w:val="00E83284"/>
    <w:rsid w:val="00E840DF"/>
    <w:rsid w:val="00E84802"/>
    <w:rsid w:val="00E8487B"/>
    <w:rsid w:val="00E84BE0"/>
    <w:rsid w:val="00E850CF"/>
    <w:rsid w:val="00E87091"/>
    <w:rsid w:val="00E910FF"/>
    <w:rsid w:val="00E925F7"/>
    <w:rsid w:val="00E93063"/>
    <w:rsid w:val="00E94945"/>
    <w:rsid w:val="00E94C28"/>
    <w:rsid w:val="00E956D8"/>
    <w:rsid w:val="00E960DE"/>
    <w:rsid w:val="00E96490"/>
    <w:rsid w:val="00EA052A"/>
    <w:rsid w:val="00EA1041"/>
    <w:rsid w:val="00EA2D7D"/>
    <w:rsid w:val="00EA4D7A"/>
    <w:rsid w:val="00EA55C0"/>
    <w:rsid w:val="00EA6514"/>
    <w:rsid w:val="00EA7C80"/>
    <w:rsid w:val="00EB00DD"/>
    <w:rsid w:val="00EB0A4D"/>
    <w:rsid w:val="00EB165A"/>
    <w:rsid w:val="00EB321C"/>
    <w:rsid w:val="00EB4211"/>
    <w:rsid w:val="00EB5096"/>
    <w:rsid w:val="00EB5A86"/>
    <w:rsid w:val="00EB5C3A"/>
    <w:rsid w:val="00EB625D"/>
    <w:rsid w:val="00EB65B4"/>
    <w:rsid w:val="00EC5D1C"/>
    <w:rsid w:val="00EC5E35"/>
    <w:rsid w:val="00EC6850"/>
    <w:rsid w:val="00ED126C"/>
    <w:rsid w:val="00ED20F5"/>
    <w:rsid w:val="00ED27E3"/>
    <w:rsid w:val="00ED286E"/>
    <w:rsid w:val="00ED2A2A"/>
    <w:rsid w:val="00ED3205"/>
    <w:rsid w:val="00ED32BD"/>
    <w:rsid w:val="00ED42D6"/>
    <w:rsid w:val="00ED430D"/>
    <w:rsid w:val="00ED52E4"/>
    <w:rsid w:val="00EE08E0"/>
    <w:rsid w:val="00EE0CDF"/>
    <w:rsid w:val="00EE1679"/>
    <w:rsid w:val="00EE2779"/>
    <w:rsid w:val="00EE2E35"/>
    <w:rsid w:val="00EE3418"/>
    <w:rsid w:val="00EE35DC"/>
    <w:rsid w:val="00EE4DDC"/>
    <w:rsid w:val="00EE5051"/>
    <w:rsid w:val="00EE5432"/>
    <w:rsid w:val="00EE55E3"/>
    <w:rsid w:val="00EE69F5"/>
    <w:rsid w:val="00EE6A80"/>
    <w:rsid w:val="00EE6D15"/>
    <w:rsid w:val="00EE7D7F"/>
    <w:rsid w:val="00EF10E7"/>
    <w:rsid w:val="00EF2614"/>
    <w:rsid w:val="00EF301F"/>
    <w:rsid w:val="00EF3CA8"/>
    <w:rsid w:val="00EF49A9"/>
    <w:rsid w:val="00EF4D8B"/>
    <w:rsid w:val="00EF5678"/>
    <w:rsid w:val="00EF62D0"/>
    <w:rsid w:val="00EF6951"/>
    <w:rsid w:val="00EF6AC4"/>
    <w:rsid w:val="00EF6CA1"/>
    <w:rsid w:val="00EF6EC0"/>
    <w:rsid w:val="00EF7C61"/>
    <w:rsid w:val="00F000CA"/>
    <w:rsid w:val="00F00B30"/>
    <w:rsid w:val="00F022A5"/>
    <w:rsid w:val="00F031EA"/>
    <w:rsid w:val="00F034F2"/>
    <w:rsid w:val="00F04E58"/>
    <w:rsid w:val="00F06C5B"/>
    <w:rsid w:val="00F07E81"/>
    <w:rsid w:val="00F10C02"/>
    <w:rsid w:val="00F12924"/>
    <w:rsid w:val="00F13A3A"/>
    <w:rsid w:val="00F13D25"/>
    <w:rsid w:val="00F1423E"/>
    <w:rsid w:val="00F1641A"/>
    <w:rsid w:val="00F16782"/>
    <w:rsid w:val="00F21F7E"/>
    <w:rsid w:val="00F221E4"/>
    <w:rsid w:val="00F22BF7"/>
    <w:rsid w:val="00F234AF"/>
    <w:rsid w:val="00F23BAA"/>
    <w:rsid w:val="00F24351"/>
    <w:rsid w:val="00F244B1"/>
    <w:rsid w:val="00F255A9"/>
    <w:rsid w:val="00F25BAC"/>
    <w:rsid w:val="00F27E88"/>
    <w:rsid w:val="00F3218B"/>
    <w:rsid w:val="00F35461"/>
    <w:rsid w:val="00F409CB"/>
    <w:rsid w:val="00F40DD3"/>
    <w:rsid w:val="00F41362"/>
    <w:rsid w:val="00F43267"/>
    <w:rsid w:val="00F4346F"/>
    <w:rsid w:val="00F43CC5"/>
    <w:rsid w:val="00F4559F"/>
    <w:rsid w:val="00F47467"/>
    <w:rsid w:val="00F500AB"/>
    <w:rsid w:val="00F51C65"/>
    <w:rsid w:val="00F52459"/>
    <w:rsid w:val="00F5376B"/>
    <w:rsid w:val="00F54706"/>
    <w:rsid w:val="00F54739"/>
    <w:rsid w:val="00F54802"/>
    <w:rsid w:val="00F54EB3"/>
    <w:rsid w:val="00F5717C"/>
    <w:rsid w:val="00F5782A"/>
    <w:rsid w:val="00F611A9"/>
    <w:rsid w:val="00F61668"/>
    <w:rsid w:val="00F61ABA"/>
    <w:rsid w:val="00F62A9A"/>
    <w:rsid w:val="00F63111"/>
    <w:rsid w:val="00F6348F"/>
    <w:rsid w:val="00F6427E"/>
    <w:rsid w:val="00F65554"/>
    <w:rsid w:val="00F66481"/>
    <w:rsid w:val="00F67A8A"/>
    <w:rsid w:val="00F67F8B"/>
    <w:rsid w:val="00F701AE"/>
    <w:rsid w:val="00F7133A"/>
    <w:rsid w:val="00F72F34"/>
    <w:rsid w:val="00F72F5E"/>
    <w:rsid w:val="00F73245"/>
    <w:rsid w:val="00F74219"/>
    <w:rsid w:val="00F742AF"/>
    <w:rsid w:val="00F75E61"/>
    <w:rsid w:val="00F76EFD"/>
    <w:rsid w:val="00F8169E"/>
    <w:rsid w:val="00F822D3"/>
    <w:rsid w:val="00F83779"/>
    <w:rsid w:val="00F84EF0"/>
    <w:rsid w:val="00F86EB8"/>
    <w:rsid w:val="00F87A95"/>
    <w:rsid w:val="00F905FC"/>
    <w:rsid w:val="00F91441"/>
    <w:rsid w:val="00F91C40"/>
    <w:rsid w:val="00F91C9B"/>
    <w:rsid w:val="00F91DB4"/>
    <w:rsid w:val="00F926BA"/>
    <w:rsid w:val="00F92726"/>
    <w:rsid w:val="00F92A1B"/>
    <w:rsid w:val="00F92E95"/>
    <w:rsid w:val="00F93070"/>
    <w:rsid w:val="00F9503C"/>
    <w:rsid w:val="00F9626A"/>
    <w:rsid w:val="00F96769"/>
    <w:rsid w:val="00F968FD"/>
    <w:rsid w:val="00F9794D"/>
    <w:rsid w:val="00F97C64"/>
    <w:rsid w:val="00FA01A1"/>
    <w:rsid w:val="00FA264E"/>
    <w:rsid w:val="00FA3847"/>
    <w:rsid w:val="00FA3FAD"/>
    <w:rsid w:val="00FA5698"/>
    <w:rsid w:val="00FA5762"/>
    <w:rsid w:val="00FA617B"/>
    <w:rsid w:val="00FA70BA"/>
    <w:rsid w:val="00FA77A1"/>
    <w:rsid w:val="00FB06E9"/>
    <w:rsid w:val="00FB2870"/>
    <w:rsid w:val="00FB2B1C"/>
    <w:rsid w:val="00FB49F7"/>
    <w:rsid w:val="00FB5BE1"/>
    <w:rsid w:val="00FB6B51"/>
    <w:rsid w:val="00FC11FD"/>
    <w:rsid w:val="00FC17A0"/>
    <w:rsid w:val="00FC1B74"/>
    <w:rsid w:val="00FC3688"/>
    <w:rsid w:val="00FC3ADA"/>
    <w:rsid w:val="00FC4926"/>
    <w:rsid w:val="00FC5E3E"/>
    <w:rsid w:val="00FC6F9B"/>
    <w:rsid w:val="00FC7A6E"/>
    <w:rsid w:val="00FC7E4F"/>
    <w:rsid w:val="00FD0DFD"/>
    <w:rsid w:val="00FD3559"/>
    <w:rsid w:val="00FD3B95"/>
    <w:rsid w:val="00FD4652"/>
    <w:rsid w:val="00FD4A9E"/>
    <w:rsid w:val="00FD4D46"/>
    <w:rsid w:val="00FD6007"/>
    <w:rsid w:val="00FD6918"/>
    <w:rsid w:val="00FD71FD"/>
    <w:rsid w:val="00FE20EF"/>
    <w:rsid w:val="00FE254C"/>
    <w:rsid w:val="00FE2A75"/>
    <w:rsid w:val="00FE48DB"/>
    <w:rsid w:val="00FE67E7"/>
    <w:rsid w:val="00FE7586"/>
    <w:rsid w:val="00FE7673"/>
    <w:rsid w:val="00FF03D6"/>
    <w:rsid w:val="00FF0480"/>
    <w:rsid w:val="00FF1777"/>
    <w:rsid w:val="00FF1AC6"/>
    <w:rsid w:val="00FF1CC2"/>
    <w:rsid w:val="00FF3044"/>
    <w:rsid w:val="00FF37EB"/>
    <w:rsid w:val="00FF4AE4"/>
    <w:rsid w:val="00FF4B31"/>
    <w:rsid w:val="00FF5F9D"/>
    <w:rsid w:val="00FF73E6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92291"/>
  <w15:docId w15:val="{62860367-3E58-465B-8BA3-B7EC6CCB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EC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64EC5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64EC5"/>
    <w:pPr>
      <w:keepNext/>
      <w:numPr>
        <w:ilvl w:val="1"/>
        <w:numId w:val="2"/>
      </w:numPr>
      <w:outlineLvl w:val="1"/>
    </w:pPr>
    <w:rPr>
      <w:iCs/>
      <w:u w:val="single"/>
    </w:rPr>
  </w:style>
  <w:style w:type="paragraph" w:styleId="Ttulo3">
    <w:name w:val="heading 3"/>
    <w:basedOn w:val="Normal"/>
    <w:next w:val="Normal"/>
    <w:qFormat/>
    <w:rsid w:val="00464EC5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64EC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rsid w:val="00BB64D3"/>
    <w:pPr>
      <w:spacing w:before="480" w:after="480"/>
    </w:pPr>
    <w:rPr>
      <w:lang w:val="en-US" w:eastAsia="en-US"/>
    </w:rPr>
  </w:style>
  <w:style w:type="paragraph" w:customStyle="1" w:styleId="Estilo2">
    <w:name w:val="Estilo2"/>
    <w:basedOn w:val="Normal"/>
    <w:rsid w:val="00471AFD"/>
    <w:pPr>
      <w:keepNext/>
      <w:spacing w:before="480" w:beforeAutospacing="1" w:after="480" w:afterAutospacing="1" w:line="360" w:lineRule="auto"/>
    </w:pPr>
    <w:rPr>
      <w:rFonts w:ascii="Arial" w:hAnsi="Arial" w:cs="Arial"/>
    </w:rPr>
  </w:style>
  <w:style w:type="character" w:styleId="Forte">
    <w:name w:val="Strong"/>
    <w:uiPriority w:val="22"/>
    <w:qFormat/>
    <w:rsid w:val="00464EC5"/>
    <w:rPr>
      <w:b/>
      <w:bCs/>
    </w:rPr>
  </w:style>
  <w:style w:type="character" w:styleId="Hyperlink">
    <w:name w:val="Hyperlink"/>
    <w:uiPriority w:val="99"/>
    <w:rsid w:val="00464EC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4EC5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464EC5"/>
    <w:rPr>
      <w:i/>
      <w:iCs/>
    </w:rPr>
  </w:style>
  <w:style w:type="character" w:customStyle="1" w:styleId="nome">
    <w:name w:val="nome"/>
    <w:basedOn w:val="Fontepargpadro"/>
    <w:rsid w:val="00464EC5"/>
  </w:style>
  <w:style w:type="character" w:customStyle="1" w:styleId="Estilo1Char">
    <w:name w:val="Estilo1 Char"/>
    <w:link w:val="Estilo1"/>
    <w:rsid w:val="00464EC5"/>
    <w:rPr>
      <w:sz w:val="24"/>
      <w:szCs w:val="24"/>
      <w:lang w:val="en-US" w:eastAsia="en-US" w:bidi="ar-SA"/>
    </w:rPr>
  </w:style>
  <w:style w:type="paragraph" w:customStyle="1" w:styleId="NormalWeb8">
    <w:name w:val="Normal (Web)8"/>
    <w:basedOn w:val="Normal"/>
    <w:rsid w:val="00464EC5"/>
    <w:pPr>
      <w:keepNext/>
      <w:spacing w:before="225" w:beforeAutospacing="1" w:after="225" w:afterAutospacing="1" w:line="360" w:lineRule="auto"/>
      <w:ind w:left="225" w:right="3600"/>
      <w:jc w:val="both"/>
    </w:pPr>
    <w:rPr>
      <w:b/>
      <w:bCs/>
    </w:rPr>
  </w:style>
  <w:style w:type="paragraph" w:styleId="NormalWeb">
    <w:name w:val="Normal (Web)"/>
    <w:basedOn w:val="Normal"/>
    <w:uiPriority w:val="99"/>
    <w:rsid w:val="00464EC5"/>
    <w:pPr>
      <w:spacing w:before="100" w:beforeAutospacing="1" w:after="100" w:afterAutospacing="1"/>
    </w:pPr>
    <w:rPr>
      <w:color w:val="FFFFFF"/>
    </w:rPr>
  </w:style>
  <w:style w:type="paragraph" w:styleId="Recuodecorpodetexto3">
    <w:name w:val="Body Text Indent 3"/>
    <w:basedOn w:val="Normal"/>
    <w:rsid w:val="00464EC5"/>
    <w:pPr>
      <w:ind w:firstLine="709"/>
      <w:jc w:val="both"/>
    </w:pPr>
    <w:rPr>
      <w:szCs w:val="20"/>
    </w:rPr>
  </w:style>
  <w:style w:type="paragraph" w:styleId="Recuodecorpodetexto2">
    <w:name w:val="Body Text Indent 2"/>
    <w:basedOn w:val="Normal"/>
    <w:rsid w:val="00464EC5"/>
    <w:pPr>
      <w:spacing w:after="120" w:line="480" w:lineRule="auto"/>
      <w:ind w:left="283"/>
    </w:pPr>
  </w:style>
  <w:style w:type="character" w:customStyle="1" w:styleId="txt-interno1">
    <w:name w:val="txt-interno1"/>
    <w:rsid w:val="00464EC5"/>
    <w:rPr>
      <w:rFonts w:ascii="Tahoma" w:hAnsi="Tahoma" w:cs="Tahoma" w:hint="default"/>
      <w:strike w:val="0"/>
      <w:dstrike w:val="0"/>
      <w:color w:val="663300"/>
      <w:sz w:val="17"/>
      <w:szCs w:val="17"/>
      <w:u w:val="none"/>
      <w:effect w:val="none"/>
    </w:rPr>
  </w:style>
  <w:style w:type="paragraph" w:styleId="Rodap">
    <w:name w:val="footer"/>
    <w:basedOn w:val="Normal"/>
    <w:link w:val="RodapChar"/>
    <w:uiPriority w:val="99"/>
    <w:rsid w:val="00464EC5"/>
    <w:pPr>
      <w:tabs>
        <w:tab w:val="center" w:pos="4320"/>
        <w:tab w:val="right" w:pos="8640"/>
      </w:tabs>
    </w:pPr>
  </w:style>
  <w:style w:type="paragraph" w:customStyle="1" w:styleId="PargrafodaLista1">
    <w:name w:val="Parágrafo da Lista1"/>
    <w:basedOn w:val="Normal"/>
    <w:rsid w:val="00464EC5"/>
    <w:pPr>
      <w:ind w:left="720"/>
    </w:pPr>
    <w:rPr>
      <w:rFonts w:ascii="Calibri" w:hAnsi="Calibri"/>
      <w:lang w:val="en-US" w:eastAsia="en-US"/>
    </w:rPr>
  </w:style>
  <w:style w:type="paragraph" w:customStyle="1" w:styleId="SemEspaamento1">
    <w:name w:val="Sem Espaçamento1"/>
    <w:basedOn w:val="Normal"/>
    <w:rsid w:val="00464EC5"/>
    <w:rPr>
      <w:rFonts w:ascii="Calibri" w:hAnsi="Calibri"/>
      <w:szCs w:val="32"/>
      <w:lang w:val="en-US" w:eastAsia="en-US"/>
    </w:rPr>
  </w:style>
  <w:style w:type="character" w:styleId="Nmerodepgina">
    <w:name w:val="page number"/>
    <w:basedOn w:val="Fontepargpadro"/>
    <w:rsid w:val="00464EC5"/>
  </w:style>
  <w:style w:type="paragraph" w:styleId="Cabealho">
    <w:name w:val="header"/>
    <w:basedOn w:val="Normal"/>
    <w:link w:val="CabealhoChar"/>
    <w:uiPriority w:val="99"/>
    <w:rsid w:val="00464EC5"/>
    <w:pPr>
      <w:tabs>
        <w:tab w:val="center" w:pos="4419"/>
        <w:tab w:val="right" w:pos="8838"/>
      </w:tabs>
    </w:pPr>
  </w:style>
  <w:style w:type="numbering" w:styleId="111111">
    <w:name w:val="Outline List 2"/>
    <w:basedOn w:val="Semlista"/>
    <w:rsid w:val="00464EC5"/>
    <w:pPr>
      <w:numPr>
        <w:numId w:val="3"/>
      </w:numPr>
    </w:pPr>
  </w:style>
  <w:style w:type="numbering" w:customStyle="1" w:styleId="Estilo3">
    <w:name w:val="Estilo3"/>
    <w:basedOn w:val="Semlista"/>
    <w:rsid w:val="00464EC5"/>
    <w:pPr>
      <w:numPr>
        <w:numId w:val="4"/>
      </w:numPr>
    </w:pPr>
  </w:style>
  <w:style w:type="paragraph" w:customStyle="1" w:styleId="Normal1">
    <w:name w:val="Normal1"/>
    <w:basedOn w:val="Normal"/>
    <w:rsid w:val="00C71BB0"/>
    <w:pPr>
      <w:spacing w:line="360" w:lineRule="atLeast"/>
    </w:pPr>
  </w:style>
  <w:style w:type="paragraph" w:styleId="Corpodetexto">
    <w:name w:val="Body Text"/>
    <w:basedOn w:val="Normal"/>
    <w:link w:val="CorpodetextoChar"/>
    <w:uiPriority w:val="99"/>
    <w:rsid w:val="00A55102"/>
    <w:pPr>
      <w:spacing w:after="120"/>
    </w:pPr>
  </w:style>
  <w:style w:type="paragraph" w:styleId="Sumrio2">
    <w:name w:val="toc 2"/>
    <w:basedOn w:val="Normal"/>
    <w:next w:val="Normal"/>
    <w:autoRedefine/>
    <w:uiPriority w:val="39"/>
    <w:rsid w:val="0066185D"/>
    <w:pPr>
      <w:tabs>
        <w:tab w:val="left" w:pos="1920"/>
        <w:tab w:val="right" w:leader="dot" w:pos="9062"/>
      </w:tabs>
    </w:pPr>
    <w:rPr>
      <w:noProof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rsid w:val="00CF615A"/>
    <w:pPr>
      <w:tabs>
        <w:tab w:val="left" w:pos="1440"/>
        <w:tab w:val="right" w:leader="dot" w:pos="9062"/>
      </w:tabs>
    </w:pPr>
    <w:rPr>
      <w:b/>
      <w:noProof/>
    </w:rPr>
  </w:style>
  <w:style w:type="paragraph" w:styleId="MapadoDocumento">
    <w:name w:val="Document Map"/>
    <w:basedOn w:val="Normal"/>
    <w:semiHidden/>
    <w:rsid w:val="00DA26CA"/>
    <w:pPr>
      <w:shd w:val="clear" w:color="auto" w:fill="000080"/>
    </w:pPr>
    <w:rPr>
      <w:rFonts w:ascii="Tahoma" w:hAnsi="Tahoma" w:cs="Tahoma"/>
    </w:rPr>
  </w:style>
  <w:style w:type="paragraph" w:customStyle="1" w:styleId="TtuloPrincipal">
    <w:name w:val="Título Principal"/>
    <w:basedOn w:val="Normal"/>
    <w:next w:val="Ttulo1"/>
    <w:rsid w:val="00280D58"/>
    <w:pPr>
      <w:tabs>
        <w:tab w:val="left" w:pos="-142"/>
        <w:tab w:val="left" w:pos="142"/>
        <w:tab w:val="left" w:pos="426"/>
      </w:tabs>
      <w:spacing w:before="60" w:after="60"/>
      <w:ind w:left="-567"/>
      <w:jc w:val="center"/>
    </w:pPr>
    <w:rPr>
      <w:rFonts w:ascii="Century Schoolbook" w:hAnsi="Century Schoolbook"/>
      <w:b/>
      <w:i/>
      <w:caps/>
      <w:spacing w:val="20"/>
      <w:sz w:val="32"/>
      <w:szCs w:val="20"/>
    </w:rPr>
  </w:style>
  <w:style w:type="paragraph" w:customStyle="1" w:styleId="Estilo4">
    <w:name w:val="Estilo4"/>
    <w:basedOn w:val="Normal"/>
    <w:rsid w:val="00D33634"/>
    <w:rPr>
      <w:rFonts w:ascii="Arial" w:hAnsi="Arial"/>
      <w:b/>
    </w:rPr>
  </w:style>
  <w:style w:type="paragraph" w:customStyle="1" w:styleId="Estilo5">
    <w:name w:val="Estilo5"/>
    <w:basedOn w:val="Normal"/>
    <w:rsid w:val="00D33634"/>
    <w:rPr>
      <w:rFonts w:ascii="Arial" w:hAnsi="Arial"/>
      <w:b/>
    </w:rPr>
  </w:style>
  <w:style w:type="character" w:customStyle="1" w:styleId="Ttulo1Char">
    <w:name w:val="Título 1 Char"/>
    <w:link w:val="Ttulo1"/>
    <w:uiPriority w:val="9"/>
    <w:rsid w:val="00E04346"/>
    <w:rPr>
      <w:rFonts w:ascii="Arial" w:hAnsi="Arial" w:cs="Arial"/>
      <w:b/>
      <w:bCs/>
      <w:kern w:val="32"/>
      <w:sz w:val="32"/>
      <w:szCs w:val="32"/>
    </w:rPr>
  </w:style>
  <w:style w:type="paragraph" w:customStyle="1" w:styleId="Corpodotexto">
    <w:name w:val="Corpo do texto"/>
    <w:basedOn w:val="Normal"/>
    <w:rsid w:val="003C79DB"/>
    <w:pPr>
      <w:suppressAutoHyphens/>
      <w:spacing w:after="120"/>
    </w:pPr>
    <w:rPr>
      <w:rFonts w:ascii="Trebuchet MS" w:hAnsi="Trebuchet MS" w:cs="Trebuchet MS"/>
      <w:sz w:val="20"/>
      <w:szCs w:val="20"/>
      <w:lang w:val="en-US" w:eastAsia="en-US" w:bidi="en-US"/>
    </w:rPr>
  </w:style>
  <w:style w:type="paragraph" w:customStyle="1" w:styleId="Ttulodesumrio">
    <w:name w:val="Título de sumário"/>
    <w:basedOn w:val="Normal"/>
    <w:rsid w:val="003C79DB"/>
    <w:pPr>
      <w:suppressAutoHyphens/>
      <w:spacing w:after="120" w:line="240" w:lineRule="atLeast"/>
    </w:pPr>
    <w:rPr>
      <w:rFonts w:ascii="Trebuchet MS" w:hAnsi="Trebuchet MS" w:cs="Trebuchet MS"/>
      <w:b/>
      <w:color w:val="000080"/>
      <w:sz w:val="20"/>
      <w:szCs w:val="20"/>
      <w:lang w:val="en-US" w:eastAsia="en-US" w:bidi="en-US"/>
    </w:rPr>
  </w:style>
  <w:style w:type="paragraph" w:customStyle="1" w:styleId="Textodondiceanaltico">
    <w:name w:val="Texto do índice analítico"/>
    <w:basedOn w:val="Normal"/>
    <w:rsid w:val="003C79DB"/>
    <w:pPr>
      <w:tabs>
        <w:tab w:val="right" w:pos="2250"/>
      </w:tabs>
      <w:suppressAutoHyphens/>
      <w:spacing w:line="360" w:lineRule="exact"/>
    </w:pPr>
    <w:rPr>
      <w:rFonts w:ascii="Trebuchet MS" w:hAnsi="Trebuchet MS" w:cs="Trebuchet MS"/>
      <w:color w:val="000080"/>
      <w:sz w:val="16"/>
      <w:szCs w:val="16"/>
      <w:lang w:val="en-US" w:eastAsia="en-US" w:bidi="en-US"/>
    </w:rPr>
  </w:style>
  <w:style w:type="paragraph" w:styleId="Lista">
    <w:name w:val="List"/>
    <w:basedOn w:val="Normal"/>
    <w:rsid w:val="003C79DB"/>
    <w:pPr>
      <w:numPr>
        <w:numId w:val="1"/>
      </w:numPr>
      <w:suppressAutoHyphens/>
      <w:ind w:left="0" w:firstLine="0"/>
    </w:pPr>
    <w:rPr>
      <w:rFonts w:ascii="Trebuchet MS" w:hAnsi="Trebuchet MS" w:cs="Trebuchet MS"/>
      <w:sz w:val="22"/>
      <w:szCs w:val="22"/>
      <w:lang w:val="en-US" w:eastAsia="ar-SA"/>
    </w:rPr>
  </w:style>
  <w:style w:type="character" w:customStyle="1" w:styleId="Ttulo2Char">
    <w:name w:val="Título 2 Char"/>
    <w:link w:val="Ttulo2"/>
    <w:rsid w:val="00BC49F8"/>
    <w:rPr>
      <w:iCs/>
      <w:sz w:val="24"/>
      <w:szCs w:val="24"/>
      <w:u w:val="single"/>
    </w:rPr>
  </w:style>
  <w:style w:type="paragraph" w:styleId="Remissivo6">
    <w:name w:val="index 6"/>
    <w:basedOn w:val="Normal"/>
    <w:autoRedefine/>
    <w:uiPriority w:val="99"/>
    <w:semiHidden/>
    <w:rsid w:val="00BC49F8"/>
    <w:pPr>
      <w:tabs>
        <w:tab w:val="center" w:pos="4252"/>
        <w:tab w:val="right" w:pos="8504"/>
      </w:tabs>
    </w:pPr>
  </w:style>
  <w:style w:type="paragraph" w:styleId="Remissivo7">
    <w:name w:val="index 7"/>
    <w:basedOn w:val="Normal"/>
    <w:autoRedefine/>
    <w:uiPriority w:val="99"/>
    <w:semiHidden/>
    <w:rsid w:val="00BC49F8"/>
    <w:pPr>
      <w:tabs>
        <w:tab w:val="center" w:pos="4252"/>
        <w:tab w:val="right" w:pos="8504"/>
      </w:tabs>
    </w:pPr>
  </w:style>
  <w:style w:type="character" w:customStyle="1" w:styleId="Remissivo81">
    <w:name w:val="Remissivo 81"/>
    <w:uiPriority w:val="99"/>
    <w:rsid w:val="00BC49F8"/>
  </w:style>
  <w:style w:type="character" w:customStyle="1" w:styleId="Remissivo91">
    <w:name w:val="Remissivo 91"/>
    <w:uiPriority w:val="99"/>
    <w:rsid w:val="00BC49F8"/>
    <w:rPr>
      <w:color w:val="0000FF"/>
      <w:u w:val="single"/>
    </w:rPr>
  </w:style>
  <w:style w:type="table" w:customStyle="1" w:styleId="Sumrio11">
    <w:name w:val="Sumário 11"/>
    <w:uiPriority w:val="99"/>
    <w:rsid w:val="00BC49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autoRedefine/>
    <w:uiPriority w:val="39"/>
    <w:rsid w:val="0050267D"/>
    <w:pPr>
      <w:tabs>
        <w:tab w:val="right" w:leader="dot" w:pos="9062"/>
      </w:tabs>
    </w:pPr>
    <w:rPr>
      <w:noProof/>
    </w:rPr>
  </w:style>
  <w:style w:type="character" w:customStyle="1" w:styleId="Sumrio41">
    <w:name w:val="Sumário 41"/>
    <w:uiPriority w:val="99"/>
    <w:rsid w:val="00BC49F8"/>
    <w:rPr>
      <w:sz w:val="16"/>
      <w:szCs w:val="16"/>
    </w:rPr>
  </w:style>
  <w:style w:type="paragraph" w:styleId="Sumrio5">
    <w:name w:val="toc 5"/>
    <w:basedOn w:val="Normal"/>
    <w:autoRedefine/>
    <w:uiPriority w:val="99"/>
    <w:semiHidden/>
    <w:rsid w:val="00BC49F8"/>
    <w:rPr>
      <w:sz w:val="20"/>
      <w:szCs w:val="20"/>
    </w:rPr>
  </w:style>
  <w:style w:type="character" w:customStyle="1" w:styleId="TextodecomentrioChar">
    <w:name w:val="Texto de comentário Char"/>
    <w:uiPriority w:val="99"/>
    <w:rsid w:val="00BC49F8"/>
  </w:style>
  <w:style w:type="paragraph" w:styleId="Sumrio7">
    <w:name w:val="toc 7"/>
    <w:basedOn w:val="Sumrio5"/>
    <w:next w:val="Sumrio5"/>
    <w:autoRedefine/>
    <w:uiPriority w:val="99"/>
    <w:semiHidden/>
    <w:rsid w:val="00BC49F8"/>
    <w:rPr>
      <w:b/>
      <w:bCs/>
    </w:rPr>
  </w:style>
  <w:style w:type="character" w:customStyle="1" w:styleId="AssuntodocomentrioChar">
    <w:name w:val="Assunto do comentário Char"/>
    <w:uiPriority w:val="99"/>
    <w:rsid w:val="00BC49F8"/>
    <w:rPr>
      <w:b/>
      <w:bCs/>
    </w:rPr>
  </w:style>
  <w:style w:type="paragraph" w:styleId="Sumrio9">
    <w:name w:val="toc 9"/>
    <w:basedOn w:val="Normal"/>
    <w:autoRedefine/>
    <w:uiPriority w:val="99"/>
    <w:semiHidden/>
    <w:rsid w:val="00BC49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uiPriority w:val="99"/>
    <w:rsid w:val="00BC49F8"/>
    <w:rPr>
      <w:rFonts w:ascii="Tahoma" w:hAnsi="Tahoma" w:cs="Tahoma"/>
      <w:sz w:val="16"/>
      <w:szCs w:val="16"/>
    </w:rPr>
  </w:style>
  <w:style w:type="character" w:customStyle="1" w:styleId="Textodenotaderodap1">
    <w:name w:val="Texto de nota de rodapé1"/>
    <w:uiPriority w:val="99"/>
    <w:rsid w:val="00BC49F8"/>
    <w:rPr>
      <w:color w:val="800080"/>
      <w:u w:val="single"/>
    </w:rPr>
  </w:style>
  <w:style w:type="paragraph" w:styleId="Textodecomentrio">
    <w:name w:val="annotation text"/>
    <w:basedOn w:val="Normal"/>
    <w:next w:val="Normal"/>
    <w:link w:val="TextodecomentrioChar1"/>
    <w:uiPriority w:val="99"/>
    <w:semiHidden/>
    <w:rsid w:val="00BC49F8"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BC49F8"/>
    <w:rPr>
      <w:b/>
      <w:bCs/>
    </w:rPr>
  </w:style>
  <w:style w:type="character" w:customStyle="1" w:styleId="NormalWebChar">
    <w:name w:val="Normal (Web) Char"/>
    <w:uiPriority w:val="99"/>
    <w:rsid w:val="00BC49F8"/>
    <w:rPr>
      <w:sz w:val="24"/>
      <w:szCs w:val="24"/>
    </w:rPr>
  </w:style>
  <w:style w:type="paragraph" w:customStyle="1" w:styleId="ptextoidentacaoitemalinea">
    <w:name w:val="ptexto_identacao__item_alinea___"/>
    <w:basedOn w:val="Normal"/>
    <w:uiPriority w:val="99"/>
    <w:rsid w:val="00BC49F8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pnotaredacaoct">
    <w:name w:val="pnota_redacao___ct"/>
    <w:basedOn w:val="Normal"/>
    <w:uiPriority w:val="99"/>
    <w:rsid w:val="00BC49F8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ptextoidentacao2">
    <w:name w:val="ptexto_identacao2"/>
    <w:basedOn w:val="Normal"/>
    <w:uiPriority w:val="99"/>
    <w:rsid w:val="00BC49F8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ptabnova">
    <w:name w:val="ptab_nova"/>
    <w:basedOn w:val="Normal"/>
    <w:uiPriority w:val="99"/>
    <w:rsid w:val="00BC49F8"/>
    <w:pPr>
      <w:spacing w:before="40" w:after="4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BC49F8"/>
  </w:style>
  <w:style w:type="paragraph" w:styleId="Textodebalo">
    <w:name w:val="Balloon Text"/>
    <w:basedOn w:val="Normal"/>
    <w:link w:val="TextodebaloChar1"/>
    <w:uiPriority w:val="99"/>
    <w:semiHidden/>
    <w:rsid w:val="00BC49F8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BC49F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locked/>
    <w:rsid w:val="00BC49F8"/>
    <w:rPr>
      <w:sz w:val="24"/>
      <w:szCs w:val="24"/>
    </w:rPr>
  </w:style>
  <w:style w:type="character" w:customStyle="1" w:styleId="CabealhoChar">
    <w:name w:val="Cabeçalho Char"/>
    <w:link w:val="Cabealho"/>
    <w:uiPriority w:val="99"/>
    <w:locked/>
    <w:rsid w:val="00BC49F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C49F8"/>
    <w:pPr>
      <w:ind w:left="72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C49F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C49F8"/>
  </w:style>
  <w:style w:type="character" w:styleId="Refdenotadefim">
    <w:name w:val="endnote reference"/>
    <w:uiPriority w:val="99"/>
    <w:semiHidden/>
    <w:unhideWhenUsed/>
    <w:rsid w:val="00BC49F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C49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C49F8"/>
  </w:style>
  <w:style w:type="character" w:styleId="Refdenotaderodap">
    <w:name w:val="footnote reference"/>
    <w:uiPriority w:val="99"/>
    <w:unhideWhenUsed/>
    <w:rsid w:val="00BC49F8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BC49F8"/>
    <w:pPr>
      <w:numPr>
        <w:numId w:val="5"/>
      </w:numPr>
      <w:contextualSpacing/>
    </w:pPr>
  </w:style>
  <w:style w:type="character" w:styleId="HiperlinkVisitado">
    <w:name w:val="FollowedHyperlink"/>
    <w:uiPriority w:val="99"/>
    <w:semiHidden/>
    <w:unhideWhenUsed/>
    <w:rsid w:val="00BC49F8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BC49F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C49F8"/>
  </w:style>
  <w:style w:type="character" w:customStyle="1" w:styleId="AssuntodocomentrioChar1">
    <w:name w:val="Assunto do comentário Char1"/>
    <w:link w:val="Assuntodocomentrio"/>
    <w:uiPriority w:val="99"/>
    <w:semiHidden/>
    <w:rsid w:val="00BC49F8"/>
    <w:rPr>
      <w:b/>
      <w:bCs/>
    </w:rPr>
  </w:style>
  <w:style w:type="paragraph" w:customStyle="1" w:styleId="Default">
    <w:name w:val="Default"/>
    <w:rsid w:val="00BC49F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BC49F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BC49F8"/>
    <w:rPr>
      <w:color w:val="000000"/>
      <w:sz w:val="18"/>
      <w:szCs w:val="18"/>
    </w:rPr>
  </w:style>
  <w:style w:type="character" w:customStyle="1" w:styleId="A2">
    <w:name w:val="A2"/>
    <w:uiPriority w:val="99"/>
    <w:rsid w:val="00BC49F8"/>
    <w:rPr>
      <w:b/>
      <w:bCs/>
      <w:color w:val="000000"/>
      <w:sz w:val="20"/>
      <w:szCs w:val="20"/>
    </w:rPr>
  </w:style>
  <w:style w:type="character" w:styleId="TextodoEspaoReservado">
    <w:name w:val="Placeholder Text"/>
    <w:uiPriority w:val="99"/>
    <w:semiHidden/>
    <w:rsid w:val="00BC49F8"/>
    <w:rPr>
      <w:color w:val="808080"/>
    </w:rPr>
  </w:style>
  <w:style w:type="paragraph" w:styleId="SemEspaamento">
    <w:name w:val="No Spacing"/>
    <w:uiPriority w:val="1"/>
    <w:qFormat/>
    <w:rsid w:val="00BC49F8"/>
    <w:rPr>
      <w:sz w:val="24"/>
      <w:szCs w:val="24"/>
    </w:rPr>
  </w:style>
  <w:style w:type="paragraph" w:styleId="Reviso">
    <w:name w:val="Revision"/>
    <w:hidden/>
    <w:uiPriority w:val="99"/>
    <w:semiHidden/>
    <w:rsid w:val="00BC49F8"/>
    <w:rPr>
      <w:sz w:val="24"/>
      <w:szCs w:val="24"/>
    </w:rPr>
  </w:style>
  <w:style w:type="character" w:customStyle="1" w:styleId="ff3">
    <w:name w:val="ff3"/>
    <w:rsid w:val="00BC49F8"/>
  </w:style>
  <w:style w:type="character" w:customStyle="1" w:styleId="ls16">
    <w:name w:val="ls16"/>
    <w:rsid w:val="00BC49F8"/>
  </w:style>
  <w:style w:type="character" w:customStyle="1" w:styleId="ls7">
    <w:name w:val="ls7"/>
    <w:rsid w:val="00BC49F8"/>
  </w:style>
  <w:style w:type="character" w:customStyle="1" w:styleId="Meno1">
    <w:name w:val="Menção1"/>
    <w:uiPriority w:val="99"/>
    <w:semiHidden/>
    <w:unhideWhenUsed/>
    <w:rsid w:val="00BC49F8"/>
    <w:rPr>
      <w:color w:val="2B579A"/>
      <w:shd w:val="clear" w:color="auto" w:fill="E6E6E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C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BC49F8"/>
    <w:rPr>
      <w:rFonts w:ascii="Courier New" w:hAnsi="Courier New" w:cs="Courier New"/>
    </w:rPr>
  </w:style>
  <w:style w:type="paragraph" w:styleId="Subttulo">
    <w:name w:val="Subtitle"/>
    <w:basedOn w:val="Normal"/>
    <w:next w:val="Normal"/>
    <w:link w:val="SubttuloChar"/>
    <w:uiPriority w:val="99"/>
    <w:qFormat/>
    <w:rsid w:val="00BC49F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link w:val="Subttulo"/>
    <w:uiPriority w:val="99"/>
    <w:rsid w:val="00BC49F8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BC49F8"/>
    <w:pPr>
      <w:jc w:val="center"/>
    </w:pPr>
    <w:rPr>
      <w:b/>
      <w:szCs w:val="20"/>
      <w:u w:val="single"/>
      <w:lang w:eastAsia="en-US"/>
    </w:rPr>
  </w:style>
  <w:style w:type="character" w:customStyle="1" w:styleId="TtuloChar">
    <w:name w:val="Título Char"/>
    <w:link w:val="Ttulo"/>
    <w:uiPriority w:val="99"/>
    <w:rsid w:val="00BC49F8"/>
    <w:rPr>
      <w:b/>
      <w:sz w:val="24"/>
      <w:u w:val="single"/>
      <w:lang w:eastAsia="en-US"/>
    </w:rPr>
  </w:style>
  <w:style w:type="character" w:customStyle="1" w:styleId="author8">
    <w:name w:val="author8"/>
    <w:rsid w:val="00BC49F8"/>
  </w:style>
  <w:style w:type="character" w:customStyle="1" w:styleId="source">
    <w:name w:val="source"/>
    <w:rsid w:val="00BC49F8"/>
  </w:style>
  <w:style w:type="character" w:customStyle="1" w:styleId="CorpodetextoChar">
    <w:name w:val="Corpo de texto Char"/>
    <w:link w:val="Corpodetexto"/>
    <w:uiPriority w:val="99"/>
    <w:rsid w:val="00BC49F8"/>
    <w:rPr>
      <w:sz w:val="24"/>
      <w:szCs w:val="24"/>
    </w:rPr>
  </w:style>
  <w:style w:type="character" w:customStyle="1" w:styleId="translation5">
    <w:name w:val="translation5"/>
    <w:rsid w:val="00BC49F8"/>
    <w:rPr>
      <w:color w:val="FFFFFF"/>
      <w:sz w:val="30"/>
      <w:szCs w:val="3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5F72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customStyle="1" w:styleId="Body">
    <w:name w:val="Body"/>
    <w:rsid w:val="009428B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Legenda">
    <w:name w:val="caption"/>
    <w:basedOn w:val="Normal"/>
    <w:next w:val="Normal"/>
    <w:uiPriority w:val="35"/>
    <w:unhideWhenUsed/>
    <w:qFormat/>
    <w:rsid w:val="003A6FEB"/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0301BC"/>
  </w:style>
  <w:style w:type="paragraph" w:customStyle="1" w:styleId="Pa14">
    <w:name w:val="Pa14"/>
    <w:basedOn w:val="Normal"/>
    <w:next w:val="Normal"/>
    <w:uiPriority w:val="99"/>
    <w:rsid w:val="005E011D"/>
    <w:pPr>
      <w:autoSpaceDE w:val="0"/>
      <w:autoSpaceDN w:val="0"/>
      <w:adjustRightInd w:val="0"/>
      <w:spacing w:line="151" w:lineRule="atLeast"/>
    </w:pPr>
    <w:rPr>
      <w:lang w:eastAsia="en-US"/>
    </w:rPr>
  </w:style>
  <w:style w:type="character" w:customStyle="1" w:styleId="MenoPendente1">
    <w:name w:val="Menção Pendente1"/>
    <w:uiPriority w:val="99"/>
    <w:semiHidden/>
    <w:unhideWhenUsed/>
    <w:rsid w:val="00AD72A3"/>
    <w:rPr>
      <w:color w:val="808080"/>
      <w:shd w:val="clear" w:color="auto" w:fill="E6E6E6"/>
    </w:rPr>
  </w:style>
  <w:style w:type="character" w:customStyle="1" w:styleId="tlid-translation">
    <w:name w:val="tlid-translation"/>
    <w:rsid w:val="005E33CD"/>
  </w:style>
  <w:style w:type="character" w:customStyle="1" w:styleId="ilfuvd">
    <w:name w:val="ilfuvd"/>
    <w:rsid w:val="00D4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608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437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1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2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0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5026-25CB-44B9-9E26-2681ED06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14</Pages>
  <Words>6268</Words>
  <Characters>33850</Characters>
  <DocSecurity>0</DocSecurity>
  <Lines>282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UNIP – Universidade Paulista</vt:lpstr>
    </vt:vector>
  </TitlesOfParts>
  <Company/>
  <LinksUpToDate>false</LinksUpToDate>
  <CharactersWithSpaces>40038</CharactersWithSpaces>
  <SharedDoc>false</SharedDoc>
  <HLinks>
    <vt:vector size="120" baseType="variant">
      <vt:variant>
        <vt:i4>720935</vt:i4>
      </vt:variant>
      <vt:variant>
        <vt:i4>192</vt:i4>
      </vt:variant>
      <vt:variant>
        <vt:i4>0</vt:i4>
      </vt:variant>
      <vt:variant>
        <vt:i4>5</vt:i4>
      </vt:variant>
      <vt:variant>
        <vt:lpwstr>mailto:ingridchrispim@gmail.com</vt:lpwstr>
      </vt:variant>
      <vt:variant>
        <vt:lpwstr/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_Toc504428796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_Toc504428795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_Toc504428792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_Toc504428791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_Toc504428790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_Toc504428789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_Toc504428788</vt:lpwstr>
      </vt:variant>
      <vt:variant>
        <vt:i4>1245236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_Toc504428787</vt:lpwstr>
      </vt:variant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_Toc504428786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_Toc504428785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_Toc504428784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_Toc504428783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_Toc504428782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_Toc504428781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_Toc504428779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_Toc504428778</vt:lpwstr>
      </vt:variant>
      <vt:variant>
        <vt:i4>1835060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_Toc504428777</vt:lpwstr>
      </vt:variant>
      <vt:variant>
        <vt:i4>1835060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_Toc504428776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_Toc504428774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2018-08-11T00:35:00Z</dcterms:created>
  <dcterms:modified xsi:type="dcterms:W3CDTF">2018-08-11T15:30:00Z</dcterms:modified>
</cp:coreProperties>
</file>